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header2.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B5" w:rsidRPr="00813C36" w:rsidRDefault="00534FB5" w:rsidP="00534FB5">
      <w:pPr>
        <w:pStyle w:val="a5"/>
        <w:tabs>
          <w:tab w:val="left" w:pos="3402"/>
        </w:tabs>
        <w:jc w:val="center"/>
        <w:rPr>
          <w:b w:val="0"/>
        </w:rPr>
      </w:pPr>
      <w:bookmarkStart w:id="0" w:name="_Toc128410327"/>
      <w:r w:rsidRPr="00813C36">
        <w:rPr>
          <w:b w:val="0"/>
          <w:caps w:val="0"/>
        </w:rPr>
        <w:t>Міністерство охорони здоров</w:t>
      </w:r>
      <w:r>
        <w:rPr>
          <w:b w:val="0"/>
          <w:caps w:val="0"/>
        </w:rPr>
        <w:t>’</w:t>
      </w:r>
      <w:r w:rsidRPr="00813C36">
        <w:rPr>
          <w:b w:val="0"/>
          <w:caps w:val="0"/>
        </w:rPr>
        <w:t>я України</w:t>
      </w:r>
      <w:r w:rsidRPr="00813C36">
        <w:rPr>
          <w:b w:val="0"/>
        </w:rPr>
        <w:br/>
      </w:r>
      <w:r>
        <w:rPr>
          <w:b w:val="0"/>
          <w:caps w:val="0"/>
        </w:rPr>
        <w:t>Х</w:t>
      </w:r>
      <w:r w:rsidRPr="00813C36">
        <w:rPr>
          <w:b w:val="0"/>
          <w:caps w:val="0"/>
        </w:rPr>
        <w:t>а</w:t>
      </w:r>
      <w:r>
        <w:rPr>
          <w:b w:val="0"/>
          <w:caps w:val="0"/>
        </w:rPr>
        <w:t xml:space="preserve">рківський національний медичний </w:t>
      </w:r>
      <w:r w:rsidRPr="00813C36">
        <w:rPr>
          <w:b w:val="0"/>
          <w:caps w:val="0"/>
        </w:rPr>
        <w:t>університет</w:t>
      </w:r>
    </w:p>
    <w:p w:rsidR="00534FB5" w:rsidRDefault="00534FB5" w:rsidP="00534FB5">
      <w:pPr>
        <w:jc w:val="center"/>
      </w:pPr>
    </w:p>
    <w:p w:rsidR="00534FB5" w:rsidRPr="00954027" w:rsidRDefault="00534FB5" w:rsidP="00534FB5">
      <w:pPr>
        <w:jc w:val="center"/>
      </w:pPr>
    </w:p>
    <w:p w:rsidR="00534FB5" w:rsidRPr="00954027" w:rsidRDefault="00534FB5" w:rsidP="00534FB5">
      <w:pPr>
        <w:pStyle w:val="a7"/>
      </w:pPr>
      <w:r w:rsidRPr="00954027">
        <w:t>На правах рукопису</w:t>
      </w:r>
    </w:p>
    <w:p w:rsidR="00534FB5" w:rsidRDefault="00534FB5" w:rsidP="00534FB5">
      <w:pPr>
        <w:jc w:val="center"/>
      </w:pPr>
    </w:p>
    <w:p w:rsidR="00534FB5" w:rsidRPr="00954027" w:rsidRDefault="00534FB5" w:rsidP="00534FB5">
      <w:pPr>
        <w:jc w:val="center"/>
      </w:pPr>
    </w:p>
    <w:p w:rsidR="00534FB5" w:rsidRPr="003414DD" w:rsidRDefault="00534FB5" w:rsidP="00534FB5">
      <w:pPr>
        <w:jc w:val="center"/>
        <w:rPr>
          <w:lang w:val="ru-RU"/>
        </w:rPr>
      </w:pPr>
      <w:r>
        <w:t>ПРОКОПОВА МАРІЯ ВЯЧЕСЛАВІВНА</w:t>
      </w:r>
    </w:p>
    <w:p w:rsidR="00534FB5" w:rsidRPr="00954027" w:rsidRDefault="00534FB5" w:rsidP="00534FB5">
      <w:pPr>
        <w:jc w:val="center"/>
        <w:rPr>
          <w:lang w:val="ru-RU"/>
        </w:rPr>
      </w:pPr>
    </w:p>
    <w:p w:rsidR="00534FB5" w:rsidRPr="00954027" w:rsidRDefault="00534FB5" w:rsidP="00534FB5">
      <w:pPr>
        <w:pStyle w:val="a7"/>
      </w:pPr>
      <w:r w:rsidRPr="00954027">
        <w:t>УДК</w:t>
      </w:r>
      <w:r>
        <w:t>: 616.314.17-008.1-08-039.71-053.2-053.1:616.28 – 008.14</w:t>
      </w:r>
    </w:p>
    <w:p w:rsidR="00534FB5" w:rsidRDefault="00534FB5" w:rsidP="00534FB5">
      <w:pPr>
        <w:pStyle w:val="a5"/>
        <w:spacing w:before="0" w:after="0"/>
        <w:jc w:val="center"/>
        <w:rPr>
          <w:b w:val="0"/>
        </w:rPr>
      </w:pPr>
      <w:r w:rsidRPr="00380653">
        <w:rPr>
          <w:b w:val="0"/>
        </w:rPr>
        <w:t xml:space="preserve">Профілактика та лікування </w:t>
      </w:r>
    </w:p>
    <w:p w:rsidR="00534FB5" w:rsidRDefault="00534FB5" w:rsidP="00534FB5">
      <w:pPr>
        <w:pStyle w:val="a5"/>
        <w:spacing w:before="0" w:after="0"/>
        <w:jc w:val="center"/>
        <w:rPr>
          <w:b w:val="0"/>
        </w:rPr>
      </w:pPr>
      <w:r w:rsidRPr="00380653">
        <w:rPr>
          <w:b w:val="0"/>
        </w:rPr>
        <w:t xml:space="preserve">карієсу зубів </w:t>
      </w:r>
      <w:r w:rsidRPr="00304E98">
        <w:rPr>
          <w:b w:val="0"/>
        </w:rPr>
        <w:t xml:space="preserve">та </w:t>
      </w:r>
      <w:r w:rsidRPr="00380653">
        <w:rPr>
          <w:b w:val="0"/>
        </w:rPr>
        <w:t xml:space="preserve">захворювань тканин пародонта </w:t>
      </w:r>
    </w:p>
    <w:p w:rsidR="00534FB5" w:rsidRPr="00380653" w:rsidRDefault="00534FB5" w:rsidP="00534FB5">
      <w:pPr>
        <w:pStyle w:val="a5"/>
        <w:spacing w:before="0" w:after="0"/>
        <w:jc w:val="center"/>
        <w:rPr>
          <w:b w:val="0"/>
        </w:rPr>
      </w:pPr>
      <w:r w:rsidRPr="00380653">
        <w:rPr>
          <w:b w:val="0"/>
        </w:rPr>
        <w:t>у дітей з вродженою глухотою</w:t>
      </w:r>
    </w:p>
    <w:p w:rsidR="00534FB5" w:rsidRPr="00954027" w:rsidRDefault="00534FB5" w:rsidP="00534FB5">
      <w:pPr>
        <w:pStyle w:val="a5"/>
      </w:pPr>
    </w:p>
    <w:p w:rsidR="00534FB5" w:rsidRPr="00954027" w:rsidRDefault="00534FB5" w:rsidP="00534FB5">
      <w:pPr>
        <w:pStyle w:val="a3"/>
        <w:jc w:val="center"/>
      </w:pPr>
      <w:r w:rsidRPr="00954027">
        <w:t>14.01.22 – стоматологія</w:t>
      </w:r>
    </w:p>
    <w:p w:rsidR="00534FB5" w:rsidRPr="00954027" w:rsidRDefault="00534FB5" w:rsidP="00534FB5">
      <w:pPr>
        <w:pStyle w:val="a3"/>
        <w:jc w:val="center"/>
      </w:pPr>
      <w:r w:rsidRPr="00954027">
        <w:t>Дисертація</w:t>
      </w:r>
      <w:r>
        <w:t xml:space="preserve"> </w:t>
      </w:r>
      <w:r w:rsidRPr="00954027">
        <w:t>на здобуття наукового ступеня</w:t>
      </w:r>
    </w:p>
    <w:p w:rsidR="00534FB5" w:rsidRPr="00954027" w:rsidRDefault="00534FB5" w:rsidP="00534FB5">
      <w:pPr>
        <w:pStyle w:val="a3"/>
        <w:jc w:val="center"/>
      </w:pPr>
      <w:r w:rsidRPr="00954027">
        <w:t>кандидата медичних наук</w:t>
      </w:r>
    </w:p>
    <w:p w:rsidR="00534FB5" w:rsidRPr="00954027" w:rsidRDefault="00534FB5" w:rsidP="00534FB5">
      <w:pPr>
        <w:pStyle w:val="a3"/>
      </w:pPr>
    </w:p>
    <w:p w:rsidR="00534FB5" w:rsidRPr="00954027" w:rsidRDefault="00534FB5" w:rsidP="00534FB5">
      <w:pPr>
        <w:pStyle w:val="a3"/>
        <w:rPr>
          <w:lang w:val="ru-RU"/>
        </w:rPr>
      </w:pPr>
    </w:p>
    <w:p w:rsidR="00534FB5" w:rsidRDefault="00534FB5" w:rsidP="00534FB5">
      <w:pPr>
        <w:pStyle w:val="a7"/>
        <w:rPr>
          <w:bCs/>
        </w:rPr>
      </w:pPr>
      <w:r>
        <w:t>Науковий керівник:</w:t>
      </w:r>
      <w:r w:rsidRPr="00954027">
        <w:br/>
      </w:r>
      <w:r w:rsidRPr="00954027">
        <w:rPr>
          <w:bCs/>
        </w:rPr>
        <w:t>Соколова Ірина Іванівна</w:t>
      </w:r>
      <w:r>
        <w:rPr>
          <w:bCs/>
        </w:rPr>
        <w:t>,</w:t>
      </w:r>
    </w:p>
    <w:p w:rsidR="00534FB5" w:rsidRDefault="00534FB5" w:rsidP="00534FB5">
      <w:pPr>
        <w:pStyle w:val="a7"/>
        <w:rPr>
          <w:bCs/>
        </w:rPr>
      </w:pPr>
      <w:r w:rsidRPr="00954027">
        <w:t>доктор медичних наук, професор</w:t>
      </w:r>
    </w:p>
    <w:p w:rsidR="00534FB5" w:rsidRPr="00954027" w:rsidRDefault="00534FB5" w:rsidP="00534FB5">
      <w:pPr>
        <w:pStyle w:val="a7"/>
        <w:rPr>
          <w:lang w:val="ru-RU"/>
        </w:rPr>
      </w:pPr>
    </w:p>
    <w:p w:rsidR="00534FB5" w:rsidRDefault="00534FB5" w:rsidP="00534FB5">
      <w:pPr>
        <w:pStyle w:val="6"/>
        <w:jc w:val="center"/>
      </w:pPr>
    </w:p>
    <w:p w:rsidR="00534FB5" w:rsidRDefault="00534FB5" w:rsidP="00534FB5">
      <w:pPr>
        <w:pStyle w:val="6"/>
        <w:jc w:val="center"/>
      </w:pPr>
    </w:p>
    <w:p w:rsidR="00534FB5" w:rsidRPr="00954027" w:rsidRDefault="00534FB5" w:rsidP="00534FB5">
      <w:pPr>
        <w:pStyle w:val="6"/>
        <w:jc w:val="center"/>
      </w:pPr>
      <w:r>
        <w:t>Харків – 2016</w:t>
      </w:r>
    </w:p>
    <w:p w:rsidR="00534FB5" w:rsidRDefault="00534FB5" w:rsidP="00534FB5">
      <w:pPr>
        <w:pStyle w:val="6"/>
      </w:pPr>
      <w:r w:rsidRPr="00954027">
        <w:br w:type="page"/>
      </w:r>
    </w:p>
    <w:p w:rsidR="00534FB5" w:rsidRDefault="00534FB5" w:rsidP="00534FB5">
      <w:pPr>
        <w:pStyle w:val="6"/>
        <w:jc w:val="center"/>
        <w:rPr>
          <w:b/>
        </w:rPr>
      </w:pPr>
      <w:r w:rsidRPr="00705B67">
        <w:rPr>
          <w:b/>
        </w:rPr>
        <w:lastRenderedPageBreak/>
        <w:t>ЗМІСТ</w:t>
      </w:r>
      <w:bookmarkEnd w:id="0"/>
    </w:p>
    <w:tbl>
      <w:tblPr>
        <w:tblW w:w="4913" w:type="pct"/>
        <w:tblLayout w:type="fixed"/>
        <w:tblLook w:val="00A0"/>
      </w:tblPr>
      <w:tblGrid>
        <w:gridCol w:w="8753"/>
        <w:gridCol w:w="651"/>
      </w:tblGrid>
      <w:tr w:rsidR="006C493E" w:rsidRPr="004062FB" w:rsidTr="00F1209D">
        <w:tc>
          <w:tcPr>
            <w:tcW w:w="4654" w:type="pct"/>
          </w:tcPr>
          <w:p w:rsidR="006C493E" w:rsidRPr="00294B49" w:rsidRDefault="006C493E" w:rsidP="00F1209D">
            <w:pPr>
              <w:rPr>
                <w:lang w:val="ru-RU"/>
              </w:rPr>
            </w:pPr>
            <w:bookmarkStart w:id="1" w:name="_Toc128410328"/>
            <w:r w:rsidRPr="00294B49">
              <w:t>ПЕРЕЛІК УМОВНИХ СКОРОЧЕНЬ</w:t>
            </w:r>
            <w:r w:rsidRPr="00294B49">
              <w:rPr>
                <w:lang w:val="ru-RU"/>
              </w:rPr>
              <w:t xml:space="preserve"> . . . . . . . . . . . . . . . . . . . . . . . .</w:t>
            </w:r>
            <w:r>
              <w:rPr>
                <w:lang w:val="ru-RU"/>
              </w:rPr>
              <w:t xml:space="preserve"> . . .</w:t>
            </w:r>
            <w:r w:rsidR="00CB42F2" w:rsidRPr="004062FB">
              <w:t xml:space="preserve"> . . </w:t>
            </w:r>
          </w:p>
        </w:tc>
        <w:tc>
          <w:tcPr>
            <w:tcW w:w="346" w:type="pct"/>
          </w:tcPr>
          <w:p w:rsidR="006C493E" w:rsidRPr="004062FB" w:rsidRDefault="006C493E" w:rsidP="006C493E">
            <w:pPr>
              <w:jc w:val="left"/>
            </w:pPr>
            <w:r w:rsidRPr="004062FB">
              <w:t>5</w:t>
            </w:r>
          </w:p>
        </w:tc>
      </w:tr>
      <w:tr w:rsidR="006C493E" w:rsidRPr="004062FB" w:rsidTr="00F1209D">
        <w:tc>
          <w:tcPr>
            <w:tcW w:w="4654" w:type="pct"/>
          </w:tcPr>
          <w:p w:rsidR="006C493E" w:rsidRPr="00294B49" w:rsidRDefault="006C493E" w:rsidP="00F1209D">
            <w:pPr>
              <w:rPr>
                <w:lang w:val="ru-RU"/>
              </w:rPr>
            </w:pPr>
            <w:r w:rsidRPr="00294B49">
              <w:t>ВСТУП</w:t>
            </w:r>
            <w:r w:rsidRPr="00294B49">
              <w:rPr>
                <w:lang w:val="ru-RU"/>
              </w:rPr>
              <w:t xml:space="preserve"> . . . . . . . . . . . . . . . . . . . . . . . . . . . . . . . . . . . . . . . . . . . . . . . . . . .</w:t>
            </w:r>
            <w:r w:rsidR="00CB42F2" w:rsidRPr="004062FB">
              <w:t xml:space="preserve"> </w:t>
            </w:r>
            <w:r w:rsidR="00CB42F2">
              <w:t xml:space="preserve">. . . </w:t>
            </w:r>
            <w:r w:rsidRPr="00294B49">
              <w:rPr>
                <w:lang w:val="ru-RU"/>
              </w:rPr>
              <w:t xml:space="preserve"> </w:t>
            </w:r>
          </w:p>
        </w:tc>
        <w:tc>
          <w:tcPr>
            <w:tcW w:w="346" w:type="pct"/>
          </w:tcPr>
          <w:p w:rsidR="006C493E" w:rsidRPr="004062FB" w:rsidRDefault="006C493E" w:rsidP="006C493E">
            <w:pPr>
              <w:jc w:val="left"/>
            </w:pPr>
            <w:r w:rsidRPr="004062FB">
              <w:t>6</w:t>
            </w:r>
          </w:p>
        </w:tc>
      </w:tr>
      <w:tr w:rsidR="006C493E" w:rsidRPr="004062FB" w:rsidTr="00F1209D">
        <w:tc>
          <w:tcPr>
            <w:tcW w:w="4654" w:type="pct"/>
          </w:tcPr>
          <w:p w:rsidR="006C493E" w:rsidRPr="00294B49" w:rsidRDefault="006C493E" w:rsidP="00F1209D">
            <w:r w:rsidRPr="00294B49">
              <w:t>РОЗДІЛ 1</w:t>
            </w:r>
            <w:r w:rsidRPr="00294B49">
              <w:rPr>
                <w:lang w:val="ru-RU"/>
              </w:rPr>
              <w:t xml:space="preserve">. </w:t>
            </w:r>
            <w:r w:rsidRPr="00294B49">
              <w:t>ОГЛЯД ЛІТЕРАТУРИ . . . . . . . . . . . . . . . . . . . . . . . . . . .</w:t>
            </w:r>
            <w:r>
              <w:rPr>
                <w:lang w:val="ru-RU"/>
              </w:rPr>
              <w:t xml:space="preserve"> . .</w:t>
            </w:r>
            <w:r w:rsidR="00CB42F2" w:rsidRPr="004062FB">
              <w:t xml:space="preserve"> </w:t>
            </w:r>
            <w:r w:rsidR="00CB42F2">
              <w:t xml:space="preserve">. . . </w:t>
            </w:r>
            <w:r>
              <w:rPr>
                <w:lang w:val="ru-RU"/>
              </w:rPr>
              <w:t xml:space="preserve"> </w:t>
            </w:r>
          </w:p>
        </w:tc>
        <w:tc>
          <w:tcPr>
            <w:tcW w:w="346" w:type="pct"/>
          </w:tcPr>
          <w:p w:rsidR="006C493E" w:rsidRPr="004062FB" w:rsidRDefault="006C493E" w:rsidP="006C493E">
            <w:pPr>
              <w:jc w:val="left"/>
            </w:pPr>
            <w:r w:rsidRPr="004062FB">
              <w:t>17</w:t>
            </w:r>
          </w:p>
        </w:tc>
      </w:tr>
      <w:tr w:rsidR="006C493E" w:rsidRPr="004062FB" w:rsidTr="00F1209D">
        <w:tc>
          <w:tcPr>
            <w:tcW w:w="4654" w:type="pct"/>
          </w:tcPr>
          <w:p w:rsidR="006C493E" w:rsidRPr="004062FB" w:rsidRDefault="006C493E" w:rsidP="00F1209D">
            <w:pPr>
              <w:rPr>
                <w:lang w:val="ru-RU"/>
              </w:rPr>
            </w:pPr>
            <w:r w:rsidRPr="004062FB">
              <w:t>1.1.</w:t>
            </w:r>
            <w:r w:rsidRPr="004062FB">
              <w:rPr>
                <w:lang w:val="ru-RU"/>
              </w:rPr>
              <w:t xml:space="preserve"> </w:t>
            </w:r>
            <w:r w:rsidRPr="004062FB">
              <w:t>Особливості стану стоматологічного здоров</w:t>
            </w:r>
            <w:r>
              <w:t>’</w:t>
            </w:r>
            <w:r w:rsidRPr="004062FB">
              <w:t xml:space="preserve">я дітей з вадами слуху </w:t>
            </w:r>
          </w:p>
        </w:tc>
        <w:tc>
          <w:tcPr>
            <w:tcW w:w="346" w:type="pct"/>
          </w:tcPr>
          <w:p w:rsidR="006C493E" w:rsidRPr="004062FB" w:rsidRDefault="006C493E" w:rsidP="006C493E">
            <w:pPr>
              <w:jc w:val="left"/>
            </w:pPr>
            <w:r w:rsidRPr="004062FB">
              <w:t>17</w:t>
            </w:r>
          </w:p>
        </w:tc>
      </w:tr>
      <w:tr w:rsidR="006C493E" w:rsidRPr="004062FB" w:rsidTr="00F1209D">
        <w:tc>
          <w:tcPr>
            <w:tcW w:w="4654" w:type="pct"/>
          </w:tcPr>
          <w:p w:rsidR="006C493E" w:rsidRPr="004062FB" w:rsidRDefault="006C493E" w:rsidP="00F1209D">
            <w:pPr>
              <w:rPr>
                <w:lang w:val="ru-RU"/>
              </w:rPr>
            </w:pPr>
            <w:r w:rsidRPr="004062FB">
              <w:t>1.2.</w:t>
            </w:r>
            <w:r w:rsidRPr="004062FB">
              <w:rPr>
                <w:lang w:val="ru-RU"/>
              </w:rPr>
              <w:t xml:space="preserve"> </w:t>
            </w:r>
            <w:r w:rsidRPr="004062FB">
              <w:t>Особливості психоемоційного статусу дітей з вадами слуху</w:t>
            </w:r>
            <w:r w:rsidRPr="004062FB">
              <w:rPr>
                <w:lang w:val="ru-RU"/>
              </w:rPr>
              <w:t xml:space="preserve"> . . .</w:t>
            </w:r>
            <w:r w:rsidRPr="00294B49">
              <w:t xml:space="preserve"> </w:t>
            </w:r>
            <w:r>
              <w:t>. . .</w:t>
            </w:r>
            <w:r w:rsidR="00CB42F2" w:rsidRPr="004062FB">
              <w:t xml:space="preserve"> </w:t>
            </w:r>
            <w:r>
              <w:t xml:space="preserve"> </w:t>
            </w:r>
            <w:r w:rsidRPr="004062FB">
              <w:rPr>
                <w:lang w:val="ru-RU"/>
              </w:rPr>
              <w:t xml:space="preserve"> </w:t>
            </w:r>
          </w:p>
        </w:tc>
        <w:tc>
          <w:tcPr>
            <w:tcW w:w="346" w:type="pct"/>
          </w:tcPr>
          <w:p w:rsidR="006C493E" w:rsidRPr="004062FB" w:rsidRDefault="006C493E" w:rsidP="006C493E">
            <w:pPr>
              <w:jc w:val="left"/>
            </w:pPr>
            <w:r w:rsidRPr="004062FB">
              <w:t>25</w:t>
            </w:r>
          </w:p>
        </w:tc>
      </w:tr>
      <w:tr w:rsidR="006C493E" w:rsidRPr="004062FB" w:rsidTr="00F1209D">
        <w:tc>
          <w:tcPr>
            <w:tcW w:w="4654" w:type="pct"/>
          </w:tcPr>
          <w:p w:rsidR="006C493E" w:rsidRPr="004062FB" w:rsidRDefault="006C493E" w:rsidP="00F1209D">
            <w:pPr>
              <w:rPr>
                <w:lang w:val="ru-RU"/>
              </w:rPr>
            </w:pPr>
            <w:r w:rsidRPr="004062FB">
              <w:t>1.3.</w:t>
            </w:r>
            <w:r>
              <w:rPr>
                <w:lang w:val="ru-RU"/>
              </w:rPr>
              <w:t> </w:t>
            </w:r>
            <w:r w:rsidRPr="004062FB">
              <w:t>Роль психоемоційних факторів у розвитку основних стоматологічних захворювань</w:t>
            </w:r>
            <w:r w:rsidRPr="004062FB">
              <w:rPr>
                <w:lang w:val="ru-RU"/>
              </w:rPr>
              <w:t xml:space="preserve"> . . . . . . . . . . . . . . . . . . . . . . . . . . . . . . . .</w:t>
            </w:r>
            <w:r w:rsidR="00CB42F2" w:rsidRPr="004062FB">
              <w:t xml:space="preserve"> </w:t>
            </w:r>
            <w:r w:rsidR="00CB42F2">
              <w:t xml:space="preserve">. . . </w:t>
            </w:r>
            <w:r w:rsidRPr="004062FB">
              <w:rPr>
                <w:lang w:val="ru-RU"/>
              </w:rPr>
              <w:t xml:space="preserve"> </w:t>
            </w:r>
          </w:p>
        </w:tc>
        <w:tc>
          <w:tcPr>
            <w:tcW w:w="346" w:type="pct"/>
          </w:tcPr>
          <w:p w:rsidR="006C493E" w:rsidRPr="004062FB" w:rsidRDefault="006C493E" w:rsidP="006C493E">
            <w:pPr>
              <w:jc w:val="left"/>
            </w:pPr>
          </w:p>
          <w:p w:rsidR="006C493E" w:rsidRPr="004062FB" w:rsidRDefault="006C493E" w:rsidP="006C493E">
            <w:pPr>
              <w:jc w:val="left"/>
            </w:pPr>
            <w:r w:rsidRPr="004062FB">
              <w:t>30</w:t>
            </w:r>
          </w:p>
        </w:tc>
      </w:tr>
      <w:tr w:rsidR="006C493E" w:rsidRPr="00705B67" w:rsidTr="00F1209D">
        <w:tc>
          <w:tcPr>
            <w:tcW w:w="4654" w:type="pct"/>
          </w:tcPr>
          <w:p w:rsidR="006C493E" w:rsidRPr="004062FB" w:rsidRDefault="006C493E" w:rsidP="00F1209D">
            <w:r w:rsidRPr="004062FB">
              <w:t>1.4.</w:t>
            </w:r>
            <w:r w:rsidRPr="004062FB">
              <w:rPr>
                <w:lang w:val="ru-RU"/>
              </w:rPr>
              <w:t xml:space="preserve"> </w:t>
            </w:r>
            <w:r w:rsidRPr="004062FB">
              <w:t>Особливості проведення профілактичних заходів на сучасному етапі розвитку стоматології</w:t>
            </w:r>
            <w:r w:rsidRPr="004062FB">
              <w:rPr>
                <w:lang w:val="ru-RU"/>
              </w:rPr>
              <w:t xml:space="preserve"> . . . . . . . . . . . . . . . . . . . . .</w:t>
            </w:r>
            <w:r>
              <w:rPr>
                <w:lang w:val="ru-RU"/>
              </w:rPr>
              <w:t xml:space="preserve"> </w:t>
            </w:r>
            <w:r w:rsidRPr="004062FB">
              <w:rPr>
                <w:webHidden/>
              </w:rPr>
              <w:t xml:space="preserve">. . . . . . . . . . . . </w:t>
            </w:r>
            <w:r>
              <w:rPr>
                <w:lang w:val="ru-RU"/>
              </w:rPr>
              <w:t>.</w:t>
            </w:r>
            <w:r w:rsidR="00CB42F2" w:rsidRPr="004062FB">
              <w:t xml:space="preserve"> </w:t>
            </w:r>
            <w:r w:rsidR="00CB42F2">
              <w:t xml:space="preserve">. . . </w:t>
            </w:r>
            <w:r>
              <w:rPr>
                <w:lang w:val="ru-RU"/>
              </w:rPr>
              <w:t xml:space="preserve"> </w:t>
            </w:r>
            <w:r>
              <w:rPr>
                <w:webHidden/>
              </w:rPr>
              <w:t xml:space="preserve">      </w:t>
            </w:r>
          </w:p>
        </w:tc>
        <w:tc>
          <w:tcPr>
            <w:tcW w:w="346" w:type="pct"/>
          </w:tcPr>
          <w:p w:rsidR="006C493E" w:rsidRPr="004062FB" w:rsidRDefault="006C493E" w:rsidP="006C493E">
            <w:pPr>
              <w:jc w:val="left"/>
            </w:pPr>
          </w:p>
          <w:p w:rsidR="006C493E" w:rsidRPr="00705B67" w:rsidRDefault="006C493E" w:rsidP="006C493E">
            <w:pPr>
              <w:jc w:val="left"/>
              <w:rPr>
                <w:lang w:val="ru-RU"/>
              </w:rPr>
            </w:pPr>
            <w:r w:rsidRPr="004062FB">
              <w:t>3</w:t>
            </w:r>
            <w:r w:rsidRPr="00705B67">
              <w:rPr>
                <w:lang w:val="ru-RU"/>
              </w:rPr>
              <w:t>4</w:t>
            </w:r>
          </w:p>
        </w:tc>
      </w:tr>
      <w:tr w:rsidR="006C493E" w:rsidRPr="004062FB" w:rsidTr="00F1209D">
        <w:tc>
          <w:tcPr>
            <w:tcW w:w="4654" w:type="pct"/>
          </w:tcPr>
          <w:p w:rsidR="006C493E" w:rsidRPr="004062FB" w:rsidRDefault="006C493E" w:rsidP="00F1209D">
            <w:pPr>
              <w:rPr>
                <w:lang w:val="ru-RU"/>
              </w:rPr>
            </w:pPr>
            <w:r w:rsidRPr="004062FB">
              <w:t>РОЗДІЛ 2</w:t>
            </w:r>
            <w:r w:rsidRPr="004062FB">
              <w:rPr>
                <w:lang w:val="ru-RU"/>
              </w:rPr>
              <w:t xml:space="preserve">. </w:t>
            </w:r>
            <w:r w:rsidRPr="004062FB">
              <w:t>ОБ</w:t>
            </w:r>
            <w:r>
              <w:t>’</w:t>
            </w:r>
            <w:r w:rsidRPr="004062FB">
              <w:t>ЄКТИ ТА МЕТОДИ ДОСЛІДЖЕННЯ</w:t>
            </w:r>
            <w:r w:rsidRPr="004062FB">
              <w:rPr>
                <w:lang w:val="ru-RU"/>
              </w:rPr>
              <w:t xml:space="preserve"> . . . . . . . . .</w:t>
            </w:r>
            <w:r>
              <w:rPr>
                <w:lang w:val="ru-RU"/>
              </w:rPr>
              <w:t xml:space="preserve"> . . . </w:t>
            </w:r>
            <w:r w:rsidRPr="00294B49">
              <w:t xml:space="preserve">. . . </w:t>
            </w:r>
          </w:p>
        </w:tc>
        <w:tc>
          <w:tcPr>
            <w:tcW w:w="346" w:type="pct"/>
          </w:tcPr>
          <w:p w:rsidR="006C493E" w:rsidRPr="004062FB" w:rsidRDefault="006C493E" w:rsidP="006C493E">
            <w:pPr>
              <w:jc w:val="left"/>
            </w:pPr>
            <w:r w:rsidRPr="004062FB">
              <w:t>44</w:t>
            </w:r>
          </w:p>
        </w:tc>
      </w:tr>
      <w:tr w:rsidR="006C493E" w:rsidRPr="004062FB" w:rsidTr="00F1209D">
        <w:tc>
          <w:tcPr>
            <w:tcW w:w="4654" w:type="pct"/>
          </w:tcPr>
          <w:p w:rsidR="006C493E" w:rsidRPr="004062FB" w:rsidRDefault="006C493E" w:rsidP="00F1209D">
            <w:r w:rsidRPr="004062FB">
              <w:t>2.1.</w:t>
            </w:r>
            <w:r w:rsidRPr="004062FB">
              <w:rPr>
                <w:lang w:val="ru-RU"/>
              </w:rPr>
              <w:t xml:space="preserve"> </w:t>
            </w:r>
            <w:r w:rsidRPr="004062FB">
              <w:t xml:space="preserve">Характеристика обстежуваних груп пацієнтів </w:t>
            </w:r>
            <w:r w:rsidRPr="004062FB">
              <w:rPr>
                <w:lang w:val="ru-RU"/>
              </w:rPr>
              <w:t xml:space="preserve">. . . . . . . . . . . </w:t>
            </w:r>
            <w:r w:rsidRPr="004062FB">
              <w:t>. . . .</w:t>
            </w:r>
            <w:r w:rsidRPr="00294B49">
              <w:t xml:space="preserve"> </w:t>
            </w:r>
            <w:r>
              <w:t>. . .</w:t>
            </w:r>
            <w:r w:rsidR="00CB42F2" w:rsidRPr="004062FB">
              <w:t xml:space="preserve"> </w:t>
            </w:r>
            <w:r>
              <w:t xml:space="preserve">  </w:t>
            </w:r>
          </w:p>
        </w:tc>
        <w:tc>
          <w:tcPr>
            <w:tcW w:w="346" w:type="pct"/>
          </w:tcPr>
          <w:p w:rsidR="006C493E" w:rsidRPr="004062FB" w:rsidRDefault="006C493E" w:rsidP="006C493E">
            <w:pPr>
              <w:jc w:val="left"/>
            </w:pPr>
            <w:r w:rsidRPr="004062FB">
              <w:t>44</w:t>
            </w:r>
          </w:p>
        </w:tc>
      </w:tr>
      <w:tr w:rsidR="006C493E" w:rsidRPr="004062FB" w:rsidTr="00F1209D">
        <w:tc>
          <w:tcPr>
            <w:tcW w:w="4654" w:type="pct"/>
          </w:tcPr>
          <w:p w:rsidR="006C493E" w:rsidRPr="004062FB" w:rsidRDefault="006C493E" w:rsidP="00F1209D">
            <w:r w:rsidRPr="004062FB">
              <w:t xml:space="preserve">2.2. Характеристика клінічних методів дослідження . . . . . . . . . . . . </w:t>
            </w:r>
            <w:r>
              <w:t>. . . .</w:t>
            </w:r>
            <w:r w:rsidR="00CB42F2" w:rsidRPr="004062FB">
              <w:t xml:space="preserve"> </w:t>
            </w:r>
            <w:r>
              <w:t xml:space="preserve">            </w:t>
            </w:r>
          </w:p>
        </w:tc>
        <w:tc>
          <w:tcPr>
            <w:tcW w:w="346" w:type="pct"/>
          </w:tcPr>
          <w:p w:rsidR="006C493E" w:rsidRPr="004062FB" w:rsidRDefault="006C493E" w:rsidP="006C493E">
            <w:pPr>
              <w:jc w:val="left"/>
            </w:pPr>
            <w:r w:rsidRPr="004062FB">
              <w:t>45</w:t>
            </w:r>
          </w:p>
        </w:tc>
      </w:tr>
      <w:tr w:rsidR="006C493E" w:rsidRPr="00705B67" w:rsidTr="00F1209D">
        <w:tc>
          <w:tcPr>
            <w:tcW w:w="4654" w:type="pct"/>
          </w:tcPr>
          <w:p w:rsidR="006C493E" w:rsidRPr="004062FB" w:rsidRDefault="006C493E" w:rsidP="00F1209D">
            <w:r w:rsidRPr="004062FB">
              <w:t>2.3. Характеристика лабораторних методів дослідження . . . . . . . . . .</w:t>
            </w:r>
            <w:r w:rsidRPr="00705B67">
              <w:t xml:space="preserve"> </w:t>
            </w:r>
            <w:r w:rsidRPr="00294B49">
              <w:t>. . .</w:t>
            </w:r>
            <w:r w:rsidR="00CB42F2" w:rsidRPr="004062FB">
              <w:t xml:space="preserve"> </w:t>
            </w:r>
            <w:r w:rsidRPr="00294B49">
              <w:t xml:space="preserve"> </w:t>
            </w:r>
          </w:p>
        </w:tc>
        <w:tc>
          <w:tcPr>
            <w:tcW w:w="346" w:type="pct"/>
          </w:tcPr>
          <w:p w:rsidR="006C493E" w:rsidRPr="00705B67" w:rsidRDefault="006C493E" w:rsidP="006C493E">
            <w:pPr>
              <w:jc w:val="left"/>
            </w:pPr>
            <w:r w:rsidRPr="004062FB">
              <w:t>4</w:t>
            </w:r>
            <w:r w:rsidR="0089238F">
              <w:t>8</w:t>
            </w:r>
          </w:p>
        </w:tc>
      </w:tr>
      <w:tr w:rsidR="006C493E" w:rsidRPr="00940C86" w:rsidTr="00F1209D">
        <w:tc>
          <w:tcPr>
            <w:tcW w:w="4654" w:type="pct"/>
          </w:tcPr>
          <w:p w:rsidR="006C493E" w:rsidRPr="00294B49" w:rsidRDefault="006C493E" w:rsidP="00F1209D">
            <w:r w:rsidRPr="004062FB">
              <w:t>2.3.</w:t>
            </w:r>
            <w:r>
              <w:t>1.</w:t>
            </w:r>
            <w:r>
              <w:rPr>
                <w:lang w:val="ru-RU"/>
              </w:rPr>
              <w:t> </w:t>
            </w:r>
            <w:r w:rsidRPr="004062FB">
              <w:t>Біохімічні та імунологічні методи дослідження ротової рідини . .</w:t>
            </w:r>
            <w:r w:rsidR="00CB42F2" w:rsidRPr="004062FB">
              <w:t xml:space="preserve"> </w:t>
            </w:r>
            <w:r w:rsidRPr="004062FB">
              <w:t xml:space="preserve"> </w:t>
            </w:r>
          </w:p>
        </w:tc>
        <w:tc>
          <w:tcPr>
            <w:tcW w:w="346" w:type="pct"/>
          </w:tcPr>
          <w:p w:rsidR="006C493E" w:rsidRPr="00940C86" w:rsidRDefault="006C493E" w:rsidP="006C493E">
            <w:pPr>
              <w:jc w:val="left"/>
            </w:pPr>
            <w:r w:rsidRPr="004062FB">
              <w:t>4</w:t>
            </w:r>
            <w:r w:rsidR="0089238F">
              <w:t>8</w:t>
            </w:r>
          </w:p>
        </w:tc>
      </w:tr>
      <w:tr w:rsidR="006C493E" w:rsidRPr="004062FB" w:rsidTr="00F1209D">
        <w:tc>
          <w:tcPr>
            <w:tcW w:w="4654" w:type="pct"/>
          </w:tcPr>
          <w:p w:rsidR="006C493E" w:rsidRPr="004062FB" w:rsidRDefault="006C493E" w:rsidP="00F1209D">
            <w:r w:rsidRPr="004062FB">
              <w:t>2.3.2. Мікробіологічне дослідження</w:t>
            </w:r>
            <w:r>
              <w:t xml:space="preserve"> </w:t>
            </w:r>
            <w:r w:rsidRPr="004062FB">
              <w:t>зубної бляшки</w:t>
            </w:r>
            <w:r w:rsidRPr="004062FB">
              <w:rPr>
                <w:webHidden/>
              </w:rPr>
              <w:tab/>
              <w:t xml:space="preserve"> . . . . . . . . . . . .</w:t>
            </w:r>
            <w:r w:rsidRPr="004062FB">
              <w:rPr>
                <w:lang w:val="ru-RU"/>
              </w:rPr>
              <w:t xml:space="preserve"> </w:t>
            </w:r>
            <w:r w:rsidRPr="00294B49">
              <w:t xml:space="preserve">. . . </w:t>
            </w:r>
          </w:p>
        </w:tc>
        <w:tc>
          <w:tcPr>
            <w:tcW w:w="346" w:type="pct"/>
          </w:tcPr>
          <w:p w:rsidR="006C493E" w:rsidRPr="004062FB" w:rsidRDefault="006C493E" w:rsidP="006C493E">
            <w:pPr>
              <w:jc w:val="left"/>
            </w:pPr>
            <w:r w:rsidRPr="004062FB">
              <w:t>52</w:t>
            </w:r>
          </w:p>
        </w:tc>
      </w:tr>
      <w:tr w:rsidR="006C493E" w:rsidRPr="004062FB" w:rsidTr="00F1209D">
        <w:tc>
          <w:tcPr>
            <w:tcW w:w="4654" w:type="pct"/>
          </w:tcPr>
          <w:p w:rsidR="006C493E" w:rsidRPr="00034802" w:rsidRDefault="006C493E" w:rsidP="00F1209D">
            <w:pPr>
              <w:rPr>
                <w:lang w:val="ru-RU"/>
              </w:rPr>
            </w:pPr>
            <w:r w:rsidRPr="004062FB">
              <w:t>2.3.3</w:t>
            </w:r>
            <w:r>
              <w:rPr>
                <w:lang w:val="ru-RU"/>
              </w:rPr>
              <w:t>.</w:t>
            </w:r>
            <w:r w:rsidRPr="004062FB">
              <w:t xml:space="preserve"> Вивчення психоемоційного статусу . . . . . . . . . . . . . . . . . . . . . . </w:t>
            </w:r>
            <w:r w:rsidRPr="00294B49">
              <w:t>. . .</w:t>
            </w:r>
            <w:r w:rsidR="00CB42F2" w:rsidRPr="004062FB">
              <w:t xml:space="preserve"> </w:t>
            </w:r>
            <w:r w:rsidRPr="00294B49">
              <w:t xml:space="preserve"> </w:t>
            </w:r>
          </w:p>
        </w:tc>
        <w:tc>
          <w:tcPr>
            <w:tcW w:w="346" w:type="pct"/>
          </w:tcPr>
          <w:p w:rsidR="006C493E" w:rsidRPr="004062FB" w:rsidRDefault="006C493E" w:rsidP="006C493E">
            <w:pPr>
              <w:jc w:val="left"/>
            </w:pPr>
            <w:r w:rsidRPr="004062FB">
              <w:t>53</w:t>
            </w:r>
          </w:p>
        </w:tc>
      </w:tr>
      <w:tr w:rsidR="006C493E" w:rsidRPr="004062FB" w:rsidTr="00F1209D">
        <w:tc>
          <w:tcPr>
            <w:tcW w:w="4654" w:type="pct"/>
          </w:tcPr>
          <w:p w:rsidR="006C493E" w:rsidRPr="004062FB" w:rsidRDefault="006C493E" w:rsidP="00F1209D">
            <w:r w:rsidRPr="004062FB">
              <w:t xml:space="preserve">2.3.4. Запропонована схема лікування і профілактики . . . . . . . . . . . </w:t>
            </w:r>
            <w:r>
              <w:rPr>
                <w:lang w:val="ru-RU"/>
              </w:rPr>
              <w:t>.</w:t>
            </w:r>
            <w:r w:rsidRPr="00294B49">
              <w:t xml:space="preserve"> </w:t>
            </w:r>
            <w:r>
              <w:t>. . .</w:t>
            </w:r>
            <w:r w:rsidR="00CB42F2" w:rsidRPr="004062FB">
              <w:t xml:space="preserve"> </w:t>
            </w:r>
            <w:r>
              <w:t xml:space="preserve"> </w:t>
            </w:r>
            <w:r>
              <w:rPr>
                <w:lang w:val="ru-RU"/>
              </w:rPr>
              <w:t xml:space="preserve"> </w:t>
            </w:r>
          </w:p>
        </w:tc>
        <w:tc>
          <w:tcPr>
            <w:tcW w:w="346" w:type="pct"/>
          </w:tcPr>
          <w:p w:rsidR="006C493E" w:rsidRPr="004062FB" w:rsidRDefault="006C493E" w:rsidP="006C493E">
            <w:pPr>
              <w:jc w:val="left"/>
            </w:pPr>
            <w:r w:rsidRPr="004062FB">
              <w:t>55</w:t>
            </w:r>
          </w:p>
        </w:tc>
      </w:tr>
      <w:tr w:rsidR="006C493E" w:rsidRPr="004062FB" w:rsidTr="00F1209D">
        <w:tc>
          <w:tcPr>
            <w:tcW w:w="4654" w:type="pct"/>
          </w:tcPr>
          <w:p w:rsidR="006C493E" w:rsidRPr="004062FB" w:rsidRDefault="006C493E" w:rsidP="00F1209D">
            <w:r w:rsidRPr="004062FB">
              <w:t>2.3.5. Статистичні методи дослідження . . . . . . . . . . . . . . . . . . . . . . . .</w:t>
            </w:r>
            <w:r>
              <w:rPr>
                <w:lang w:val="ru-RU"/>
              </w:rPr>
              <w:t xml:space="preserve"> </w:t>
            </w:r>
            <w:r w:rsidRPr="00294B49">
              <w:t>. . .</w:t>
            </w:r>
            <w:r w:rsidR="00CB42F2" w:rsidRPr="004062FB">
              <w:t xml:space="preserve"> </w:t>
            </w:r>
            <w:r w:rsidRPr="00294B49">
              <w:t xml:space="preserve"> </w:t>
            </w:r>
          </w:p>
        </w:tc>
        <w:tc>
          <w:tcPr>
            <w:tcW w:w="346" w:type="pct"/>
          </w:tcPr>
          <w:p w:rsidR="006C493E" w:rsidRPr="004062FB" w:rsidRDefault="006C493E" w:rsidP="006C493E">
            <w:pPr>
              <w:jc w:val="left"/>
            </w:pPr>
            <w:r w:rsidRPr="004062FB">
              <w:t>58</w:t>
            </w:r>
          </w:p>
        </w:tc>
      </w:tr>
      <w:tr w:rsidR="006C493E" w:rsidRPr="004062FB" w:rsidTr="00F1209D">
        <w:tc>
          <w:tcPr>
            <w:tcW w:w="4654" w:type="pct"/>
          </w:tcPr>
          <w:p w:rsidR="006C493E" w:rsidRPr="004062FB" w:rsidRDefault="006C493E" w:rsidP="00F1209D">
            <w:pPr>
              <w:rPr>
                <w:lang w:val="ru-RU"/>
              </w:rPr>
            </w:pPr>
            <w:r w:rsidRPr="004062FB">
              <w:t>РОЗДІЛ 3</w:t>
            </w:r>
            <w:r w:rsidRPr="004062FB">
              <w:rPr>
                <w:lang w:val="ru-RU"/>
              </w:rPr>
              <w:t xml:space="preserve">. </w:t>
            </w:r>
            <w:r w:rsidRPr="004062FB">
              <w:t>СТАН ТВЕРДИХ ТКАНИН ЗУБІВ І ПАРОДОНТА У</w:t>
            </w:r>
            <w:r>
              <w:t xml:space="preserve"> </w:t>
            </w:r>
            <w:r w:rsidRPr="004062FB">
              <w:t xml:space="preserve">ДІТЕЙ </w:t>
            </w:r>
            <w:r>
              <w:t>І</w:t>
            </w:r>
            <w:r w:rsidRPr="004062FB">
              <w:t xml:space="preserve">З </w:t>
            </w:r>
            <w:r>
              <w:t>В</w:t>
            </w:r>
            <w:r w:rsidRPr="004062FB">
              <w:t>РОДЖЕНОЮ ГЛУХОТОЮ ДО ПРОВЕДЕННЯ ЛІКУВАЛЬНО-ПРОФІЛАКТИЧНИХ ЗАХОДІВ</w:t>
            </w:r>
            <w:r w:rsidRPr="004062FB">
              <w:rPr>
                <w:lang w:val="ru-RU"/>
              </w:rPr>
              <w:t xml:space="preserve"> . . . . . . . . . . . . . . . </w:t>
            </w:r>
            <w:r w:rsidRPr="00294B49">
              <w:t>. . . .</w:t>
            </w:r>
            <w:r w:rsidR="00CB42F2" w:rsidRPr="004062FB">
              <w:t xml:space="preserve"> </w:t>
            </w:r>
            <w:r w:rsidRPr="00294B49">
              <w:t xml:space="preserve"> </w:t>
            </w:r>
          </w:p>
        </w:tc>
        <w:tc>
          <w:tcPr>
            <w:tcW w:w="346" w:type="pct"/>
          </w:tcPr>
          <w:p w:rsidR="006C493E" w:rsidRPr="004062FB" w:rsidRDefault="006C493E" w:rsidP="006C493E">
            <w:pPr>
              <w:jc w:val="left"/>
            </w:pPr>
          </w:p>
          <w:p w:rsidR="006C493E" w:rsidRPr="004062FB" w:rsidRDefault="006C493E" w:rsidP="006C493E">
            <w:pPr>
              <w:jc w:val="left"/>
            </w:pPr>
          </w:p>
          <w:p w:rsidR="006C493E" w:rsidRPr="004062FB" w:rsidRDefault="006C493E" w:rsidP="006C493E">
            <w:pPr>
              <w:jc w:val="left"/>
            </w:pPr>
            <w:r w:rsidRPr="004062FB">
              <w:t>59</w:t>
            </w:r>
          </w:p>
        </w:tc>
      </w:tr>
      <w:tr w:rsidR="006C493E" w:rsidRPr="004062FB" w:rsidTr="00F1209D">
        <w:tc>
          <w:tcPr>
            <w:tcW w:w="4654" w:type="pct"/>
          </w:tcPr>
          <w:p w:rsidR="006C493E" w:rsidRPr="004062FB" w:rsidRDefault="006C493E" w:rsidP="00F1209D">
            <w:pPr>
              <w:rPr>
                <w:lang w:val="ru-RU"/>
              </w:rPr>
            </w:pPr>
            <w:r w:rsidRPr="004062FB">
              <w:t>3.1.</w:t>
            </w:r>
            <w:r w:rsidRPr="004062FB">
              <w:rPr>
                <w:lang w:val="ru-RU"/>
              </w:rPr>
              <w:t xml:space="preserve"> </w:t>
            </w:r>
            <w:r w:rsidRPr="004062FB">
              <w:t xml:space="preserve">Стан гігієни порожнини рота у дітей </w:t>
            </w:r>
            <w:r>
              <w:t>із в</w:t>
            </w:r>
            <w:r w:rsidRPr="00304E98">
              <w:t>родженою глухотою</w:t>
            </w:r>
            <w:r w:rsidRPr="004062FB">
              <w:rPr>
                <w:lang w:val="ru-RU"/>
              </w:rPr>
              <w:t xml:space="preserve"> . . .</w:t>
            </w:r>
            <w:r w:rsidR="00CB42F2" w:rsidRPr="004062FB">
              <w:t xml:space="preserve"> </w:t>
            </w:r>
            <w:r w:rsidR="00CB42F2">
              <w:t xml:space="preserve">. . </w:t>
            </w:r>
            <w:r w:rsidRPr="004062FB">
              <w:rPr>
                <w:lang w:val="ru-RU"/>
              </w:rPr>
              <w:t xml:space="preserve"> </w:t>
            </w:r>
          </w:p>
        </w:tc>
        <w:tc>
          <w:tcPr>
            <w:tcW w:w="346" w:type="pct"/>
          </w:tcPr>
          <w:p w:rsidR="006C493E" w:rsidRPr="004062FB" w:rsidRDefault="006C493E" w:rsidP="006C493E">
            <w:pPr>
              <w:jc w:val="left"/>
            </w:pPr>
            <w:r w:rsidRPr="004062FB">
              <w:t>59</w:t>
            </w:r>
          </w:p>
        </w:tc>
      </w:tr>
      <w:tr w:rsidR="006C493E" w:rsidRPr="004062FB" w:rsidTr="00F1209D">
        <w:tc>
          <w:tcPr>
            <w:tcW w:w="4654" w:type="pct"/>
          </w:tcPr>
          <w:p w:rsidR="006C493E" w:rsidRPr="004062FB" w:rsidRDefault="006C493E" w:rsidP="00F1209D">
            <w:r w:rsidRPr="004062FB">
              <w:t>3.2.</w:t>
            </w:r>
            <w:r w:rsidRPr="00705B67">
              <w:t xml:space="preserve"> </w:t>
            </w:r>
            <w:r w:rsidRPr="004062FB">
              <w:t xml:space="preserve">Стан твердих тканин зубів у </w:t>
            </w:r>
            <w:r w:rsidRPr="00304E98">
              <w:t xml:space="preserve">дітей </w:t>
            </w:r>
            <w:r>
              <w:t>із вродженою</w:t>
            </w:r>
            <w:r w:rsidRPr="00304E98">
              <w:t xml:space="preserve"> глухотою</w:t>
            </w:r>
            <w:r w:rsidRPr="004062FB">
              <w:t xml:space="preserve"> </w:t>
            </w:r>
            <w:r w:rsidRPr="00705B67">
              <w:t>. . . . .</w:t>
            </w:r>
            <w:r>
              <w:t xml:space="preserve"> </w:t>
            </w:r>
            <w:r w:rsidR="00CB42F2">
              <w:t xml:space="preserve">. . </w:t>
            </w:r>
            <w:r>
              <w:t xml:space="preserve">      </w:t>
            </w:r>
          </w:p>
        </w:tc>
        <w:tc>
          <w:tcPr>
            <w:tcW w:w="346" w:type="pct"/>
          </w:tcPr>
          <w:p w:rsidR="006C493E" w:rsidRPr="004062FB" w:rsidRDefault="006C493E" w:rsidP="006C493E">
            <w:pPr>
              <w:jc w:val="left"/>
            </w:pPr>
            <w:r w:rsidRPr="004062FB">
              <w:t>62</w:t>
            </w:r>
          </w:p>
        </w:tc>
      </w:tr>
      <w:tr w:rsidR="006C493E" w:rsidRPr="00705B67" w:rsidTr="00F1209D">
        <w:tc>
          <w:tcPr>
            <w:tcW w:w="4654" w:type="pct"/>
          </w:tcPr>
          <w:p w:rsidR="006C493E" w:rsidRPr="00705B67" w:rsidRDefault="006C493E" w:rsidP="00F1209D">
            <w:r w:rsidRPr="004062FB">
              <w:t>3.3.</w:t>
            </w:r>
            <w:r w:rsidRPr="00705B67">
              <w:t xml:space="preserve"> </w:t>
            </w:r>
            <w:r w:rsidRPr="004062FB">
              <w:rPr>
                <w:rFonts w:eastAsia="ArialMT"/>
                <w:lang w:eastAsia="uk-UA"/>
              </w:rPr>
              <w:t xml:space="preserve">Стан тканин пародонта у дітей </w:t>
            </w:r>
            <w:r>
              <w:rPr>
                <w:rFonts w:eastAsia="ArialMT"/>
                <w:lang w:eastAsia="uk-UA"/>
              </w:rPr>
              <w:t>із вродженою</w:t>
            </w:r>
            <w:r w:rsidRPr="00304E98">
              <w:rPr>
                <w:rFonts w:eastAsia="ArialMT"/>
                <w:lang w:eastAsia="uk-UA"/>
              </w:rPr>
              <w:t xml:space="preserve"> глухотою</w:t>
            </w:r>
            <w:r w:rsidRPr="004062FB">
              <w:rPr>
                <w:rFonts w:eastAsia="ArialMT"/>
                <w:lang w:eastAsia="uk-UA"/>
              </w:rPr>
              <w:t xml:space="preserve"> </w:t>
            </w:r>
            <w:r w:rsidRPr="00705B67">
              <w:rPr>
                <w:rFonts w:eastAsia="ArialMT"/>
                <w:lang w:eastAsia="uk-UA"/>
              </w:rPr>
              <w:t>. . . . . . .</w:t>
            </w:r>
            <w:r w:rsidRPr="00705B67">
              <w:t xml:space="preserve"> . </w:t>
            </w:r>
            <w:r w:rsidR="00CB42F2" w:rsidRPr="004062FB">
              <w:t xml:space="preserve">. . </w:t>
            </w:r>
          </w:p>
        </w:tc>
        <w:tc>
          <w:tcPr>
            <w:tcW w:w="346" w:type="pct"/>
          </w:tcPr>
          <w:p w:rsidR="006C493E" w:rsidRPr="00705B67" w:rsidRDefault="006C493E" w:rsidP="006C493E">
            <w:pPr>
              <w:jc w:val="left"/>
            </w:pPr>
            <w:r w:rsidRPr="00705B67">
              <w:t>72</w:t>
            </w:r>
          </w:p>
        </w:tc>
      </w:tr>
      <w:tr w:rsidR="006C493E" w:rsidRPr="004062FB" w:rsidTr="00F1209D">
        <w:tc>
          <w:tcPr>
            <w:tcW w:w="4654" w:type="pct"/>
          </w:tcPr>
          <w:p w:rsidR="006C493E" w:rsidRPr="004062FB" w:rsidRDefault="006C493E" w:rsidP="0036355C">
            <w:r w:rsidRPr="004062FB">
              <w:t xml:space="preserve">3.4. Біохімічні та імунологічні властивості ротової рідини </w:t>
            </w:r>
            <w:r w:rsidRPr="004062FB">
              <w:rPr>
                <w:rFonts w:eastAsia="ArialMT"/>
                <w:lang w:eastAsia="uk-UA"/>
              </w:rPr>
              <w:t xml:space="preserve">у дітей </w:t>
            </w:r>
            <w:r>
              <w:rPr>
                <w:rFonts w:eastAsia="ArialMT"/>
                <w:lang w:eastAsia="uk-UA"/>
              </w:rPr>
              <w:t>із вродженою</w:t>
            </w:r>
            <w:r w:rsidRPr="004062FB">
              <w:rPr>
                <w:rFonts w:eastAsia="ArialMT"/>
                <w:lang w:eastAsia="uk-UA"/>
              </w:rPr>
              <w:t xml:space="preserve"> глухотою </w:t>
            </w:r>
            <w:r w:rsidRPr="004062FB">
              <w:t xml:space="preserve">. . . . . . . . . . . . . . . . . . . . . . . . . . . . . . . . . . . . . . </w:t>
            </w:r>
            <w:r>
              <w:t xml:space="preserve">. </w:t>
            </w:r>
            <w:r w:rsidR="00CB42F2">
              <w:t>. . .</w:t>
            </w:r>
            <w:r w:rsidR="0036355C">
              <w:t xml:space="preserve">                                            </w:t>
            </w:r>
            <w:r>
              <w:t xml:space="preserve">                    </w:t>
            </w:r>
            <w:r w:rsidRPr="004062FB">
              <w:t xml:space="preserve"> </w:t>
            </w:r>
          </w:p>
        </w:tc>
        <w:tc>
          <w:tcPr>
            <w:tcW w:w="346" w:type="pct"/>
          </w:tcPr>
          <w:p w:rsidR="006C493E" w:rsidRPr="004062FB" w:rsidRDefault="006C493E" w:rsidP="006C493E">
            <w:pPr>
              <w:jc w:val="left"/>
            </w:pPr>
          </w:p>
          <w:p w:rsidR="006C493E" w:rsidRPr="004062FB" w:rsidRDefault="006C493E" w:rsidP="006C493E">
            <w:pPr>
              <w:jc w:val="left"/>
            </w:pPr>
            <w:r w:rsidRPr="00705B67">
              <w:t>7</w:t>
            </w:r>
            <w:r w:rsidRPr="004062FB">
              <w:t>7</w:t>
            </w:r>
          </w:p>
        </w:tc>
      </w:tr>
      <w:tr w:rsidR="006C493E" w:rsidRPr="004062FB" w:rsidTr="00F1209D">
        <w:tc>
          <w:tcPr>
            <w:tcW w:w="4654" w:type="pct"/>
          </w:tcPr>
          <w:p w:rsidR="006C493E" w:rsidRPr="00CB42F2" w:rsidRDefault="006C493E" w:rsidP="00F1209D">
            <w:r>
              <w:t>3.4.1.</w:t>
            </w:r>
            <w:r>
              <w:rPr>
                <w:lang w:val="ru-RU"/>
              </w:rPr>
              <w:t> </w:t>
            </w:r>
            <w:r w:rsidRPr="004062FB">
              <w:t>Функціональні властивості ротової рідини</w:t>
            </w:r>
            <w:r>
              <w:t xml:space="preserve"> </w:t>
            </w:r>
            <w:r w:rsidRPr="004062FB">
              <w:t xml:space="preserve">. . . . . . . </w:t>
            </w:r>
            <w:r>
              <w:t>. . . . . . . . . . . .</w:t>
            </w:r>
            <w:r w:rsidR="00CB42F2" w:rsidRPr="004062FB">
              <w:t xml:space="preserve"> </w:t>
            </w:r>
            <w:r>
              <w:t xml:space="preserve">                                     </w:t>
            </w:r>
            <w:r w:rsidRPr="004062FB">
              <w:t xml:space="preserve"> </w:t>
            </w:r>
          </w:p>
        </w:tc>
        <w:tc>
          <w:tcPr>
            <w:tcW w:w="346" w:type="pct"/>
          </w:tcPr>
          <w:p w:rsidR="006C493E" w:rsidRPr="004062FB" w:rsidRDefault="006C493E" w:rsidP="006C493E">
            <w:pPr>
              <w:jc w:val="left"/>
            </w:pPr>
            <w:r w:rsidRPr="00470416">
              <w:rPr>
                <w:lang w:val="ru-RU"/>
              </w:rPr>
              <w:t>7</w:t>
            </w:r>
            <w:r w:rsidRPr="004062FB">
              <w:t>7</w:t>
            </w:r>
          </w:p>
        </w:tc>
      </w:tr>
      <w:tr w:rsidR="006C493E" w:rsidRPr="004062FB" w:rsidTr="00F1209D">
        <w:tc>
          <w:tcPr>
            <w:tcW w:w="4654" w:type="pct"/>
          </w:tcPr>
          <w:p w:rsidR="006C493E" w:rsidRPr="004062FB" w:rsidRDefault="006C493E" w:rsidP="00B25494">
            <w:r w:rsidRPr="004062FB">
              <w:t xml:space="preserve">3.4.2. Стан окислювального гомеостазу, антиоксидантної системи і </w:t>
            </w:r>
            <w:r w:rsidRPr="004062FB">
              <w:lastRenderedPageBreak/>
              <w:t>захисних сил тканин ротової порожнин. . . . . . . . . . . . . . . . . . . . . . . . .</w:t>
            </w:r>
            <w:r w:rsidR="00D50EC2" w:rsidRPr="004062FB">
              <w:t xml:space="preserve"> </w:t>
            </w:r>
            <w:r w:rsidR="00D50EC2">
              <w:t xml:space="preserve">. . </w:t>
            </w:r>
          </w:p>
        </w:tc>
        <w:tc>
          <w:tcPr>
            <w:tcW w:w="346" w:type="pct"/>
          </w:tcPr>
          <w:p w:rsidR="006C493E" w:rsidRDefault="006C493E" w:rsidP="006C493E">
            <w:pPr>
              <w:jc w:val="left"/>
            </w:pPr>
          </w:p>
          <w:p w:rsidR="006C493E" w:rsidRPr="004062FB" w:rsidRDefault="006C493E" w:rsidP="006C493E">
            <w:pPr>
              <w:jc w:val="left"/>
            </w:pPr>
            <w:r w:rsidRPr="004062FB">
              <w:lastRenderedPageBreak/>
              <w:t>81</w:t>
            </w:r>
          </w:p>
        </w:tc>
      </w:tr>
      <w:tr w:rsidR="006C493E" w:rsidRPr="004062FB" w:rsidTr="00F1209D">
        <w:tc>
          <w:tcPr>
            <w:tcW w:w="4654" w:type="pct"/>
          </w:tcPr>
          <w:p w:rsidR="006C493E" w:rsidRPr="004062FB" w:rsidRDefault="006C493E" w:rsidP="00B25494">
            <w:r>
              <w:lastRenderedPageBreak/>
              <w:t>3.4.3.</w:t>
            </w:r>
            <w:r>
              <w:rPr>
                <w:lang w:val="ru-RU"/>
              </w:rPr>
              <w:t> </w:t>
            </w:r>
            <w:r w:rsidRPr="004062FB">
              <w:t xml:space="preserve">Стан місцевого імунітету ротової порожнин. . . . . </w:t>
            </w:r>
            <w:r>
              <w:t xml:space="preserve">. . . . . . . . . . . </w:t>
            </w:r>
            <w:r w:rsidR="00D50EC2">
              <w:t>. .</w:t>
            </w:r>
            <w:r w:rsidR="00B25494" w:rsidRPr="004062FB">
              <w:t xml:space="preserve"> </w:t>
            </w:r>
          </w:p>
        </w:tc>
        <w:tc>
          <w:tcPr>
            <w:tcW w:w="346" w:type="pct"/>
          </w:tcPr>
          <w:p w:rsidR="006C493E" w:rsidRPr="004062FB" w:rsidRDefault="00831DE1" w:rsidP="006C493E">
            <w:pPr>
              <w:jc w:val="left"/>
            </w:pPr>
            <w:r>
              <w:t>82</w:t>
            </w:r>
          </w:p>
        </w:tc>
      </w:tr>
      <w:tr w:rsidR="006C493E" w:rsidRPr="004062FB" w:rsidTr="00F1209D">
        <w:tc>
          <w:tcPr>
            <w:tcW w:w="4654" w:type="pct"/>
          </w:tcPr>
          <w:p w:rsidR="006C493E" w:rsidRPr="004062FB" w:rsidRDefault="006C493E" w:rsidP="00F1209D">
            <w:r w:rsidRPr="004062FB">
              <w:t xml:space="preserve">3.5. Мікробіологічне дослідження мікробіоценозу зубної бляшки у дітей </w:t>
            </w:r>
            <w:r>
              <w:t>із в</w:t>
            </w:r>
            <w:r w:rsidRPr="004062FB">
              <w:t>родженою глухотою та у дітей без патології слуху. . . . . . . .</w:t>
            </w:r>
            <w:r w:rsidRPr="00E311A6">
              <w:t xml:space="preserve"> </w:t>
            </w:r>
            <w:r w:rsidR="00D50EC2">
              <w:t>. .</w:t>
            </w:r>
            <w:r w:rsidR="00B25494" w:rsidRPr="004062FB">
              <w:t xml:space="preserve"> </w:t>
            </w:r>
          </w:p>
          <w:p w:rsidR="006C493E" w:rsidRPr="004062FB" w:rsidRDefault="006C493E" w:rsidP="00F1209D">
            <w:r w:rsidRPr="004062FB">
              <w:t>3.5.1</w:t>
            </w:r>
            <w:r w:rsidRPr="00705B67">
              <w:t>.</w:t>
            </w:r>
            <w:r>
              <w:rPr>
                <w:lang w:val="ru-RU"/>
              </w:rPr>
              <w:t> </w:t>
            </w:r>
            <w:r w:rsidRPr="004062FB">
              <w:t xml:space="preserve">Характеристика мікробіоценозу зубної бляшки у дітей </w:t>
            </w:r>
            <w:r>
              <w:t>із вродженою</w:t>
            </w:r>
            <w:r w:rsidRPr="004062FB">
              <w:t xml:space="preserve"> глухотою у порівнянні з дітьми без патології слуху . . . . </w:t>
            </w:r>
            <w:r w:rsidR="00D50EC2">
              <w:t>. .</w:t>
            </w:r>
            <w:r w:rsidR="00B25494" w:rsidRPr="004062FB">
              <w:t xml:space="preserve"> </w:t>
            </w:r>
          </w:p>
          <w:p w:rsidR="006C493E" w:rsidRPr="004062FB" w:rsidRDefault="006C493E" w:rsidP="00B25494">
            <w:r>
              <w:t>3.5.2</w:t>
            </w:r>
            <w:r w:rsidRPr="00705B67">
              <w:t>.</w:t>
            </w:r>
            <w:r>
              <w:rPr>
                <w:lang w:val="ru-RU"/>
              </w:rPr>
              <w:t> </w:t>
            </w:r>
            <w:r w:rsidRPr="004062FB">
              <w:t xml:space="preserve">Характеристика вікових особливостей формування мікробіоценозу зубної бляшки у дітей </w:t>
            </w:r>
            <w:r>
              <w:t>із вродженою</w:t>
            </w:r>
            <w:r w:rsidRPr="004062FB">
              <w:t xml:space="preserve"> глухотою у порівнянні з дітьми без патології слуху . . . . . . . . . . . . . . . . . . . . . . . .</w:t>
            </w:r>
            <w:r w:rsidR="00D50EC2" w:rsidRPr="004062FB">
              <w:t xml:space="preserve"> </w:t>
            </w:r>
            <w:r w:rsidR="00D50EC2">
              <w:t>. . .</w:t>
            </w:r>
            <w:r w:rsidR="00B25494" w:rsidRPr="004062FB">
              <w:t xml:space="preserve"> </w:t>
            </w:r>
          </w:p>
        </w:tc>
        <w:tc>
          <w:tcPr>
            <w:tcW w:w="346" w:type="pct"/>
          </w:tcPr>
          <w:p w:rsidR="006C493E" w:rsidRPr="004062FB" w:rsidRDefault="006C493E" w:rsidP="006C493E">
            <w:pPr>
              <w:jc w:val="left"/>
            </w:pPr>
          </w:p>
          <w:p w:rsidR="006C493E" w:rsidRPr="004062FB" w:rsidRDefault="006C493E" w:rsidP="006C493E">
            <w:pPr>
              <w:jc w:val="left"/>
            </w:pPr>
            <w:r w:rsidRPr="004062FB">
              <w:t>85</w:t>
            </w:r>
          </w:p>
          <w:p w:rsidR="006C493E" w:rsidRPr="004062FB" w:rsidRDefault="006C493E" w:rsidP="006C493E">
            <w:pPr>
              <w:jc w:val="left"/>
            </w:pPr>
          </w:p>
          <w:p w:rsidR="006C493E" w:rsidRPr="004062FB" w:rsidRDefault="00CC55C5" w:rsidP="006C493E">
            <w:pPr>
              <w:jc w:val="left"/>
            </w:pPr>
            <w:r>
              <w:t>85</w:t>
            </w:r>
          </w:p>
          <w:p w:rsidR="006C493E" w:rsidRPr="004062FB" w:rsidRDefault="006C493E" w:rsidP="006C493E">
            <w:pPr>
              <w:jc w:val="left"/>
            </w:pPr>
          </w:p>
          <w:p w:rsidR="006C493E" w:rsidRPr="004062FB" w:rsidRDefault="006C493E" w:rsidP="006C493E">
            <w:pPr>
              <w:jc w:val="left"/>
            </w:pPr>
          </w:p>
          <w:p w:rsidR="006C493E" w:rsidRPr="004062FB" w:rsidRDefault="00542F22" w:rsidP="006C493E">
            <w:pPr>
              <w:jc w:val="left"/>
            </w:pPr>
            <w:r>
              <w:t>88</w:t>
            </w:r>
          </w:p>
        </w:tc>
      </w:tr>
      <w:tr w:rsidR="006C493E" w:rsidRPr="004062FB" w:rsidTr="00F1209D">
        <w:tc>
          <w:tcPr>
            <w:tcW w:w="4654" w:type="pct"/>
          </w:tcPr>
          <w:p w:rsidR="006C493E" w:rsidRPr="00705B67" w:rsidRDefault="006C493E" w:rsidP="00B556EE">
            <w:r w:rsidRPr="004062FB">
              <w:t>3.6</w:t>
            </w:r>
            <w:r w:rsidRPr="00940C86">
              <w:t>.</w:t>
            </w:r>
            <w:r>
              <w:rPr>
                <w:lang w:val="ru-RU"/>
              </w:rPr>
              <w:t> </w:t>
            </w:r>
            <w:r w:rsidR="00B556EE" w:rsidRPr="00B556EE">
              <w:t>Вивчення психоемоційного статусу та кореляційного зв’язку</w:t>
            </w:r>
            <w:r w:rsidR="00B556EE" w:rsidRPr="004062FB">
              <w:t xml:space="preserve"> </w:t>
            </w:r>
            <w:r w:rsidRPr="004062FB">
              <w:t>між порушенням психічного та стоматологічного здоров</w:t>
            </w:r>
            <w:r>
              <w:t>’</w:t>
            </w:r>
            <w:r w:rsidRPr="004062FB">
              <w:t xml:space="preserve">я дітей </w:t>
            </w:r>
            <w:r>
              <w:t>із вродженою</w:t>
            </w:r>
            <w:r w:rsidRPr="004062FB">
              <w:t xml:space="preserve"> глухотою. . . . . . . . . . . . . . . . . . . . . . . . . . . . . . . . . . . . . . .</w:t>
            </w:r>
            <w:r w:rsidRPr="00705B67">
              <w:t xml:space="preserve"> .</w:t>
            </w:r>
            <w:r w:rsidR="005436A3" w:rsidRPr="004062FB">
              <w:t xml:space="preserve"> </w:t>
            </w:r>
            <w:r w:rsidR="005436A3">
              <w:t>. .</w:t>
            </w:r>
            <w:r w:rsidR="00B25494" w:rsidRPr="004062FB">
              <w:t xml:space="preserve"> </w:t>
            </w:r>
          </w:p>
        </w:tc>
        <w:tc>
          <w:tcPr>
            <w:tcW w:w="346" w:type="pct"/>
          </w:tcPr>
          <w:p w:rsidR="006C493E" w:rsidRPr="004062FB" w:rsidRDefault="006C493E" w:rsidP="006C493E">
            <w:pPr>
              <w:jc w:val="left"/>
            </w:pPr>
          </w:p>
          <w:p w:rsidR="006C493E" w:rsidRPr="004062FB" w:rsidRDefault="006C493E" w:rsidP="006C493E">
            <w:pPr>
              <w:jc w:val="left"/>
            </w:pPr>
          </w:p>
          <w:p w:rsidR="006C493E" w:rsidRPr="004062FB" w:rsidRDefault="006C493E" w:rsidP="006C493E">
            <w:pPr>
              <w:jc w:val="left"/>
            </w:pPr>
            <w:r w:rsidRPr="004062FB">
              <w:t>90</w:t>
            </w:r>
          </w:p>
        </w:tc>
      </w:tr>
      <w:tr w:rsidR="006C493E" w:rsidRPr="004062FB" w:rsidTr="00F1209D">
        <w:tc>
          <w:tcPr>
            <w:tcW w:w="4654" w:type="pct"/>
          </w:tcPr>
          <w:p w:rsidR="006C493E" w:rsidRPr="004062FB" w:rsidRDefault="006C493E" w:rsidP="00B25494">
            <w:r w:rsidRPr="004062FB">
              <w:t>РОЗДІЛ 4. РЕЗУЛЬТАТИ ВИВЧЕННЯ ЕФЕКТИВНОСТІ ЗАПРОПОНОВАНОГО ЛІКУВАЛЬНО-ПРОФІЛАКТИЧНОГО КОМПЛЕКСУ . . . . . . . . . . . . . . . . . . . . . . . . . . . . . . . . . . . . . . . . . . . .</w:t>
            </w:r>
            <w:r w:rsidRPr="004062FB">
              <w:rPr>
                <w:lang w:val="ru-RU"/>
              </w:rPr>
              <w:t xml:space="preserve"> .</w:t>
            </w:r>
            <w:r w:rsidR="00D50EC2" w:rsidRPr="004062FB">
              <w:t xml:space="preserve"> </w:t>
            </w:r>
            <w:r w:rsidR="00D50EC2">
              <w:t>. . .</w:t>
            </w:r>
            <w:r w:rsidR="00B25494" w:rsidRPr="004062FB">
              <w:t xml:space="preserve"> </w:t>
            </w:r>
          </w:p>
        </w:tc>
        <w:tc>
          <w:tcPr>
            <w:tcW w:w="346" w:type="pct"/>
          </w:tcPr>
          <w:p w:rsidR="006C493E" w:rsidRPr="004062FB" w:rsidRDefault="006C493E" w:rsidP="006C493E">
            <w:pPr>
              <w:jc w:val="left"/>
            </w:pPr>
          </w:p>
          <w:p w:rsidR="006C493E" w:rsidRPr="004062FB" w:rsidRDefault="006C493E" w:rsidP="006C493E">
            <w:pPr>
              <w:jc w:val="left"/>
            </w:pPr>
          </w:p>
          <w:p w:rsidR="006C493E" w:rsidRPr="004062FB" w:rsidRDefault="00520949" w:rsidP="006C493E">
            <w:pPr>
              <w:jc w:val="left"/>
              <w:rPr>
                <w:lang w:val="ru-RU"/>
              </w:rPr>
            </w:pPr>
            <w:r>
              <w:rPr>
                <w:lang w:val="ru-RU"/>
              </w:rPr>
              <w:t>98</w:t>
            </w:r>
          </w:p>
        </w:tc>
      </w:tr>
      <w:tr w:rsidR="006C493E" w:rsidRPr="00940C86" w:rsidTr="00F1209D">
        <w:tc>
          <w:tcPr>
            <w:tcW w:w="4654" w:type="pct"/>
          </w:tcPr>
          <w:p w:rsidR="006C493E" w:rsidRPr="00705B67" w:rsidRDefault="006C493E" w:rsidP="00B25494">
            <w:r>
              <w:t>4.1.</w:t>
            </w:r>
            <w:r>
              <w:rPr>
                <w:lang w:val="ru-RU"/>
              </w:rPr>
              <w:t> </w:t>
            </w:r>
            <w:r w:rsidRPr="004062FB">
              <w:t xml:space="preserve">Динаміка зміни стану гігієни порожнини рота у дітей </w:t>
            </w:r>
            <w:r>
              <w:t>із вродженою</w:t>
            </w:r>
            <w:r w:rsidRPr="004062FB">
              <w:t xml:space="preserve"> глухотою під дією лікувально-профілактичних заходів . </w:t>
            </w:r>
            <w:r w:rsidRPr="00294B49">
              <w:t>. .</w:t>
            </w:r>
            <w:r w:rsidR="00B25494" w:rsidRPr="004062FB">
              <w:t xml:space="preserve"> </w:t>
            </w:r>
          </w:p>
        </w:tc>
        <w:tc>
          <w:tcPr>
            <w:tcW w:w="346" w:type="pct"/>
          </w:tcPr>
          <w:p w:rsidR="006C493E" w:rsidRPr="004062FB" w:rsidRDefault="006C493E" w:rsidP="006C493E">
            <w:pPr>
              <w:jc w:val="left"/>
            </w:pPr>
          </w:p>
          <w:p w:rsidR="006C493E" w:rsidRPr="00940C86" w:rsidRDefault="00520949" w:rsidP="006C493E">
            <w:pPr>
              <w:jc w:val="left"/>
            </w:pPr>
            <w:r>
              <w:t>98</w:t>
            </w:r>
          </w:p>
        </w:tc>
      </w:tr>
      <w:tr w:rsidR="006C493E" w:rsidRPr="00705B67" w:rsidTr="00F1209D">
        <w:tc>
          <w:tcPr>
            <w:tcW w:w="4654" w:type="pct"/>
          </w:tcPr>
          <w:p w:rsidR="006C493E" w:rsidRPr="004062FB" w:rsidRDefault="006C493E" w:rsidP="00B25494">
            <w:r>
              <w:t>4.2.</w:t>
            </w:r>
            <w:r>
              <w:rPr>
                <w:lang w:val="ru-RU"/>
              </w:rPr>
              <w:t> </w:t>
            </w:r>
            <w:r w:rsidRPr="004062FB">
              <w:t>Дина</w:t>
            </w:r>
            <w:r w:rsidR="00CF1E33">
              <w:t>міка зміни стану твердих тканин</w:t>
            </w:r>
            <w:r w:rsidRPr="004062FB">
              <w:t xml:space="preserve"> зубів у дітей </w:t>
            </w:r>
            <w:r>
              <w:t>із вродженою</w:t>
            </w:r>
            <w:r w:rsidRPr="004062FB">
              <w:t xml:space="preserve"> глухотою під дією лікувально-профілактичних заходів . </w:t>
            </w:r>
            <w:r w:rsidRPr="00294B49">
              <w:t>. . . . . . . . . . . . .</w:t>
            </w:r>
            <w:r w:rsidR="00D50EC2" w:rsidRPr="004062FB">
              <w:t xml:space="preserve"> </w:t>
            </w:r>
          </w:p>
        </w:tc>
        <w:tc>
          <w:tcPr>
            <w:tcW w:w="346" w:type="pct"/>
          </w:tcPr>
          <w:p w:rsidR="006C493E" w:rsidRPr="004062FB" w:rsidRDefault="006C493E" w:rsidP="006C493E">
            <w:pPr>
              <w:jc w:val="left"/>
            </w:pPr>
          </w:p>
          <w:p w:rsidR="006C493E" w:rsidRPr="00705B67" w:rsidRDefault="00CF1E33" w:rsidP="006C493E">
            <w:pPr>
              <w:jc w:val="left"/>
            </w:pPr>
            <w:r>
              <w:t>109</w:t>
            </w:r>
          </w:p>
        </w:tc>
      </w:tr>
      <w:tr w:rsidR="006C493E" w:rsidRPr="003026BD" w:rsidTr="00F1209D">
        <w:tc>
          <w:tcPr>
            <w:tcW w:w="4654" w:type="pct"/>
          </w:tcPr>
          <w:p w:rsidR="006C493E" w:rsidRPr="004062FB" w:rsidRDefault="006C493E" w:rsidP="00B25494">
            <w:r w:rsidRPr="004062FB">
              <w:t xml:space="preserve">4.3. Динаміка зміни стану тканин пародонта у дітей </w:t>
            </w:r>
            <w:r>
              <w:t>із вродженою</w:t>
            </w:r>
            <w:r w:rsidRPr="004062FB">
              <w:t xml:space="preserve"> глухотою під дією лікувально-профілактичних заходів . . . . . . . . . .</w:t>
            </w:r>
            <w:r>
              <w:t xml:space="preserve"> . . . . </w:t>
            </w:r>
          </w:p>
        </w:tc>
        <w:tc>
          <w:tcPr>
            <w:tcW w:w="346" w:type="pct"/>
          </w:tcPr>
          <w:p w:rsidR="006C493E" w:rsidRPr="004062FB" w:rsidRDefault="006C493E" w:rsidP="006C493E">
            <w:pPr>
              <w:jc w:val="left"/>
            </w:pPr>
          </w:p>
          <w:p w:rsidR="006C493E" w:rsidRPr="003026BD" w:rsidRDefault="009B269D" w:rsidP="006C493E">
            <w:pPr>
              <w:jc w:val="left"/>
            </w:pPr>
            <w:r>
              <w:t>119</w:t>
            </w:r>
          </w:p>
        </w:tc>
      </w:tr>
      <w:tr w:rsidR="006C493E" w:rsidRPr="00940C86" w:rsidTr="00F1209D">
        <w:tc>
          <w:tcPr>
            <w:tcW w:w="4654" w:type="pct"/>
          </w:tcPr>
          <w:p w:rsidR="006C493E" w:rsidRPr="00940C86" w:rsidRDefault="006C493E" w:rsidP="00B25494">
            <w:r>
              <w:t>4.4.</w:t>
            </w:r>
            <w:r>
              <w:rPr>
                <w:lang w:val="ru-RU"/>
              </w:rPr>
              <w:t> </w:t>
            </w:r>
            <w:r w:rsidRPr="004062FB">
              <w:t xml:space="preserve">Динаміка змін біохімічних та імунологічних властивостей ротової рідини у дітей </w:t>
            </w:r>
            <w:r>
              <w:t>із вродженою</w:t>
            </w:r>
            <w:r w:rsidRPr="004062FB">
              <w:t xml:space="preserve"> глухотою під ді</w:t>
            </w:r>
            <w:r w:rsidR="00D50EC2">
              <w:t>єю лікувально-</w:t>
            </w:r>
            <w:r w:rsidRPr="004062FB">
              <w:t>профілактичних заходів . . . . . . . . . . . . . . . . . . . . . . . . . . . . . . . . . . . . .</w:t>
            </w:r>
            <w:r w:rsidR="00D50EC2" w:rsidRPr="004062FB">
              <w:t xml:space="preserve"> </w:t>
            </w:r>
            <w:r w:rsidR="00D50EC2">
              <w:t>. . .</w:t>
            </w:r>
            <w:r w:rsidR="00B25494" w:rsidRPr="004062FB">
              <w:t xml:space="preserve"> </w:t>
            </w:r>
          </w:p>
        </w:tc>
        <w:tc>
          <w:tcPr>
            <w:tcW w:w="346" w:type="pct"/>
          </w:tcPr>
          <w:p w:rsidR="006C493E" w:rsidRPr="004062FB" w:rsidRDefault="006C493E" w:rsidP="006C493E">
            <w:pPr>
              <w:jc w:val="left"/>
            </w:pPr>
          </w:p>
          <w:p w:rsidR="006C493E" w:rsidRPr="004062FB" w:rsidRDefault="006C493E" w:rsidP="006C493E">
            <w:pPr>
              <w:jc w:val="left"/>
            </w:pPr>
          </w:p>
          <w:p w:rsidR="006C493E" w:rsidRPr="00940C86" w:rsidRDefault="009938DA" w:rsidP="006C493E">
            <w:pPr>
              <w:jc w:val="left"/>
            </w:pPr>
            <w:r>
              <w:t>126</w:t>
            </w:r>
          </w:p>
        </w:tc>
      </w:tr>
      <w:tr w:rsidR="006C493E" w:rsidRPr="004062FB" w:rsidTr="00F1209D">
        <w:tc>
          <w:tcPr>
            <w:tcW w:w="4654" w:type="pct"/>
          </w:tcPr>
          <w:p w:rsidR="006C493E" w:rsidRPr="004062FB" w:rsidRDefault="006C493E" w:rsidP="00B25494">
            <w:r w:rsidRPr="004062FB">
              <w:t>4.4.1. Динаміка змін функціональних властивостей ротової рідини</w:t>
            </w:r>
            <w:r w:rsidR="005436A3">
              <w:t>. . . .</w:t>
            </w:r>
            <w:r w:rsidR="00B25494" w:rsidRPr="004062FB">
              <w:t xml:space="preserve"> </w:t>
            </w:r>
          </w:p>
        </w:tc>
        <w:tc>
          <w:tcPr>
            <w:tcW w:w="346" w:type="pct"/>
          </w:tcPr>
          <w:p w:rsidR="006C493E" w:rsidRPr="004062FB" w:rsidRDefault="009938DA" w:rsidP="006C493E">
            <w:pPr>
              <w:jc w:val="left"/>
            </w:pPr>
            <w:r>
              <w:t>126</w:t>
            </w:r>
          </w:p>
        </w:tc>
      </w:tr>
      <w:tr w:rsidR="006C493E" w:rsidRPr="004062FB" w:rsidTr="00F1209D">
        <w:tc>
          <w:tcPr>
            <w:tcW w:w="4654" w:type="pct"/>
          </w:tcPr>
          <w:p w:rsidR="006C493E" w:rsidRPr="004062FB" w:rsidRDefault="006C493E" w:rsidP="00B25494">
            <w:r>
              <w:t>4.4.2.</w:t>
            </w:r>
            <w:r>
              <w:rPr>
                <w:lang w:val="ru-RU"/>
              </w:rPr>
              <w:t> </w:t>
            </w:r>
            <w:r>
              <w:t>Динаміка зміни стану окислюваль</w:t>
            </w:r>
            <w:r w:rsidRPr="0077046D">
              <w:t>ного гомеостазу, антиоксидантн</w:t>
            </w:r>
            <w:r>
              <w:t>ої системи і захисних факторів</w:t>
            </w:r>
            <w:r w:rsidRPr="0077046D">
              <w:t xml:space="preserve"> ротово</w:t>
            </w:r>
            <w:r>
              <w:t xml:space="preserve">ї рідини </w:t>
            </w:r>
            <w:r w:rsidRPr="004062FB">
              <w:t xml:space="preserve">. . . . . </w:t>
            </w:r>
            <w:r w:rsidRPr="00294B49">
              <w:t>. . .</w:t>
            </w:r>
            <w:r w:rsidR="00B25494" w:rsidRPr="004062FB">
              <w:t xml:space="preserve"> </w:t>
            </w:r>
          </w:p>
        </w:tc>
        <w:tc>
          <w:tcPr>
            <w:tcW w:w="346" w:type="pct"/>
          </w:tcPr>
          <w:p w:rsidR="006C493E" w:rsidRPr="004062FB" w:rsidRDefault="006C493E" w:rsidP="006C493E">
            <w:pPr>
              <w:jc w:val="left"/>
            </w:pPr>
          </w:p>
          <w:p w:rsidR="006C493E" w:rsidRPr="004062FB" w:rsidRDefault="00B3351A" w:rsidP="006C493E">
            <w:pPr>
              <w:jc w:val="left"/>
            </w:pPr>
            <w:r>
              <w:t>135</w:t>
            </w:r>
          </w:p>
        </w:tc>
      </w:tr>
      <w:tr w:rsidR="006C493E" w:rsidRPr="004062FB" w:rsidTr="00F1209D">
        <w:tc>
          <w:tcPr>
            <w:tcW w:w="4654" w:type="pct"/>
          </w:tcPr>
          <w:p w:rsidR="006C493E" w:rsidRPr="004062FB" w:rsidRDefault="006C493E" w:rsidP="00B25494">
            <w:r w:rsidRPr="004062FB">
              <w:t xml:space="preserve">4.4.3. </w:t>
            </w:r>
            <w:r w:rsidRPr="0077046D">
              <w:t>Динаміка зміни стану місц</w:t>
            </w:r>
            <w:r>
              <w:t>евого імунітету ротової рідини</w:t>
            </w:r>
            <w:r w:rsidRPr="004062FB">
              <w:t xml:space="preserve">. . . . </w:t>
            </w:r>
            <w:r w:rsidRPr="00294B49">
              <w:t>. . .</w:t>
            </w:r>
            <w:r w:rsidR="00B25494" w:rsidRPr="004062FB">
              <w:t xml:space="preserve"> </w:t>
            </w:r>
          </w:p>
        </w:tc>
        <w:tc>
          <w:tcPr>
            <w:tcW w:w="346" w:type="pct"/>
          </w:tcPr>
          <w:p w:rsidR="006C493E" w:rsidRPr="004062FB" w:rsidRDefault="00B3351A" w:rsidP="006C493E">
            <w:pPr>
              <w:jc w:val="left"/>
            </w:pPr>
            <w:r>
              <w:t>143</w:t>
            </w:r>
          </w:p>
        </w:tc>
      </w:tr>
      <w:tr w:rsidR="006C493E" w:rsidRPr="004062FB" w:rsidTr="00F1209D">
        <w:tc>
          <w:tcPr>
            <w:tcW w:w="4654" w:type="pct"/>
          </w:tcPr>
          <w:p w:rsidR="006C493E" w:rsidRPr="004062FB" w:rsidRDefault="006C493E" w:rsidP="00B25494">
            <w:r w:rsidRPr="004062FB">
              <w:t>4.5</w:t>
            </w:r>
            <w:r>
              <w:t>.</w:t>
            </w:r>
            <w:r>
              <w:rPr>
                <w:lang w:val="ru-RU"/>
              </w:rPr>
              <w:t> </w:t>
            </w:r>
            <w:r w:rsidRPr="004062FB">
              <w:t>Динаміка зміни мікробіоценозу зубної бляшки</w:t>
            </w:r>
            <w:r w:rsidRPr="00294B49">
              <w:t xml:space="preserve">. . . . </w:t>
            </w:r>
            <w:r>
              <w:t xml:space="preserve">. . . . . . . . . . . </w:t>
            </w:r>
            <w:r w:rsidRPr="00294B49">
              <w:t>. . .</w:t>
            </w:r>
            <w:r w:rsidR="00B25494" w:rsidRPr="004062FB">
              <w:t xml:space="preserve"> </w:t>
            </w:r>
          </w:p>
        </w:tc>
        <w:tc>
          <w:tcPr>
            <w:tcW w:w="346" w:type="pct"/>
          </w:tcPr>
          <w:p w:rsidR="006C493E" w:rsidRPr="004062FB" w:rsidRDefault="00D6210C" w:rsidP="006C493E">
            <w:pPr>
              <w:jc w:val="left"/>
            </w:pPr>
            <w:r>
              <w:t>149</w:t>
            </w:r>
          </w:p>
        </w:tc>
      </w:tr>
      <w:tr w:rsidR="006C493E" w:rsidRPr="00294B49" w:rsidTr="00F1209D">
        <w:tc>
          <w:tcPr>
            <w:tcW w:w="4654" w:type="pct"/>
          </w:tcPr>
          <w:p w:rsidR="006C493E" w:rsidRPr="00294B49" w:rsidRDefault="006C493E" w:rsidP="00B25494">
            <w:r w:rsidRPr="00294B49">
              <w:lastRenderedPageBreak/>
              <w:t>ОБГОВОРЕННЯ РЕЗУЛЬТАТІВ . .</w:t>
            </w:r>
            <w:r>
              <w:t xml:space="preserve"> </w:t>
            </w:r>
            <w:r w:rsidRPr="00294B49">
              <w:t>. . . . . . . . . . . . . . . . . . . . . . . . . . . . . .</w:t>
            </w:r>
            <w:r w:rsidR="00B25494" w:rsidRPr="004062FB">
              <w:t xml:space="preserve"> </w:t>
            </w:r>
          </w:p>
        </w:tc>
        <w:tc>
          <w:tcPr>
            <w:tcW w:w="346" w:type="pct"/>
          </w:tcPr>
          <w:p w:rsidR="006C493E" w:rsidRPr="00294B49" w:rsidRDefault="00526914" w:rsidP="006C493E">
            <w:pPr>
              <w:jc w:val="left"/>
            </w:pPr>
            <w:r>
              <w:t>155</w:t>
            </w:r>
          </w:p>
        </w:tc>
      </w:tr>
      <w:tr w:rsidR="006C493E" w:rsidRPr="00294B49" w:rsidTr="00F1209D">
        <w:tc>
          <w:tcPr>
            <w:tcW w:w="4654" w:type="pct"/>
          </w:tcPr>
          <w:p w:rsidR="006C493E" w:rsidRPr="00294B49" w:rsidRDefault="006C493E" w:rsidP="00B25494">
            <w:r w:rsidRPr="00294B49">
              <w:t>ВИСНОВКИ . . . . . . . . . . . . . . . . . . . . . . . . . . . . . . . . . . . . . . . . . . . . . .</w:t>
            </w:r>
            <w:r w:rsidR="005436A3" w:rsidRPr="004062FB">
              <w:t xml:space="preserve"> </w:t>
            </w:r>
            <w:r w:rsidR="005436A3">
              <w:t>. . .</w:t>
            </w:r>
            <w:r w:rsidR="00B25494" w:rsidRPr="004062FB">
              <w:t xml:space="preserve"> </w:t>
            </w:r>
          </w:p>
        </w:tc>
        <w:tc>
          <w:tcPr>
            <w:tcW w:w="346" w:type="pct"/>
          </w:tcPr>
          <w:p w:rsidR="006C493E" w:rsidRPr="00294B49" w:rsidRDefault="00781ED2" w:rsidP="006C493E">
            <w:pPr>
              <w:jc w:val="left"/>
            </w:pPr>
            <w:r>
              <w:t>169</w:t>
            </w:r>
          </w:p>
        </w:tc>
      </w:tr>
      <w:tr w:rsidR="006C493E" w:rsidRPr="00294B49" w:rsidTr="00F1209D">
        <w:tc>
          <w:tcPr>
            <w:tcW w:w="4654" w:type="pct"/>
          </w:tcPr>
          <w:p w:rsidR="006C493E" w:rsidRPr="00294B49" w:rsidRDefault="006C493E" w:rsidP="00B25494">
            <w:r w:rsidRPr="00294B49">
              <w:t>ПРАКТИЧНІ РЕКОМЕНДАЦІЇ . . . . . . . . . . . . . . . . . . . . . . . . . . . . . . . . .</w:t>
            </w:r>
            <w:r w:rsidR="00B25494" w:rsidRPr="004062FB">
              <w:t xml:space="preserve"> </w:t>
            </w:r>
          </w:p>
        </w:tc>
        <w:tc>
          <w:tcPr>
            <w:tcW w:w="346" w:type="pct"/>
          </w:tcPr>
          <w:p w:rsidR="006C493E" w:rsidRPr="00294B49" w:rsidRDefault="00781ED2" w:rsidP="006C493E">
            <w:pPr>
              <w:jc w:val="left"/>
            </w:pPr>
            <w:r>
              <w:t>172</w:t>
            </w:r>
          </w:p>
        </w:tc>
      </w:tr>
      <w:tr w:rsidR="006C493E" w:rsidRPr="00294B49" w:rsidTr="00F1209D">
        <w:tc>
          <w:tcPr>
            <w:tcW w:w="4654" w:type="pct"/>
          </w:tcPr>
          <w:p w:rsidR="006C493E" w:rsidRPr="00294B49" w:rsidRDefault="006C493E" w:rsidP="00B25494">
            <w:r w:rsidRPr="00294B49">
              <w:t>ДОДАТКИ. . . . . . . . . .</w:t>
            </w:r>
            <w:r>
              <w:t xml:space="preserve"> </w:t>
            </w:r>
            <w:r w:rsidRPr="00294B49">
              <w:t>. . . . . . . . . . . . . . . . . . . . . . . . . . . . . . . . . . . . .</w:t>
            </w:r>
            <w:r>
              <w:t xml:space="preserve"> </w:t>
            </w:r>
            <w:r w:rsidRPr="00294B49">
              <w:t>. . . .</w:t>
            </w:r>
            <w:r w:rsidR="00B25494" w:rsidRPr="004062FB">
              <w:t xml:space="preserve"> </w:t>
            </w:r>
          </w:p>
        </w:tc>
        <w:tc>
          <w:tcPr>
            <w:tcW w:w="346" w:type="pct"/>
          </w:tcPr>
          <w:p w:rsidR="006C493E" w:rsidRPr="00294B49" w:rsidRDefault="006C493E" w:rsidP="006C493E">
            <w:pPr>
              <w:jc w:val="left"/>
              <w:rPr>
                <w:lang w:val="ru-RU"/>
              </w:rPr>
            </w:pPr>
            <w:r w:rsidRPr="00294B49">
              <w:t>17</w:t>
            </w:r>
            <w:r w:rsidR="00781ED2">
              <w:rPr>
                <w:lang w:val="ru-RU"/>
              </w:rPr>
              <w:t>3</w:t>
            </w:r>
          </w:p>
        </w:tc>
      </w:tr>
      <w:tr w:rsidR="006C493E" w:rsidRPr="00294B49" w:rsidTr="00F1209D">
        <w:tc>
          <w:tcPr>
            <w:tcW w:w="4654" w:type="pct"/>
          </w:tcPr>
          <w:p w:rsidR="006C493E" w:rsidRPr="00294B49" w:rsidRDefault="006C493E" w:rsidP="00B25494">
            <w:r w:rsidRPr="00294B49">
              <w:t>СПИСОК ВИКОРИСТАНИХ ДЖЕРЕЛ . . . . . . . . . . . . . . . . . . . . . . . . . . .</w:t>
            </w:r>
            <w:r w:rsidR="00B25494" w:rsidRPr="004062FB">
              <w:t xml:space="preserve"> </w:t>
            </w:r>
          </w:p>
        </w:tc>
        <w:tc>
          <w:tcPr>
            <w:tcW w:w="346" w:type="pct"/>
          </w:tcPr>
          <w:p w:rsidR="006C493E" w:rsidRPr="00294B49" w:rsidRDefault="006C493E" w:rsidP="006C493E">
            <w:pPr>
              <w:jc w:val="left"/>
              <w:rPr>
                <w:lang w:val="ru-RU"/>
              </w:rPr>
            </w:pPr>
            <w:r w:rsidRPr="00294B49">
              <w:t>1</w:t>
            </w:r>
            <w:r>
              <w:t>8</w:t>
            </w:r>
            <w:r w:rsidR="00781ED2">
              <w:t>5</w:t>
            </w:r>
          </w:p>
        </w:tc>
      </w:tr>
    </w:tbl>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 w:rsidR="00534FB5" w:rsidRDefault="00534FB5" w:rsidP="00534FB5">
      <w:pPr>
        <w:jc w:val="center"/>
        <w:rPr>
          <w:b/>
        </w:rPr>
      </w:pPr>
    </w:p>
    <w:p w:rsidR="00534FB5" w:rsidRDefault="00534FB5" w:rsidP="00534FB5">
      <w:pPr>
        <w:jc w:val="center"/>
        <w:rPr>
          <w:b/>
        </w:rPr>
      </w:pPr>
    </w:p>
    <w:p w:rsidR="00534FB5" w:rsidRDefault="00534FB5" w:rsidP="00534FB5">
      <w:pPr>
        <w:jc w:val="center"/>
        <w:rPr>
          <w:b/>
        </w:rPr>
      </w:pPr>
    </w:p>
    <w:p w:rsidR="006C493E" w:rsidRDefault="006C493E" w:rsidP="00534FB5">
      <w:pPr>
        <w:jc w:val="center"/>
        <w:rPr>
          <w:b/>
        </w:rPr>
      </w:pPr>
    </w:p>
    <w:p w:rsidR="005436A3" w:rsidRDefault="005436A3" w:rsidP="00534FB5">
      <w:pPr>
        <w:jc w:val="center"/>
        <w:rPr>
          <w:b/>
        </w:rPr>
      </w:pPr>
    </w:p>
    <w:p w:rsidR="006C493E" w:rsidRDefault="006C493E" w:rsidP="00534FB5">
      <w:pPr>
        <w:jc w:val="center"/>
        <w:rPr>
          <w:b/>
        </w:rPr>
      </w:pPr>
    </w:p>
    <w:p w:rsidR="00534FB5" w:rsidRDefault="00534FB5" w:rsidP="00534FB5">
      <w:pPr>
        <w:jc w:val="center"/>
        <w:rPr>
          <w:b/>
        </w:rPr>
      </w:pPr>
      <w:r w:rsidRPr="00940C86">
        <w:rPr>
          <w:b/>
        </w:rPr>
        <w:lastRenderedPageBreak/>
        <w:t>ПЕРЕЛІК УМОВНИХ СКОРОЧЕНЬ</w:t>
      </w:r>
      <w:bookmarkEnd w:id="1"/>
    </w:p>
    <w:p w:rsidR="00534FB5" w:rsidRPr="00940C86" w:rsidRDefault="00534FB5" w:rsidP="00534FB5">
      <w:pPr>
        <w:jc w:val="center"/>
        <w:rPr>
          <w:b/>
        </w:rPr>
      </w:pPr>
    </w:p>
    <w:tbl>
      <w:tblPr>
        <w:tblW w:w="0" w:type="auto"/>
        <w:jc w:val="center"/>
        <w:tblLayout w:type="fixed"/>
        <w:tblLook w:val="0000"/>
      </w:tblPr>
      <w:tblGrid>
        <w:gridCol w:w="1862"/>
        <w:gridCol w:w="7289"/>
      </w:tblGrid>
      <w:tr w:rsidR="00534FB5" w:rsidRPr="001E7C90" w:rsidTr="00534FB5">
        <w:trPr>
          <w:jc w:val="center"/>
        </w:trPr>
        <w:tc>
          <w:tcPr>
            <w:tcW w:w="1862" w:type="dxa"/>
          </w:tcPr>
          <w:p w:rsidR="00534FB5" w:rsidRPr="00286B40" w:rsidRDefault="00534FB5" w:rsidP="00534FB5">
            <w:pPr>
              <w:pStyle w:val="a8"/>
            </w:pPr>
            <w:r>
              <w:t>АН</w:t>
            </w:r>
            <w:r>
              <w:rPr>
                <w:lang w:val="ru-RU"/>
              </w:rPr>
              <w:t>С</w:t>
            </w:r>
            <w:r>
              <w:t xml:space="preserve">      </w:t>
            </w:r>
            <w:r w:rsidRPr="00940D91">
              <w:t xml:space="preserve"> </w:t>
            </w:r>
          </w:p>
        </w:tc>
        <w:tc>
          <w:tcPr>
            <w:tcW w:w="7289" w:type="dxa"/>
          </w:tcPr>
          <w:p w:rsidR="00534FB5" w:rsidRPr="001E7C90" w:rsidRDefault="00534FB5" w:rsidP="00534FB5">
            <w:pPr>
              <w:pStyle w:val="a8"/>
            </w:pPr>
            <w:r>
              <w:t>а</w:t>
            </w:r>
            <w:r w:rsidRPr="00056C7C">
              <w:t>стено</w:t>
            </w:r>
            <w:r>
              <w:t>-</w:t>
            </w:r>
            <w:r w:rsidRPr="00056C7C">
              <w:t>невротичний синдром</w:t>
            </w:r>
          </w:p>
        </w:tc>
      </w:tr>
      <w:tr w:rsidR="00216232" w:rsidRPr="001E7C90" w:rsidTr="00534FB5">
        <w:trPr>
          <w:jc w:val="center"/>
        </w:trPr>
        <w:tc>
          <w:tcPr>
            <w:tcW w:w="1862" w:type="dxa"/>
          </w:tcPr>
          <w:p w:rsidR="00216232" w:rsidRDefault="00216232" w:rsidP="00534FB5">
            <w:pPr>
              <w:pStyle w:val="a8"/>
            </w:pPr>
            <w:r w:rsidRPr="00CF14A9">
              <w:t>АОС</w:t>
            </w:r>
          </w:p>
        </w:tc>
        <w:tc>
          <w:tcPr>
            <w:tcW w:w="7289" w:type="dxa"/>
          </w:tcPr>
          <w:p w:rsidR="00216232" w:rsidRDefault="00216232" w:rsidP="00534FB5">
            <w:pPr>
              <w:pStyle w:val="a8"/>
            </w:pPr>
            <w:r w:rsidRPr="00CF14A9">
              <w:t>антиоксидантна система</w:t>
            </w:r>
          </w:p>
        </w:tc>
      </w:tr>
      <w:tr w:rsidR="00216232" w:rsidRPr="001E7C90" w:rsidTr="00534FB5">
        <w:trPr>
          <w:jc w:val="center"/>
        </w:trPr>
        <w:tc>
          <w:tcPr>
            <w:tcW w:w="1862" w:type="dxa"/>
          </w:tcPr>
          <w:p w:rsidR="00216232" w:rsidRPr="00CF14A9" w:rsidRDefault="00216232" w:rsidP="00534FB5">
            <w:pPr>
              <w:pStyle w:val="a8"/>
            </w:pPr>
            <w:r w:rsidRPr="008753D4">
              <w:t>АПІ</w:t>
            </w:r>
          </w:p>
        </w:tc>
        <w:tc>
          <w:tcPr>
            <w:tcW w:w="7289" w:type="dxa"/>
          </w:tcPr>
          <w:p w:rsidR="00216232" w:rsidRPr="00CF14A9" w:rsidRDefault="00216232" w:rsidP="00534FB5">
            <w:pPr>
              <w:pStyle w:val="a8"/>
            </w:pPr>
            <w:r w:rsidRPr="008753D4">
              <w:t>антиоксидантно-прооксидантний</w:t>
            </w:r>
            <w:r>
              <w:t xml:space="preserve"> </w:t>
            </w:r>
            <w:r w:rsidRPr="008753D4">
              <w:t>індекс</w:t>
            </w:r>
          </w:p>
        </w:tc>
      </w:tr>
      <w:tr w:rsidR="00534FB5" w:rsidRPr="001E7C90" w:rsidTr="00534FB5">
        <w:trPr>
          <w:jc w:val="center"/>
        </w:trPr>
        <w:tc>
          <w:tcPr>
            <w:tcW w:w="1862" w:type="dxa"/>
          </w:tcPr>
          <w:p w:rsidR="00534FB5" w:rsidRDefault="00534FB5" w:rsidP="00534FB5">
            <w:pPr>
              <w:pStyle w:val="a8"/>
            </w:pPr>
            <w:r w:rsidRPr="00940D91">
              <w:t>ГІ</w:t>
            </w:r>
            <w:r>
              <w:t xml:space="preserve">       </w:t>
            </w:r>
          </w:p>
          <w:p w:rsidR="00534FB5" w:rsidRPr="00940D91" w:rsidRDefault="00534FB5" w:rsidP="00534FB5">
            <w:pPr>
              <w:pStyle w:val="a8"/>
            </w:pPr>
            <w:r w:rsidRPr="00940D91">
              <w:t>ДВГ</w:t>
            </w:r>
            <w:r>
              <w:t xml:space="preserve">       </w:t>
            </w:r>
            <w:r w:rsidRPr="00940D91">
              <w:t xml:space="preserve"> </w:t>
            </w:r>
          </w:p>
        </w:tc>
        <w:tc>
          <w:tcPr>
            <w:tcW w:w="7289" w:type="dxa"/>
          </w:tcPr>
          <w:p w:rsidR="00534FB5" w:rsidRDefault="00216232" w:rsidP="00534FB5">
            <w:pPr>
              <w:pStyle w:val="a8"/>
            </w:pPr>
            <w:r>
              <w:t xml:space="preserve">гігієнічний </w:t>
            </w:r>
            <w:r w:rsidR="00534FB5" w:rsidRPr="001E7C90">
              <w:t xml:space="preserve">індекс </w:t>
            </w:r>
          </w:p>
          <w:p w:rsidR="00534FB5" w:rsidRPr="001E7C90" w:rsidRDefault="00534FB5" w:rsidP="00534FB5">
            <w:pPr>
              <w:pStyle w:val="a8"/>
            </w:pPr>
            <w:r>
              <w:t>діти з вродженою глухотою</w:t>
            </w:r>
          </w:p>
        </w:tc>
      </w:tr>
      <w:tr w:rsidR="00534FB5" w:rsidRPr="001E7C90" w:rsidTr="00534FB5">
        <w:trPr>
          <w:jc w:val="center"/>
        </w:trPr>
        <w:tc>
          <w:tcPr>
            <w:tcW w:w="1862" w:type="dxa"/>
          </w:tcPr>
          <w:p w:rsidR="00534FB5" w:rsidRPr="00286B40" w:rsidRDefault="00534FB5" w:rsidP="00534FB5">
            <w:pPr>
              <w:pStyle w:val="a8"/>
            </w:pPr>
            <w:r w:rsidRPr="00940D91">
              <w:t>ДНС</w:t>
            </w:r>
            <w:r>
              <w:t xml:space="preserve">      </w:t>
            </w:r>
            <w:r w:rsidRPr="00940D91">
              <w:t xml:space="preserve"> </w:t>
            </w:r>
          </w:p>
        </w:tc>
        <w:tc>
          <w:tcPr>
            <w:tcW w:w="7289" w:type="dxa"/>
          </w:tcPr>
          <w:p w:rsidR="00534FB5" w:rsidRPr="001E7C90" w:rsidRDefault="00534FB5" w:rsidP="00534FB5">
            <w:pPr>
              <w:pStyle w:val="a8"/>
            </w:pPr>
            <w:r>
              <w:t>діти з нормальним слухом</w:t>
            </w:r>
          </w:p>
        </w:tc>
      </w:tr>
      <w:tr w:rsidR="00534FB5" w:rsidRPr="001E7C90" w:rsidTr="00534FB5">
        <w:trPr>
          <w:jc w:val="center"/>
        </w:trPr>
        <w:tc>
          <w:tcPr>
            <w:tcW w:w="1862" w:type="dxa"/>
          </w:tcPr>
          <w:p w:rsidR="00534FB5" w:rsidRPr="00286B40" w:rsidRDefault="00534FB5" w:rsidP="00534FB5">
            <w:pPr>
              <w:pStyle w:val="a8"/>
              <w:rPr>
                <w:lang w:val="ru-RU"/>
              </w:rPr>
            </w:pPr>
            <w:r w:rsidRPr="00940D91">
              <w:t>КГ</w:t>
            </w:r>
            <w:r>
              <w:rPr>
                <w:lang w:val="ru-RU"/>
              </w:rPr>
              <w:t xml:space="preserve">        </w:t>
            </w:r>
          </w:p>
        </w:tc>
        <w:tc>
          <w:tcPr>
            <w:tcW w:w="7289" w:type="dxa"/>
          </w:tcPr>
          <w:p w:rsidR="00534FB5" w:rsidRPr="001E7C90" w:rsidRDefault="00534FB5" w:rsidP="00534FB5">
            <w:pPr>
              <w:pStyle w:val="a8"/>
            </w:pPr>
            <w:r w:rsidRPr="001E7C90">
              <w:t>контрольна група</w:t>
            </w:r>
          </w:p>
        </w:tc>
      </w:tr>
      <w:tr w:rsidR="00534FB5" w:rsidRPr="001E7C90" w:rsidTr="00534FB5">
        <w:trPr>
          <w:jc w:val="center"/>
        </w:trPr>
        <w:tc>
          <w:tcPr>
            <w:tcW w:w="1862" w:type="dxa"/>
          </w:tcPr>
          <w:p w:rsidR="00534FB5" w:rsidRPr="00286B40" w:rsidRDefault="00534FB5" w:rsidP="00534FB5">
            <w:pPr>
              <w:pStyle w:val="a8"/>
              <w:rPr>
                <w:lang w:val="ru-RU"/>
              </w:rPr>
            </w:pPr>
            <w:r w:rsidRPr="00940D91">
              <w:t>КГ1</w:t>
            </w:r>
            <w:r>
              <w:t xml:space="preserve">       </w:t>
            </w:r>
          </w:p>
        </w:tc>
        <w:tc>
          <w:tcPr>
            <w:tcW w:w="7289" w:type="dxa"/>
          </w:tcPr>
          <w:p w:rsidR="00534FB5" w:rsidRPr="001E7C90" w:rsidRDefault="00534FB5" w:rsidP="00534FB5">
            <w:pPr>
              <w:pStyle w:val="a8"/>
            </w:pPr>
            <w:r w:rsidRPr="001E7C90">
              <w:t xml:space="preserve">перша контрольна група </w:t>
            </w:r>
          </w:p>
        </w:tc>
      </w:tr>
      <w:tr w:rsidR="00534FB5" w:rsidRPr="001E7C90" w:rsidTr="00534FB5">
        <w:trPr>
          <w:jc w:val="center"/>
        </w:trPr>
        <w:tc>
          <w:tcPr>
            <w:tcW w:w="1862" w:type="dxa"/>
          </w:tcPr>
          <w:p w:rsidR="00534FB5" w:rsidRPr="00286B40" w:rsidRDefault="00534FB5" w:rsidP="00534FB5">
            <w:pPr>
              <w:pStyle w:val="a8"/>
              <w:rPr>
                <w:lang w:val="ru-RU"/>
              </w:rPr>
            </w:pPr>
            <w:r w:rsidRPr="00940D91">
              <w:t>КГ2</w:t>
            </w:r>
            <w:r>
              <w:t xml:space="preserve">       </w:t>
            </w:r>
          </w:p>
        </w:tc>
        <w:tc>
          <w:tcPr>
            <w:tcW w:w="7289" w:type="dxa"/>
          </w:tcPr>
          <w:p w:rsidR="00534FB5" w:rsidRPr="001E7C90" w:rsidRDefault="00534FB5" w:rsidP="00534FB5">
            <w:pPr>
              <w:pStyle w:val="a8"/>
            </w:pPr>
            <w:r w:rsidRPr="001E7C90">
              <w:t xml:space="preserve">друга контрольна група </w:t>
            </w:r>
          </w:p>
        </w:tc>
      </w:tr>
      <w:tr w:rsidR="00534FB5" w:rsidRPr="001E7C90" w:rsidTr="00534FB5">
        <w:trPr>
          <w:jc w:val="center"/>
        </w:trPr>
        <w:tc>
          <w:tcPr>
            <w:tcW w:w="1862" w:type="dxa"/>
          </w:tcPr>
          <w:p w:rsidR="00534FB5" w:rsidRPr="00286B40" w:rsidRDefault="00534FB5" w:rsidP="00534FB5">
            <w:pPr>
              <w:pStyle w:val="a8"/>
              <w:rPr>
                <w:lang w:val="ru-RU"/>
              </w:rPr>
            </w:pPr>
            <w:r w:rsidRPr="00940D91">
              <w:t>КГ3</w:t>
            </w:r>
            <w:r>
              <w:t xml:space="preserve">       </w:t>
            </w:r>
          </w:p>
        </w:tc>
        <w:tc>
          <w:tcPr>
            <w:tcW w:w="7289" w:type="dxa"/>
          </w:tcPr>
          <w:p w:rsidR="00534FB5" w:rsidRPr="001E7C90" w:rsidRDefault="00534FB5" w:rsidP="00534FB5">
            <w:pPr>
              <w:pStyle w:val="a8"/>
            </w:pPr>
            <w:r w:rsidRPr="001E7C90">
              <w:t xml:space="preserve">третя контрольна група </w:t>
            </w:r>
          </w:p>
        </w:tc>
      </w:tr>
      <w:tr w:rsidR="00BE7DFF" w:rsidRPr="001E7C90" w:rsidTr="00534FB5">
        <w:trPr>
          <w:jc w:val="center"/>
        </w:trPr>
        <w:tc>
          <w:tcPr>
            <w:tcW w:w="1862" w:type="dxa"/>
          </w:tcPr>
          <w:p w:rsidR="00BE7DFF" w:rsidRPr="00940D91" w:rsidRDefault="00BE7DFF" w:rsidP="00BC370E">
            <w:pPr>
              <w:pStyle w:val="a8"/>
            </w:pPr>
            <w:r w:rsidRPr="00CF14A9">
              <w:t xml:space="preserve">КУО </w:t>
            </w:r>
          </w:p>
        </w:tc>
        <w:tc>
          <w:tcPr>
            <w:tcW w:w="7289" w:type="dxa"/>
          </w:tcPr>
          <w:p w:rsidR="00BE7DFF" w:rsidRPr="001E7C90" w:rsidRDefault="00BC370E" w:rsidP="00BC370E">
            <w:pPr>
              <w:pStyle w:val="a8"/>
            </w:pPr>
            <w:r>
              <w:t>колонієутворювальна одиниця</w:t>
            </w:r>
            <w:r w:rsidR="00BE7DFF" w:rsidRPr="00CF14A9">
              <w:t xml:space="preserve"> </w:t>
            </w:r>
          </w:p>
        </w:tc>
      </w:tr>
      <w:tr w:rsidR="00534FB5" w:rsidRPr="001E7C90" w:rsidTr="00534FB5">
        <w:trPr>
          <w:jc w:val="center"/>
        </w:trPr>
        <w:tc>
          <w:tcPr>
            <w:tcW w:w="1862" w:type="dxa"/>
          </w:tcPr>
          <w:p w:rsidR="00534FB5" w:rsidRPr="00286B40" w:rsidRDefault="00534FB5" w:rsidP="00534FB5">
            <w:pPr>
              <w:pStyle w:val="a8"/>
              <w:rPr>
                <w:lang w:val="ru-RU"/>
              </w:rPr>
            </w:pPr>
            <w:r w:rsidRPr="00940D91">
              <w:rPr>
                <w:shd w:val="clear" w:color="auto" w:fill="FFFFFF"/>
              </w:rPr>
              <w:t>КПЕ</w:t>
            </w:r>
            <w:r>
              <w:rPr>
                <w:shd w:val="clear" w:color="auto" w:fill="FFFFFF"/>
              </w:rPr>
              <w:t xml:space="preserve">      </w:t>
            </w:r>
            <w:r w:rsidRPr="00940D91">
              <w:rPr>
                <w:shd w:val="clear" w:color="auto" w:fill="FFFFFF"/>
              </w:rPr>
              <w:t xml:space="preserve"> </w:t>
            </w:r>
          </w:p>
        </w:tc>
        <w:tc>
          <w:tcPr>
            <w:tcW w:w="7289" w:type="dxa"/>
          </w:tcPr>
          <w:p w:rsidR="00534FB5" w:rsidRPr="001E7C90" w:rsidRDefault="00534FB5" w:rsidP="00534FB5">
            <w:pPr>
              <w:pStyle w:val="a8"/>
            </w:pPr>
            <w:r w:rsidRPr="001E7C90">
              <w:rPr>
                <w:shd w:val="clear" w:color="auto" w:fill="FFFFFF"/>
              </w:rPr>
              <w:t>карієспрофілактичний ефект</w:t>
            </w:r>
          </w:p>
        </w:tc>
      </w:tr>
      <w:tr w:rsidR="00534FB5" w:rsidRPr="001E7C90" w:rsidTr="00534FB5">
        <w:trPr>
          <w:jc w:val="center"/>
        </w:trPr>
        <w:tc>
          <w:tcPr>
            <w:tcW w:w="1862" w:type="dxa"/>
          </w:tcPr>
          <w:p w:rsidR="00534FB5" w:rsidRPr="00286B40" w:rsidRDefault="00534FB5" w:rsidP="00534FB5">
            <w:pPr>
              <w:pStyle w:val="a8"/>
              <w:rPr>
                <w:lang w:val="ru-RU"/>
              </w:rPr>
            </w:pPr>
            <w:r>
              <w:t>ОГ</w:t>
            </w:r>
            <w:r>
              <w:tab/>
            </w:r>
            <w:r w:rsidRPr="00940D91">
              <w:t xml:space="preserve"> </w:t>
            </w:r>
          </w:p>
        </w:tc>
        <w:tc>
          <w:tcPr>
            <w:tcW w:w="7289" w:type="dxa"/>
          </w:tcPr>
          <w:p w:rsidR="00534FB5" w:rsidRPr="001E7C90" w:rsidRDefault="00534FB5" w:rsidP="00534FB5">
            <w:pPr>
              <w:pStyle w:val="a8"/>
            </w:pPr>
            <w:r w:rsidRPr="001E7C90">
              <w:t xml:space="preserve">основна група </w:t>
            </w:r>
          </w:p>
        </w:tc>
      </w:tr>
      <w:tr w:rsidR="00534FB5" w:rsidRPr="001E7C90" w:rsidTr="00534FB5">
        <w:trPr>
          <w:jc w:val="center"/>
        </w:trPr>
        <w:tc>
          <w:tcPr>
            <w:tcW w:w="1862" w:type="dxa"/>
          </w:tcPr>
          <w:p w:rsidR="00534FB5" w:rsidRPr="00286B40" w:rsidRDefault="00534FB5" w:rsidP="00534FB5">
            <w:pPr>
              <w:pStyle w:val="a8"/>
              <w:rPr>
                <w:lang w:val="ru-RU"/>
              </w:rPr>
            </w:pPr>
            <w:r>
              <w:t>ОГ</w:t>
            </w:r>
            <w:r>
              <w:rPr>
                <w:lang w:val="ru-RU"/>
              </w:rPr>
              <w:t xml:space="preserve">1           </w:t>
            </w:r>
            <w:r>
              <w:t xml:space="preserve">    </w:t>
            </w:r>
          </w:p>
        </w:tc>
        <w:tc>
          <w:tcPr>
            <w:tcW w:w="7289" w:type="dxa"/>
          </w:tcPr>
          <w:p w:rsidR="00534FB5" w:rsidRPr="001E7C90" w:rsidRDefault="00534FB5" w:rsidP="00534FB5">
            <w:pPr>
              <w:pStyle w:val="a8"/>
            </w:pPr>
            <w:r w:rsidRPr="001E7C90">
              <w:t xml:space="preserve">перша основна група </w:t>
            </w:r>
          </w:p>
        </w:tc>
      </w:tr>
      <w:tr w:rsidR="00534FB5" w:rsidRPr="001E7C90" w:rsidTr="00534FB5">
        <w:trPr>
          <w:jc w:val="center"/>
        </w:trPr>
        <w:tc>
          <w:tcPr>
            <w:tcW w:w="1862" w:type="dxa"/>
          </w:tcPr>
          <w:p w:rsidR="00534FB5" w:rsidRPr="00286B40" w:rsidRDefault="00534FB5" w:rsidP="00534FB5">
            <w:pPr>
              <w:pStyle w:val="a8"/>
              <w:rPr>
                <w:lang w:val="ru-RU"/>
              </w:rPr>
            </w:pPr>
            <w:r w:rsidRPr="00940D91">
              <w:t>ОГ2</w:t>
            </w:r>
            <w:r>
              <w:t xml:space="preserve">       </w:t>
            </w:r>
          </w:p>
        </w:tc>
        <w:tc>
          <w:tcPr>
            <w:tcW w:w="7289" w:type="dxa"/>
          </w:tcPr>
          <w:p w:rsidR="00534FB5" w:rsidRPr="001E7C90" w:rsidRDefault="00534FB5" w:rsidP="00534FB5">
            <w:pPr>
              <w:pStyle w:val="a8"/>
            </w:pPr>
            <w:r w:rsidRPr="001E7C90">
              <w:t xml:space="preserve">друга основна група </w:t>
            </w:r>
          </w:p>
        </w:tc>
      </w:tr>
      <w:tr w:rsidR="00534FB5" w:rsidRPr="001E7C90" w:rsidTr="00534FB5">
        <w:trPr>
          <w:jc w:val="center"/>
        </w:trPr>
        <w:tc>
          <w:tcPr>
            <w:tcW w:w="1862" w:type="dxa"/>
          </w:tcPr>
          <w:p w:rsidR="00534FB5" w:rsidRPr="00286B40" w:rsidRDefault="00534FB5" w:rsidP="00534FB5">
            <w:pPr>
              <w:pStyle w:val="a8"/>
              <w:rPr>
                <w:lang w:val="ru-RU"/>
              </w:rPr>
            </w:pPr>
            <w:r w:rsidRPr="00940D91">
              <w:t>ОГ3</w:t>
            </w:r>
            <w:r w:rsidRPr="00940D91">
              <w:rPr>
                <w:lang w:val="ru-RU"/>
              </w:rPr>
              <w:tab/>
              <w:t xml:space="preserve"> </w:t>
            </w:r>
          </w:p>
        </w:tc>
        <w:tc>
          <w:tcPr>
            <w:tcW w:w="7289" w:type="dxa"/>
          </w:tcPr>
          <w:p w:rsidR="00534FB5" w:rsidRPr="001E7C90" w:rsidRDefault="00534FB5" w:rsidP="00534FB5">
            <w:pPr>
              <w:pStyle w:val="a8"/>
            </w:pPr>
            <w:r w:rsidRPr="001E7C90">
              <w:t xml:space="preserve">третя основна група </w:t>
            </w:r>
          </w:p>
        </w:tc>
      </w:tr>
      <w:tr w:rsidR="00534FB5" w:rsidRPr="001E7C90" w:rsidTr="00534FB5">
        <w:trPr>
          <w:jc w:val="center"/>
        </w:trPr>
        <w:tc>
          <w:tcPr>
            <w:tcW w:w="1862" w:type="dxa"/>
          </w:tcPr>
          <w:p w:rsidR="00534FB5" w:rsidRPr="00286B40" w:rsidRDefault="00534FB5" w:rsidP="00534FB5">
            <w:pPr>
              <w:pStyle w:val="a8"/>
              <w:rPr>
                <w:lang w:val="ru-RU"/>
              </w:rPr>
            </w:pPr>
            <w:r w:rsidRPr="00940D91">
              <w:t>ОГа</w:t>
            </w:r>
            <w:r>
              <w:t xml:space="preserve">       </w:t>
            </w:r>
          </w:p>
        </w:tc>
        <w:tc>
          <w:tcPr>
            <w:tcW w:w="7289" w:type="dxa"/>
          </w:tcPr>
          <w:p w:rsidR="00534FB5" w:rsidRPr="003537AB" w:rsidRDefault="00534FB5" w:rsidP="00534FB5">
            <w:pPr>
              <w:pStyle w:val="a8"/>
              <w:rPr>
                <w:lang w:val="ru-RU"/>
              </w:rPr>
            </w:pPr>
            <w:r w:rsidRPr="001E7C90">
              <w:t>основна група</w:t>
            </w:r>
            <w:r>
              <w:t>,</w:t>
            </w:r>
            <w:r w:rsidRPr="001E7C90">
              <w:t xml:space="preserve"> підгрупа </w:t>
            </w:r>
            <w:r w:rsidR="005840BB">
              <w:rPr>
                <w:lang w:val="ru-RU"/>
              </w:rPr>
              <w:t>«А»</w:t>
            </w:r>
          </w:p>
        </w:tc>
      </w:tr>
      <w:tr w:rsidR="00534FB5" w:rsidRPr="001E7C90" w:rsidTr="00534FB5">
        <w:trPr>
          <w:jc w:val="center"/>
        </w:trPr>
        <w:tc>
          <w:tcPr>
            <w:tcW w:w="1862" w:type="dxa"/>
          </w:tcPr>
          <w:p w:rsidR="00534FB5" w:rsidRPr="00286B40" w:rsidRDefault="00534FB5" w:rsidP="00534FB5">
            <w:pPr>
              <w:pStyle w:val="a8"/>
              <w:rPr>
                <w:lang w:val="ru-RU"/>
              </w:rPr>
            </w:pPr>
            <w:r w:rsidRPr="00940D91">
              <w:t>ОГб</w:t>
            </w:r>
            <w:r>
              <w:t xml:space="preserve">       </w:t>
            </w:r>
          </w:p>
        </w:tc>
        <w:tc>
          <w:tcPr>
            <w:tcW w:w="7289" w:type="dxa"/>
          </w:tcPr>
          <w:p w:rsidR="00534FB5" w:rsidRPr="003537AB" w:rsidRDefault="00534FB5" w:rsidP="00534FB5">
            <w:pPr>
              <w:pStyle w:val="a8"/>
              <w:rPr>
                <w:lang w:val="ru-RU"/>
              </w:rPr>
            </w:pPr>
            <w:r w:rsidRPr="001E7C90">
              <w:t>основна група</w:t>
            </w:r>
            <w:r>
              <w:t>,</w:t>
            </w:r>
            <w:r w:rsidRPr="001E7C90">
              <w:t xml:space="preserve"> підгрупа </w:t>
            </w:r>
            <w:r w:rsidR="005840BB">
              <w:rPr>
                <w:lang w:val="ru-RU"/>
              </w:rPr>
              <w:t>«Б»</w:t>
            </w:r>
          </w:p>
        </w:tc>
      </w:tr>
      <w:tr w:rsidR="00BE7DFF" w:rsidRPr="001E7C90" w:rsidTr="00534FB5">
        <w:trPr>
          <w:jc w:val="center"/>
        </w:trPr>
        <w:tc>
          <w:tcPr>
            <w:tcW w:w="1862" w:type="dxa"/>
          </w:tcPr>
          <w:p w:rsidR="00BE7DFF" w:rsidRPr="00940D91" w:rsidRDefault="00BE7DFF" w:rsidP="00534FB5">
            <w:pPr>
              <w:pStyle w:val="a8"/>
            </w:pPr>
            <w:r w:rsidRPr="00BE7DFF">
              <w:t>ПОЛ</w:t>
            </w:r>
          </w:p>
        </w:tc>
        <w:tc>
          <w:tcPr>
            <w:tcW w:w="7289" w:type="dxa"/>
          </w:tcPr>
          <w:p w:rsidR="00BE7DFF" w:rsidRPr="001E7C90" w:rsidRDefault="00BE7DFF" w:rsidP="00534FB5">
            <w:pPr>
              <w:pStyle w:val="a8"/>
            </w:pPr>
            <w:r>
              <w:t>п</w:t>
            </w:r>
            <w:r w:rsidRPr="00CF14A9">
              <w:t>ерекисне</w:t>
            </w:r>
            <w:r>
              <w:t xml:space="preserve"> </w:t>
            </w:r>
            <w:r w:rsidRPr="00CF14A9">
              <w:t>окислення</w:t>
            </w:r>
            <w:r>
              <w:t xml:space="preserve"> </w:t>
            </w:r>
            <w:r w:rsidRPr="00CF14A9">
              <w:t>ліпідів</w:t>
            </w:r>
          </w:p>
        </w:tc>
      </w:tr>
      <w:tr w:rsidR="00BE7DFF" w:rsidRPr="001E7C90" w:rsidTr="00534FB5">
        <w:trPr>
          <w:jc w:val="center"/>
        </w:trPr>
        <w:tc>
          <w:tcPr>
            <w:tcW w:w="1862" w:type="dxa"/>
          </w:tcPr>
          <w:p w:rsidR="00BE7DFF" w:rsidRPr="00BE7DFF" w:rsidRDefault="00BE7DFF" w:rsidP="00534FB5">
            <w:pPr>
              <w:pStyle w:val="a8"/>
            </w:pPr>
            <w:r w:rsidRPr="00CF14A9">
              <w:t>СОД</w:t>
            </w:r>
          </w:p>
        </w:tc>
        <w:tc>
          <w:tcPr>
            <w:tcW w:w="7289" w:type="dxa"/>
          </w:tcPr>
          <w:p w:rsidR="00BE7DFF" w:rsidRDefault="00BE7DFF" w:rsidP="00534FB5">
            <w:pPr>
              <w:pStyle w:val="a8"/>
            </w:pPr>
            <w:r w:rsidRPr="00CF14A9">
              <w:t>супероксиддисмутаза</w:t>
            </w:r>
          </w:p>
        </w:tc>
      </w:tr>
      <w:tr w:rsidR="00BE7DFF" w:rsidRPr="001E7C90" w:rsidTr="00534FB5">
        <w:trPr>
          <w:jc w:val="center"/>
        </w:trPr>
        <w:tc>
          <w:tcPr>
            <w:tcW w:w="1862" w:type="dxa"/>
          </w:tcPr>
          <w:p w:rsidR="00BE7DFF" w:rsidRPr="00CF14A9" w:rsidRDefault="00BE7DFF" w:rsidP="00534FB5">
            <w:pPr>
              <w:pStyle w:val="a8"/>
            </w:pPr>
            <w:r w:rsidRPr="00CF14A9">
              <w:t>ТБК</w:t>
            </w:r>
            <w:r w:rsidR="00A75C92">
              <w:t>-АП</w:t>
            </w:r>
            <w:r w:rsidRPr="00CF14A9">
              <w:t xml:space="preserve">  </w:t>
            </w:r>
          </w:p>
        </w:tc>
        <w:tc>
          <w:tcPr>
            <w:tcW w:w="7289" w:type="dxa"/>
          </w:tcPr>
          <w:p w:rsidR="00BE7DFF" w:rsidRPr="00CF14A9" w:rsidRDefault="00BE7DFF" w:rsidP="00534FB5">
            <w:pPr>
              <w:pStyle w:val="a8"/>
            </w:pPr>
            <w:r>
              <w:t>т</w:t>
            </w:r>
            <w:r w:rsidRPr="00CF14A9">
              <w:t>іобарбітурактивні</w:t>
            </w:r>
            <w:r>
              <w:t xml:space="preserve"> </w:t>
            </w:r>
            <w:r w:rsidR="00A75C92">
              <w:t>продукти</w:t>
            </w:r>
          </w:p>
        </w:tc>
      </w:tr>
      <w:tr w:rsidR="00534FB5" w:rsidRPr="001E7C90" w:rsidTr="00534FB5">
        <w:trPr>
          <w:jc w:val="center"/>
        </w:trPr>
        <w:tc>
          <w:tcPr>
            <w:tcW w:w="1862" w:type="dxa"/>
          </w:tcPr>
          <w:p w:rsidR="00534FB5" w:rsidRPr="00940D91" w:rsidRDefault="00534FB5" w:rsidP="00534FB5">
            <w:pPr>
              <w:pStyle w:val="a8"/>
            </w:pPr>
            <w:r w:rsidRPr="00940D91">
              <w:t>ШС</w:t>
            </w:r>
            <w:r>
              <w:t xml:space="preserve">       </w:t>
            </w:r>
            <w:r w:rsidRPr="00940D91">
              <w:t xml:space="preserve"> </w:t>
            </w:r>
          </w:p>
        </w:tc>
        <w:tc>
          <w:tcPr>
            <w:tcW w:w="7289" w:type="dxa"/>
          </w:tcPr>
          <w:p w:rsidR="00534FB5" w:rsidRPr="001E7C90" w:rsidRDefault="00534FB5" w:rsidP="00534FB5">
            <w:pPr>
              <w:pStyle w:val="a8"/>
            </w:pPr>
            <w:r w:rsidRPr="001E7C90">
              <w:t xml:space="preserve">швидкість слиновиділення </w:t>
            </w:r>
          </w:p>
        </w:tc>
      </w:tr>
      <w:tr w:rsidR="00534FB5" w:rsidRPr="001E7C90" w:rsidTr="00534FB5">
        <w:trPr>
          <w:jc w:val="center"/>
        </w:trPr>
        <w:tc>
          <w:tcPr>
            <w:tcW w:w="1862" w:type="dxa"/>
          </w:tcPr>
          <w:p w:rsidR="00534FB5" w:rsidRPr="00286B40" w:rsidRDefault="00534FB5" w:rsidP="00534FB5">
            <w:pPr>
              <w:pStyle w:val="a8"/>
              <w:rPr>
                <w:lang w:val="ru-RU"/>
              </w:rPr>
            </w:pPr>
            <w:r w:rsidRPr="00940D91">
              <w:rPr>
                <w:shd w:val="clear" w:color="auto" w:fill="FFFFFF"/>
              </w:rPr>
              <w:t>CPITN</w:t>
            </w:r>
            <w:r>
              <w:rPr>
                <w:shd w:val="clear" w:color="auto" w:fill="FFFFFF"/>
              </w:rPr>
              <w:t xml:space="preserve">     </w:t>
            </w:r>
          </w:p>
        </w:tc>
        <w:tc>
          <w:tcPr>
            <w:tcW w:w="7289" w:type="dxa"/>
          </w:tcPr>
          <w:p w:rsidR="00534FB5" w:rsidRDefault="00534FB5" w:rsidP="00534FB5">
            <w:pPr>
              <w:pStyle w:val="a8"/>
              <w:rPr>
                <w:shd w:val="clear" w:color="auto" w:fill="FFFFFF"/>
                <w:lang w:val="ru-RU"/>
              </w:rPr>
            </w:pPr>
            <w:r w:rsidRPr="001E7C90">
              <w:rPr>
                <w:shd w:val="clear" w:color="auto" w:fill="FFFFFF"/>
              </w:rPr>
              <w:t>комунальний і</w:t>
            </w:r>
            <w:r>
              <w:rPr>
                <w:shd w:val="clear" w:color="auto" w:fill="FFFFFF"/>
              </w:rPr>
              <w:t xml:space="preserve">ндекс потреби в лікуванні захворювань </w:t>
            </w:r>
            <w:r>
              <w:rPr>
                <w:shd w:val="clear" w:color="auto" w:fill="FFFFFF"/>
                <w:lang w:val="ru-RU"/>
              </w:rPr>
              <w:t xml:space="preserve">  </w:t>
            </w:r>
          </w:p>
          <w:p w:rsidR="00534FB5" w:rsidRPr="001E7C90" w:rsidRDefault="00534FB5" w:rsidP="00534FB5">
            <w:pPr>
              <w:pStyle w:val="a8"/>
            </w:pPr>
            <w:r w:rsidRPr="001E7C90">
              <w:rPr>
                <w:shd w:val="clear" w:color="auto" w:fill="FFFFFF"/>
              </w:rPr>
              <w:t>пародонт</w:t>
            </w:r>
            <w:r>
              <w:rPr>
                <w:shd w:val="clear" w:color="auto" w:fill="FFFFFF"/>
              </w:rPr>
              <w:t>а</w:t>
            </w:r>
          </w:p>
        </w:tc>
      </w:tr>
      <w:tr w:rsidR="00534FB5" w:rsidRPr="001E7C90" w:rsidTr="00534FB5">
        <w:trPr>
          <w:jc w:val="center"/>
        </w:trPr>
        <w:tc>
          <w:tcPr>
            <w:tcW w:w="1862" w:type="dxa"/>
          </w:tcPr>
          <w:p w:rsidR="00534FB5" w:rsidRPr="00286B40" w:rsidRDefault="00534FB5" w:rsidP="00534FB5">
            <w:pPr>
              <w:pStyle w:val="a8"/>
              <w:rPr>
                <w:lang w:val="ru-RU"/>
              </w:rPr>
            </w:pPr>
            <w:r w:rsidRPr="00940D91">
              <w:t>РМА</w:t>
            </w:r>
            <w:r>
              <w:t xml:space="preserve">      </w:t>
            </w:r>
          </w:p>
        </w:tc>
        <w:tc>
          <w:tcPr>
            <w:tcW w:w="7289" w:type="dxa"/>
          </w:tcPr>
          <w:p w:rsidR="00534FB5" w:rsidRPr="001E7C90" w:rsidRDefault="00534FB5" w:rsidP="00534FB5">
            <w:pPr>
              <w:pStyle w:val="a8"/>
            </w:pPr>
            <w:r w:rsidRPr="001E7C90">
              <w:t>папілярно-маргінально-альвеолярн</w:t>
            </w:r>
            <w:r>
              <w:t>и</w:t>
            </w:r>
            <w:r w:rsidRPr="001E7C90">
              <w:t>й індекс</w:t>
            </w:r>
          </w:p>
        </w:tc>
      </w:tr>
      <w:tr w:rsidR="00534FB5" w:rsidRPr="001E7C90" w:rsidTr="00534FB5">
        <w:trPr>
          <w:jc w:val="center"/>
        </w:trPr>
        <w:tc>
          <w:tcPr>
            <w:tcW w:w="1862" w:type="dxa"/>
          </w:tcPr>
          <w:p w:rsidR="00534FB5" w:rsidRPr="00286B40" w:rsidRDefault="00534FB5" w:rsidP="00534FB5">
            <w:pPr>
              <w:pStyle w:val="a8"/>
              <w:rPr>
                <w:lang w:val="ru-RU"/>
              </w:rPr>
            </w:pPr>
            <w:r w:rsidRPr="00940D91">
              <w:rPr>
                <w:rStyle w:val="a9"/>
                <w:bCs/>
                <w:i w:val="0"/>
                <w:iCs w:val="0"/>
                <w:color w:val="000000"/>
                <w:szCs w:val="28"/>
              </w:rPr>
              <w:t>sIgA</w:t>
            </w:r>
            <w:r>
              <w:rPr>
                <w:lang w:val="ru-RU"/>
              </w:rPr>
              <w:tab/>
            </w:r>
            <w:r w:rsidRPr="00940D91">
              <w:t xml:space="preserve"> </w:t>
            </w:r>
          </w:p>
        </w:tc>
        <w:tc>
          <w:tcPr>
            <w:tcW w:w="7289" w:type="dxa"/>
          </w:tcPr>
          <w:p w:rsidR="00534FB5" w:rsidRPr="001E7C90" w:rsidRDefault="00534FB5" w:rsidP="00534FB5">
            <w:pPr>
              <w:pStyle w:val="a8"/>
            </w:pPr>
            <w:r w:rsidRPr="001E7C90">
              <w:t xml:space="preserve">секреторний імуноглобулін А </w:t>
            </w:r>
          </w:p>
        </w:tc>
      </w:tr>
    </w:tbl>
    <w:p w:rsidR="00534FB5" w:rsidRDefault="00534FB5" w:rsidP="00534FB5"/>
    <w:p w:rsidR="00534FB5" w:rsidRPr="008753D4" w:rsidRDefault="00534FB5" w:rsidP="00534FB5">
      <w:pPr>
        <w:pStyle w:val="1"/>
        <w:spacing w:before="0" w:after="0"/>
        <w:contextualSpacing/>
        <w:rPr>
          <w:rFonts w:ascii="Times New Roman" w:hAnsi="Times New Roman"/>
          <w:sz w:val="28"/>
          <w:szCs w:val="28"/>
        </w:rPr>
      </w:pPr>
      <w:r>
        <w:br w:type="page"/>
      </w:r>
      <w:bookmarkStart w:id="2" w:name="_Toc128410329"/>
      <w:r w:rsidRPr="008753D4">
        <w:rPr>
          <w:rFonts w:ascii="Times New Roman" w:hAnsi="Times New Roman"/>
          <w:sz w:val="28"/>
          <w:szCs w:val="28"/>
        </w:rPr>
        <w:lastRenderedPageBreak/>
        <w:t>ВСТУП</w:t>
      </w:r>
      <w:bookmarkEnd w:id="2"/>
    </w:p>
    <w:p w:rsidR="00534FB5" w:rsidRPr="008753D4" w:rsidRDefault="00534FB5" w:rsidP="00534FB5">
      <w:pPr>
        <w:ind w:firstLine="709"/>
        <w:contextualSpacing/>
      </w:pPr>
    </w:p>
    <w:p w:rsidR="003B2153" w:rsidRPr="003B2153" w:rsidRDefault="00534FB5" w:rsidP="00A85A82">
      <w:pPr>
        <w:ind w:firstLine="709"/>
        <w:contextualSpacing/>
      </w:pPr>
      <w:r w:rsidRPr="008753D4">
        <w:rPr>
          <w:b/>
        </w:rPr>
        <w:t xml:space="preserve">Актуальність теми. </w:t>
      </w:r>
      <w:r w:rsidRPr="008753D4">
        <w:t xml:space="preserve">Дитяча інвалідність </w:t>
      </w:r>
      <w:r>
        <w:t>–</w:t>
      </w:r>
      <w:r w:rsidRPr="008753D4">
        <w:t xml:space="preserve"> одна з найгостріших медико-соціальних проблем сучасного суспільства. За даними Всесвітньої організації охорони здоров</w:t>
      </w:r>
      <w:r>
        <w:t>’</w:t>
      </w:r>
      <w:r w:rsidRPr="008753D4">
        <w:t>я</w:t>
      </w:r>
      <w:r>
        <w:t>,</w:t>
      </w:r>
      <w:r w:rsidRPr="008753D4">
        <w:t xml:space="preserve"> </w:t>
      </w:r>
      <w:r w:rsidR="004C2D4A" w:rsidRPr="006348FE">
        <w:rPr>
          <w:color w:val="000000" w:themeColor="text1"/>
        </w:rPr>
        <w:t>на 2015 рік</w:t>
      </w:r>
      <w:r w:rsidR="00A15B28">
        <w:rPr>
          <w:color w:val="000000" w:themeColor="text1"/>
        </w:rPr>
        <w:t xml:space="preserve"> </w:t>
      </w:r>
      <w:r w:rsidR="00A15B28">
        <w:t>у</w:t>
      </w:r>
      <w:r w:rsidR="00A15B28" w:rsidRPr="008753D4">
        <w:t xml:space="preserve"> світі</w:t>
      </w:r>
      <w:r w:rsidR="004C2D4A" w:rsidRPr="008753D4">
        <w:t xml:space="preserve"> </w:t>
      </w:r>
      <w:r w:rsidRPr="008753D4">
        <w:t xml:space="preserve">нараховується більш як </w:t>
      </w:r>
      <w:r w:rsidR="004C2D4A">
        <w:t>328 </w:t>
      </w:r>
      <w:r w:rsidR="004C2D4A" w:rsidRPr="006348FE">
        <w:t>мільйонів дорослих та 32 мільйони</w:t>
      </w:r>
      <w:r w:rsidR="004C2D4A">
        <w:t xml:space="preserve"> дітей</w:t>
      </w:r>
      <w:r w:rsidR="004C2D4A" w:rsidRPr="008753D4">
        <w:t xml:space="preserve"> </w:t>
      </w:r>
      <w:r w:rsidR="00A85A82">
        <w:t>з обмеженою</w:t>
      </w:r>
      <w:r w:rsidRPr="008753D4">
        <w:t xml:space="preserve"> </w:t>
      </w:r>
      <w:r w:rsidR="004C2D4A">
        <w:t>слухов</w:t>
      </w:r>
      <w:r w:rsidR="00A85A82">
        <w:t>ою функцією.</w:t>
      </w:r>
      <w:r w:rsidRPr="008753D4">
        <w:t xml:space="preserve"> В структурі причин дитячої інвалідності вади слуху </w:t>
      </w:r>
      <w:r w:rsidR="00A15B28">
        <w:t xml:space="preserve">становлять </w:t>
      </w:r>
      <w:r w:rsidRPr="008753D4">
        <w:t>12,44 %, займаючи проміжне положення між дитячим цер</w:t>
      </w:r>
      <w:r w:rsidR="00A15B28">
        <w:t>ебральним паралічем (21,02 %) і</w:t>
      </w:r>
      <w:r w:rsidRPr="008753D4">
        <w:t xml:space="preserve"> цукровим діабетом (9,36 %) [23]. </w:t>
      </w:r>
      <w:r w:rsidR="00A15B28">
        <w:t xml:space="preserve">В Україні є близько 300 тисяч </w:t>
      </w:r>
      <w:r w:rsidRPr="008753D4">
        <w:t xml:space="preserve">дітей-інвалідів </w:t>
      </w:r>
      <w:r>
        <w:t>і</w:t>
      </w:r>
      <w:r w:rsidRPr="008753D4">
        <w:t>з порушенням слуху</w:t>
      </w:r>
      <w:r w:rsidR="00A15B28">
        <w:t>,</w:t>
      </w:r>
      <w:r w:rsidRPr="008753D4">
        <w:t xml:space="preserve"> </w:t>
      </w:r>
      <w:r w:rsidR="006B0FF1">
        <w:rPr>
          <w:color w:val="000000" w:themeColor="text1"/>
          <w:shd w:val="clear" w:color="auto" w:fill="FFFFFF"/>
        </w:rPr>
        <w:t>11 </w:t>
      </w:r>
      <w:r w:rsidR="00A85A82">
        <w:rPr>
          <w:color w:val="000000" w:themeColor="text1"/>
          <w:shd w:val="clear" w:color="auto" w:fill="FFFFFF"/>
        </w:rPr>
        <w:t xml:space="preserve">тисяч </w:t>
      </w:r>
      <w:r w:rsidR="00A15B28">
        <w:rPr>
          <w:color w:val="000000" w:themeColor="text1"/>
          <w:shd w:val="clear" w:color="auto" w:fill="FFFFFF"/>
        </w:rPr>
        <w:t>і</w:t>
      </w:r>
      <w:r w:rsidR="00A85A82">
        <w:rPr>
          <w:color w:val="000000" w:themeColor="text1"/>
          <w:shd w:val="clear" w:color="auto" w:fill="FFFFFF"/>
        </w:rPr>
        <w:t xml:space="preserve">з </w:t>
      </w:r>
      <w:r w:rsidR="00A15B28">
        <w:rPr>
          <w:color w:val="000000" w:themeColor="text1"/>
          <w:shd w:val="clear" w:color="auto" w:fill="FFFFFF"/>
        </w:rPr>
        <w:t xml:space="preserve">них </w:t>
      </w:r>
      <w:r w:rsidR="00631305">
        <w:rPr>
          <w:color w:val="000000" w:themeColor="text1"/>
          <w:shd w:val="clear" w:color="auto" w:fill="FFFFFF"/>
        </w:rPr>
        <w:t xml:space="preserve">– </w:t>
      </w:r>
      <w:r w:rsidR="00A85A82">
        <w:rPr>
          <w:color w:val="000000" w:themeColor="text1"/>
          <w:shd w:val="clear" w:color="auto" w:fill="FFFFFF"/>
        </w:rPr>
        <w:t>глухі</w:t>
      </w:r>
      <w:r>
        <w:t>,</w:t>
      </w:r>
      <w:r w:rsidRPr="008753D4">
        <w:t xml:space="preserve"> і цей показник щороку зростає [23]. З тисячі новонароджених одна дитина народжується з тотальною глухотою і ще дві-три дитини втрачають слух протягом перших трьох років життя [57]. </w:t>
      </w:r>
    </w:p>
    <w:p w:rsidR="00A85A82" w:rsidRDefault="00534FB5" w:rsidP="00534FB5">
      <w:pPr>
        <w:ind w:firstLine="709"/>
        <w:contextualSpacing/>
      </w:pPr>
      <w:r w:rsidRPr="008753D4">
        <w:t>Глухота та приглухуватість як хвороба не має локального характеру, вона тісно пов</w:t>
      </w:r>
      <w:r>
        <w:t>’</w:t>
      </w:r>
      <w:r w:rsidRPr="008753D4">
        <w:t xml:space="preserve">язана </w:t>
      </w:r>
      <w:r>
        <w:t>зі</w:t>
      </w:r>
      <w:r w:rsidRPr="008753D4">
        <w:t xml:space="preserve"> станом організму в цілому і супроводжується тими чи іншими функціональними нервово-психічними розладами [74]. </w:t>
      </w:r>
    </w:p>
    <w:p w:rsidR="00A85A82" w:rsidRDefault="00A85A82" w:rsidP="00534FB5">
      <w:pPr>
        <w:ind w:firstLine="709"/>
        <w:contextualSpacing/>
      </w:pPr>
      <w:r>
        <w:t>Психоемоційний розвиток дитини з патологією слуху є своєрідним.</w:t>
      </w:r>
      <w:r w:rsidR="00916758">
        <w:t xml:space="preserve"> </w:t>
      </w:r>
      <w:r w:rsidR="00534FB5" w:rsidRPr="008753D4">
        <w:t>Для 80 % хворих сенсорна депривація є надзвичайно сильною психічною травмою. Це призводить до подальшого розвитку неврогенних реакцій різного ступеня важкості, а саме 33 % хворих страждають на неврастенію, 18 %</w:t>
      </w:r>
      <w:r w:rsidR="00534FB5">
        <w:t xml:space="preserve"> – </w:t>
      </w:r>
      <w:r w:rsidR="00534FB5" w:rsidRPr="008753D4">
        <w:t xml:space="preserve">депресивний невроз, 9 % </w:t>
      </w:r>
      <w:r w:rsidR="00534FB5">
        <w:t>–</w:t>
      </w:r>
      <w:r w:rsidR="00534FB5" w:rsidRPr="008753D4">
        <w:t xml:space="preserve"> невроз страху, а у 40 % діагностуються неврозоподібні стани [85]. </w:t>
      </w:r>
    </w:p>
    <w:p w:rsidR="00534FB5" w:rsidRPr="008753D4" w:rsidRDefault="00534FB5" w:rsidP="00534FB5">
      <w:pPr>
        <w:ind w:firstLine="709"/>
        <w:contextualSpacing/>
        <w:rPr>
          <w:spacing w:val="-10"/>
        </w:rPr>
      </w:pPr>
      <w:r w:rsidRPr="008753D4">
        <w:t>Дитина з вадами слуху обмежена в здобуванні важливо</w:t>
      </w:r>
      <w:r>
        <w:t>ї</w:t>
      </w:r>
      <w:r w:rsidRPr="008753D4">
        <w:t xml:space="preserve"> сенсорної інформації, контакти з</w:t>
      </w:r>
      <w:r>
        <w:t>і</w:t>
      </w:r>
      <w:r w:rsidRPr="008753D4">
        <w:t xml:space="preserve"> </w:t>
      </w:r>
      <w:r>
        <w:t>всіма навколо</w:t>
      </w:r>
      <w:r w:rsidRPr="008753D4">
        <w:t xml:space="preserve"> ускладнені, відчуваючи це, дитина перебуває в стані постійного психоемоційного напруження [81].</w:t>
      </w:r>
    </w:p>
    <w:p w:rsidR="00534FB5" w:rsidRPr="00A85A82" w:rsidRDefault="00534FB5" w:rsidP="00A85A82">
      <w:pPr>
        <w:ind w:firstLine="709"/>
      </w:pPr>
      <w:r w:rsidRPr="00E0324F">
        <w:t>На початку XX</w:t>
      </w:r>
      <w:r>
        <w:t> </w:t>
      </w:r>
      <w:r w:rsidRPr="00E0324F">
        <w:t>сторіччя академік І. П. Павлов встанов</w:t>
      </w:r>
      <w:r>
        <w:t>ив</w:t>
      </w:r>
      <w:r w:rsidRPr="00E0324F">
        <w:t>, що активність слинних залоз є</w:t>
      </w:r>
      <w:r>
        <w:t xml:space="preserve"> </w:t>
      </w:r>
      <w:r w:rsidRPr="00E0324F">
        <w:t xml:space="preserve">індикатором стану нервової системи. </w:t>
      </w:r>
      <w:r w:rsidRPr="00E0324F">
        <w:rPr>
          <w:rStyle w:val="apple-style-span"/>
        </w:rPr>
        <w:t>Г. Сель</w:t>
      </w:r>
      <w:r>
        <w:rPr>
          <w:rStyle w:val="apple-style-span"/>
        </w:rPr>
        <w:t>є</w:t>
      </w:r>
      <w:r w:rsidRPr="00E0324F">
        <w:rPr>
          <w:rStyle w:val="apple-style-span"/>
        </w:rPr>
        <w:t xml:space="preserve"> </w:t>
      </w:r>
      <w:r w:rsidRPr="00780C45">
        <w:rPr>
          <w:rStyle w:val="apple-style-span"/>
        </w:rPr>
        <w:t>у своїх дослідах</w:t>
      </w:r>
      <w:r w:rsidRPr="00E0324F">
        <w:rPr>
          <w:rStyle w:val="apple-style-span"/>
        </w:rPr>
        <w:t xml:space="preserve"> показав, що у відповідь на дію стресору відбуваються зміни у перебігу фізіологічних та біохімічних процесів. Викид до кровоносного</w:t>
      </w:r>
      <w:r w:rsidRPr="008753D4">
        <w:rPr>
          <w:rStyle w:val="apple-style-span"/>
          <w:color w:val="000000"/>
        </w:rPr>
        <w:t xml:space="preserve"> русла </w:t>
      </w:r>
      <w:r w:rsidRPr="008753D4">
        <w:rPr>
          <w:color w:val="130E04"/>
        </w:rPr>
        <w:lastRenderedPageBreak/>
        <w:t>адреналіну, норадреналіну</w:t>
      </w:r>
      <w:r>
        <w:rPr>
          <w:color w:val="130E04"/>
        </w:rPr>
        <w:t xml:space="preserve"> </w:t>
      </w:r>
      <w:r w:rsidRPr="008753D4">
        <w:rPr>
          <w:color w:val="130E04"/>
        </w:rPr>
        <w:t xml:space="preserve">та їх похідних призводить до підвищення тонусу симпатичної нервової системи. При цьому знижується секреторна функція слинних залоз. </w:t>
      </w:r>
    </w:p>
    <w:p w:rsidR="00534FB5" w:rsidRPr="008753D4" w:rsidRDefault="00534FB5" w:rsidP="00534FB5">
      <w:pPr>
        <w:ind w:firstLine="709"/>
      </w:pPr>
      <w:r w:rsidRPr="008753D4">
        <w:t>Більшість досліджень, присвячених розкриттю механізмів виникнення та розвитку основних стоматологічних захворювань, відводять певне місце змінам, що відбуваються в ротовій рідині [29, 51]. Слина відповідає за підтримку стабільності мікробної екосистеми в порожнині рота [60]. Важливими її факторами є рівень слиновиділення, консистенція, рН [5], рівень лізоциму,</w:t>
      </w:r>
      <w:r w:rsidRPr="008753D4">
        <w:rPr>
          <w:b/>
          <w:bCs/>
          <w:iCs/>
          <w:color w:val="000000"/>
        </w:rPr>
        <w:t xml:space="preserve"> </w:t>
      </w:r>
      <w:r w:rsidRPr="008753D4">
        <w:rPr>
          <w:bCs/>
          <w:iCs/>
          <w:color w:val="000000"/>
        </w:rPr>
        <w:t>секреторного імуноглобуліну А (</w:t>
      </w:r>
      <w:r w:rsidRPr="008753D4">
        <w:rPr>
          <w:rStyle w:val="a9"/>
          <w:bCs/>
          <w:i w:val="0"/>
          <w:iCs w:val="0"/>
          <w:color w:val="000000"/>
        </w:rPr>
        <w:t>sIgA),</w:t>
      </w:r>
      <w:r w:rsidRPr="008753D4">
        <w:t xml:space="preserve"> активності ферменту уреази тощо [9, 96, 100]. Порушення стабільності фізіологічних властивостей ротової рідини є передумовою розвитку дисбіозу порожнини рота, який відіграє значну роль в патогенезі стоматологічних захворювань, у тому числі карієсу [45] та захворювань пародонта [55, 59].</w:t>
      </w:r>
    </w:p>
    <w:p w:rsidR="00534FB5" w:rsidRPr="008753D4" w:rsidRDefault="00534FB5" w:rsidP="00534FB5">
      <w:pPr>
        <w:ind w:firstLine="709"/>
      </w:pPr>
      <w:r w:rsidRPr="008753D4">
        <w:t>Починаючи з другої половини минулого сторіччя [111, 115, 123, 128, 149] і дотепер [117, 118, 142, 148] не зменшується інтерес до вивчення особливостей стоматологічного здоров</w:t>
      </w:r>
      <w:r>
        <w:t>’</w:t>
      </w:r>
      <w:r w:rsidRPr="008753D4">
        <w:t xml:space="preserve">я та проблем надання стоматологічної допомоги дітям-інвалідам, </w:t>
      </w:r>
      <w:r>
        <w:t>у</w:t>
      </w:r>
      <w:r w:rsidRPr="008753D4">
        <w:t xml:space="preserve"> тому числі з вадами слуху</w:t>
      </w:r>
      <w:r>
        <w:t>,</w:t>
      </w:r>
      <w:r w:rsidRPr="008753D4">
        <w:t xml:space="preserve"> в </w:t>
      </w:r>
      <w:r>
        <w:t>у</w:t>
      </w:r>
      <w:r w:rsidRPr="008753D4">
        <w:t>сьому світі.</w:t>
      </w:r>
    </w:p>
    <w:p w:rsidR="00534FB5" w:rsidRPr="008753D4" w:rsidRDefault="00534FB5" w:rsidP="00534FB5">
      <w:pPr>
        <w:ind w:firstLine="709"/>
      </w:pPr>
      <w:r w:rsidRPr="008753D4">
        <w:rPr>
          <w:color w:val="000000"/>
        </w:rPr>
        <w:t xml:space="preserve">Дані, </w:t>
      </w:r>
      <w:r>
        <w:rPr>
          <w:color w:val="000000"/>
        </w:rPr>
        <w:t>які вдалося</w:t>
      </w:r>
      <w:r w:rsidRPr="008753D4">
        <w:rPr>
          <w:color w:val="000000"/>
        </w:rPr>
        <w:t xml:space="preserve"> отрима</w:t>
      </w:r>
      <w:r>
        <w:rPr>
          <w:color w:val="000000"/>
        </w:rPr>
        <w:t>ти</w:t>
      </w:r>
      <w:r w:rsidRPr="008753D4">
        <w:rPr>
          <w:color w:val="000000"/>
        </w:rPr>
        <w:t xml:space="preserve"> різним авторам, </w:t>
      </w:r>
      <w:r>
        <w:rPr>
          <w:color w:val="000000"/>
        </w:rPr>
        <w:t>ма</w:t>
      </w:r>
      <w:r w:rsidRPr="008753D4">
        <w:rPr>
          <w:color w:val="000000"/>
        </w:rPr>
        <w:t>ли неоднозначний характер.</w:t>
      </w:r>
      <w:r w:rsidRPr="008753D4">
        <w:t xml:space="preserve"> Суперечливість отриманих результатів пояснюється не тільки різницею у ступені інвалідності, а </w:t>
      </w:r>
      <w:r>
        <w:t>й</w:t>
      </w:r>
      <w:r w:rsidRPr="008753D4">
        <w:t xml:space="preserve"> відмінністю у якості надання стоматологічної допомоги дітям-інвалідам, наявн</w:t>
      </w:r>
      <w:r>
        <w:t>і</w:t>
      </w:r>
      <w:r w:rsidRPr="008753D4">
        <w:t>ст</w:t>
      </w:r>
      <w:r>
        <w:t>ю або відсутністю</w:t>
      </w:r>
      <w:r w:rsidRPr="008753D4">
        <w:t xml:space="preserve"> вільного доступу до медичних закладів, кваліфікаці</w:t>
      </w:r>
      <w:r>
        <w:t>єю</w:t>
      </w:r>
      <w:r w:rsidRPr="008753D4">
        <w:t xml:space="preserve"> медичного персоналу </w:t>
      </w:r>
      <w:r>
        <w:t>в</w:t>
      </w:r>
      <w:r w:rsidRPr="008753D4">
        <w:t xml:space="preserve"> різних країнах [148].</w:t>
      </w:r>
    </w:p>
    <w:p w:rsidR="00534FB5" w:rsidRPr="008753D4" w:rsidRDefault="00534FB5" w:rsidP="00534FB5">
      <w:pPr>
        <w:ind w:firstLine="709"/>
        <w:rPr>
          <w:bCs/>
        </w:rPr>
      </w:pPr>
      <w:r w:rsidRPr="008753D4">
        <w:t xml:space="preserve">У високорозвинених країнах розроблені та впроваджені державні програми профілактики </w:t>
      </w:r>
      <w:r>
        <w:t>й</w:t>
      </w:r>
      <w:r w:rsidRPr="008753D4">
        <w:t xml:space="preserve"> лікування основних стоматологічних захворювань серед дітей-інвалідів, у тому числі з вадами слуху </w:t>
      </w:r>
      <w:r w:rsidRPr="008753D4">
        <w:rPr>
          <w:rStyle w:val="apple-style-span"/>
          <w:color w:val="000000"/>
        </w:rPr>
        <w:t>[124]</w:t>
      </w:r>
      <w:r>
        <w:t>,</w:t>
      </w:r>
      <w:r w:rsidRPr="008753D4">
        <w:t xml:space="preserve"> як</w:t>
      </w:r>
      <w:r>
        <w:t>-от</w:t>
      </w:r>
      <w:r w:rsidRPr="008753D4">
        <w:t xml:space="preserve"> </w:t>
      </w:r>
      <w:r w:rsidRPr="008753D4">
        <w:rPr>
          <w:bCs/>
        </w:rPr>
        <w:t xml:space="preserve">програма профілактики основних стоматологічних захворювань </w:t>
      </w:r>
      <w:r>
        <w:rPr>
          <w:bCs/>
        </w:rPr>
        <w:t>у</w:t>
      </w:r>
      <w:r w:rsidRPr="008753D4">
        <w:rPr>
          <w:bCs/>
        </w:rPr>
        <w:t xml:space="preserve"> групі дітей та підлітків з вадами слуху департаменту охорони здоров</w:t>
      </w:r>
      <w:r>
        <w:rPr>
          <w:bCs/>
        </w:rPr>
        <w:t>’</w:t>
      </w:r>
      <w:r w:rsidRPr="008753D4">
        <w:rPr>
          <w:bCs/>
        </w:rPr>
        <w:t>я м.</w:t>
      </w:r>
      <w:r>
        <w:rPr>
          <w:bCs/>
        </w:rPr>
        <w:t> </w:t>
      </w:r>
      <w:r w:rsidRPr="008753D4">
        <w:rPr>
          <w:bCs/>
        </w:rPr>
        <w:t>Нью-Йорка.</w:t>
      </w:r>
      <w:r w:rsidRPr="008753D4">
        <w:t xml:space="preserve"> В Сполучених Штатах Америки порядок надання стоматологічної допомоги </w:t>
      </w:r>
      <w:r w:rsidRPr="008753D4">
        <w:lastRenderedPageBreak/>
        <w:t xml:space="preserve">інвалідам, у тому числі з вадами слуху, регулюється </w:t>
      </w:r>
      <w:r w:rsidRPr="008753D4">
        <w:rPr>
          <w:rStyle w:val="apple-style-span"/>
          <w:color w:val="000000"/>
        </w:rPr>
        <w:t xml:space="preserve">Актом про американців з вадами (ADA, 1992) [144], </w:t>
      </w:r>
      <w:r>
        <w:rPr>
          <w:rStyle w:val="apple-style-span"/>
          <w:color w:val="000000"/>
        </w:rPr>
        <w:t xml:space="preserve">в </w:t>
      </w:r>
      <w:r w:rsidRPr="00780C45">
        <w:rPr>
          <w:rStyle w:val="apple-style-span"/>
          <w:color w:val="000000"/>
        </w:rPr>
        <w:t>як</w:t>
      </w:r>
      <w:r>
        <w:rPr>
          <w:rStyle w:val="apple-style-span"/>
          <w:color w:val="000000"/>
        </w:rPr>
        <w:t>ому</w:t>
      </w:r>
      <w:r w:rsidRPr="00780C45">
        <w:rPr>
          <w:rStyle w:val="apple-style-span"/>
          <w:color w:val="000000"/>
        </w:rPr>
        <w:t xml:space="preserve"> </w:t>
      </w:r>
      <w:r>
        <w:rPr>
          <w:rStyle w:val="apple-style-span"/>
          <w:color w:val="000000"/>
        </w:rPr>
        <w:t>за</w:t>
      </w:r>
      <w:r w:rsidRPr="00780C45">
        <w:rPr>
          <w:rStyle w:val="apple-style-span"/>
          <w:color w:val="000000"/>
        </w:rPr>
        <w:t>деклар</w:t>
      </w:r>
      <w:r>
        <w:rPr>
          <w:rStyle w:val="apple-style-span"/>
          <w:color w:val="000000"/>
        </w:rPr>
        <w:t>овано</w:t>
      </w:r>
      <w:r w:rsidRPr="008753D4">
        <w:rPr>
          <w:rStyle w:val="apple-style-span"/>
          <w:color w:val="000000"/>
        </w:rPr>
        <w:t xml:space="preserve"> вільн</w:t>
      </w:r>
      <w:r>
        <w:rPr>
          <w:rStyle w:val="apple-style-span"/>
          <w:color w:val="000000"/>
        </w:rPr>
        <w:t>и</w:t>
      </w:r>
      <w:r w:rsidRPr="008753D4">
        <w:rPr>
          <w:rStyle w:val="apple-style-span"/>
          <w:color w:val="000000"/>
        </w:rPr>
        <w:t xml:space="preserve">й доступ приглухуватих та глухих пацієнтів до всіх стоматологічних закладів, </w:t>
      </w:r>
      <w:r>
        <w:rPr>
          <w:rStyle w:val="apple-style-span"/>
          <w:color w:val="000000"/>
        </w:rPr>
        <w:t>зокрема й</w:t>
      </w:r>
      <w:r w:rsidRPr="008753D4">
        <w:rPr>
          <w:rStyle w:val="apple-style-span"/>
          <w:color w:val="000000"/>
        </w:rPr>
        <w:t xml:space="preserve"> приватних, </w:t>
      </w:r>
      <w:r>
        <w:rPr>
          <w:rStyle w:val="apple-style-span"/>
          <w:color w:val="000000"/>
        </w:rPr>
        <w:t>і</w:t>
      </w:r>
      <w:r w:rsidRPr="008753D4">
        <w:rPr>
          <w:rStyle w:val="apple-style-span"/>
          <w:color w:val="000000"/>
        </w:rPr>
        <w:t>з забезпеченням відповідного рівня обслуговування.</w:t>
      </w:r>
      <w:r w:rsidRPr="008753D4">
        <w:rPr>
          <w:bCs/>
        </w:rPr>
        <w:t xml:space="preserve"> Департаментом охорони здоров</w:t>
      </w:r>
      <w:r>
        <w:rPr>
          <w:bCs/>
        </w:rPr>
        <w:t>’</w:t>
      </w:r>
      <w:r w:rsidRPr="008753D4">
        <w:rPr>
          <w:bCs/>
        </w:rPr>
        <w:t>я м.</w:t>
      </w:r>
      <w:r>
        <w:rPr>
          <w:bCs/>
        </w:rPr>
        <w:t> </w:t>
      </w:r>
      <w:r w:rsidRPr="008753D4">
        <w:rPr>
          <w:bCs/>
        </w:rPr>
        <w:t>Лондон</w:t>
      </w:r>
      <w:r>
        <w:rPr>
          <w:bCs/>
        </w:rPr>
        <w:t>а</w:t>
      </w:r>
      <w:r w:rsidRPr="008753D4">
        <w:rPr>
          <w:bCs/>
        </w:rPr>
        <w:t xml:space="preserve"> у 2007</w:t>
      </w:r>
      <w:r>
        <w:rPr>
          <w:bCs/>
        </w:rPr>
        <w:t> </w:t>
      </w:r>
      <w:r w:rsidRPr="008753D4">
        <w:rPr>
          <w:bCs/>
        </w:rPr>
        <w:t>році розроблено та видано практичні рекомендації для лікарів</w:t>
      </w:r>
      <w:r>
        <w:rPr>
          <w:bCs/>
        </w:rPr>
        <w:t>-</w:t>
      </w:r>
      <w:r w:rsidRPr="008753D4">
        <w:rPr>
          <w:bCs/>
        </w:rPr>
        <w:t xml:space="preserve">стоматологів з метою </w:t>
      </w:r>
      <w:r>
        <w:rPr>
          <w:bCs/>
        </w:rPr>
        <w:t>підвищення ефективності</w:t>
      </w:r>
      <w:r w:rsidRPr="008753D4">
        <w:rPr>
          <w:bCs/>
        </w:rPr>
        <w:t xml:space="preserve"> стоматологічної допомоги дітям та дорослим </w:t>
      </w:r>
      <w:r>
        <w:rPr>
          <w:bCs/>
        </w:rPr>
        <w:t>і</w:t>
      </w:r>
      <w:r w:rsidRPr="008753D4">
        <w:rPr>
          <w:bCs/>
        </w:rPr>
        <w:t xml:space="preserve">з особливими потребами </w:t>
      </w:r>
      <w:r w:rsidRPr="008753D4">
        <w:rPr>
          <w:rStyle w:val="apple-style-span"/>
          <w:color w:val="000000"/>
        </w:rPr>
        <w:t>[124]</w:t>
      </w:r>
      <w:r w:rsidRPr="008753D4">
        <w:rPr>
          <w:bCs/>
        </w:rPr>
        <w:t xml:space="preserve">. У США та Європі здійснюється спеціальна підготовка медичного персоналу для надання стоматологічної допомоги дітям з різноманітними вадами. </w:t>
      </w:r>
    </w:p>
    <w:p w:rsidR="00534FB5" w:rsidRPr="004C6935" w:rsidRDefault="00534FB5" w:rsidP="00534FB5">
      <w:pPr>
        <w:ind w:firstLine="709"/>
        <w:rPr>
          <w:rStyle w:val="apple-style-span"/>
          <w:color w:val="000000"/>
          <w:spacing w:val="-10"/>
        </w:rPr>
      </w:pPr>
      <w:r w:rsidRPr="004C6935">
        <w:rPr>
          <w:rStyle w:val="apple-style-span"/>
          <w:color w:val="000000"/>
          <w:spacing w:val="-10"/>
        </w:rPr>
        <w:t xml:space="preserve">Стоматологічний статус та проблеми надання спеціалізованої допомоги дітям-інвалідам, у тому числі з вадами слуху, вивчають науковці </w:t>
      </w:r>
      <w:r w:rsidR="004C6935" w:rsidRPr="004C6935">
        <w:rPr>
          <w:rStyle w:val="apple-style-span"/>
          <w:color w:val="000000"/>
          <w:spacing w:val="-10"/>
        </w:rPr>
        <w:t xml:space="preserve">США [138], </w:t>
      </w:r>
      <w:r w:rsidRPr="004C6935">
        <w:rPr>
          <w:rStyle w:val="apple-style-span"/>
          <w:color w:val="000000"/>
          <w:spacing w:val="-10"/>
        </w:rPr>
        <w:t>Південної Європи [118], Індії [121, 142], Ірану [120], Кувейту [117]</w:t>
      </w:r>
      <w:r w:rsidRPr="004C6935">
        <w:rPr>
          <w:spacing w:val="-10"/>
        </w:rPr>
        <w:t xml:space="preserve">, </w:t>
      </w:r>
      <w:r w:rsidRPr="004C6935">
        <w:rPr>
          <w:rStyle w:val="apple-style-span"/>
          <w:color w:val="000000"/>
          <w:spacing w:val="-10"/>
        </w:rPr>
        <w:t>Танзанії [148].</w:t>
      </w:r>
    </w:p>
    <w:p w:rsidR="00534FB5" w:rsidRDefault="00534FB5" w:rsidP="00534FB5">
      <w:pPr>
        <w:ind w:firstLine="709"/>
        <w:rPr>
          <w:rStyle w:val="apple-style-span"/>
          <w:color w:val="000000"/>
          <w:lang w:val="ru-RU"/>
        </w:rPr>
      </w:pPr>
      <w:r w:rsidRPr="008753D4">
        <w:rPr>
          <w:rStyle w:val="apple-style-span"/>
          <w:color w:val="000000"/>
        </w:rPr>
        <w:t xml:space="preserve">В Україні стоматологічний статус та проблеми надання стоматологічної допомоги дітям </w:t>
      </w:r>
      <w:r>
        <w:rPr>
          <w:rStyle w:val="apple-style-span"/>
          <w:color w:val="000000"/>
        </w:rPr>
        <w:t>і</w:t>
      </w:r>
      <w:r w:rsidRPr="008753D4">
        <w:rPr>
          <w:rStyle w:val="apple-style-span"/>
          <w:color w:val="000000"/>
        </w:rPr>
        <w:t>з вадами слуху, зокрема з вродженою глухотою</w:t>
      </w:r>
      <w:r>
        <w:rPr>
          <w:rStyle w:val="apple-style-span"/>
          <w:color w:val="000000"/>
        </w:rPr>
        <w:t>,</w:t>
      </w:r>
      <w:r w:rsidRPr="008753D4">
        <w:rPr>
          <w:rStyle w:val="apple-style-span"/>
          <w:color w:val="000000"/>
        </w:rPr>
        <w:t xml:space="preserve"> є мало вивчені. </w:t>
      </w:r>
    </w:p>
    <w:p w:rsidR="00534FB5" w:rsidRPr="008753D4" w:rsidRDefault="00534FB5" w:rsidP="00534FB5">
      <w:pPr>
        <w:ind w:firstLine="709"/>
      </w:pPr>
      <w:r w:rsidRPr="008753D4">
        <w:rPr>
          <w:rStyle w:val="apple-style-span"/>
          <w:color w:val="000000"/>
        </w:rPr>
        <w:t xml:space="preserve">Протягом останніх років </w:t>
      </w:r>
      <w:r w:rsidRPr="008753D4">
        <w:t>зроблен</w:t>
      </w:r>
      <w:r>
        <w:t>о</w:t>
      </w:r>
      <w:r w:rsidRPr="008753D4">
        <w:t xml:space="preserve"> поодинокі спроби визначити особливості лікарської тактики при наданні стоматологічної допомоги глухонімим пацієнтам [95] та виявити особливості стоматологічного здоров</w:t>
      </w:r>
      <w:r>
        <w:t>’</w:t>
      </w:r>
      <w:r w:rsidRPr="008753D4">
        <w:t xml:space="preserve">я дітей з вадами </w:t>
      </w:r>
      <w:r w:rsidRPr="00780C45">
        <w:t>слуху</w:t>
      </w:r>
      <w:r>
        <w:t>,</w:t>
      </w:r>
      <w:r w:rsidRPr="00780C45">
        <w:t xml:space="preserve"> залежно</w:t>
      </w:r>
      <w:r w:rsidRPr="008753D4">
        <w:t xml:space="preserve"> від віку і статі [76]. </w:t>
      </w:r>
      <w:r>
        <w:t>Однак</w:t>
      </w:r>
      <w:r w:rsidRPr="008753D4">
        <w:t xml:space="preserve"> дотепер не вивчен</w:t>
      </w:r>
      <w:r>
        <w:t>о</w:t>
      </w:r>
      <w:r w:rsidRPr="008753D4">
        <w:t xml:space="preserve"> особливост</w:t>
      </w:r>
      <w:r>
        <w:t>ей</w:t>
      </w:r>
      <w:r w:rsidRPr="008753D4">
        <w:t xml:space="preserve"> стоматологічного статусу, </w:t>
      </w:r>
      <w:r>
        <w:t xml:space="preserve">не </w:t>
      </w:r>
      <w:r w:rsidRPr="008753D4">
        <w:t>розроблен</w:t>
      </w:r>
      <w:r>
        <w:t>о</w:t>
      </w:r>
      <w:r w:rsidRPr="008753D4">
        <w:t xml:space="preserve"> та </w:t>
      </w:r>
      <w:r>
        <w:t xml:space="preserve">не </w:t>
      </w:r>
      <w:r w:rsidRPr="008753D4">
        <w:t>обґрунт</w:t>
      </w:r>
      <w:r>
        <w:t>овано</w:t>
      </w:r>
      <w:r w:rsidRPr="008753D4">
        <w:t xml:space="preserve"> принцип</w:t>
      </w:r>
      <w:r>
        <w:t>ів</w:t>
      </w:r>
      <w:r w:rsidRPr="008753D4">
        <w:t xml:space="preserve"> профілактики та лікування карієсу зубів </w:t>
      </w:r>
      <w:r>
        <w:t>і</w:t>
      </w:r>
      <w:r w:rsidRPr="008753D4">
        <w:t xml:space="preserve"> захворювань тканин пародонта </w:t>
      </w:r>
      <w:r>
        <w:t>в</w:t>
      </w:r>
      <w:r w:rsidRPr="008753D4">
        <w:t xml:space="preserve"> дітей </w:t>
      </w:r>
      <w:r w:rsidR="006C493E">
        <w:t>із вродженою</w:t>
      </w:r>
      <w:r w:rsidRPr="008753D4">
        <w:t xml:space="preserve"> глухотою.</w:t>
      </w:r>
    </w:p>
    <w:p w:rsidR="00534FB5" w:rsidRPr="008753D4" w:rsidRDefault="00534FB5" w:rsidP="00534FB5">
      <w:pPr>
        <w:ind w:firstLine="709"/>
      </w:pPr>
      <w:r w:rsidRPr="008753D4">
        <w:rPr>
          <w:b/>
        </w:rPr>
        <w:t>Зв</w:t>
      </w:r>
      <w:r>
        <w:rPr>
          <w:b/>
        </w:rPr>
        <w:t>’</w:t>
      </w:r>
      <w:r w:rsidRPr="008753D4">
        <w:rPr>
          <w:b/>
        </w:rPr>
        <w:t xml:space="preserve">язок роботи з науковими програмами, планами, темами. </w:t>
      </w:r>
      <w:r w:rsidRPr="008753D4">
        <w:t>Дисертаційне дослідження виконан</w:t>
      </w:r>
      <w:r>
        <w:t>о</w:t>
      </w:r>
      <w:r w:rsidRPr="008753D4">
        <w:t xml:space="preserve"> відповідно до плану науково-дослідної роботи кафедри стоматології Харківського національного медичного університету МОЗ України </w:t>
      </w:r>
      <w:r w:rsidRPr="008753D4">
        <w:rPr>
          <w:bCs/>
          <w:color w:val="000000"/>
          <w:shd w:val="clear" w:color="auto" w:fill="FFFFFF"/>
        </w:rPr>
        <w:t>«Удосконалення та розробка нових індивідуалізованих методів діагностики та лікування стоматологічних захворювань у дітей та дорослих</w:t>
      </w:r>
      <w:r w:rsidR="00FA68BC">
        <w:t>»</w:t>
      </w:r>
      <w:r w:rsidRPr="008753D4">
        <w:t xml:space="preserve"> </w:t>
      </w:r>
      <w:r w:rsidR="00FA68BC">
        <w:t>(</w:t>
      </w:r>
      <w:r w:rsidRPr="008753D4">
        <w:t>державна реєстрація №</w:t>
      </w:r>
      <w:r>
        <w:t> </w:t>
      </w:r>
      <w:r w:rsidRPr="008753D4">
        <w:rPr>
          <w:color w:val="000000"/>
          <w:shd w:val="clear" w:color="auto" w:fill="FFFFFF"/>
        </w:rPr>
        <w:t>0112U002382</w:t>
      </w:r>
      <w:r w:rsidR="00FA68BC">
        <w:rPr>
          <w:color w:val="000000"/>
          <w:shd w:val="clear" w:color="auto" w:fill="FFFFFF"/>
        </w:rPr>
        <w:t>)</w:t>
      </w:r>
      <w:r w:rsidRPr="008753D4">
        <w:t xml:space="preserve">. </w:t>
      </w:r>
      <w:r w:rsidRPr="008753D4">
        <w:lastRenderedPageBreak/>
        <w:t>Автор є безпосереднім виконавцем фрагмент</w:t>
      </w:r>
      <w:r>
        <w:t>а</w:t>
      </w:r>
      <w:r w:rsidRPr="008753D4">
        <w:t xml:space="preserve"> вказаної вище</w:t>
      </w:r>
      <w:r>
        <w:t xml:space="preserve"> </w:t>
      </w:r>
      <w:r w:rsidRPr="008753D4">
        <w:t>теми.</w:t>
      </w:r>
    </w:p>
    <w:p w:rsidR="00534FB5" w:rsidRDefault="00534FB5" w:rsidP="00534FB5">
      <w:pPr>
        <w:ind w:firstLine="709"/>
      </w:pPr>
      <w:r w:rsidRPr="008753D4">
        <w:rPr>
          <w:b/>
        </w:rPr>
        <w:t>Мета дослідження</w:t>
      </w:r>
      <w:r w:rsidR="007E65A3">
        <w:rPr>
          <w:b/>
        </w:rPr>
        <w:t>:</w:t>
      </w:r>
      <w:r w:rsidRPr="008753D4">
        <w:t xml:space="preserve"> підвищення ефективності лікування та профілактики </w:t>
      </w:r>
      <w:r w:rsidRPr="008753D4">
        <w:rPr>
          <w:bCs/>
        </w:rPr>
        <w:t xml:space="preserve">карієсу зубів та захворювань тканин пародонта у дітей </w:t>
      </w:r>
      <w:r w:rsidR="007E65A3">
        <w:rPr>
          <w:bCs/>
        </w:rPr>
        <w:t>з у</w:t>
      </w:r>
      <w:r w:rsidR="006C493E">
        <w:rPr>
          <w:bCs/>
        </w:rPr>
        <w:t>родженою</w:t>
      </w:r>
      <w:r w:rsidRPr="008753D4">
        <w:rPr>
          <w:bCs/>
        </w:rPr>
        <w:t xml:space="preserve"> глухотою </w:t>
      </w:r>
      <w:r w:rsidRPr="008753D4">
        <w:t>шляхом клініко-лабораторного обґрунтування комплексу лікувально-профілактичних заходів.</w:t>
      </w:r>
    </w:p>
    <w:p w:rsidR="00534FB5" w:rsidRPr="008753D4" w:rsidRDefault="00F1209D" w:rsidP="00F1209D">
      <w:pPr>
        <w:ind w:firstLine="709"/>
        <w:contextualSpacing/>
      </w:pPr>
      <w:r>
        <w:t xml:space="preserve">Для досягнення мети поставлено наступні </w:t>
      </w:r>
      <w:r w:rsidRPr="00D317B4">
        <w:rPr>
          <w:b/>
        </w:rPr>
        <w:t>завдання</w:t>
      </w:r>
      <w:r>
        <w:rPr>
          <w:b/>
        </w:rPr>
        <w:t>:</w:t>
      </w:r>
    </w:p>
    <w:p w:rsidR="00534FB5" w:rsidRPr="00E643D3" w:rsidRDefault="00631305" w:rsidP="00241AE3">
      <w:pPr>
        <w:widowControl/>
        <w:numPr>
          <w:ilvl w:val="0"/>
          <w:numId w:val="2"/>
        </w:numPr>
        <w:tabs>
          <w:tab w:val="clear" w:pos="720"/>
          <w:tab w:val="num" w:pos="360"/>
        </w:tabs>
        <w:autoSpaceDE/>
        <w:autoSpaceDN/>
        <w:adjustRightInd/>
        <w:ind w:left="0" w:firstLine="0"/>
        <w:rPr>
          <w:spacing w:val="-10"/>
        </w:rPr>
      </w:pPr>
      <w:r>
        <w:rPr>
          <w:bCs/>
          <w:spacing w:val="-10"/>
        </w:rPr>
        <w:t>в</w:t>
      </w:r>
      <w:r w:rsidRPr="00E643D3">
        <w:rPr>
          <w:bCs/>
          <w:spacing w:val="-10"/>
        </w:rPr>
        <w:t xml:space="preserve">ивчити </w:t>
      </w:r>
      <w:r w:rsidR="00534FB5" w:rsidRPr="00E643D3">
        <w:rPr>
          <w:bCs/>
          <w:spacing w:val="-10"/>
        </w:rPr>
        <w:t xml:space="preserve">стан твердих тканин зубів та пародонта </w:t>
      </w:r>
      <w:r w:rsidR="00F1209D" w:rsidRPr="00E643D3">
        <w:rPr>
          <w:bCs/>
          <w:spacing w:val="-10"/>
        </w:rPr>
        <w:t>у</w:t>
      </w:r>
      <w:r w:rsidR="00534FB5" w:rsidRPr="00E643D3">
        <w:rPr>
          <w:bCs/>
          <w:spacing w:val="-10"/>
        </w:rPr>
        <w:t xml:space="preserve"> дітей </w:t>
      </w:r>
      <w:r w:rsidR="006C493E" w:rsidRPr="00E643D3">
        <w:rPr>
          <w:bCs/>
          <w:spacing w:val="-10"/>
        </w:rPr>
        <w:t>з вродженою</w:t>
      </w:r>
      <w:r w:rsidR="00534FB5" w:rsidRPr="00E643D3">
        <w:rPr>
          <w:bCs/>
          <w:spacing w:val="-10"/>
        </w:rPr>
        <w:t xml:space="preserve"> глухотою;</w:t>
      </w:r>
    </w:p>
    <w:p w:rsidR="00534FB5" w:rsidRPr="00E643D3" w:rsidRDefault="00631305" w:rsidP="00241AE3">
      <w:pPr>
        <w:widowControl/>
        <w:numPr>
          <w:ilvl w:val="0"/>
          <w:numId w:val="2"/>
        </w:numPr>
        <w:tabs>
          <w:tab w:val="clear" w:pos="720"/>
          <w:tab w:val="num" w:pos="360"/>
        </w:tabs>
        <w:autoSpaceDE/>
        <w:autoSpaceDN/>
        <w:adjustRightInd/>
        <w:ind w:left="0" w:firstLine="0"/>
        <w:rPr>
          <w:spacing w:val="-10"/>
        </w:rPr>
      </w:pPr>
      <w:r>
        <w:rPr>
          <w:bCs/>
          <w:spacing w:val="-10"/>
        </w:rPr>
        <w:t>д</w:t>
      </w:r>
      <w:r w:rsidRPr="00E643D3">
        <w:rPr>
          <w:bCs/>
          <w:spacing w:val="-10"/>
        </w:rPr>
        <w:t xml:space="preserve">ослідити </w:t>
      </w:r>
      <w:r w:rsidR="00534FB5" w:rsidRPr="00E643D3">
        <w:rPr>
          <w:bCs/>
          <w:spacing w:val="-10"/>
        </w:rPr>
        <w:t xml:space="preserve">біохімічні та імунологічні властивості ротової рідини у дітей </w:t>
      </w:r>
      <w:r w:rsidR="006C493E" w:rsidRPr="00E643D3">
        <w:rPr>
          <w:bCs/>
          <w:spacing w:val="-10"/>
        </w:rPr>
        <w:t>з вродженою</w:t>
      </w:r>
      <w:r w:rsidR="00534FB5" w:rsidRPr="00E643D3">
        <w:rPr>
          <w:bCs/>
          <w:spacing w:val="-10"/>
        </w:rPr>
        <w:t xml:space="preserve"> глухотою;</w:t>
      </w:r>
    </w:p>
    <w:p w:rsidR="00534FB5" w:rsidRPr="00E643D3" w:rsidRDefault="00631305" w:rsidP="00241AE3">
      <w:pPr>
        <w:widowControl/>
        <w:numPr>
          <w:ilvl w:val="0"/>
          <w:numId w:val="2"/>
        </w:numPr>
        <w:tabs>
          <w:tab w:val="clear" w:pos="720"/>
          <w:tab w:val="num" w:pos="360"/>
        </w:tabs>
        <w:autoSpaceDE/>
        <w:autoSpaceDN/>
        <w:adjustRightInd/>
        <w:ind w:left="0" w:firstLine="0"/>
        <w:rPr>
          <w:spacing w:val="-10"/>
        </w:rPr>
      </w:pPr>
      <w:r>
        <w:rPr>
          <w:bCs/>
          <w:spacing w:val="-10"/>
        </w:rPr>
        <w:t>п</w:t>
      </w:r>
      <w:r w:rsidRPr="00E643D3">
        <w:rPr>
          <w:bCs/>
          <w:spacing w:val="-10"/>
        </w:rPr>
        <w:t xml:space="preserve">ровести </w:t>
      </w:r>
      <w:r w:rsidR="00534FB5" w:rsidRPr="00E643D3">
        <w:rPr>
          <w:bCs/>
          <w:spacing w:val="-10"/>
        </w:rPr>
        <w:t xml:space="preserve">мікробіологічне дослідження зубної бляшки дітей </w:t>
      </w:r>
      <w:r w:rsidR="006C493E" w:rsidRPr="00E643D3">
        <w:rPr>
          <w:bCs/>
          <w:spacing w:val="-10"/>
        </w:rPr>
        <w:t>з вродженою</w:t>
      </w:r>
      <w:r w:rsidR="00534FB5" w:rsidRPr="00E643D3">
        <w:rPr>
          <w:bCs/>
          <w:spacing w:val="-10"/>
        </w:rPr>
        <w:t xml:space="preserve"> глухотою;</w:t>
      </w:r>
    </w:p>
    <w:p w:rsidR="00534FB5" w:rsidRPr="00E643D3" w:rsidRDefault="00631305" w:rsidP="00241AE3">
      <w:pPr>
        <w:widowControl/>
        <w:numPr>
          <w:ilvl w:val="0"/>
          <w:numId w:val="2"/>
        </w:numPr>
        <w:tabs>
          <w:tab w:val="clear" w:pos="720"/>
          <w:tab w:val="num" w:pos="360"/>
        </w:tabs>
        <w:autoSpaceDE/>
        <w:autoSpaceDN/>
        <w:adjustRightInd/>
        <w:ind w:left="0" w:firstLine="0"/>
        <w:rPr>
          <w:spacing w:val="-10"/>
        </w:rPr>
      </w:pPr>
      <w:r>
        <w:rPr>
          <w:bCs/>
          <w:spacing w:val="-10"/>
        </w:rPr>
        <w:t>п</w:t>
      </w:r>
      <w:r w:rsidRPr="00E643D3">
        <w:rPr>
          <w:bCs/>
          <w:spacing w:val="-10"/>
        </w:rPr>
        <w:t xml:space="preserve">роаналізувати </w:t>
      </w:r>
      <w:r w:rsidR="00534FB5" w:rsidRPr="00E643D3">
        <w:rPr>
          <w:bCs/>
          <w:spacing w:val="-10"/>
        </w:rPr>
        <w:t xml:space="preserve">особливості психоемоційного статусу дітей </w:t>
      </w:r>
      <w:r w:rsidR="006C493E" w:rsidRPr="00E643D3">
        <w:rPr>
          <w:bCs/>
          <w:spacing w:val="-10"/>
        </w:rPr>
        <w:t>з вродженою</w:t>
      </w:r>
      <w:r w:rsidR="00534FB5" w:rsidRPr="00E643D3">
        <w:rPr>
          <w:bCs/>
          <w:spacing w:val="-10"/>
        </w:rPr>
        <w:t xml:space="preserve"> глухотою;</w:t>
      </w:r>
    </w:p>
    <w:p w:rsidR="00534FB5" w:rsidRPr="00E643D3" w:rsidRDefault="00631305" w:rsidP="00241AE3">
      <w:pPr>
        <w:widowControl/>
        <w:numPr>
          <w:ilvl w:val="0"/>
          <w:numId w:val="2"/>
        </w:numPr>
        <w:tabs>
          <w:tab w:val="clear" w:pos="720"/>
          <w:tab w:val="num" w:pos="360"/>
        </w:tabs>
        <w:autoSpaceDE/>
        <w:autoSpaceDN/>
        <w:adjustRightInd/>
        <w:ind w:left="0" w:firstLine="0"/>
        <w:rPr>
          <w:spacing w:val="-10"/>
        </w:rPr>
      </w:pPr>
      <w:r>
        <w:rPr>
          <w:bCs/>
          <w:spacing w:val="-10"/>
        </w:rPr>
        <w:t>р</w:t>
      </w:r>
      <w:r w:rsidRPr="00E643D3">
        <w:rPr>
          <w:bCs/>
          <w:spacing w:val="-10"/>
        </w:rPr>
        <w:t xml:space="preserve">озробити </w:t>
      </w:r>
      <w:r w:rsidR="00534FB5" w:rsidRPr="00E643D3">
        <w:rPr>
          <w:bCs/>
          <w:spacing w:val="-10"/>
        </w:rPr>
        <w:t xml:space="preserve">лікувально-профілактичний комплекс для профілактики і лікування карієсу зубів та захворювань тканин пародонта у дітей </w:t>
      </w:r>
      <w:r w:rsidR="006C493E" w:rsidRPr="00E643D3">
        <w:rPr>
          <w:bCs/>
          <w:spacing w:val="-10"/>
        </w:rPr>
        <w:t>з вродженою</w:t>
      </w:r>
      <w:r w:rsidR="00534FB5" w:rsidRPr="00E643D3">
        <w:rPr>
          <w:bCs/>
          <w:spacing w:val="-10"/>
        </w:rPr>
        <w:t xml:space="preserve"> глухотою</w:t>
      </w:r>
      <w:r w:rsidR="00F1209D" w:rsidRPr="00E643D3">
        <w:rPr>
          <w:bCs/>
          <w:spacing w:val="-10"/>
        </w:rPr>
        <w:t xml:space="preserve"> та</w:t>
      </w:r>
      <w:r w:rsidR="00534FB5" w:rsidRPr="00E643D3">
        <w:rPr>
          <w:bCs/>
          <w:spacing w:val="-10"/>
        </w:rPr>
        <w:t xml:space="preserve"> оцінити його ефективність.</w:t>
      </w:r>
    </w:p>
    <w:p w:rsidR="00534FB5" w:rsidRPr="008753D4" w:rsidRDefault="00F1209D" w:rsidP="00534FB5">
      <w:pPr>
        <w:ind w:firstLine="709"/>
        <w:rPr>
          <w:b/>
        </w:rPr>
      </w:pPr>
      <w:r w:rsidRPr="00D317B4">
        <w:rPr>
          <w:i/>
        </w:rPr>
        <w:t>Об’єкт дослідження:</w:t>
      </w:r>
      <w:r>
        <w:rPr>
          <w:i/>
        </w:rPr>
        <w:t xml:space="preserve"> </w:t>
      </w:r>
      <w:r w:rsidR="00534FB5" w:rsidRPr="008753D4">
        <w:rPr>
          <w:bCs/>
        </w:rPr>
        <w:t>захворювання тве</w:t>
      </w:r>
      <w:r>
        <w:rPr>
          <w:bCs/>
        </w:rPr>
        <w:t>рдих тканин зубів та пародонта у</w:t>
      </w:r>
      <w:r w:rsidR="00534FB5" w:rsidRPr="008753D4">
        <w:rPr>
          <w:bCs/>
        </w:rPr>
        <w:t xml:space="preserve"> дітей </w:t>
      </w:r>
      <w:r w:rsidR="006C493E">
        <w:rPr>
          <w:bCs/>
        </w:rPr>
        <w:t>з вродженою</w:t>
      </w:r>
      <w:r w:rsidR="00534FB5" w:rsidRPr="008753D4">
        <w:rPr>
          <w:bCs/>
        </w:rPr>
        <w:t xml:space="preserve"> глухотою. </w:t>
      </w:r>
    </w:p>
    <w:p w:rsidR="00534FB5" w:rsidRDefault="00F1209D" w:rsidP="008653C6">
      <w:pPr>
        <w:ind w:firstLine="709"/>
      </w:pPr>
      <w:r w:rsidRPr="00D317B4">
        <w:rPr>
          <w:i/>
        </w:rPr>
        <w:t>Предмет дослідження</w:t>
      </w:r>
      <w:r>
        <w:rPr>
          <w:i/>
        </w:rPr>
        <w:t xml:space="preserve">: </w:t>
      </w:r>
      <w:r w:rsidR="00534FB5" w:rsidRPr="008753D4">
        <w:rPr>
          <w:bCs/>
        </w:rPr>
        <w:t xml:space="preserve">тверді тканини зубів, тканини пародонта, ротова рідина, зубна бляшка </w:t>
      </w:r>
      <w:r>
        <w:rPr>
          <w:bCs/>
        </w:rPr>
        <w:t>у</w:t>
      </w:r>
      <w:r w:rsidR="00534FB5" w:rsidRPr="008753D4">
        <w:rPr>
          <w:bCs/>
        </w:rPr>
        <w:t xml:space="preserve"> дітей </w:t>
      </w:r>
      <w:r w:rsidR="006C493E">
        <w:rPr>
          <w:bCs/>
        </w:rPr>
        <w:t>з вродженою</w:t>
      </w:r>
      <w:r w:rsidR="00534FB5" w:rsidRPr="008753D4">
        <w:rPr>
          <w:bCs/>
        </w:rPr>
        <w:t xml:space="preserve"> глухотою</w:t>
      </w:r>
      <w:r w:rsidR="00534FB5">
        <w:rPr>
          <w:bCs/>
        </w:rPr>
        <w:t xml:space="preserve"> –</w:t>
      </w:r>
      <w:r w:rsidR="00534FB5" w:rsidRPr="008753D4">
        <w:rPr>
          <w:bCs/>
        </w:rPr>
        <w:t xml:space="preserve"> до та після застосування комплексу на основі препарату фітоадаптогенної дії </w:t>
      </w:r>
      <w:r w:rsidR="00412A80">
        <w:rPr>
          <w:bCs/>
        </w:rPr>
        <w:t>та</w:t>
      </w:r>
      <w:r w:rsidR="00534FB5" w:rsidRPr="008753D4">
        <w:rPr>
          <w:bCs/>
        </w:rPr>
        <w:t xml:space="preserve"> лізоцимвісного ополіскувач</w:t>
      </w:r>
      <w:r w:rsidR="00534FB5" w:rsidRPr="00780C45">
        <w:rPr>
          <w:bCs/>
        </w:rPr>
        <w:t>а</w:t>
      </w:r>
      <w:r w:rsidR="00534FB5" w:rsidRPr="008753D4">
        <w:rPr>
          <w:bCs/>
        </w:rPr>
        <w:t>.</w:t>
      </w:r>
      <w:r w:rsidR="00534FB5" w:rsidRPr="008753D4">
        <w:t xml:space="preserve"> </w:t>
      </w:r>
    </w:p>
    <w:p w:rsidR="002259AA" w:rsidRPr="009A37CE" w:rsidRDefault="002259AA" w:rsidP="002259AA">
      <w:pPr>
        <w:ind w:firstLine="709"/>
      </w:pPr>
      <w:r w:rsidRPr="00D317B4">
        <w:rPr>
          <w:i/>
        </w:rPr>
        <w:t>Методи дослідження:</w:t>
      </w:r>
      <w:r>
        <w:rPr>
          <w:i/>
        </w:rPr>
        <w:t xml:space="preserve"> </w:t>
      </w:r>
      <w:r w:rsidRPr="003B69E8">
        <w:rPr>
          <w:bCs/>
          <w:iCs/>
          <w:spacing w:val="-6"/>
        </w:rPr>
        <w:t xml:space="preserve">епідеміологічні, клінічні, біохімічні, імунологічні, мікробіологічні, статистичні та аналіз </w:t>
      </w:r>
      <w:r w:rsidRPr="003B69E8">
        <w:rPr>
          <w:bCs/>
          <w:spacing w:val="-6"/>
        </w:rPr>
        <w:t>психоемоційного статусу дітей.</w:t>
      </w:r>
    </w:p>
    <w:p w:rsidR="00534FB5" w:rsidRPr="00E643D3" w:rsidRDefault="002259AA" w:rsidP="00534FB5">
      <w:pPr>
        <w:pStyle w:val="af1"/>
        <w:spacing w:after="0"/>
        <w:ind w:left="0" w:firstLine="709"/>
        <w:jc w:val="both"/>
        <w:rPr>
          <w:spacing w:val="-12"/>
        </w:rPr>
      </w:pPr>
      <w:r w:rsidRPr="00E643D3">
        <w:rPr>
          <w:spacing w:val="-12"/>
        </w:rPr>
        <w:t>Е</w:t>
      </w:r>
      <w:r w:rsidR="00534FB5" w:rsidRPr="00E643D3">
        <w:rPr>
          <w:spacing w:val="-12"/>
        </w:rPr>
        <w:t>підеміологічні</w:t>
      </w:r>
      <w:r w:rsidRPr="00E643D3">
        <w:rPr>
          <w:spacing w:val="-12"/>
        </w:rPr>
        <w:t xml:space="preserve"> методи були використанні для</w:t>
      </w:r>
      <w:r w:rsidR="00534FB5" w:rsidRPr="00E643D3">
        <w:rPr>
          <w:spacing w:val="-12"/>
        </w:rPr>
        <w:t xml:space="preserve"> оцінки поширеності й інтенсивності основних стоматологічних захворювань серед дітей </w:t>
      </w:r>
      <w:r w:rsidR="006C493E" w:rsidRPr="00E643D3">
        <w:rPr>
          <w:spacing w:val="-12"/>
        </w:rPr>
        <w:t>із вродженою</w:t>
      </w:r>
      <w:r w:rsidRPr="00E643D3">
        <w:rPr>
          <w:spacing w:val="-12"/>
        </w:rPr>
        <w:t xml:space="preserve"> глухотою. К</w:t>
      </w:r>
      <w:r w:rsidR="00534FB5" w:rsidRPr="00E643D3">
        <w:rPr>
          <w:spacing w:val="-12"/>
        </w:rPr>
        <w:t xml:space="preserve">лінічні </w:t>
      </w:r>
      <w:r w:rsidRPr="00E643D3">
        <w:rPr>
          <w:spacing w:val="-12"/>
        </w:rPr>
        <w:t xml:space="preserve">методи були використанні </w:t>
      </w:r>
      <w:r w:rsidR="00534FB5" w:rsidRPr="00E643D3">
        <w:rPr>
          <w:spacing w:val="-12"/>
        </w:rPr>
        <w:t>для вивчення особливостей клінічного перебігу основних стоматологічних захворювань, визначення факторів ризику та оцінки ефективності запропонованого лікувально-</w:t>
      </w:r>
      <w:r w:rsidR="00534FB5" w:rsidRPr="00E643D3">
        <w:rPr>
          <w:color w:val="000000"/>
          <w:spacing w:val="-12"/>
          <w:lang w:eastAsia="uk-UA"/>
        </w:rPr>
        <w:t>профілактичного комплексу</w:t>
      </w:r>
      <w:r w:rsidRPr="00E643D3">
        <w:rPr>
          <w:spacing w:val="-12"/>
        </w:rPr>
        <w:t xml:space="preserve">. </w:t>
      </w:r>
      <w:r w:rsidRPr="00E643D3">
        <w:rPr>
          <w:spacing w:val="-12"/>
        </w:rPr>
        <w:lastRenderedPageBreak/>
        <w:t>Л</w:t>
      </w:r>
      <w:r w:rsidR="00534FB5" w:rsidRPr="00E643D3">
        <w:rPr>
          <w:spacing w:val="-12"/>
        </w:rPr>
        <w:t>абораторні</w:t>
      </w:r>
      <w:r w:rsidR="00412A80" w:rsidRPr="00E643D3">
        <w:rPr>
          <w:color w:val="000000"/>
          <w:spacing w:val="-12"/>
          <w:shd w:val="clear" w:color="auto" w:fill="FFFFFF"/>
        </w:rPr>
        <w:t xml:space="preserve">, а саме </w:t>
      </w:r>
      <w:r w:rsidR="00534FB5" w:rsidRPr="00E643D3">
        <w:rPr>
          <w:color w:val="000000"/>
          <w:spacing w:val="-12"/>
          <w:shd w:val="clear" w:color="auto" w:fill="FFFFFF"/>
        </w:rPr>
        <w:t xml:space="preserve">біохімічні </w:t>
      </w:r>
      <w:r w:rsidR="00412A80" w:rsidRPr="00E643D3">
        <w:rPr>
          <w:spacing w:val="-12"/>
        </w:rPr>
        <w:t>методи були використанні</w:t>
      </w:r>
      <w:r w:rsidR="00534FB5" w:rsidRPr="00E643D3">
        <w:rPr>
          <w:color w:val="000000"/>
          <w:spacing w:val="-12"/>
          <w:shd w:val="clear" w:color="auto" w:fill="FFFFFF"/>
        </w:rPr>
        <w:t xml:space="preserve"> для характеристики стану неспецифічної рези</w:t>
      </w:r>
      <w:r w:rsidR="00412A80" w:rsidRPr="00E643D3">
        <w:rPr>
          <w:color w:val="000000"/>
          <w:spacing w:val="-12"/>
          <w:shd w:val="clear" w:color="auto" w:fill="FFFFFF"/>
        </w:rPr>
        <w:t xml:space="preserve">стентності в ротовій порожнині, </w:t>
      </w:r>
      <w:r w:rsidR="00534FB5" w:rsidRPr="00E643D3">
        <w:rPr>
          <w:color w:val="000000"/>
          <w:spacing w:val="-12"/>
          <w:shd w:val="clear" w:color="auto" w:fill="FFFFFF"/>
        </w:rPr>
        <w:t xml:space="preserve">імунологічні </w:t>
      </w:r>
      <w:r w:rsidR="00412A80" w:rsidRPr="00E643D3">
        <w:rPr>
          <w:color w:val="000000"/>
          <w:spacing w:val="-12"/>
          <w:shd w:val="clear" w:color="auto" w:fill="FFFFFF"/>
        </w:rPr>
        <w:t xml:space="preserve"> методи </w:t>
      </w:r>
      <w:r w:rsidR="00534FB5" w:rsidRPr="00E643D3">
        <w:rPr>
          <w:color w:val="000000"/>
          <w:spacing w:val="-12"/>
          <w:shd w:val="clear" w:color="auto" w:fill="FFFFFF"/>
        </w:rPr>
        <w:t>– з метою оцінки місцевого імунітету порожнини рот</w:t>
      </w:r>
      <w:r w:rsidR="00412A80" w:rsidRPr="00E643D3">
        <w:rPr>
          <w:color w:val="000000"/>
          <w:spacing w:val="-12"/>
          <w:shd w:val="clear" w:color="auto" w:fill="FFFFFF"/>
        </w:rPr>
        <w:t>а,</w:t>
      </w:r>
      <w:r w:rsidR="00534FB5" w:rsidRPr="00E643D3">
        <w:rPr>
          <w:color w:val="000000"/>
          <w:spacing w:val="-12"/>
          <w:shd w:val="clear" w:color="auto" w:fill="FFFFFF"/>
        </w:rPr>
        <w:t xml:space="preserve"> мікробіологічні </w:t>
      </w:r>
      <w:r w:rsidR="00412A80" w:rsidRPr="00E643D3">
        <w:rPr>
          <w:color w:val="000000"/>
          <w:spacing w:val="-12"/>
          <w:shd w:val="clear" w:color="auto" w:fill="FFFFFF"/>
        </w:rPr>
        <w:t xml:space="preserve">методи </w:t>
      </w:r>
      <w:r w:rsidR="00534FB5" w:rsidRPr="00E643D3">
        <w:rPr>
          <w:color w:val="000000"/>
          <w:spacing w:val="-12"/>
          <w:shd w:val="clear" w:color="auto" w:fill="FFFFFF"/>
        </w:rPr>
        <w:t>– для дослідженн</w:t>
      </w:r>
      <w:r w:rsidR="00412A80" w:rsidRPr="00E643D3">
        <w:rPr>
          <w:color w:val="000000"/>
          <w:spacing w:val="-12"/>
          <w:shd w:val="clear" w:color="auto" w:fill="FFFFFF"/>
        </w:rPr>
        <w:t xml:space="preserve">я мікроорганізмів зубної бляшки. </w:t>
      </w:r>
      <w:r w:rsidR="00412A80" w:rsidRPr="00E643D3">
        <w:rPr>
          <w:spacing w:val="-12"/>
        </w:rPr>
        <w:t>А</w:t>
      </w:r>
      <w:r w:rsidR="00534FB5" w:rsidRPr="00E643D3">
        <w:rPr>
          <w:spacing w:val="-12"/>
        </w:rPr>
        <w:t>наліз – для оцінки психоемоційного статусу дітей</w:t>
      </w:r>
      <w:r w:rsidR="00412A80" w:rsidRPr="00E643D3">
        <w:rPr>
          <w:spacing w:val="-12"/>
        </w:rPr>
        <w:t xml:space="preserve">.  Статистичні методи були використанні для </w:t>
      </w:r>
      <w:r w:rsidR="00534FB5" w:rsidRPr="00E643D3">
        <w:rPr>
          <w:spacing w:val="-12"/>
        </w:rPr>
        <w:t xml:space="preserve">оцінки обґрунтованості та достовірності отриманих результатів. </w:t>
      </w:r>
    </w:p>
    <w:p w:rsidR="004B7C60" w:rsidRDefault="00534FB5" w:rsidP="004B7C60">
      <w:pPr>
        <w:pStyle w:val="af1"/>
        <w:spacing w:after="0"/>
        <w:ind w:left="0" w:firstLine="709"/>
        <w:jc w:val="both"/>
        <w:rPr>
          <w:bCs/>
          <w:spacing w:val="-12"/>
        </w:rPr>
      </w:pPr>
      <w:r w:rsidRPr="00E643D3">
        <w:rPr>
          <w:spacing w:val="-12"/>
        </w:rPr>
        <w:t>Клінічна частина роботи була виконана на базі кафедри стоматології Харківського національного медичного університету</w:t>
      </w:r>
      <w:r w:rsidR="007B3DC2" w:rsidRPr="00E643D3">
        <w:rPr>
          <w:spacing w:val="-12"/>
        </w:rPr>
        <w:t xml:space="preserve"> (ХНМУ)</w:t>
      </w:r>
      <w:r w:rsidRPr="00E643D3">
        <w:rPr>
          <w:spacing w:val="-12"/>
        </w:rPr>
        <w:t xml:space="preserve"> (завідувач </w:t>
      </w:r>
      <w:r w:rsidRPr="00E643D3">
        <w:rPr>
          <w:color w:val="000000"/>
          <w:spacing w:val="-12"/>
        </w:rPr>
        <w:t>кафедри стоматології ХНМУ, доктор медичних наук, професор Соколова І. І.</w:t>
      </w:r>
      <w:r w:rsidRPr="00E643D3">
        <w:rPr>
          <w:spacing w:val="-12"/>
        </w:rPr>
        <w:t>)</w:t>
      </w:r>
      <w:r w:rsidR="007B3DC2" w:rsidRPr="00E643D3">
        <w:rPr>
          <w:bCs/>
          <w:spacing w:val="-12"/>
          <w:vertAlign w:val="superscript"/>
        </w:rPr>
        <w:t>1</w:t>
      </w:r>
      <w:r w:rsidRPr="00E643D3">
        <w:rPr>
          <w:spacing w:val="-12"/>
        </w:rPr>
        <w:t>, Харківського обласного спеціального загальноосвітнього навчально-виховного комплексу (дошкільного навчального закладу – школи-інтернату) для дітей з вадами слуху (директор</w:t>
      </w:r>
      <w:r w:rsidRPr="00E643D3">
        <w:rPr>
          <w:rStyle w:val="apple-style-span"/>
          <w:color w:val="000000"/>
          <w:spacing w:val="-12"/>
        </w:rPr>
        <w:t xml:space="preserve"> – Середенко Н. І.)</w:t>
      </w:r>
      <w:r w:rsidR="007B3DC2" w:rsidRPr="00E643D3">
        <w:rPr>
          <w:bCs/>
          <w:spacing w:val="-12"/>
          <w:vertAlign w:val="superscript"/>
        </w:rPr>
        <w:t>1</w:t>
      </w:r>
      <w:r w:rsidRPr="00E643D3">
        <w:rPr>
          <w:rStyle w:val="apple-style-span"/>
          <w:color w:val="000000"/>
          <w:spacing w:val="-12"/>
        </w:rPr>
        <w:t>,</w:t>
      </w:r>
      <w:r w:rsidRPr="00E643D3">
        <w:rPr>
          <w:spacing w:val="-12"/>
        </w:rPr>
        <w:t xml:space="preserve"> договір про науково-практичне співробітництво № 333/01-10 від 11.01.2010, та </w:t>
      </w:r>
      <w:r w:rsidRPr="00E643D3">
        <w:rPr>
          <w:rStyle w:val="apple-style-span"/>
          <w:color w:val="000000"/>
          <w:spacing w:val="-12"/>
        </w:rPr>
        <w:t xml:space="preserve">Харківського ліцею № 149 Харківської міської ради Харківської області </w:t>
      </w:r>
      <w:r w:rsidRPr="00E643D3">
        <w:rPr>
          <w:spacing w:val="-12"/>
        </w:rPr>
        <w:t>(директор – Прокопова О. С.)</w:t>
      </w:r>
      <w:r w:rsidR="007B3DC2" w:rsidRPr="00E643D3">
        <w:rPr>
          <w:bCs/>
          <w:spacing w:val="-12"/>
          <w:vertAlign w:val="superscript"/>
        </w:rPr>
        <w:t>1</w:t>
      </w:r>
      <w:r w:rsidRPr="00E643D3">
        <w:rPr>
          <w:spacing w:val="-12"/>
        </w:rPr>
        <w:t>, договір про науково-практичне співробітництво</w:t>
      </w:r>
      <w:r w:rsidR="007B3DC2" w:rsidRPr="00E643D3">
        <w:rPr>
          <w:spacing w:val="-12"/>
        </w:rPr>
        <w:t xml:space="preserve"> </w:t>
      </w:r>
      <w:r w:rsidRPr="00E643D3">
        <w:rPr>
          <w:spacing w:val="-12"/>
        </w:rPr>
        <w:t>№ 334/01-10 від 11.01.2010. Лабораторні дослідження були виконані в Центральній науково-дослідній лабораторії (ЦНДЛ) ХНМУ (завідувач лабораторії – кандидат фармацевтичних наук Іваненко Т. О.)</w:t>
      </w:r>
      <w:r w:rsidR="00BE6D69" w:rsidRPr="00E643D3">
        <w:rPr>
          <w:bCs/>
          <w:spacing w:val="-12"/>
          <w:vertAlign w:val="superscript"/>
        </w:rPr>
        <w:t>1</w:t>
      </w:r>
      <w:r w:rsidRPr="00E643D3">
        <w:rPr>
          <w:spacing w:val="-12"/>
        </w:rPr>
        <w:t xml:space="preserve">. Мікробіологічні дослідження проведено на базі товариства з обмеженою відповідальністю фірми «ВІРОЛА» (директор – </w:t>
      </w:r>
      <w:r w:rsidRPr="00E643D3">
        <w:rPr>
          <w:rStyle w:val="apple-style-span"/>
          <w:color w:val="000000"/>
          <w:spacing w:val="-12"/>
        </w:rPr>
        <w:t>Омельченко О. А.,</w:t>
      </w:r>
      <w:r w:rsidRPr="00E643D3">
        <w:rPr>
          <w:spacing w:val="-12"/>
        </w:rPr>
        <w:t xml:space="preserve"> ліцензія № 597055)</w:t>
      </w:r>
      <w:r w:rsidR="00BE6D69" w:rsidRPr="00E643D3">
        <w:rPr>
          <w:bCs/>
          <w:spacing w:val="-12"/>
          <w:vertAlign w:val="superscript"/>
        </w:rPr>
        <w:t>1</w:t>
      </w:r>
      <w:r w:rsidRPr="00E643D3">
        <w:rPr>
          <w:spacing w:val="-12"/>
        </w:rPr>
        <w:t xml:space="preserve"> на підставі договору про науково-практичне співробітництво № 464/01-10 від 11.01.2010. Аналіз медичної документації з метою вивчення порушень психоемоційного статусу дітей із вродженою глухотою проведено за сприяння співробітників </w:t>
      </w:r>
      <w:r w:rsidRPr="00E643D3">
        <w:rPr>
          <w:bCs/>
          <w:spacing w:val="-12"/>
        </w:rPr>
        <w:t xml:space="preserve">кафедри </w:t>
      </w:r>
      <w:r w:rsidRPr="00E643D3">
        <w:rPr>
          <w:color w:val="000000"/>
          <w:spacing w:val="-12"/>
          <w:lang w:eastAsia="uk-UA"/>
        </w:rPr>
        <w:t>психіатрії, наркології та медичної психології</w:t>
      </w:r>
      <w:r w:rsidRPr="00E643D3">
        <w:rPr>
          <w:bCs/>
          <w:spacing w:val="-12"/>
        </w:rPr>
        <w:t xml:space="preserve"> ХНМУ </w:t>
      </w:r>
      <w:r w:rsidRPr="00E643D3">
        <w:rPr>
          <w:spacing w:val="-12"/>
        </w:rPr>
        <w:t xml:space="preserve">(завідувач </w:t>
      </w:r>
      <w:r w:rsidRPr="00E643D3">
        <w:rPr>
          <w:color w:val="000000"/>
          <w:spacing w:val="-12"/>
        </w:rPr>
        <w:t xml:space="preserve">кафедри </w:t>
      </w:r>
      <w:r w:rsidRPr="00E643D3">
        <w:rPr>
          <w:color w:val="000000"/>
          <w:spacing w:val="-12"/>
          <w:lang w:eastAsia="uk-UA"/>
        </w:rPr>
        <w:t>психіатрії, наркології та медичної психології</w:t>
      </w:r>
      <w:r w:rsidRPr="00E643D3">
        <w:rPr>
          <w:bCs/>
          <w:spacing w:val="-12"/>
        </w:rPr>
        <w:t xml:space="preserve"> ХНМУ</w:t>
      </w:r>
      <w:r w:rsidRPr="00E643D3">
        <w:rPr>
          <w:color w:val="000000"/>
          <w:spacing w:val="-12"/>
        </w:rPr>
        <w:t xml:space="preserve"> – доктор медичних наук, професор </w:t>
      </w:r>
      <w:r w:rsidRPr="00E643D3">
        <w:rPr>
          <w:bCs/>
          <w:spacing w:val="-12"/>
        </w:rPr>
        <w:t>Кожина Г. М.</w:t>
      </w:r>
      <w:r w:rsidRPr="00E643D3">
        <w:rPr>
          <w:spacing w:val="-12"/>
        </w:rPr>
        <w:t>)</w:t>
      </w:r>
      <w:r w:rsidR="00BE6D69" w:rsidRPr="00E643D3">
        <w:rPr>
          <w:bCs/>
          <w:spacing w:val="-12"/>
          <w:vertAlign w:val="superscript"/>
        </w:rPr>
        <w:t>1</w:t>
      </w:r>
      <w:r w:rsidRPr="00E643D3">
        <w:rPr>
          <w:spacing w:val="-12"/>
        </w:rPr>
        <w:t xml:space="preserve"> на підставі угоди № 9 </w:t>
      </w:r>
      <w:r w:rsidRPr="00E643D3">
        <w:rPr>
          <w:bCs/>
          <w:spacing w:val="-12"/>
        </w:rPr>
        <w:t xml:space="preserve">про співробітництво між кафедрою </w:t>
      </w:r>
      <w:r w:rsidRPr="00E643D3">
        <w:rPr>
          <w:color w:val="000000"/>
          <w:spacing w:val="-12"/>
          <w:lang w:eastAsia="uk-UA"/>
        </w:rPr>
        <w:t>стоматології</w:t>
      </w:r>
      <w:r w:rsidRPr="00E643D3">
        <w:rPr>
          <w:bCs/>
          <w:spacing w:val="-12"/>
        </w:rPr>
        <w:t xml:space="preserve"> ХНМУ і кафедрою </w:t>
      </w:r>
      <w:r w:rsidRPr="00E643D3">
        <w:rPr>
          <w:color w:val="000000"/>
          <w:spacing w:val="-12"/>
          <w:lang w:eastAsia="uk-UA"/>
        </w:rPr>
        <w:t>психіатрії, наркології та медичної психології</w:t>
      </w:r>
      <w:r w:rsidRPr="00E643D3">
        <w:rPr>
          <w:bCs/>
          <w:spacing w:val="-12"/>
        </w:rPr>
        <w:t xml:space="preserve"> ХНМУ й за сприяння психологічної служби інтернату, де навчалися діти </w:t>
      </w:r>
      <w:r w:rsidR="006C493E" w:rsidRPr="00E643D3">
        <w:rPr>
          <w:bCs/>
          <w:spacing w:val="-12"/>
        </w:rPr>
        <w:t>із вродженою</w:t>
      </w:r>
      <w:r w:rsidRPr="00E643D3">
        <w:rPr>
          <w:bCs/>
          <w:spacing w:val="-12"/>
        </w:rPr>
        <w:t xml:space="preserve"> глухотою</w:t>
      </w:r>
      <w:r w:rsidR="00E643D3" w:rsidRPr="00E643D3">
        <w:rPr>
          <w:bCs/>
          <w:spacing w:val="-12"/>
          <w:vertAlign w:val="superscript"/>
        </w:rPr>
        <w:t>1</w:t>
      </w:r>
      <w:r w:rsidR="00E643D3">
        <w:rPr>
          <w:bCs/>
          <w:spacing w:val="-12"/>
        </w:rPr>
        <w:t>.</w:t>
      </w:r>
    </w:p>
    <w:p w:rsidR="00E643D3" w:rsidRPr="00E643D3" w:rsidRDefault="00597E77" w:rsidP="004B7C60">
      <w:pPr>
        <w:pStyle w:val="af1"/>
        <w:spacing w:after="0"/>
        <w:ind w:left="0" w:firstLine="709"/>
        <w:jc w:val="both"/>
        <w:rPr>
          <w:bCs/>
          <w:spacing w:val="-12"/>
        </w:rPr>
      </w:pPr>
      <w:r w:rsidRPr="00597E77">
        <w:rPr>
          <w:noProof/>
          <w:spacing w:val="-12"/>
          <w:lang w:val="ru-RU"/>
        </w:rPr>
        <w:pict>
          <v:shapetype id="_x0000_t32" coordsize="21600,21600" o:spt="32" o:oned="t" path="m,l21600,21600e" filled="f">
            <v:path arrowok="t" fillok="f" o:connecttype="none"/>
            <o:lock v:ext="edit" shapetype="t"/>
          </v:shapetype>
          <v:shape id="_x0000_s1029" type="#_x0000_t32" style="position:absolute;left:0;text-align:left;margin-left:-.9pt;margin-top:15.3pt;width:297.95pt;height:2.25pt;z-index:251658240" o:connectortype="straight"/>
        </w:pict>
      </w:r>
    </w:p>
    <w:p w:rsidR="00E643D3" w:rsidRPr="00E643D3" w:rsidRDefault="00E643D3" w:rsidP="00E643D3">
      <w:pPr>
        <w:pStyle w:val="af1"/>
        <w:spacing w:after="0"/>
        <w:ind w:left="0"/>
        <w:jc w:val="both"/>
        <w:rPr>
          <w:bCs/>
          <w:spacing w:val="-6"/>
          <w:sz w:val="20"/>
        </w:rPr>
      </w:pPr>
      <w:r w:rsidRPr="00E643D3">
        <w:rPr>
          <w:rStyle w:val="afb"/>
          <w:sz w:val="20"/>
        </w:rPr>
        <w:footnoteRef/>
      </w:r>
      <w:r w:rsidRPr="00E643D3">
        <w:rPr>
          <w:sz w:val="20"/>
        </w:rPr>
        <w:t xml:space="preserve"> Автор щиро вдячна за допомогу в проведені даних досліджень</w:t>
      </w:r>
      <w:r w:rsidR="00631305">
        <w:rPr>
          <w:sz w:val="20"/>
        </w:rPr>
        <w:t>.</w:t>
      </w:r>
    </w:p>
    <w:p w:rsidR="00DC0124" w:rsidRPr="00120606" w:rsidRDefault="00DC0124" w:rsidP="00DC0124">
      <w:pPr>
        <w:ind w:firstLine="709"/>
      </w:pPr>
      <w:r>
        <w:rPr>
          <w:b/>
        </w:rPr>
        <w:lastRenderedPageBreak/>
        <w:t>Наукова новизна одержаних</w:t>
      </w:r>
      <w:r w:rsidRPr="00120606">
        <w:rPr>
          <w:b/>
        </w:rPr>
        <w:t xml:space="preserve"> результатів</w:t>
      </w:r>
      <w:r w:rsidRPr="00120606">
        <w:t xml:space="preserve">. </w:t>
      </w:r>
      <w:r w:rsidRPr="0053452F">
        <w:rPr>
          <w:spacing w:val="-9"/>
        </w:rPr>
        <w:t>Дістало подальший розвиток питання щодо рівня стоматологічного здоров’я дітей з вродженою глухотою. Показано, що серед найважливіших складових структури стоматологічного здоров’я дітей з вродженою глухотою домінує карієс зубів (83 %) та гінгівіт (91 %).</w:t>
      </w:r>
    </w:p>
    <w:p w:rsidR="00DC0124" w:rsidRPr="00165254" w:rsidRDefault="00DC0124" w:rsidP="00DC0124">
      <w:pPr>
        <w:ind w:firstLine="709"/>
        <w:rPr>
          <w:spacing w:val="-4"/>
        </w:rPr>
      </w:pPr>
      <w:r w:rsidRPr="00165254">
        <w:rPr>
          <w:spacing w:val="-4"/>
        </w:rPr>
        <w:t>Підтверджено наукові дані щодо більш високої розповсюдженості каріозного процесу в постійних зубах у дітей з вродженою глухотою (74 %) порівняно зі здоровими однолітками (55 %). Встановлено, що поширеність карієсу постійних зубів у дітей з вродженою глухотою була вищою за таку в контрольній групі в 1,4 раза</w:t>
      </w:r>
      <w:r>
        <w:rPr>
          <w:spacing w:val="-4"/>
        </w:rPr>
        <w:t xml:space="preserve"> </w:t>
      </w:r>
      <w:r w:rsidR="004B7C60">
        <w:rPr>
          <w:color w:val="000000"/>
          <w:spacing w:val="-4"/>
          <w:shd w:val="clear" w:color="auto" w:fill="FFFFFF"/>
        </w:rPr>
        <w:t>(р&lt;</w:t>
      </w:r>
      <w:r w:rsidRPr="00165254">
        <w:rPr>
          <w:color w:val="000000"/>
          <w:spacing w:val="-4"/>
          <w:shd w:val="clear" w:color="auto" w:fill="FFFFFF"/>
        </w:rPr>
        <w:t>0,05)</w:t>
      </w:r>
      <w:r w:rsidRPr="00165254">
        <w:rPr>
          <w:spacing w:val="-4"/>
        </w:rPr>
        <w:t>, інтенсивність каріозного процесу –</w:t>
      </w:r>
      <w:r w:rsidR="00B8322E">
        <w:rPr>
          <w:spacing w:val="-4"/>
        </w:rPr>
        <w:t xml:space="preserve">           </w:t>
      </w:r>
      <w:r w:rsidRPr="00165254">
        <w:rPr>
          <w:spacing w:val="-4"/>
        </w:rPr>
        <w:t xml:space="preserve"> в 2,7 раза</w:t>
      </w:r>
      <w:r>
        <w:rPr>
          <w:spacing w:val="-4"/>
        </w:rPr>
        <w:t xml:space="preserve"> </w:t>
      </w:r>
      <w:r w:rsidR="004B7C60">
        <w:rPr>
          <w:color w:val="000000"/>
          <w:spacing w:val="-4"/>
          <w:shd w:val="clear" w:color="auto" w:fill="FFFFFF"/>
        </w:rPr>
        <w:t>(р</w:t>
      </w:r>
      <w:r w:rsidR="00B8322E">
        <w:rPr>
          <w:color w:val="000000"/>
          <w:spacing w:val="-4"/>
          <w:shd w:val="clear" w:color="auto" w:fill="FFFFFF"/>
        </w:rPr>
        <w:t>&lt;</w:t>
      </w:r>
      <w:r w:rsidRPr="00165254">
        <w:rPr>
          <w:color w:val="000000"/>
          <w:spacing w:val="-4"/>
          <w:shd w:val="clear" w:color="auto" w:fill="FFFFFF"/>
        </w:rPr>
        <w:t>0,05)</w:t>
      </w:r>
      <w:r>
        <w:rPr>
          <w:color w:val="000000"/>
          <w:spacing w:val="-4"/>
          <w:shd w:val="clear" w:color="auto" w:fill="FFFFFF"/>
        </w:rPr>
        <w:t xml:space="preserve">, </w:t>
      </w:r>
      <w:r w:rsidRPr="00165254">
        <w:rPr>
          <w:color w:val="000000"/>
          <w:spacing w:val="-4"/>
          <w:shd w:val="clear" w:color="auto" w:fill="FFFFFF"/>
        </w:rPr>
        <w:t>гострий та ускладнений перебіг каріозного процесу зустрічався</w:t>
      </w:r>
      <w:r>
        <w:rPr>
          <w:color w:val="000000"/>
          <w:spacing w:val="-4"/>
          <w:shd w:val="clear" w:color="auto" w:fill="FFFFFF"/>
        </w:rPr>
        <w:t xml:space="preserve"> частіше </w:t>
      </w:r>
      <w:r w:rsidRPr="00165254">
        <w:rPr>
          <w:color w:val="000000"/>
          <w:spacing w:val="-4"/>
          <w:shd w:val="clear" w:color="auto" w:fill="FFFFFF"/>
        </w:rPr>
        <w:t>відповідно</w:t>
      </w:r>
      <w:r>
        <w:rPr>
          <w:color w:val="000000"/>
          <w:spacing w:val="-4"/>
          <w:shd w:val="clear" w:color="auto" w:fill="FFFFFF"/>
        </w:rPr>
        <w:t xml:space="preserve"> </w:t>
      </w:r>
      <w:r w:rsidR="00B8322E">
        <w:rPr>
          <w:color w:val="000000"/>
          <w:spacing w:val="-4"/>
          <w:shd w:val="clear" w:color="auto" w:fill="FFFFFF"/>
        </w:rPr>
        <w:t>у</w:t>
      </w:r>
      <w:r w:rsidR="008F2563">
        <w:rPr>
          <w:color w:val="000000"/>
          <w:spacing w:val="-4"/>
          <w:shd w:val="clear" w:color="auto" w:fill="FFFFFF"/>
        </w:rPr>
        <w:t xml:space="preserve"> </w:t>
      </w:r>
      <w:r w:rsidR="00B8322E">
        <w:rPr>
          <w:color w:val="000000"/>
          <w:spacing w:val="-4"/>
          <w:shd w:val="clear" w:color="auto" w:fill="FFFFFF"/>
        </w:rPr>
        <w:t>18 та 4 рази (р&lt;</w:t>
      </w:r>
      <w:r w:rsidRPr="00165254">
        <w:rPr>
          <w:color w:val="000000"/>
          <w:spacing w:val="-4"/>
          <w:shd w:val="clear" w:color="auto" w:fill="FFFFFF"/>
        </w:rPr>
        <w:t>0,01).</w:t>
      </w:r>
    </w:p>
    <w:p w:rsidR="004B7C60" w:rsidRPr="00542EC5" w:rsidRDefault="004B7C60" w:rsidP="004B7C60">
      <w:pPr>
        <w:ind w:firstLine="709"/>
      </w:pPr>
      <w:r>
        <w:t>Розширено наукові дані</w:t>
      </w:r>
      <w:r w:rsidRPr="00120606">
        <w:t xml:space="preserve"> що</w:t>
      </w:r>
      <w:r>
        <w:t>до рівня стоматологічного здоров’я дітей з вродженою глухотою. Доведено, що</w:t>
      </w:r>
      <w:r w:rsidR="00B8322E">
        <w:t xml:space="preserve"> </w:t>
      </w:r>
      <w:r>
        <w:t>р</w:t>
      </w:r>
      <w:r w:rsidRPr="007B376E">
        <w:t>озповсюдженість хвороб пародонта</w:t>
      </w:r>
      <w:r w:rsidR="00B8322E">
        <w:t xml:space="preserve"> </w:t>
      </w:r>
      <w:r w:rsidRPr="007B376E">
        <w:t xml:space="preserve">у всіх вікових групах </w:t>
      </w:r>
      <w:r>
        <w:t>дітей з вродженою глухотою</w:t>
      </w:r>
      <w:r w:rsidRPr="007B376E">
        <w:t xml:space="preserve"> була вищою за таку в ді</w:t>
      </w:r>
      <w:r>
        <w:t>тей контрольної групи в 1,2 раза</w:t>
      </w:r>
      <w:r w:rsidR="00B8322E">
        <w:t xml:space="preserve"> </w:t>
      </w:r>
      <w:r w:rsidRPr="007B376E">
        <w:rPr>
          <w:color w:val="000000"/>
          <w:shd w:val="clear" w:color="auto" w:fill="FFFFFF"/>
        </w:rPr>
        <w:t>(р&lt;0,05)</w:t>
      </w:r>
      <w:r w:rsidRPr="007B376E">
        <w:t>,</w:t>
      </w:r>
      <w:r>
        <w:t xml:space="preserve"> середній ступінь катарального </w:t>
      </w:r>
      <w:r w:rsidR="008F2563">
        <w:t xml:space="preserve">гінгівіту – в 2,3 </w:t>
      </w:r>
      <w:r>
        <w:t>раза</w:t>
      </w:r>
      <w:r w:rsidR="00B8322E">
        <w:t xml:space="preserve"> </w:t>
      </w:r>
      <w:r w:rsidRPr="00120606">
        <w:rPr>
          <w:color w:val="000000"/>
          <w:shd w:val="clear" w:color="auto" w:fill="FFFFFF"/>
        </w:rPr>
        <w:t>(р&lt;</w:t>
      </w:r>
      <w:r>
        <w:rPr>
          <w:color w:val="000000"/>
          <w:shd w:val="clear" w:color="auto" w:fill="FFFFFF"/>
        </w:rPr>
        <w:t>0,05</w:t>
      </w:r>
      <w:r w:rsidRPr="00120606">
        <w:rPr>
          <w:color w:val="000000"/>
          <w:shd w:val="clear" w:color="auto" w:fill="FFFFFF"/>
        </w:rPr>
        <w:t>)</w:t>
      </w:r>
      <w:r>
        <w:rPr>
          <w:color w:val="000000"/>
          <w:shd w:val="clear" w:color="auto" w:fill="FFFFFF"/>
        </w:rPr>
        <w:t xml:space="preserve">, </w:t>
      </w:r>
      <w:r>
        <w:t>важкий ступінь</w:t>
      </w:r>
      <w:r w:rsidRPr="007B376E">
        <w:t xml:space="preserve"> катарального гінгівіту</w:t>
      </w:r>
      <w:r>
        <w:t xml:space="preserve"> – в 11 разів </w:t>
      </w:r>
      <w:r w:rsidRPr="00120606">
        <w:rPr>
          <w:color w:val="000000"/>
          <w:shd w:val="clear" w:color="auto" w:fill="FFFFFF"/>
        </w:rPr>
        <w:t>(р&lt;</w:t>
      </w:r>
      <w:r>
        <w:rPr>
          <w:color w:val="000000"/>
          <w:shd w:val="clear" w:color="auto" w:fill="FFFFFF"/>
        </w:rPr>
        <w:t>0,01</w:t>
      </w:r>
      <w:r w:rsidRPr="00120606">
        <w:rPr>
          <w:color w:val="000000"/>
          <w:shd w:val="clear" w:color="auto" w:fill="FFFFFF"/>
        </w:rPr>
        <w:t>)</w:t>
      </w:r>
      <w:r>
        <w:rPr>
          <w:color w:val="000000"/>
          <w:shd w:val="clear" w:color="auto" w:fill="FFFFFF"/>
        </w:rPr>
        <w:t>,</w:t>
      </w:r>
      <w:r w:rsidR="00A03F16">
        <w:rPr>
          <w:color w:val="000000"/>
          <w:shd w:val="clear" w:color="auto" w:fill="FFFFFF"/>
        </w:rPr>
        <w:t xml:space="preserve"> </w:t>
      </w:r>
      <w:r>
        <w:rPr>
          <w:color w:val="000000"/>
          <w:shd w:val="clear" w:color="auto" w:fill="FFFFFF"/>
        </w:rPr>
        <w:t>індекс</w:t>
      </w:r>
      <w:r w:rsidR="00B8322E">
        <w:rPr>
          <w:color w:val="000000"/>
          <w:shd w:val="clear" w:color="auto" w:fill="FFFFFF"/>
        </w:rPr>
        <w:t xml:space="preserve"> </w:t>
      </w:r>
      <w:r w:rsidRPr="00542EC5">
        <w:rPr>
          <w:color w:val="000000"/>
          <w:bdr w:val="none" w:sz="0" w:space="0" w:color="auto" w:frame="1"/>
        </w:rPr>
        <w:t>РМА</w:t>
      </w:r>
      <w:r w:rsidR="00B8322E">
        <w:rPr>
          <w:color w:val="000000"/>
          <w:bdr w:val="none" w:sz="0" w:space="0" w:color="auto" w:frame="1"/>
        </w:rPr>
        <w:t xml:space="preserve"> </w:t>
      </w:r>
      <w:r>
        <w:rPr>
          <w:color w:val="000000"/>
          <w:bdr w:val="none" w:sz="0" w:space="0" w:color="auto" w:frame="1"/>
        </w:rPr>
        <w:t>– в 2,5 раза </w:t>
      </w:r>
      <w:r w:rsidRPr="00120606">
        <w:rPr>
          <w:color w:val="000000"/>
          <w:shd w:val="clear" w:color="auto" w:fill="FFFFFF"/>
        </w:rPr>
        <w:t>(р&lt;</w:t>
      </w:r>
      <w:r>
        <w:rPr>
          <w:color w:val="000000"/>
          <w:shd w:val="clear" w:color="auto" w:fill="FFFFFF"/>
        </w:rPr>
        <w:t>0,05</w:t>
      </w:r>
      <w:r w:rsidRPr="00120606">
        <w:rPr>
          <w:color w:val="000000"/>
          <w:shd w:val="clear" w:color="auto" w:fill="FFFFFF"/>
        </w:rPr>
        <w:t>)</w:t>
      </w:r>
      <w:r>
        <w:rPr>
          <w:color w:val="000000"/>
          <w:shd w:val="clear" w:color="auto" w:fill="FFFFFF"/>
        </w:rPr>
        <w:t xml:space="preserve">,  індекс </w:t>
      </w:r>
      <w:r w:rsidRPr="00182370">
        <w:rPr>
          <w:color w:val="000000"/>
          <w:spacing w:val="-2"/>
          <w:shd w:val="clear" w:color="auto" w:fill="FFFFFF"/>
        </w:rPr>
        <w:t>CPITN</w:t>
      </w:r>
      <w:r>
        <w:rPr>
          <w:color w:val="000000"/>
          <w:spacing w:val="-2"/>
          <w:shd w:val="clear" w:color="auto" w:fill="FFFFFF"/>
        </w:rPr>
        <w:t xml:space="preserve"> – </w:t>
      </w:r>
      <w:r w:rsidRPr="00542EC5">
        <w:rPr>
          <w:color w:val="000000"/>
          <w:spacing w:val="-2"/>
          <w:shd w:val="clear" w:color="auto" w:fill="FFFFFF"/>
        </w:rPr>
        <w:t>в 1,5 раза</w:t>
      </w:r>
      <w:r w:rsidR="00E02FFB">
        <w:rPr>
          <w:color w:val="000000"/>
          <w:spacing w:val="-2"/>
          <w:shd w:val="clear" w:color="auto" w:fill="FFFFFF"/>
        </w:rPr>
        <w:t xml:space="preserve"> </w:t>
      </w:r>
      <w:r w:rsidRPr="00120606">
        <w:rPr>
          <w:color w:val="000000"/>
          <w:shd w:val="clear" w:color="auto" w:fill="FFFFFF"/>
        </w:rPr>
        <w:t>(р&lt;</w:t>
      </w:r>
      <w:r>
        <w:rPr>
          <w:color w:val="000000"/>
          <w:shd w:val="clear" w:color="auto" w:fill="FFFFFF"/>
        </w:rPr>
        <w:t>0,01</w:t>
      </w:r>
      <w:r w:rsidRPr="00120606">
        <w:rPr>
          <w:color w:val="000000"/>
          <w:shd w:val="clear" w:color="auto" w:fill="FFFFFF"/>
        </w:rPr>
        <w:t>)</w:t>
      </w:r>
      <w:r>
        <w:rPr>
          <w:color w:val="000000"/>
          <w:shd w:val="clear" w:color="auto" w:fill="FFFFFF"/>
        </w:rPr>
        <w:t>.</w:t>
      </w:r>
    </w:p>
    <w:p w:rsidR="004B7C60" w:rsidRPr="00E02FFB" w:rsidRDefault="004B7C60" w:rsidP="004B7C60">
      <w:pPr>
        <w:ind w:firstLine="709"/>
        <w:rPr>
          <w:color w:val="000000"/>
          <w:spacing w:val="-4"/>
          <w:shd w:val="clear" w:color="auto" w:fill="FFFFFF"/>
        </w:rPr>
      </w:pPr>
      <w:r w:rsidRPr="00E02FFB">
        <w:rPr>
          <w:spacing w:val="-4"/>
        </w:rPr>
        <w:t>Доповнено наукові дані щодо причин розвитку основних стоматологічних захворювань у дітей з вродженою глухотою. Встановлено, що незважаючи на те, що показники ГІ за Федоровим</w:t>
      </w:r>
      <w:r w:rsidR="00631305">
        <w:rPr>
          <w:spacing w:val="-4"/>
        </w:rPr>
        <w:t>–</w:t>
      </w:r>
      <w:r w:rsidRPr="00E02FFB">
        <w:rPr>
          <w:spacing w:val="-4"/>
        </w:rPr>
        <w:t>Володкіною,</w:t>
      </w:r>
      <w:r w:rsidRPr="00E02FFB">
        <w:rPr>
          <w:color w:val="000000"/>
          <w:spacing w:val="-4"/>
          <w:bdr w:val="none" w:sz="0" w:space="0" w:color="auto" w:frame="1"/>
        </w:rPr>
        <w:t xml:space="preserve"> за Stallard</w:t>
      </w:r>
      <w:r w:rsidR="00A03F16">
        <w:rPr>
          <w:color w:val="000000"/>
          <w:spacing w:val="-4"/>
          <w:bdr w:val="none" w:sz="0" w:space="0" w:color="auto" w:frame="1"/>
        </w:rPr>
        <w:t xml:space="preserve"> </w:t>
      </w:r>
      <w:r w:rsidRPr="00E02FFB">
        <w:rPr>
          <w:spacing w:val="-4"/>
        </w:rPr>
        <w:t>та за Silness і Loe у дітей з вродженою глухотою</w:t>
      </w:r>
      <w:r w:rsidR="00E02FFB" w:rsidRPr="00E02FFB">
        <w:rPr>
          <w:spacing w:val="-4"/>
        </w:rPr>
        <w:t xml:space="preserve"> </w:t>
      </w:r>
      <w:r w:rsidRPr="00E02FFB">
        <w:rPr>
          <w:color w:val="000000"/>
          <w:spacing w:val="-4"/>
          <w:shd w:val="clear" w:color="auto" w:fill="FFFFFF"/>
        </w:rPr>
        <w:t>були гіршими</w:t>
      </w:r>
      <w:r w:rsidR="00E02FFB" w:rsidRPr="00E02FFB">
        <w:rPr>
          <w:color w:val="000000"/>
          <w:spacing w:val="-4"/>
          <w:shd w:val="clear" w:color="auto" w:fill="FFFFFF"/>
        </w:rPr>
        <w:t xml:space="preserve"> </w:t>
      </w:r>
      <w:r w:rsidRPr="00E02FFB">
        <w:rPr>
          <w:color w:val="000000"/>
          <w:spacing w:val="-4"/>
          <w:shd w:val="clear" w:color="auto" w:fill="FFFFFF"/>
        </w:rPr>
        <w:t>за аналогічні показники у здорових дітей відповідно в 1,6, 1,8 та 1,7 раза (р&lt;0,01), не виявлено кореляційний зв’язок між рівнем гігієни порожнини рота та</w:t>
      </w:r>
      <w:r w:rsidRPr="00E02FFB">
        <w:rPr>
          <w:spacing w:val="-4"/>
        </w:rPr>
        <w:t xml:space="preserve"> особливостями стану твердих тканин зубів та пародонта в дітей з вадами слуху.</w:t>
      </w:r>
    </w:p>
    <w:p w:rsidR="004B7C60" w:rsidRPr="00907B13" w:rsidRDefault="004B7C60" w:rsidP="004B7C60">
      <w:pPr>
        <w:ind w:firstLine="709"/>
        <w:contextualSpacing/>
      </w:pPr>
      <w:r>
        <w:rPr>
          <w:rFonts w:eastAsia="TimesNewRomanPSMT"/>
        </w:rPr>
        <w:t>Доповнено наукові</w:t>
      </w:r>
      <w:r w:rsidRPr="00907B13">
        <w:rPr>
          <w:rFonts w:eastAsia="TimesNewRomanPSMT"/>
        </w:rPr>
        <w:t xml:space="preserve"> дані щодо особливостей мікроекології порожнини рота у дітей зі слуховою депривацією</w:t>
      </w:r>
      <w:r>
        <w:rPr>
          <w:rFonts w:eastAsia="TimesNewRomanPSMT"/>
        </w:rPr>
        <w:t>. Встановлено</w:t>
      </w:r>
      <w:r w:rsidR="00FD5F75">
        <w:rPr>
          <w:rFonts w:eastAsia="TimesNewRomanPSMT"/>
        </w:rPr>
        <w:t xml:space="preserve"> </w:t>
      </w:r>
      <w:r>
        <w:t>істотне збільшення</w:t>
      </w:r>
      <w:r w:rsidR="00FD5F75">
        <w:t xml:space="preserve"> </w:t>
      </w:r>
      <w:r w:rsidRPr="00907B13">
        <w:t>персистенції у вказаному біотопі як представників резидентної мікрофлори порожнини рота</w:t>
      </w:r>
      <w:r>
        <w:t>,</w:t>
      </w:r>
      <w:r w:rsidRPr="00907B13">
        <w:t xml:space="preserve"> так і облігатних анаеробних бактерій (</w:t>
      </w:r>
      <w:r w:rsidRPr="00907B13">
        <w:rPr>
          <w:i/>
        </w:rPr>
        <w:t>Fusobacterium</w:t>
      </w:r>
      <w:r w:rsidR="00FD5F75">
        <w:rPr>
          <w:i/>
        </w:rPr>
        <w:t xml:space="preserve"> </w:t>
      </w:r>
      <w:r w:rsidRPr="00907B13">
        <w:rPr>
          <w:i/>
        </w:rPr>
        <w:t>spp</w:t>
      </w:r>
      <w:r w:rsidRPr="00907B13">
        <w:t xml:space="preserve">, </w:t>
      </w:r>
      <w:r w:rsidRPr="00907B13">
        <w:rPr>
          <w:i/>
        </w:rPr>
        <w:t>Bacteroides</w:t>
      </w:r>
      <w:r w:rsidR="00FD5F75">
        <w:rPr>
          <w:i/>
        </w:rPr>
        <w:t xml:space="preserve"> </w:t>
      </w:r>
      <w:r w:rsidRPr="00907B13">
        <w:rPr>
          <w:i/>
        </w:rPr>
        <w:t>spp</w:t>
      </w:r>
      <w:r w:rsidRPr="00907B13">
        <w:t xml:space="preserve">, </w:t>
      </w:r>
      <w:r w:rsidRPr="00907B13">
        <w:rPr>
          <w:i/>
        </w:rPr>
        <w:t>Prevotella</w:t>
      </w:r>
      <w:r w:rsidR="00FD5F75">
        <w:rPr>
          <w:i/>
        </w:rPr>
        <w:t xml:space="preserve"> </w:t>
      </w:r>
      <w:r w:rsidRPr="00907B13">
        <w:rPr>
          <w:i/>
        </w:rPr>
        <w:t>spp</w:t>
      </w:r>
      <w:r w:rsidRPr="00907B13">
        <w:t xml:space="preserve">, </w:t>
      </w:r>
      <w:r w:rsidRPr="00907B13">
        <w:rPr>
          <w:i/>
        </w:rPr>
        <w:t>Porphyromonas</w:t>
      </w:r>
      <w:r w:rsidR="00FD5F75">
        <w:rPr>
          <w:i/>
        </w:rPr>
        <w:t xml:space="preserve"> </w:t>
      </w:r>
      <w:r w:rsidRPr="00907B13">
        <w:rPr>
          <w:i/>
        </w:rPr>
        <w:t>spp</w:t>
      </w:r>
      <w:r w:rsidRPr="00907B13">
        <w:t xml:space="preserve">), ентеробактерій, </w:t>
      </w:r>
      <w:r w:rsidRPr="00907B13">
        <w:lastRenderedPageBreak/>
        <w:t>неферментуючих</w:t>
      </w:r>
      <w:r w:rsidR="00FD5F75">
        <w:t xml:space="preserve"> </w:t>
      </w:r>
      <w:r w:rsidRPr="00907B13">
        <w:t>грамнегативних бактерій (</w:t>
      </w:r>
      <w:r w:rsidRPr="00907B13">
        <w:rPr>
          <w:i/>
        </w:rPr>
        <w:t>Acinetobacter</w:t>
      </w:r>
      <w:r w:rsidR="00FD5F75">
        <w:rPr>
          <w:i/>
        </w:rPr>
        <w:t xml:space="preserve"> </w:t>
      </w:r>
      <w:r w:rsidRPr="00907B13">
        <w:rPr>
          <w:i/>
        </w:rPr>
        <w:t>spp, P. аeruginosa</w:t>
      </w:r>
      <w:r w:rsidRPr="00907B13">
        <w:t xml:space="preserve">), </w:t>
      </w:r>
      <w:r w:rsidRPr="00907B13">
        <w:rPr>
          <w:i/>
        </w:rPr>
        <w:t>S. aureus</w:t>
      </w:r>
      <w:r w:rsidRPr="00907B13">
        <w:t xml:space="preserve"> та </w:t>
      </w:r>
      <w:r w:rsidRPr="00907B13">
        <w:rPr>
          <w:i/>
        </w:rPr>
        <w:t>S. рyogеnеs.</w:t>
      </w:r>
      <w:r w:rsidRPr="00907B13">
        <w:t xml:space="preserve"> Вилучення карієсогенних штамів </w:t>
      </w:r>
      <w:r w:rsidRPr="00907B13">
        <w:rPr>
          <w:i/>
        </w:rPr>
        <w:t>S. mutans</w:t>
      </w:r>
      <w:r w:rsidRPr="00907B13">
        <w:t xml:space="preserve"> були </w:t>
      </w:r>
      <w:r>
        <w:t>у 2 рази</w:t>
      </w:r>
      <w:r w:rsidR="00FD5F75">
        <w:t xml:space="preserve"> </w:t>
      </w:r>
      <w:r w:rsidRPr="00907B13">
        <w:t>(р&lt;0,01) частіше у концентрац</w:t>
      </w:r>
      <w:r>
        <w:t>ії, яка статистично перевищувала</w:t>
      </w:r>
      <w:r w:rsidRPr="00907B13">
        <w:t xml:space="preserve"> значення, одержані при обстеженні дітей групи порівняння.</w:t>
      </w:r>
    </w:p>
    <w:p w:rsidR="004B7C60" w:rsidRPr="00FD5F75" w:rsidRDefault="004B7C60" w:rsidP="004B7C60">
      <w:pPr>
        <w:ind w:firstLine="709"/>
        <w:contextualSpacing/>
        <w:rPr>
          <w:spacing w:val="-4"/>
        </w:rPr>
      </w:pPr>
      <w:r w:rsidRPr="00FD5F75">
        <w:rPr>
          <w:spacing w:val="-4"/>
        </w:rPr>
        <w:t>Розширено наукові дані про стан здоров’я порожнини рота дітей з вродженою глухотою. Отримано дані щодо</w:t>
      </w:r>
      <w:r w:rsidR="00FD5F75" w:rsidRPr="00FD5F75">
        <w:rPr>
          <w:spacing w:val="-4"/>
        </w:rPr>
        <w:t xml:space="preserve"> </w:t>
      </w:r>
      <w:r w:rsidRPr="00FD5F75">
        <w:rPr>
          <w:color w:val="000000"/>
          <w:spacing w:val="-4"/>
        </w:rPr>
        <w:t>біохімічних та імунологічних властивостей ротової рідини</w:t>
      </w:r>
      <w:r w:rsidR="00FD5F75" w:rsidRPr="00FD5F75">
        <w:rPr>
          <w:color w:val="000000"/>
          <w:spacing w:val="-4"/>
        </w:rPr>
        <w:t xml:space="preserve"> </w:t>
      </w:r>
      <w:r w:rsidRPr="00FD5F75">
        <w:rPr>
          <w:spacing w:val="-4"/>
        </w:rPr>
        <w:t>у дітей з вадами слуху. Встановлено, що у дітей основної групи порівняно зі здоровими однолітками показники ΔpH були вищі в 7,2 раза</w:t>
      </w:r>
      <w:r w:rsidR="00FD5F75" w:rsidRPr="00FD5F75">
        <w:rPr>
          <w:spacing w:val="-4"/>
        </w:rPr>
        <w:t xml:space="preserve"> </w:t>
      </w:r>
      <w:r w:rsidRPr="00FD5F75">
        <w:rPr>
          <w:spacing w:val="-4"/>
        </w:rPr>
        <w:t>(</w:t>
      </w:r>
      <w:r w:rsidR="00FD5F75" w:rsidRPr="00FD5F75">
        <w:rPr>
          <w:spacing w:val="-4"/>
        </w:rPr>
        <w:t>р&lt;</w:t>
      </w:r>
      <w:r w:rsidRPr="00FD5F75">
        <w:rPr>
          <w:spacing w:val="-4"/>
        </w:rPr>
        <w:t>0,01), показники швидкості слиновиділення були нижчі в 1,3 раза</w:t>
      </w:r>
      <w:r w:rsidR="00FD5F75" w:rsidRPr="00FD5F75">
        <w:rPr>
          <w:spacing w:val="-4"/>
        </w:rPr>
        <w:t xml:space="preserve"> </w:t>
      </w:r>
      <w:r w:rsidRPr="00FD5F75">
        <w:rPr>
          <w:spacing w:val="-4"/>
        </w:rPr>
        <w:t>(р&lt;0,01), кількість ТБК-активних продуктів була вища в 1,4 раза (p</w:t>
      </w:r>
      <w:r w:rsidR="00FD5F75" w:rsidRPr="00FD5F75">
        <w:rPr>
          <w:spacing w:val="-4"/>
        </w:rPr>
        <w:t>&lt;</w:t>
      </w:r>
      <w:r w:rsidRPr="00FD5F75">
        <w:rPr>
          <w:spacing w:val="-4"/>
        </w:rPr>
        <w:t xml:space="preserve">0,05), активність ферментів антиоксидантної системи була </w:t>
      </w:r>
      <w:r w:rsidR="00F06CDB" w:rsidRPr="00FD5F75">
        <w:rPr>
          <w:spacing w:val="-4"/>
        </w:rPr>
        <w:t>нижч</w:t>
      </w:r>
      <w:r w:rsidR="00F06CDB">
        <w:rPr>
          <w:spacing w:val="-4"/>
        </w:rPr>
        <w:t>а</w:t>
      </w:r>
      <w:r w:rsidR="00F06CDB" w:rsidRPr="00FD5F75">
        <w:rPr>
          <w:spacing w:val="-4"/>
        </w:rPr>
        <w:t xml:space="preserve"> </w:t>
      </w:r>
      <w:r w:rsidRPr="00FD5F75">
        <w:rPr>
          <w:spacing w:val="-4"/>
        </w:rPr>
        <w:t>в 1,5</w:t>
      </w:r>
      <w:r w:rsidR="00FD5F75" w:rsidRPr="00FD5F75">
        <w:rPr>
          <w:spacing w:val="-4"/>
        </w:rPr>
        <w:t xml:space="preserve"> </w:t>
      </w:r>
      <w:r w:rsidRPr="00FD5F75">
        <w:rPr>
          <w:spacing w:val="-4"/>
        </w:rPr>
        <w:t>раза</w:t>
      </w:r>
      <w:r w:rsidR="00FD5F75" w:rsidRPr="00FD5F75">
        <w:rPr>
          <w:spacing w:val="-4"/>
        </w:rPr>
        <w:t xml:space="preserve"> (p&lt;</w:t>
      </w:r>
      <w:r w:rsidRPr="00FD5F75">
        <w:rPr>
          <w:spacing w:val="-4"/>
        </w:rPr>
        <w:t>0,05), антиоксидантно-про</w:t>
      </w:r>
      <w:r w:rsidR="00FD5F75">
        <w:rPr>
          <w:spacing w:val="-4"/>
        </w:rPr>
        <w:t xml:space="preserve">оксидантний індекс був нижчим в </w:t>
      </w:r>
      <w:r w:rsidRPr="00FD5F75">
        <w:rPr>
          <w:spacing w:val="-4"/>
        </w:rPr>
        <w:t>2,2</w:t>
      </w:r>
      <w:r w:rsidR="00FD5F75" w:rsidRPr="00FD5F75">
        <w:rPr>
          <w:spacing w:val="-4"/>
        </w:rPr>
        <w:t xml:space="preserve"> </w:t>
      </w:r>
      <w:r w:rsidRPr="00FD5F75">
        <w:rPr>
          <w:spacing w:val="-4"/>
        </w:rPr>
        <w:t xml:space="preserve">раза (p&lt;0,05), кількість секреторного імуноглобуліну А була </w:t>
      </w:r>
      <w:r w:rsidR="00F06CDB" w:rsidRPr="00FD5F75">
        <w:rPr>
          <w:spacing w:val="-4"/>
        </w:rPr>
        <w:t>нижч</w:t>
      </w:r>
      <w:r w:rsidR="00F06CDB">
        <w:rPr>
          <w:spacing w:val="-4"/>
        </w:rPr>
        <w:t>а</w:t>
      </w:r>
      <w:r w:rsidR="00F06CDB" w:rsidRPr="00FD5F75">
        <w:rPr>
          <w:spacing w:val="-4"/>
        </w:rPr>
        <w:t xml:space="preserve"> </w:t>
      </w:r>
      <w:r w:rsidR="00FD5F75">
        <w:rPr>
          <w:spacing w:val="-4"/>
        </w:rPr>
        <w:t xml:space="preserve">в </w:t>
      </w:r>
      <w:r w:rsidRPr="00FD5F75">
        <w:rPr>
          <w:spacing w:val="-4"/>
        </w:rPr>
        <w:t xml:space="preserve">1,5 раза (р&lt;0,01), активність лізоциму була </w:t>
      </w:r>
      <w:r w:rsidR="00F06CDB" w:rsidRPr="00FD5F75">
        <w:rPr>
          <w:spacing w:val="-4"/>
        </w:rPr>
        <w:t>нижч</w:t>
      </w:r>
      <w:r w:rsidR="00F06CDB">
        <w:rPr>
          <w:spacing w:val="-4"/>
        </w:rPr>
        <w:t>а</w:t>
      </w:r>
      <w:r w:rsidR="00F06CDB" w:rsidRPr="00FD5F75">
        <w:rPr>
          <w:spacing w:val="-4"/>
        </w:rPr>
        <w:t xml:space="preserve"> </w:t>
      </w:r>
      <w:r w:rsidRPr="00FD5F75">
        <w:rPr>
          <w:spacing w:val="-4"/>
        </w:rPr>
        <w:t xml:space="preserve">в 1,8 </w:t>
      </w:r>
      <w:r w:rsidR="00F06CDB" w:rsidRPr="00FD5F75">
        <w:rPr>
          <w:spacing w:val="-4"/>
        </w:rPr>
        <w:t>раз</w:t>
      </w:r>
      <w:r w:rsidR="00F06CDB">
        <w:rPr>
          <w:spacing w:val="-4"/>
        </w:rPr>
        <w:t>а</w:t>
      </w:r>
      <w:r w:rsidR="00F06CDB" w:rsidRPr="00FD5F75">
        <w:rPr>
          <w:spacing w:val="-4"/>
        </w:rPr>
        <w:t xml:space="preserve"> </w:t>
      </w:r>
      <w:r w:rsidRPr="00FD5F75">
        <w:rPr>
          <w:spacing w:val="-4"/>
        </w:rPr>
        <w:t>(р</w:t>
      </w:r>
      <w:r w:rsidR="00FD5F75" w:rsidRPr="00FD5F75">
        <w:rPr>
          <w:spacing w:val="-4"/>
        </w:rPr>
        <w:t>&lt;</w:t>
      </w:r>
      <w:r w:rsidRPr="00FD5F75">
        <w:rPr>
          <w:spacing w:val="-4"/>
        </w:rPr>
        <w:t>0,01), активність уреази була більшою в 3,3 раза (р&lt;0,001), співвідношення відносних уреази і лізоциму перевищувало в 6 разів (р&lt;0,001) показники контрольної групи.</w:t>
      </w:r>
    </w:p>
    <w:p w:rsidR="004B7C60" w:rsidRPr="00120606" w:rsidRDefault="004B7C60" w:rsidP="004B7C60">
      <w:pPr>
        <w:ind w:firstLine="709"/>
      </w:pPr>
      <w:r w:rsidRPr="00120606">
        <w:t xml:space="preserve">Уперше розроблено патогенетичну схему профілактичних заходів для дітей з </w:t>
      </w:r>
      <w:r>
        <w:t>вродженою глухотою</w:t>
      </w:r>
      <w:r w:rsidRPr="00120606">
        <w:t xml:space="preserve">, яка дозволила </w:t>
      </w:r>
      <w:r>
        <w:t>досягти високого рівня</w:t>
      </w:r>
      <w:r w:rsidR="00FD5F75">
        <w:t xml:space="preserve"> </w:t>
      </w:r>
      <w:r>
        <w:t>гігієни порожнини рота,</w:t>
      </w:r>
      <w:r w:rsidR="00FD5F75">
        <w:t xml:space="preserve"> </w:t>
      </w:r>
      <w:r w:rsidRPr="006D7B91">
        <w:t>редукцію приросту карієсу зубів</w:t>
      </w:r>
      <w:r w:rsidR="002711C6">
        <w:t xml:space="preserve"> </w:t>
      </w:r>
      <w:r w:rsidRPr="006D7B91">
        <w:t>на 82 %</w:t>
      </w:r>
      <w:r>
        <w:t>, отримати 22 %</w:t>
      </w:r>
      <w:r w:rsidR="00FD5F75">
        <w:t xml:space="preserve"> </w:t>
      </w:r>
      <w:r>
        <w:rPr>
          <w:bCs/>
        </w:rPr>
        <w:t>карієспрофілактичної</w:t>
      </w:r>
      <w:r w:rsidRPr="006D7B91">
        <w:rPr>
          <w:bCs/>
        </w:rPr>
        <w:t xml:space="preserve"> ефективн</w:t>
      </w:r>
      <w:r>
        <w:rPr>
          <w:bCs/>
        </w:rPr>
        <w:t xml:space="preserve">ості, </w:t>
      </w:r>
      <w:r>
        <w:t xml:space="preserve">нормалізувати стан тканин пародонта (покращити </w:t>
      </w:r>
      <w:r w:rsidRPr="00120606">
        <w:t xml:space="preserve">індекси </w:t>
      </w:r>
      <w:r>
        <w:t xml:space="preserve"> РМА та </w:t>
      </w:r>
      <w:r>
        <w:rPr>
          <w:lang w:val="en-US"/>
        </w:rPr>
        <w:t>CPITN</w:t>
      </w:r>
      <w:r w:rsidR="002E237D">
        <w:t xml:space="preserve"> </w:t>
      </w:r>
      <w:r>
        <w:t xml:space="preserve">на 88 % та 69 % відповідно), відновити </w:t>
      </w:r>
      <w:r>
        <w:rPr>
          <w:color w:val="000000"/>
        </w:rPr>
        <w:t>біохімічні та імунологічні властивості</w:t>
      </w:r>
      <w:r w:rsidRPr="00907B13">
        <w:rPr>
          <w:color w:val="000000"/>
        </w:rPr>
        <w:t xml:space="preserve"> ротової рідини</w:t>
      </w:r>
      <w:r>
        <w:t xml:space="preserve">, покращити </w:t>
      </w:r>
      <w:r>
        <w:rPr>
          <w:rFonts w:eastAsia="TimesNewRomanPSMT"/>
        </w:rPr>
        <w:t>мікроекологію</w:t>
      </w:r>
      <w:r w:rsidRPr="00907B13">
        <w:rPr>
          <w:rFonts w:eastAsia="TimesNewRomanPSMT"/>
        </w:rPr>
        <w:t xml:space="preserve"> порожнини рота</w:t>
      </w:r>
      <w:r>
        <w:rPr>
          <w:rFonts w:eastAsia="TimesNewRomanPSMT"/>
        </w:rPr>
        <w:t>.</w:t>
      </w:r>
    </w:p>
    <w:p w:rsidR="004B7C60" w:rsidRPr="00120606" w:rsidRDefault="004B7C60" w:rsidP="004B7C60">
      <w:pPr>
        <w:ind w:firstLine="709"/>
      </w:pPr>
      <w:r>
        <w:t>У</w:t>
      </w:r>
      <w:r w:rsidRPr="00120606">
        <w:t>перше запропоновано спосіб оцінки ефективності лікування та профілактики карієсу твердих тканин зубів та захворювань тканин пародонта у дітей  з вродженою глухотою шляхом вивчення біохімічних п</w:t>
      </w:r>
      <w:r>
        <w:t>оказників ротової рідини (рівня</w:t>
      </w:r>
      <w:r w:rsidRPr="00120606">
        <w:t xml:space="preserve"> ТБК-активних продуктів, каталази, супероксиддисмутази та антиоксидантно-прооксидантного індексу). </w:t>
      </w:r>
    </w:p>
    <w:p w:rsidR="002E237D" w:rsidRDefault="002E237D" w:rsidP="002E237D">
      <w:pPr>
        <w:ind w:firstLine="709"/>
      </w:pPr>
      <w:r>
        <w:rPr>
          <w:b/>
        </w:rPr>
        <w:t>Практичне значення отриманих результатів</w:t>
      </w:r>
      <w:r w:rsidRPr="00120606">
        <w:rPr>
          <w:b/>
        </w:rPr>
        <w:t>.</w:t>
      </w:r>
      <w:r w:rsidRPr="00120606">
        <w:t xml:space="preserve"> Розроблено схему </w:t>
      </w:r>
      <w:r w:rsidRPr="00120606">
        <w:lastRenderedPageBreak/>
        <w:t>профілактичних заходів для діт</w:t>
      </w:r>
      <w:r>
        <w:t>ей з вадами слуху,  що включає</w:t>
      </w:r>
      <w:r w:rsidRPr="00120606">
        <w:t xml:space="preserve"> професійну чистку зубів, навчання правил догляду за порожниною рота, доб</w:t>
      </w:r>
      <w:r>
        <w:t xml:space="preserve">ір засобів та методів гігієни, </w:t>
      </w:r>
      <w:r w:rsidRPr="00120606">
        <w:t xml:space="preserve">застосування </w:t>
      </w:r>
      <w:r>
        <w:rPr>
          <w:lang w:eastAsia="uk-UA"/>
        </w:rPr>
        <w:t>фітоадаптогенного препарату та лізоцимвмісного</w:t>
      </w:r>
      <w:r w:rsidR="00842725">
        <w:rPr>
          <w:lang w:eastAsia="uk-UA"/>
        </w:rPr>
        <w:t xml:space="preserve"> </w:t>
      </w:r>
      <w:r w:rsidR="00F06CDB">
        <w:rPr>
          <w:lang w:eastAsia="uk-UA"/>
        </w:rPr>
        <w:t>ополіскувача</w:t>
      </w:r>
      <w:r>
        <w:rPr>
          <w:lang w:eastAsia="uk-UA"/>
        </w:rPr>
        <w:t>.</w:t>
      </w:r>
    </w:p>
    <w:p w:rsidR="002E237D" w:rsidRPr="00FF68E1" w:rsidRDefault="002E237D" w:rsidP="002E237D">
      <w:pPr>
        <w:ind w:firstLine="709"/>
        <w:rPr>
          <w:spacing w:val="-6"/>
        </w:rPr>
      </w:pPr>
      <w:r w:rsidRPr="00FF68E1">
        <w:rPr>
          <w:spacing w:val="-6"/>
        </w:rPr>
        <w:t>Використання запропонованого методу лікування та профілактики в групі дітей з вродженою глухотою дозволило протягом 12 місяців спостереження</w:t>
      </w:r>
      <w:r w:rsidR="00842725" w:rsidRPr="00FF68E1">
        <w:rPr>
          <w:spacing w:val="-6"/>
        </w:rPr>
        <w:t xml:space="preserve"> </w:t>
      </w:r>
      <w:r w:rsidRPr="00FF68E1">
        <w:rPr>
          <w:spacing w:val="-6"/>
        </w:rPr>
        <w:t>статистично достовірно досягти</w:t>
      </w:r>
      <w:r w:rsidR="00842725" w:rsidRPr="00FF68E1">
        <w:rPr>
          <w:spacing w:val="-6"/>
        </w:rPr>
        <w:t xml:space="preserve"> </w:t>
      </w:r>
      <w:r w:rsidRPr="00FF68E1">
        <w:rPr>
          <w:spacing w:val="-6"/>
        </w:rPr>
        <w:t>відсутності зростання поширеності карієсу зубів,</w:t>
      </w:r>
      <w:r w:rsidR="00842725" w:rsidRPr="00FF68E1">
        <w:rPr>
          <w:spacing w:val="-6"/>
        </w:rPr>
        <w:t xml:space="preserve"> </w:t>
      </w:r>
      <w:r w:rsidRPr="00FF68E1">
        <w:rPr>
          <w:spacing w:val="-6"/>
        </w:rPr>
        <w:t>знизити</w:t>
      </w:r>
      <w:r w:rsidR="00842725" w:rsidRPr="00FF68E1">
        <w:rPr>
          <w:spacing w:val="-6"/>
        </w:rPr>
        <w:t xml:space="preserve"> </w:t>
      </w:r>
      <w:r w:rsidRPr="00FF68E1">
        <w:rPr>
          <w:spacing w:val="-6"/>
        </w:rPr>
        <w:t>показники</w:t>
      </w:r>
      <w:r w:rsidR="00842725" w:rsidRPr="00FF68E1">
        <w:rPr>
          <w:spacing w:val="-6"/>
        </w:rPr>
        <w:t xml:space="preserve"> </w:t>
      </w:r>
      <w:r w:rsidRPr="00FF68E1">
        <w:rPr>
          <w:spacing w:val="-6"/>
        </w:rPr>
        <w:t>КПВз+кпз та КПВз на 10 %,</w:t>
      </w:r>
      <w:r w:rsidR="00842725" w:rsidRPr="00FF68E1">
        <w:rPr>
          <w:spacing w:val="-6"/>
        </w:rPr>
        <w:t xml:space="preserve"> </w:t>
      </w:r>
      <w:r w:rsidRPr="00FF68E1">
        <w:rPr>
          <w:spacing w:val="-6"/>
        </w:rPr>
        <w:t>індекси гігієни в 2,2 (за</w:t>
      </w:r>
      <w:r w:rsidR="00FF68E1">
        <w:rPr>
          <w:spacing w:val="-6"/>
        </w:rPr>
        <w:t> </w:t>
      </w:r>
      <w:r w:rsidRPr="00FF68E1">
        <w:rPr>
          <w:color w:val="000000"/>
          <w:spacing w:val="-6"/>
          <w:szCs w:val="16"/>
          <w:shd w:val="clear" w:color="auto" w:fill="FFFFFF"/>
        </w:rPr>
        <w:t>Федоровим</w:t>
      </w:r>
      <w:r w:rsidR="00F06CDB">
        <w:rPr>
          <w:color w:val="000000"/>
          <w:spacing w:val="-6"/>
          <w:szCs w:val="16"/>
          <w:shd w:val="clear" w:color="auto" w:fill="FFFFFF"/>
        </w:rPr>
        <w:t>–</w:t>
      </w:r>
      <w:r w:rsidRPr="00FF68E1">
        <w:rPr>
          <w:color w:val="000000"/>
          <w:spacing w:val="-6"/>
          <w:szCs w:val="16"/>
          <w:shd w:val="clear" w:color="auto" w:fill="FFFFFF"/>
        </w:rPr>
        <w:t>Володкіною</w:t>
      </w:r>
      <w:r w:rsidRPr="00FF68E1">
        <w:rPr>
          <w:spacing w:val="-6"/>
        </w:rPr>
        <w:t>), у 4,6</w:t>
      </w:r>
      <w:r w:rsidR="00FF68E1">
        <w:rPr>
          <w:spacing w:val="-6"/>
        </w:rPr>
        <w:t xml:space="preserve"> </w:t>
      </w:r>
      <w:r w:rsidRPr="00FF68E1">
        <w:rPr>
          <w:spacing w:val="-6"/>
        </w:rPr>
        <w:t xml:space="preserve">(за Stallard) та 4,4 раза (за J. Silness і H. Loe), індекси РМА та </w:t>
      </w:r>
      <w:r w:rsidRPr="00FF68E1">
        <w:rPr>
          <w:color w:val="000000"/>
          <w:spacing w:val="-6"/>
          <w:shd w:val="clear" w:color="auto" w:fill="FFFFFF"/>
        </w:rPr>
        <w:t>CPITN відповідно</w:t>
      </w:r>
      <w:r w:rsidRPr="00FF68E1">
        <w:rPr>
          <w:spacing w:val="-6"/>
        </w:rPr>
        <w:t xml:space="preserve"> в 8 разів та 3,2 раза, Δ pH в 5,9 </w:t>
      </w:r>
      <w:r w:rsidR="00F06CDB" w:rsidRPr="00FF68E1">
        <w:rPr>
          <w:spacing w:val="-6"/>
        </w:rPr>
        <w:t>раз</w:t>
      </w:r>
      <w:r w:rsidR="00F06CDB">
        <w:rPr>
          <w:spacing w:val="-6"/>
        </w:rPr>
        <w:t>а</w:t>
      </w:r>
      <w:r w:rsidRPr="00FF68E1">
        <w:rPr>
          <w:spacing w:val="-6"/>
        </w:rPr>
        <w:t>,</w:t>
      </w:r>
      <w:r w:rsidR="00FF68E1">
        <w:rPr>
          <w:spacing w:val="-6"/>
        </w:rPr>
        <w:t xml:space="preserve"> </w:t>
      </w:r>
      <w:r w:rsidRPr="00FF68E1">
        <w:rPr>
          <w:spacing w:val="-6"/>
        </w:rPr>
        <w:t>підвищити швидкість слиновиділення на 16 %, знизити кількість ТБК-активних продуктів на 33,9 %, збільшити активність каталази на 44,7 % та супероксиддисмутази на 43,2 %,</w:t>
      </w:r>
      <w:r w:rsidR="00842725" w:rsidRPr="00FF68E1">
        <w:rPr>
          <w:spacing w:val="-6"/>
        </w:rPr>
        <w:t xml:space="preserve"> </w:t>
      </w:r>
      <w:r w:rsidRPr="00FF68E1">
        <w:rPr>
          <w:spacing w:val="-6"/>
        </w:rPr>
        <w:t>антиоксидантно-прооксидантний індекс</w:t>
      </w:r>
      <w:r w:rsidR="00FF68E1">
        <w:rPr>
          <w:spacing w:val="-6"/>
        </w:rPr>
        <w:t xml:space="preserve"> в 2,2 </w:t>
      </w:r>
      <w:r w:rsidRPr="00FF68E1">
        <w:rPr>
          <w:spacing w:val="-6"/>
        </w:rPr>
        <w:t>раза,</w:t>
      </w:r>
      <w:r w:rsidR="00842725" w:rsidRPr="00FF68E1">
        <w:rPr>
          <w:spacing w:val="-6"/>
        </w:rPr>
        <w:t xml:space="preserve"> </w:t>
      </w:r>
      <w:r w:rsidRPr="00FF68E1">
        <w:rPr>
          <w:spacing w:val="-6"/>
        </w:rPr>
        <w:t>рівень</w:t>
      </w:r>
      <w:r w:rsidR="00842725" w:rsidRPr="00FF68E1">
        <w:rPr>
          <w:spacing w:val="-6"/>
        </w:rPr>
        <w:t xml:space="preserve"> </w:t>
      </w:r>
      <w:r w:rsidRPr="00FF68E1">
        <w:rPr>
          <w:rStyle w:val="a9"/>
          <w:bCs/>
          <w:i w:val="0"/>
          <w:color w:val="000000"/>
          <w:spacing w:val="-6"/>
        </w:rPr>
        <w:t>sIgA</w:t>
      </w:r>
      <w:r w:rsidRPr="00FF68E1">
        <w:rPr>
          <w:i/>
          <w:spacing w:val="-6"/>
        </w:rPr>
        <w:t xml:space="preserve"> </w:t>
      </w:r>
      <w:r w:rsidRPr="00FF68E1">
        <w:rPr>
          <w:spacing w:val="-6"/>
        </w:rPr>
        <w:t>на 30,7 % та активність лізоциму на 58,1 %, зменшити активність уреази на 52,6 %, показник ступеня дисбіозу на 71,7 %, отримати достовірне зниження популяційного рівня S. mutans, Haemophillus</w:t>
      </w:r>
      <w:r w:rsidR="00842725" w:rsidRPr="00FF68E1">
        <w:rPr>
          <w:spacing w:val="-6"/>
        </w:rPr>
        <w:t xml:space="preserve"> </w:t>
      </w:r>
      <w:r w:rsidRPr="00FF68E1">
        <w:rPr>
          <w:spacing w:val="-6"/>
        </w:rPr>
        <w:t>spp, Prevotella</w:t>
      </w:r>
      <w:r w:rsidR="00FF68E1">
        <w:rPr>
          <w:spacing w:val="-6"/>
        </w:rPr>
        <w:t> </w:t>
      </w:r>
      <w:r w:rsidRPr="00FF68E1">
        <w:rPr>
          <w:spacing w:val="-6"/>
        </w:rPr>
        <w:t>spp, Fusobacterium</w:t>
      </w:r>
      <w:r w:rsidR="00842725" w:rsidRPr="00FF68E1">
        <w:rPr>
          <w:spacing w:val="-6"/>
        </w:rPr>
        <w:t xml:space="preserve"> </w:t>
      </w:r>
      <w:r w:rsidRPr="00FF68E1">
        <w:rPr>
          <w:spacing w:val="-6"/>
        </w:rPr>
        <w:t>spp (р&lt;0,05), повністю елімінувати персистенцію</w:t>
      </w:r>
      <w:r w:rsidR="00F06CDB">
        <w:rPr>
          <w:spacing w:val="-6"/>
        </w:rPr>
        <w:t xml:space="preserve"> </w:t>
      </w:r>
      <w:r w:rsidRPr="00FF68E1">
        <w:rPr>
          <w:spacing w:val="-6"/>
        </w:rPr>
        <w:t xml:space="preserve">гнієрідних коків </w:t>
      </w:r>
      <w:r w:rsidR="00F06CDB">
        <w:rPr>
          <w:spacing w:val="-6"/>
        </w:rPr>
        <w:t>–</w:t>
      </w:r>
      <w:r w:rsidR="00F06CDB" w:rsidRPr="00FF68E1">
        <w:rPr>
          <w:spacing w:val="-6"/>
        </w:rPr>
        <w:t xml:space="preserve"> </w:t>
      </w:r>
      <w:r w:rsidRPr="00FF68E1">
        <w:rPr>
          <w:spacing w:val="-6"/>
        </w:rPr>
        <w:t>S. pyogеnеs та S. aureus, деяких видів ентеробактерій, підвищити частоту вилучення представників аутохтонної мікрофлори – некарієсогенних стрептококів (S. mitis, S. oralis, S. sаlivarius)</w:t>
      </w:r>
      <w:r w:rsidR="00842725" w:rsidRPr="00FF68E1">
        <w:rPr>
          <w:spacing w:val="-6"/>
        </w:rPr>
        <w:t xml:space="preserve"> </w:t>
      </w:r>
      <w:r w:rsidRPr="00FF68E1">
        <w:rPr>
          <w:spacing w:val="-6"/>
        </w:rPr>
        <w:t> </w:t>
      </w:r>
      <w:r w:rsidR="00827FF1">
        <w:rPr>
          <w:spacing w:val="-6"/>
        </w:rPr>
        <w:t xml:space="preserve">  </w:t>
      </w:r>
      <w:r w:rsidRPr="00FF68E1">
        <w:rPr>
          <w:spacing w:val="-6"/>
        </w:rPr>
        <w:t>у</w:t>
      </w:r>
      <w:r w:rsidR="00842725" w:rsidRPr="00FF68E1">
        <w:rPr>
          <w:spacing w:val="-6"/>
        </w:rPr>
        <w:t xml:space="preserve"> </w:t>
      </w:r>
      <w:r w:rsidRPr="00FF68E1">
        <w:rPr>
          <w:spacing w:val="-6"/>
        </w:rPr>
        <w:t> </w:t>
      </w:r>
      <w:r w:rsidR="00827FF1">
        <w:rPr>
          <w:spacing w:val="-6"/>
        </w:rPr>
        <w:t xml:space="preserve"> </w:t>
      </w:r>
      <w:r w:rsidRPr="00FF68E1">
        <w:rPr>
          <w:spacing w:val="-6"/>
        </w:rPr>
        <w:t>2–4 рази, пришвидшити</w:t>
      </w:r>
      <w:r w:rsidR="00842725" w:rsidRPr="00FF68E1">
        <w:rPr>
          <w:spacing w:val="-6"/>
        </w:rPr>
        <w:t xml:space="preserve"> </w:t>
      </w:r>
      <w:r w:rsidRPr="00FF68E1">
        <w:rPr>
          <w:spacing w:val="-6"/>
        </w:rPr>
        <w:t>елімінацію карієсогенних стрептококів, ентеробактерій, пародонтопатогенних та неферментуючих</w:t>
      </w:r>
      <w:r w:rsidR="00FF68E1" w:rsidRPr="00FF68E1">
        <w:rPr>
          <w:spacing w:val="-6"/>
        </w:rPr>
        <w:t xml:space="preserve"> </w:t>
      </w:r>
      <w:r w:rsidRPr="00FF68E1">
        <w:rPr>
          <w:spacing w:val="-6"/>
        </w:rPr>
        <w:t>грамнегативних бактерій.</w:t>
      </w:r>
    </w:p>
    <w:p w:rsidR="002E237D" w:rsidRDefault="002E237D" w:rsidP="002E237D">
      <w:pPr>
        <w:ind w:firstLine="709"/>
        <w:rPr>
          <w:bCs/>
          <w:color w:val="221122"/>
          <w:kern w:val="36"/>
          <w:lang w:eastAsia="uk-UA"/>
        </w:rPr>
      </w:pPr>
      <w:r w:rsidRPr="00D025CB">
        <w:rPr>
          <w:bCs/>
        </w:rPr>
        <w:t>Практична значущість підтверджена</w:t>
      </w:r>
      <w:r w:rsidR="00FF68E1">
        <w:rPr>
          <w:bCs/>
        </w:rPr>
        <w:t xml:space="preserve"> </w:t>
      </w:r>
      <w:r w:rsidRPr="00D025CB">
        <w:t>державним</w:t>
      </w:r>
      <w:r>
        <w:t>и патента</w:t>
      </w:r>
      <w:r w:rsidRPr="00D025CB">
        <w:t>м</w:t>
      </w:r>
      <w:r>
        <w:t xml:space="preserve">и на </w:t>
      </w:r>
      <w:r w:rsidRPr="00D025CB">
        <w:t>корисну модель:</w:t>
      </w:r>
      <w:r w:rsidR="00FF68E1">
        <w:t xml:space="preserve"> </w:t>
      </w:r>
      <w:r>
        <w:rPr>
          <w:bCs/>
          <w:color w:val="221122"/>
          <w:kern w:val="36"/>
          <w:lang w:eastAsia="uk-UA"/>
        </w:rPr>
        <w:t>«</w:t>
      </w:r>
      <w:r w:rsidRPr="00AA5336">
        <w:rPr>
          <w:bCs/>
          <w:color w:val="221122"/>
          <w:kern w:val="36"/>
          <w:lang w:eastAsia="uk-UA"/>
        </w:rPr>
        <w:t>Спосіб оцінки ефективності лікування та профілактики карієсу твердих тканин зубів та захворювань пародонта у дітей з вродженою глухотою</w:t>
      </w:r>
      <w:r>
        <w:rPr>
          <w:bCs/>
          <w:color w:val="221122"/>
          <w:kern w:val="36"/>
          <w:lang w:eastAsia="uk-UA"/>
        </w:rPr>
        <w:t>» (патент на корисну модель</w:t>
      </w:r>
      <w:r w:rsidR="00FF68E1">
        <w:rPr>
          <w:bCs/>
          <w:color w:val="221122"/>
          <w:kern w:val="36"/>
          <w:lang w:eastAsia="uk-UA"/>
        </w:rPr>
        <w:t xml:space="preserve"> </w:t>
      </w:r>
      <w:r>
        <w:rPr>
          <w:bCs/>
          <w:color w:val="221122"/>
          <w:kern w:val="36"/>
          <w:lang w:val="en-US" w:eastAsia="uk-UA"/>
        </w:rPr>
        <w:t>UA</w:t>
      </w:r>
      <w:r w:rsidR="00FF68E1">
        <w:rPr>
          <w:bCs/>
          <w:color w:val="221122"/>
          <w:kern w:val="36"/>
          <w:lang w:eastAsia="uk-UA"/>
        </w:rPr>
        <w:t xml:space="preserve"> </w:t>
      </w:r>
      <w:r>
        <w:rPr>
          <w:bCs/>
          <w:color w:val="221122"/>
          <w:kern w:val="36"/>
          <w:lang w:eastAsia="uk-UA"/>
        </w:rPr>
        <w:t>№ </w:t>
      </w:r>
      <w:r>
        <w:t>90216</w:t>
      </w:r>
      <w:r>
        <w:rPr>
          <w:bCs/>
          <w:color w:val="221122"/>
          <w:kern w:val="36"/>
          <w:lang w:eastAsia="uk-UA"/>
        </w:rPr>
        <w:t>),</w:t>
      </w:r>
      <w:r w:rsidR="00FF68E1">
        <w:rPr>
          <w:bCs/>
          <w:color w:val="221122"/>
          <w:kern w:val="36"/>
          <w:lang w:eastAsia="uk-UA"/>
        </w:rPr>
        <w:t xml:space="preserve"> </w:t>
      </w:r>
      <w:r>
        <w:rPr>
          <w:bCs/>
          <w:color w:val="221122"/>
          <w:kern w:val="36"/>
          <w:lang w:eastAsia="uk-UA"/>
        </w:rPr>
        <w:t xml:space="preserve"> «</w:t>
      </w:r>
      <w:r w:rsidRPr="00AA5336">
        <w:t>Спосіб профілактики та лікування карієсу твердих тканин зубів та захворювань пародонта у дітей з  вродженою глухотою</w:t>
      </w:r>
      <w:r>
        <w:rPr>
          <w:bCs/>
          <w:color w:val="221122"/>
          <w:kern w:val="36"/>
          <w:lang w:eastAsia="uk-UA"/>
        </w:rPr>
        <w:t>» (патент на корисну модель</w:t>
      </w:r>
      <w:r w:rsidR="00FF68E1">
        <w:rPr>
          <w:bCs/>
          <w:color w:val="221122"/>
          <w:kern w:val="36"/>
          <w:lang w:eastAsia="uk-UA"/>
        </w:rPr>
        <w:t xml:space="preserve"> </w:t>
      </w:r>
      <w:r>
        <w:rPr>
          <w:bCs/>
          <w:color w:val="221122"/>
          <w:kern w:val="36"/>
          <w:lang w:val="en-US" w:eastAsia="uk-UA"/>
        </w:rPr>
        <w:t>UA</w:t>
      </w:r>
      <w:r w:rsidRPr="00BD505C">
        <w:rPr>
          <w:bCs/>
          <w:color w:val="221122"/>
          <w:kern w:val="36"/>
          <w:lang w:eastAsia="uk-UA"/>
        </w:rPr>
        <w:t xml:space="preserve"> №</w:t>
      </w:r>
      <w:r>
        <w:rPr>
          <w:bCs/>
          <w:color w:val="221122"/>
          <w:kern w:val="36"/>
          <w:lang w:eastAsia="uk-UA"/>
        </w:rPr>
        <w:t> </w:t>
      </w:r>
      <w:r w:rsidRPr="00AA5336">
        <w:t>90217</w:t>
      </w:r>
      <w:r>
        <w:rPr>
          <w:bCs/>
          <w:color w:val="221122"/>
          <w:kern w:val="36"/>
          <w:lang w:eastAsia="uk-UA"/>
        </w:rPr>
        <w:t>).</w:t>
      </w:r>
    </w:p>
    <w:p w:rsidR="002E237D" w:rsidRDefault="002E237D" w:rsidP="002E237D">
      <w:pPr>
        <w:ind w:firstLine="709"/>
      </w:pPr>
      <w:r>
        <w:rPr>
          <w:bCs/>
          <w:color w:val="221122"/>
          <w:kern w:val="36"/>
          <w:lang w:eastAsia="uk-UA"/>
        </w:rPr>
        <w:t xml:space="preserve">Видано </w:t>
      </w:r>
      <w:r>
        <w:t>інформаційний лист</w:t>
      </w:r>
      <w:r w:rsidR="00FF68E1">
        <w:t xml:space="preserve"> </w:t>
      </w:r>
      <w:r w:rsidRPr="00F478A9">
        <w:t>№121-2014</w:t>
      </w:r>
      <w:r>
        <w:t xml:space="preserve"> «</w:t>
      </w:r>
      <w:r w:rsidRPr="00F478A9">
        <w:t xml:space="preserve">Спосіб оцінки ефективності </w:t>
      </w:r>
      <w:r w:rsidRPr="00F478A9">
        <w:lastRenderedPageBreak/>
        <w:t>лікування та профілактики карієсу твердих тканин зубів та захворювань пародонту за станом мікробіоценозу зубної бляшки у дітей з вродженою глухотою</w:t>
      </w:r>
      <w:r>
        <w:t>»</w:t>
      </w:r>
      <w:r w:rsidRPr="00E57335">
        <w:t>.</w:t>
      </w:r>
    </w:p>
    <w:p w:rsidR="002E237D" w:rsidRPr="00DD2D6C" w:rsidRDefault="002E237D" w:rsidP="002E237D">
      <w:pPr>
        <w:ind w:firstLine="709"/>
        <w:rPr>
          <w:spacing w:val="-8"/>
        </w:rPr>
      </w:pPr>
      <w:r w:rsidRPr="00DD2D6C">
        <w:rPr>
          <w:spacing w:val="-8"/>
        </w:rPr>
        <w:t>Вищезазначений метод впроваджено в клінічну практику стоматологічного медичного центру Львівського національно</w:t>
      </w:r>
      <w:r w:rsidR="003F196D">
        <w:rPr>
          <w:spacing w:val="-8"/>
        </w:rPr>
        <w:t>го медичного університету імені </w:t>
      </w:r>
      <w:r w:rsidRPr="00DD2D6C">
        <w:rPr>
          <w:spacing w:val="-8"/>
        </w:rPr>
        <w:t>Данила Галицького МОЗ України, Комунальної дитячої стоматологічної поліклініки</w:t>
      </w:r>
      <w:r w:rsidR="002E7181">
        <w:rPr>
          <w:spacing w:val="-8"/>
        </w:rPr>
        <w:t xml:space="preserve"> </w:t>
      </w:r>
      <w:r w:rsidRPr="00DD2D6C">
        <w:rPr>
          <w:spacing w:val="-8"/>
        </w:rPr>
        <w:t>м. Тернополя, Закарпатської обласної стомат</w:t>
      </w:r>
      <w:r w:rsidR="003F196D">
        <w:rPr>
          <w:spacing w:val="-8"/>
        </w:rPr>
        <w:t xml:space="preserve">ологічної клінічної поліклініки </w:t>
      </w:r>
      <w:r w:rsidRPr="00DD2D6C">
        <w:rPr>
          <w:spacing w:val="-8"/>
        </w:rPr>
        <w:t xml:space="preserve">м. Ужгорода, Мукачівської центральної районної лікарні Закарпатської області, </w:t>
      </w:r>
      <w:r w:rsidR="002E7181">
        <w:rPr>
          <w:spacing w:val="-8"/>
        </w:rPr>
        <w:t xml:space="preserve"> </w:t>
      </w:r>
      <w:r w:rsidRPr="00DD2D6C">
        <w:rPr>
          <w:spacing w:val="-8"/>
        </w:rPr>
        <w:t>Берегівської центральної районної лікарні Закарпатської області,</w:t>
      </w:r>
      <w:r w:rsidR="002E7181">
        <w:rPr>
          <w:spacing w:val="-8"/>
        </w:rPr>
        <w:t xml:space="preserve"> </w:t>
      </w:r>
      <w:r w:rsidRPr="00DD2D6C">
        <w:rPr>
          <w:spacing w:val="-8"/>
        </w:rPr>
        <w:t xml:space="preserve"> КЗОЗ «Харківської міської дитячої стоматологічної поліклініки № 1», КЗОЗ «Обласної стоматологічної поліклініки» м. Харкова, університетського стоматологічного центру ХНМУ МОЗ України.</w:t>
      </w:r>
    </w:p>
    <w:p w:rsidR="002E237D" w:rsidRPr="00441A94" w:rsidRDefault="002E237D" w:rsidP="002E237D">
      <w:pPr>
        <w:ind w:firstLine="709"/>
      </w:pPr>
      <w:r w:rsidRPr="006A0320">
        <w:t>Результати дослідження впроваджені й використовуються у навчальному процесі</w:t>
      </w:r>
      <w:r>
        <w:t xml:space="preserve"> кафедри дитячої стоматології</w:t>
      </w:r>
      <w:r w:rsidRPr="006A0320">
        <w:t xml:space="preserve"> факультету післядипломної освіти ВДНЗУ </w:t>
      </w:r>
      <w:r>
        <w:t>«Українська медична стоматологічна академія</w:t>
      </w:r>
      <w:r w:rsidRPr="006A0320">
        <w:t>»</w:t>
      </w:r>
      <w:r w:rsidR="002E7181">
        <w:t xml:space="preserve"> </w:t>
      </w:r>
      <w:r w:rsidRPr="006A0320">
        <w:t>МОЗ України, ка</w:t>
      </w:r>
      <w:r w:rsidR="002E7181">
        <w:t>федри дитячої стоматології ДВНЗ </w:t>
      </w:r>
      <w:r w:rsidRPr="006A0320">
        <w:t>«Тернопільськ</w:t>
      </w:r>
      <w:r>
        <w:t>ий</w:t>
      </w:r>
      <w:r w:rsidRPr="006A0320">
        <w:t xml:space="preserve"> державн</w:t>
      </w:r>
      <w:r>
        <w:t>ий</w:t>
      </w:r>
      <w:r w:rsidRPr="006A0320">
        <w:t xml:space="preserve"> медичн</w:t>
      </w:r>
      <w:r>
        <w:t>ий університет</w:t>
      </w:r>
      <w:r w:rsidR="003F196D">
        <w:t xml:space="preserve"> імені </w:t>
      </w:r>
      <w:r w:rsidRPr="006A0320">
        <w:t>І. Я. Горбачевського»</w:t>
      </w:r>
      <w:r w:rsidR="002E7181">
        <w:t xml:space="preserve"> </w:t>
      </w:r>
      <w:r w:rsidRPr="006A0320">
        <w:t xml:space="preserve">МОЗ України, </w:t>
      </w:r>
      <w:r>
        <w:t>кафедри дитячої стоматології ДЗ </w:t>
      </w:r>
      <w:r w:rsidRPr="006A0320">
        <w:t>«Дні</w:t>
      </w:r>
      <w:r>
        <w:t>пропетровська медична академія</w:t>
      </w:r>
      <w:r w:rsidR="00C973D3">
        <w:t xml:space="preserve"> </w:t>
      </w:r>
      <w:r w:rsidRPr="006A0320">
        <w:t>МОЗ України».</w:t>
      </w:r>
    </w:p>
    <w:p w:rsidR="00C973D3" w:rsidRPr="00C973D3" w:rsidRDefault="00C973D3" w:rsidP="00C973D3">
      <w:pPr>
        <w:ind w:firstLine="709"/>
        <w:rPr>
          <w:spacing w:val="-4"/>
        </w:rPr>
      </w:pPr>
      <w:r w:rsidRPr="00C973D3">
        <w:rPr>
          <w:b/>
          <w:spacing w:val="-4"/>
        </w:rPr>
        <w:t xml:space="preserve">Особистий внесок здобувача. </w:t>
      </w:r>
      <w:r w:rsidRPr="00C973D3">
        <w:rPr>
          <w:spacing w:val="-4"/>
        </w:rPr>
        <w:t>Дисертаційна робота є самостійним науковим дослідженням. Автором проведено інформаційний пошук, вивчено літературу з обраної теми, визначено необхідні методи дослідження, виконано клінічні спостереження і лабораторні дослідження, систематизовано отримані результати, виконано  написання розділів дисертаційної роботи.  Разом з науковим керівником сформульовані мета та завдання дослідження, проведені аналіз та узагальнення результатів клінічних й лабораторних досліджень, зроблено висновки та практичні рекомендації. Особисто дисертантом розроблено схему профілактичних заходів для дітей з вродженою глухотою та проведено оцінку її ефективності протягом 12 місяців спостереження</w:t>
      </w:r>
      <w:r w:rsidRPr="00C973D3">
        <w:rPr>
          <w:spacing w:val="-4"/>
          <w:lang w:eastAsia="uk-UA"/>
        </w:rPr>
        <w:t>.</w:t>
      </w:r>
    </w:p>
    <w:p w:rsidR="00C973D3" w:rsidRPr="006F3DC7" w:rsidRDefault="00C973D3" w:rsidP="00C973D3">
      <w:pPr>
        <w:ind w:firstLine="709"/>
        <w:rPr>
          <w:b/>
        </w:rPr>
      </w:pPr>
      <w:r w:rsidRPr="00D56525">
        <w:rPr>
          <w:b/>
        </w:rPr>
        <w:lastRenderedPageBreak/>
        <w:t>Апробація результатів дисертаційного дослідження</w:t>
      </w:r>
      <w:r>
        <w:rPr>
          <w:b/>
        </w:rPr>
        <w:t xml:space="preserve">. </w:t>
      </w:r>
      <w:r w:rsidRPr="00D56525">
        <w:t xml:space="preserve">Основні положення і результати роботи </w:t>
      </w:r>
      <w:r w:rsidR="00F06CDB">
        <w:t>викладено у доповідях</w:t>
      </w:r>
      <w:r w:rsidR="00F06CDB" w:rsidRPr="00D56525">
        <w:t xml:space="preserve"> </w:t>
      </w:r>
      <w:r w:rsidRPr="00D56525">
        <w:t xml:space="preserve">й </w:t>
      </w:r>
      <w:r w:rsidR="00F06CDB" w:rsidRPr="00D56525">
        <w:t>обговор</w:t>
      </w:r>
      <w:r w:rsidR="00F06CDB">
        <w:t>ено</w:t>
      </w:r>
      <w:r w:rsidR="00F06CDB" w:rsidRPr="00D56525">
        <w:t xml:space="preserve"> </w:t>
      </w:r>
      <w:r w:rsidRPr="00D56525">
        <w:t>на</w:t>
      </w:r>
      <w:r w:rsidR="00B6779E">
        <w:t xml:space="preserve"> </w:t>
      </w:r>
      <w:r w:rsidRPr="00D56525">
        <w:t xml:space="preserve">семінарі керівників лікарів-інтернів секції «Стоматологія» у рамках роботи </w:t>
      </w:r>
      <w:r w:rsidR="00B6779E">
        <w:t xml:space="preserve">                </w:t>
      </w:r>
      <w:r>
        <w:rPr>
          <w:spacing w:val="-20"/>
        </w:rPr>
        <w:t>36-</w:t>
      </w:r>
      <w:r w:rsidRPr="00D56525">
        <w:rPr>
          <w:spacing w:val="-20"/>
        </w:rPr>
        <w:t>ї</w:t>
      </w:r>
      <w:r w:rsidRPr="00D56525">
        <w:t> науково-методичної конференції «Роль сучасних методів діагностики та лікування в підготовці лікарсь</w:t>
      </w:r>
      <w:r w:rsidR="00B6779E">
        <w:t xml:space="preserve">ких кадрів» </w:t>
      </w:r>
      <w:r>
        <w:t xml:space="preserve">(Харків, 2010), на </w:t>
      </w:r>
      <w:r>
        <w:rPr>
          <w:spacing w:val="-20"/>
        </w:rPr>
        <w:t>82-</w:t>
      </w:r>
      <w:r w:rsidRPr="00D56525">
        <w:rPr>
          <w:spacing w:val="-20"/>
        </w:rPr>
        <w:t>й</w:t>
      </w:r>
      <w:r w:rsidRPr="00D56525">
        <w:t xml:space="preserve"> міжнародній науково-практичній ко</w:t>
      </w:r>
      <w:r>
        <w:t>нференції студентів та молодих у</w:t>
      </w:r>
      <w:r w:rsidRPr="00D56525">
        <w:t>чених «Теоретические и практические</w:t>
      </w:r>
      <w:r w:rsidR="00B6779E">
        <w:t xml:space="preserve"> </w:t>
      </w:r>
      <w:r w:rsidRPr="00D56525">
        <w:t>аспекты</w:t>
      </w:r>
      <w:r w:rsidR="00B6779E">
        <w:t xml:space="preserve"> </w:t>
      </w:r>
      <w:r w:rsidRPr="00D56525">
        <w:t>современной</w:t>
      </w:r>
      <w:r w:rsidR="00B6779E">
        <w:t xml:space="preserve"> </w:t>
      </w:r>
      <w:r>
        <w:t xml:space="preserve">медицины» (Сімферополь, 2010), </w:t>
      </w:r>
      <w:r w:rsidR="00B6779E">
        <w:t xml:space="preserve"> </w:t>
      </w:r>
      <w:r>
        <w:t>на</w:t>
      </w:r>
      <w:r w:rsidRPr="00D56525">
        <w:t xml:space="preserve"> республіканській науково-практичній конференції з міжнародною участю «Сучасні досягнення  та перспективи розвитку хірургічної стоматології та щелепно-лицевої хірур</w:t>
      </w:r>
      <w:r>
        <w:t>гії» (Харків, 2010), на</w:t>
      </w:r>
      <w:r w:rsidR="00B6779E">
        <w:t xml:space="preserve"> </w:t>
      </w:r>
      <w:r w:rsidRPr="00D56525">
        <w:rPr>
          <w:spacing w:val="-20"/>
        </w:rPr>
        <w:t>64-й</w:t>
      </w:r>
      <w:r w:rsidRPr="00D56525">
        <w:t xml:space="preserve"> міжнародній науково-практичній ко</w:t>
      </w:r>
      <w:r>
        <w:t>нференції студентів та молодих у</w:t>
      </w:r>
      <w:r w:rsidRPr="00D56525">
        <w:t>чених «Актуальні проблеми сучасної медицини», присвяченій 150-річчю з дня народження академіка Ф.</w:t>
      </w:r>
      <w:r w:rsidR="00D8361A">
        <w:t> </w:t>
      </w:r>
      <w:r w:rsidRPr="00D56525">
        <w:t>Г. Яновського (Київ, 2010);</w:t>
      </w:r>
      <w:r w:rsidR="00B6779E">
        <w:t xml:space="preserve"> </w:t>
      </w:r>
      <w:r w:rsidRPr="00D56525">
        <w:t>обласній науково-практичній конференції «Стоматологія вчора, сьогодні, завтра» (Хар</w:t>
      </w:r>
      <w:r w:rsidR="00B6779E">
        <w:t>ків, </w:t>
      </w:r>
      <w:r>
        <w:t xml:space="preserve">2011), на </w:t>
      </w:r>
      <w:r w:rsidRPr="00D56525">
        <w:t>XVI міжнародній конференції щелепно-лицевих хірургів «Новые</w:t>
      </w:r>
      <w:r w:rsidR="00D8361A">
        <w:t xml:space="preserve"> </w:t>
      </w:r>
      <w:r w:rsidRPr="00D56525">
        <w:t>технологии в стомат</w:t>
      </w:r>
      <w:r>
        <w:t xml:space="preserve">ологии» (Санкт-Петербург, 2011), на </w:t>
      </w:r>
      <w:r w:rsidRPr="00D56525">
        <w:t>науковій сесії БелГУ за результатами науково-дослідної роботи сту</w:t>
      </w:r>
      <w:r>
        <w:t xml:space="preserve">дентів (Бєлгород, 2012), на </w:t>
      </w:r>
      <w:r>
        <w:rPr>
          <w:spacing w:val="-20"/>
        </w:rPr>
        <w:t>39-</w:t>
      </w:r>
      <w:r w:rsidRPr="00D56525">
        <w:rPr>
          <w:spacing w:val="-20"/>
        </w:rPr>
        <w:t>й</w:t>
      </w:r>
      <w:r w:rsidRPr="00D56525">
        <w:t xml:space="preserve"> науково-методичній конференції «Сучасний стан та перспективи підготовки лікарів-</w:t>
      </w:r>
      <w:r>
        <w:t xml:space="preserve">інтернів у ХНМУ» (Харків, 2012), на </w:t>
      </w:r>
      <w:r w:rsidR="00D60F9F">
        <w:t>XL </w:t>
      </w:r>
      <w:r w:rsidRPr="00D56525">
        <w:t>міжнародній науково-практичній конференції «Современн</w:t>
      </w:r>
      <w:r w:rsidR="00B6779E">
        <w:t xml:space="preserve">ая медицина: </w:t>
      </w:r>
      <w:r w:rsidR="00D8361A">
        <w:t xml:space="preserve">актуальне </w:t>
      </w:r>
      <w:r w:rsidR="00B6779E">
        <w:t xml:space="preserve">вопросы» </w:t>
      </w:r>
      <w:r w:rsidRPr="00D56525">
        <w:t>(Новосибі</w:t>
      </w:r>
      <w:r>
        <w:t xml:space="preserve">рськ, 2015), на </w:t>
      </w:r>
      <w:r w:rsidRPr="00D56525">
        <w:t>науково-практичній конференції з міжнародною участю «Мультидисциплінарний підхід в лікуванні ортодонти</w:t>
      </w:r>
      <w:r>
        <w:t xml:space="preserve">чних пацієнтів» (Полтава, 2015), на </w:t>
      </w:r>
      <w:r w:rsidRPr="00D56525">
        <w:t xml:space="preserve">семінарі керівників лікарів-інтернів секції «Стоматологія» у рамках роботи </w:t>
      </w:r>
      <w:r>
        <w:rPr>
          <w:spacing w:val="-20"/>
        </w:rPr>
        <w:t>41</w:t>
      </w:r>
      <w:r w:rsidR="00F06CDB">
        <w:rPr>
          <w:spacing w:val="-20"/>
        </w:rPr>
        <w:t>-</w:t>
      </w:r>
      <w:r w:rsidRPr="00D56525">
        <w:rPr>
          <w:spacing w:val="-20"/>
        </w:rPr>
        <w:t>ї </w:t>
      </w:r>
      <w:r w:rsidRPr="00D56525">
        <w:t>науково-методичної конференції «Сучасний стан та перспективи підготовки лікарів-</w:t>
      </w:r>
      <w:r>
        <w:t xml:space="preserve">інтернів у ХНМУ» (Харків, 2015), на </w:t>
      </w:r>
      <w:r w:rsidRPr="00D56525">
        <w:t>І Міжнародній науково-практичній конференції ст</w:t>
      </w:r>
      <w:r>
        <w:t>удентів, аспірантів та молодих у</w:t>
      </w:r>
      <w:r w:rsidRPr="00D56525">
        <w:t>чених «Гуманітарний та інноваційний ракурс професійної майстерності: пошук молодих вчених» (Одеса, 2015).</w:t>
      </w:r>
    </w:p>
    <w:p w:rsidR="00C973D3" w:rsidRDefault="00C973D3" w:rsidP="00C973D3">
      <w:pPr>
        <w:pStyle w:val="af5"/>
        <w:spacing w:after="0"/>
        <w:ind w:firstLine="709"/>
        <w:contextualSpacing/>
        <w:jc w:val="both"/>
      </w:pPr>
      <w:r>
        <w:rPr>
          <w:b/>
        </w:rPr>
        <w:lastRenderedPageBreak/>
        <w:t xml:space="preserve">Публікації. </w:t>
      </w:r>
      <w:r w:rsidRPr="00181F38">
        <w:t xml:space="preserve">За </w:t>
      </w:r>
      <w:r>
        <w:t>темою</w:t>
      </w:r>
      <w:r w:rsidRPr="00D71561">
        <w:t xml:space="preserve"> дисертації</w:t>
      </w:r>
      <w:r w:rsidRPr="00181F38">
        <w:t xml:space="preserve"> опубліковано 1</w:t>
      </w:r>
      <w:r>
        <w:t>4 наукових робіт, у тому числі 7 статей у</w:t>
      </w:r>
      <w:r w:rsidRPr="00181F38">
        <w:t xml:space="preserve"> фахових</w:t>
      </w:r>
      <w:r w:rsidR="00D60F9F">
        <w:t xml:space="preserve"> </w:t>
      </w:r>
      <w:r w:rsidRPr="00181F38">
        <w:t>наукових виданнях</w:t>
      </w:r>
      <w:r>
        <w:t>, 5 тез у матеріалах міжнародних та вітчизняних наукових конференцій, отримано 2 деклараційні патенти України на корисну модель.</w:t>
      </w:r>
    </w:p>
    <w:p w:rsidR="00C973D3" w:rsidRPr="00B6779E" w:rsidRDefault="00C973D3" w:rsidP="00C973D3">
      <w:pPr>
        <w:pStyle w:val="af5"/>
        <w:ind w:firstLine="709"/>
        <w:jc w:val="both"/>
        <w:rPr>
          <w:spacing w:val="-4"/>
          <w:sz w:val="32"/>
        </w:rPr>
      </w:pPr>
      <w:r w:rsidRPr="00B6779E">
        <w:rPr>
          <w:b/>
          <w:spacing w:val="-4"/>
        </w:rPr>
        <w:t xml:space="preserve">Обсяг і структура дисертації. </w:t>
      </w:r>
      <w:r w:rsidR="00B6779E" w:rsidRPr="00B6779E">
        <w:rPr>
          <w:b/>
          <w:spacing w:val="-4"/>
        </w:rPr>
        <w:t xml:space="preserve"> </w:t>
      </w:r>
      <w:r w:rsidRPr="00B6779E">
        <w:rPr>
          <w:spacing w:val="-4"/>
        </w:rPr>
        <w:t>Загальний обсяг дисертації становить 202</w:t>
      </w:r>
      <w:r w:rsidR="00D60F9F">
        <w:rPr>
          <w:spacing w:val="-4"/>
        </w:rPr>
        <w:t> </w:t>
      </w:r>
      <w:r w:rsidRPr="00B6779E">
        <w:rPr>
          <w:spacing w:val="-4"/>
        </w:rPr>
        <w:t>сторінки друкованого тексту. Дисертація складається зі вступу, огляду літератури, опису об</w:t>
      </w:r>
      <w:r w:rsidR="00826B6C">
        <w:rPr>
          <w:spacing w:val="-4"/>
        </w:rPr>
        <w:t>ʼ</w:t>
      </w:r>
      <w:r w:rsidRPr="00B6779E">
        <w:rPr>
          <w:spacing w:val="-4"/>
        </w:rPr>
        <w:t xml:space="preserve">єктів та методів дослідження, двох розділів власних досліджень, аналізу та узагальнення результатів досліджень, висновків, практичних рекомендацій, списку використаних джерел і додатків. Список літератури містить 151 джерело, із них кирилицею </w:t>
      </w:r>
      <w:r w:rsidR="00826B6C">
        <w:rPr>
          <w:spacing w:val="-4"/>
        </w:rPr>
        <w:t>–</w:t>
      </w:r>
      <w:r w:rsidR="00826B6C" w:rsidRPr="00B6779E">
        <w:rPr>
          <w:spacing w:val="-4"/>
        </w:rPr>
        <w:t xml:space="preserve"> </w:t>
      </w:r>
      <w:r w:rsidRPr="00B6779E">
        <w:rPr>
          <w:spacing w:val="-4"/>
        </w:rPr>
        <w:t>107, латиницею – 44 (загалом 16 сторінок). Робота проілюстрована 49 таблицями та 64 малюнками.</w:t>
      </w:r>
    </w:p>
    <w:p w:rsidR="00534FB5" w:rsidRPr="008753D4" w:rsidRDefault="00534FB5" w:rsidP="00534FB5">
      <w:pPr>
        <w:ind w:firstLine="709"/>
        <w:rPr>
          <w:b/>
        </w:rPr>
      </w:pPr>
    </w:p>
    <w:p w:rsidR="00534FB5" w:rsidRPr="00493F99" w:rsidRDefault="00534FB5" w:rsidP="00534FB5">
      <w:pPr>
        <w:pStyle w:val="1"/>
        <w:contextualSpacing/>
        <w:rPr>
          <w:rFonts w:ascii="Times New Roman" w:hAnsi="Times New Roman"/>
          <w:sz w:val="28"/>
          <w:szCs w:val="28"/>
        </w:rPr>
      </w:pPr>
      <w:r w:rsidRPr="008753D4">
        <w:br w:type="page"/>
      </w:r>
      <w:r w:rsidRPr="00493F99">
        <w:rPr>
          <w:rFonts w:ascii="Times New Roman" w:hAnsi="Times New Roman"/>
          <w:sz w:val="28"/>
          <w:szCs w:val="28"/>
        </w:rPr>
        <w:lastRenderedPageBreak/>
        <w:t>РОЗДІЛ 1</w:t>
      </w:r>
      <w:r w:rsidRPr="00493F99">
        <w:rPr>
          <w:rFonts w:ascii="Times New Roman" w:hAnsi="Times New Roman"/>
          <w:sz w:val="28"/>
          <w:szCs w:val="28"/>
        </w:rPr>
        <w:br/>
        <w:t>ОГЛЯД ЛІТЕРАТУРИ</w:t>
      </w:r>
    </w:p>
    <w:p w:rsidR="00534FB5" w:rsidRPr="00493F99" w:rsidRDefault="00534FB5" w:rsidP="00534FB5">
      <w:pPr>
        <w:tabs>
          <w:tab w:val="left" w:pos="1695"/>
        </w:tabs>
      </w:pPr>
      <w:r w:rsidRPr="00493F99">
        <w:tab/>
      </w:r>
    </w:p>
    <w:p w:rsidR="00534FB5" w:rsidRPr="00493F99" w:rsidRDefault="00534FB5" w:rsidP="00534FB5">
      <w:pPr>
        <w:pStyle w:val="1"/>
        <w:numPr>
          <w:ilvl w:val="1"/>
          <w:numId w:val="1"/>
        </w:numPr>
        <w:ind w:firstLine="131"/>
        <w:contextualSpacing/>
        <w:jc w:val="both"/>
        <w:rPr>
          <w:rFonts w:ascii="Times New Roman" w:hAnsi="Times New Roman"/>
          <w:sz w:val="28"/>
          <w:szCs w:val="28"/>
        </w:rPr>
      </w:pPr>
      <w:r w:rsidRPr="00493F99">
        <w:rPr>
          <w:rFonts w:ascii="Times New Roman" w:hAnsi="Times New Roman"/>
          <w:sz w:val="28"/>
          <w:szCs w:val="28"/>
        </w:rPr>
        <w:t>Особливості стану стоматологічного здоров’я дітей з вадами слуху</w:t>
      </w:r>
    </w:p>
    <w:p w:rsidR="00534FB5" w:rsidRPr="00493F99" w:rsidRDefault="00534FB5" w:rsidP="00534FB5">
      <w:pPr>
        <w:contextualSpacing/>
      </w:pPr>
    </w:p>
    <w:p w:rsidR="00534FB5" w:rsidRPr="00E34ACB" w:rsidRDefault="00534FB5" w:rsidP="00534FB5">
      <w:pPr>
        <w:pStyle w:val="af7"/>
        <w:spacing w:before="0" w:beforeAutospacing="0" w:after="0" w:afterAutospacing="0" w:line="360" w:lineRule="auto"/>
        <w:ind w:firstLine="709"/>
        <w:contextualSpacing/>
        <w:jc w:val="both"/>
        <w:rPr>
          <w:spacing w:val="-4"/>
          <w:sz w:val="28"/>
          <w:szCs w:val="28"/>
          <w:lang w:val="uk-UA"/>
        </w:rPr>
      </w:pPr>
      <w:r w:rsidRPr="00E34ACB">
        <w:rPr>
          <w:spacing w:val="-4"/>
          <w:sz w:val="28"/>
          <w:szCs w:val="28"/>
          <w:lang w:val="uk-UA"/>
        </w:rPr>
        <w:t>Протягом минулих 25 років різні науковці в Україні [76], Росії [95], Великобританії [139, 147], Швеції [119], Данії [13</w:t>
      </w:r>
      <w:r w:rsidR="00E34ACB">
        <w:rPr>
          <w:spacing w:val="-4"/>
          <w:sz w:val="28"/>
          <w:szCs w:val="28"/>
          <w:lang w:val="uk-UA"/>
        </w:rPr>
        <w:t>1, 145], Польщі [109], Хорватії </w:t>
      </w:r>
      <w:r w:rsidRPr="00E34ACB">
        <w:rPr>
          <w:spacing w:val="-4"/>
          <w:sz w:val="28"/>
          <w:szCs w:val="28"/>
          <w:lang w:val="uk-UA"/>
        </w:rPr>
        <w:t>[118], Саудівській Аравії [112], Танзанії [148], Індії [121, 126] вивчали стоматологічний статус дітей-інвалідів, зокрема дітей із вадами слуху.</w:t>
      </w:r>
    </w:p>
    <w:p w:rsidR="00534FB5" w:rsidRPr="00493F99" w:rsidRDefault="00534FB5" w:rsidP="00534FB5">
      <w:pPr>
        <w:pStyle w:val="af7"/>
        <w:spacing w:before="0" w:beforeAutospacing="0" w:after="0" w:afterAutospacing="0" w:line="360" w:lineRule="auto"/>
        <w:ind w:firstLine="709"/>
        <w:jc w:val="both"/>
        <w:rPr>
          <w:sz w:val="28"/>
          <w:szCs w:val="28"/>
          <w:lang w:val="uk-UA"/>
        </w:rPr>
      </w:pPr>
      <w:r w:rsidRPr="00493F99">
        <w:rPr>
          <w:color w:val="000000"/>
          <w:sz w:val="28"/>
          <w:szCs w:val="28"/>
          <w:lang w:val="en-US"/>
        </w:rPr>
        <w:t>M</w:t>
      </w:r>
      <w:r w:rsidRPr="00493F99">
        <w:rPr>
          <w:color w:val="000000"/>
          <w:sz w:val="28"/>
          <w:szCs w:val="28"/>
          <w:lang w:val="uk-UA"/>
        </w:rPr>
        <w:t>. </w:t>
      </w:r>
      <w:r w:rsidRPr="00493F99">
        <w:rPr>
          <w:color w:val="000000"/>
          <w:sz w:val="28"/>
          <w:szCs w:val="28"/>
          <w:lang w:val="en-US"/>
        </w:rPr>
        <w:t>L</w:t>
      </w:r>
      <w:r w:rsidRPr="00493F99">
        <w:rPr>
          <w:color w:val="000000"/>
          <w:sz w:val="28"/>
          <w:szCs w:val="28"/>
          <w:lang w:val="uk-UA"/>
        </w:rPr>
        <w:t>. </w:t>
      </w:r>
      <w:r w:rsidRPr="00493F99">
        <w:rPr>
          <w:color w:val="000000"/>
          <w:sz w:val="28"/>
          <w:szCs w:val="28"/>
        </w:rPr>
        <w:t>Pezzementi</w:t>
      </w:r>
      <w:r w:rsidRPr="00493F99">
        <w:rPr>
          <w:color w:val="000000"/>
          <w:sz w:val="28"/>
          <w:szCs w:val="28"/>
          <w:lang w:val="uk-UA"/>
        </w:rPr>
        <w:t xml:space="preserve"> та </w:t>
      </w:r>
      <w:r w:rsidRPr="00493F99">
        <w:rPr>
          <w:rStyle w:val="apple-converted-space"/>
          <w:color w:val="000000"/>
          <w:sz w:val="28"/>
          <w:szCs w:val="28"/>
          <w:lang w:val="en-US"/>
        </w:rPr>
        <w:t>M</w:t>
      </w:r>
      <w:r w:rsidRPr="00493F99">
        <w:rPr>
          <w:rStyle w:val="apple-converted-space"/>
          <w:color w:val="000000"/>
          <w:sz w:val="28"/>
          <w:szCs w:val="28"/>
          <w:lang w:val="uk-UA"/>
        </w:rPr>
        <w:t>. </w:t>
      </w:r>
      <w:r w:rsidRPr="00493F99">
        <w:rPr>
          <w:rStyle w:val="apple-converted-space"/>
          <w:color w:val="000000"/>
          <w:sz w:val="28"/>
          <w:szCs w:val="28"/>
          <w:lang w:val="en-US"/>
        </w:rPr>
        <w:t>A</w:t>
      </w:r>
      <w:r w:rsidRPr="00493F99">
        <w:rPr>
          <w:rStyle w:val="apple-converted-space"/>
          <w:color w:val="000000"/>
          <w:sz w:val="28"/>
          <w:szCs w:val="28"/>
          <w:lang w:val="uk-UA"/>
        </w:rPr>
        <w:t>. </w:t>
      </w:r>
      <w:r w:rsidRPr="00493F99">
        <w:rPr>
          <w:color w:val="000000"/>
          <w:sz w:val="28"/>
          <w:szCs w:val="28"/>
          <w:lang w:val="en-US"/>
        </w:rPr>
        <w:t>Fisher</w:t>
      </w:r>
      <w:r w:rsidRPr="00493F99">
        <w:rPr>
          <w:color w:val="000000"/>
          <w:sz w:val="28"/>
          <w:szCs w:val="28"/>
          <w:lang w:val="uk-UA"/>
        </w:rPr>
        <w:t xml:space="preserve"> </w:t>
      </w:r>
      <w:r w:rsidRPr="00493F99">
        <w:rPr>
          <w:sz w:val="28"/>
          <w:szCs w:val="28"/>
          <w:lang w:val="uk-UA"/>
        </w:rPr>
        <w:t xml:space="preserve">вивчали стоматологічний статус 395 дітей та дорослих віком від 8-ми до 81-го року з різними вадами, що проживають на території Півдня США [138]. Потреба в лікуванні каріозних уражень була виявлена у 43,3 % обстежених, вона була вищою за середні значення показника для інвалідів відповідних вікових груп по всій країні (30,1 %). У 44,5 % обстежених було виявлено запалення ясен, що свідчить про низький рівень гігієни порожнини рота. Герметизовані фісури зубів були виявлені у 7,6 % обстежених, цей показник був вдвічі меншим за середні значення (15,6 %) по всій країні. Автори провели порівняльний аналіз, який виявив, що серед обстеженої групи інвалідів активний каріозний процес спостерігався в 1,4 раза частіше, гострий зубний біль в 2,1 раза частіше, аніж в середньому серед інвалідів відповідних вікових груп по всій країні. Отримані результати дають змогу зрозуміти взаємозв’язок стану стоматологічного здоров’я інвалідів із різними вадами та рівня життя [138]. </w:t>
      </w:r>
    </w:p>
    <w:p w:rsidR="00534FB5" w:rsidRPr="00493F99" w:rsidRDefault="00534FB5" w:rsidP="008653C6">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N. I. Jokiс, M. Majstorovic (2007) провели порівняльну оцінку стоматологічного статусу 80-х дітей-інвалідів (які страждали порушенням слуху, мовлення, дитячим церебральним паралічем, синдромом Дауна) з</w:t>
      </w:r>
      <w:r w:rsidR="00E34ACB">
        <w:rPr>
          <w:sz w:val="28"/>
          <w:szCs w:val="28"/>
          <w:lang w:val="uk-UA"/>
        </w:rPr>
        <w:t xml:space="preserve">     </w:t>
      </w:r>
      <w:r w:rsidRPr="00493F99">
        <w:rPr>
          <w:sz w:val="28"/>
          <w:szCs w:val="28"/>
          <w:lang w:val="uk-UA"/>
        </w:rPr>
        <w:t xml:space="preserve"> 80-ма здоровими дітьми віком від 3-х до 17-ти років, які проживали в місті </w:t>
      </w:r>
      <w:r w:rsidRPr="00493F99">
        <w:rPr>
          <w:sz w:val="28"/>
          <w:szCs w:val="28"/>
          <w:lang w:val="uk-UA"/>
        </w:rPr>
        <w:lastRenderedPageBreak/>
        <w:t xml:space="preserve">Рієка, Хорватія. Гігієну порожнини рота оцінювали за спрощеним індексом </w:t>
      </w:r>
      <w:r w:rsidRPr="00493F99">
        <w:rPr>
          <w:rStyle w:val="a9"/>
          <w:bCs/>
          <w:i w:val="0"/>
          <w:iCs w:val="0"/>
          <w:color w:val="000000"/>
          <w:sz w:val="28"/>
          <w:szCs w:val="28"/>
          <w:lang w:val="uk-UA"/>
        </w:rPr>
        <w:t>OHI</w:t>
      </w:r>
      <w:r w:rsidRPr="00493F99">
        <w:rPr>
          <w:rStyle w:val="apple-style-span"/>
          <w:color w:val="000000"/>
          <w:sz w:val="28"/>
          <w:szCs w:val="28"/>
          <w:lang w:val="uk-UA"/>
        </w:rPr>
        <w:noBreakHyphen/>
      </w:r>
      <w:r w:rsidRPr="00493F99">
        <w:rPr>
          <w:rStyle w:val="a9"/>
          <w:bCs/>
          <w:i w:val="0"/>
          <w:iCs w:val="0"/>
          <w:color w:val="000000"/>
          <w:sz w:val="28"/>
          <w:szCs w:val="28"/>
          <w:lang w:val="uk-UA"/>
        </w:rPr>
        <w:t>S</w:t>
      </w:r>
      <w:r w:rsidRPr="00493F99">
        <w:rPr>
          <w:rStyle w:val="apple-converted-space"/>
          <w:color w:val="000000"/>
          <w:sz w:val="28"/>
          <w:szCs w:val="28"/>
          <w:lang w:val="uk-UA"/>
        </w:rPr>
        <w:t> </w:t>
      </w:r>
      <w:r w:rsidRPr="00493F99">
        <w:rPr>
          <w:rStyle w:val="apple-style-span"/>
          <w:color w:val="000000"/>
          <w:sz w:val="28"/>
          <w:szCs w:val="28"/>
          <w:lang w:val="uk-UA"/>
        </w:rPr>
        <w:t xml:space="preserve">(Green, Vermillion, 1964). У дітей з вадами слуху цей показник був у межах від 3,8 до 4,53, тобто був вищим за показник у здорових дітей (2,73–2,84). </w:t>
      </w:r>
      <w:r w:rsidRPr="00493F99">
        <w:rPr>
          <w:sz w:val="28"/>
          <w:szCs w:val="28"/>
          <w:lang w:val="uk-UA"/>
        </w:rPr>
        <w:t>Ураженість твердих тканин зубів вивчали за показниками інтенсивності карієсу. Середнє значення показника кпз в тимчасовому прикусі становило 3,42 (в групі дітей-інвалідів) та 1,43 (в групі здорових дітей). У змішаному прикусі показник інтенсивності</w:t>
      </w:r>
      <w:r w:rsidRPr="00493F99">
        <w:rPr>
          <w:rStyle w:val="apple-style-span"/>
          <w:color w:val="000000"/>
          <w:sz w:val="28"/>
          <w:szCs w:val="28"/>
          <w:lang w:val="uk-UA"/>
        </w:rPr>
        <w:t xml:space="preserve"> (КПВз+кпз</w:t>
      </w:r>
      <w:r w:rsidRPr="00493F99">
        <w:rPr>
          <w:sz w:val="28"/>
          <w:szCs w:val="28"/>
          <w:lang w:val="uk-UA"/>
        </w:rPr>
        <w:t xml:space="preserve">) у дітей-інвалідів мав середнє значення 5,24±1,41, а у здорових дітей – 5,1±1,23. В постійному прикусі у дітей-інвалідів середнім значенням показника КПВз було 6,39, у той час як в групі здорових дітей цей показник становив 4,76. Автори зробили висновок про низький рівень гігієни порожнини рота та високу інтенсивність каріозного процесу в обох групах обстежених дітей, що свідчить про необхідність розробки програм профілактики основних стоматологічних захворювань, підвищення рівня стоматологічної допомоги, особливо в групі дітей-інвалідів у Хорватії </w:t>
      </w:r>
      <w:r w:rsidRPr="00493F99">
        <w:rPr>
          <w:rStyle w:val="apple-style-span"/>
          <w:color w:val="000000"/>
          <w:sz w:val="28"/>
          <w:szCs w:val="28"/>
          <w:lang w:val="uk-UA"/>
        </w:rPr>
        <w:t>[118].</w:t>
      </w:r>
      <w:r w:rsidRPr="00493F99">
        <w:rPr>
          <w:sz w:val="28"/>
          <w:szCs w:val="28"/>
          <w:lang w:val="uk-UA"/>
        </w:rPr>
        <w:t xml:space="preserve"> </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E. N. M. Simon, M. I. Matee, F. Scheutz (2008) провели обстеження 321-ї</w:t>
      </w:r>
      <w:r w:rsidR="00206AAF">
        <w:rPr>
          <w:sz w:val="28"/>
          <w:szCs w:val="28"/>
          <w:lang w:val="uk-UA"/>
        </w:rPr>
        <w:t xml:space="preserve"> людини</w:t>
      </w:r>
      <w:r w:rsidRPr="00493F99">
        <w:rPr>
          <w:sz w:val="28"/>
          <w:szCs w:val="28"/>
          <w:lang w:val="uk-UA"/>
        </w:rPr>
        <w:t xml:space="preserve"> з різними вадами, з яких більшість (229) становил</w:t>
      </w:r>
      <w:r w:rsidR="00206AAF">
        <w:rPr>
          <w:sz w:val="28"/>
          <w:szCs w:val="28"/>
          <w:lang w:val="uk-UA"/>
        </w:rPr>
        <w:t xml:space="preserve">и </w:t>
      </w:r>
      <w:r w:rsidRPr="00493F99">
        <w:rPr>
          <w:sz w:val="28"/>
          <w:szCs w:val="28"/>
          <w:lang w:val="uk-UA"/>
        </w:rPr>
        <w:t xml:space="preserve"> </w:t>
      </w:r>
      <w:r w:rsidR="00206AAF">
        <w:rPr>
          <w:sz w:val="28"/>
          <w:szCs w:val="28"/>
          <w:lang w:val="uk-UA"/>
        </w:rPr>
        <w:t xml:space="preserve">особи </w:t>
      </w:r>
      <w:r w:rsidRPr="00493F99">
        <w:rPr>
          <w:sz w:val="28"/>
          <w:szCs w:val="28"/>
          <w:lang w:val="uk-UA"/>
        </w:rPr>
        <w:t xml:space="preserve">з вадами слуху, віком від 7 до 22 років, які відвідували спеціальні школи в </w:t>
      </w:r>
      <w:r w:rsidRPr="00493F99">
        <w:rPr>
          <w:rStyle w:val="apple-style-span"/>
          <w:bCs/>
          <w:color w:val="000000"/>
          <w:sz w:val="28"/>
          <w:szCs w:val="28"/>
          <w:lang w:val="uk-UA"/>
        </w:rPr>
        <w:t>Дар-ес-Салам</w:t>
      </w:r>
      <w:r w:rsidRPr="00493F99">
        <w:rPr>
          <w:rStyle w:val="apple-style-span"/>
          <w:bCs/>
          <w:color w:val="000000"/>
          <w:sz w:val="28"/>
          <w:szCs w:val="28"/>
          <w:lang w:val="uk-UA" w:bidi="he-IL"/>
        </w:rPr>
        <w:t>‎</w:t>
      </w:r>
      <w:r w:rsidRPr="00493F99">
        <w:rPr>
          <w:sz w:val="28"/>
          <w:szCs w:val="28"/>
          <w:lang w:val="uk-UA"/>
        </w:rPr>
        <w:t xml:space="preserve"> (Танзанія). Ураженість твердих тканин зубів вивчали за показниками інтенсивності</w:t>
      </w:r>
      <w:r w:rsidR="00F66B98">
        <w:rPr>
          <w:sz w:val="28"/>
          <w:szCs w:val="28"/>
          <w:lang w:val="uk-UA"/>
        </w:rPr>
        <w:t xml:space="preserve"> карієсу (КПВп та КПВп+кпп</w:t>
      </w:r>
      <w:r w:rsidRPr="00493F99">
        <w:rPr>
          <w:sz w:val="28"/>
          <w:szCs w:val="28"/>
          <w:lang w:val="uk-UA"/>
        </w:rPr>
        <w:t>). Оцінку стану тканин пародонта здійснювали за показниками кровоточивості та зубного каменю. Найбільша інтенсивність каріозного ураження зубів, за показниками КПВп+кпп, була виявлена саме у дітей з вадами слуху віком від 7 до 9 років (3,24±1,12), порівняно зі сліпими та розумово відсталими дітьми. У глухих та приглухуватих дітей інших вікових груп показники інтенсивності карієсу (КПВп) були на низькому рівні й не перевищували 1,75 (п’ята вікова група (17–22 роки)</w:t>
      </w:r>
      <w:r w:rsidR="00F66B98">
        <w:rPr>
          <w:sz w:val="28"/>
          <w:szCs w:val="28"/>
          <w:lang w:val="uk-UA"/>
        </w:rPr>
        <w:t>)</w:t>
      </w:r>
      <w:r w:rsidRPr="00493F99">
        <w:rPr>
          <w:sz w:val="28"/>
          <w:szCs w:val="28"/>
          <w:lang w:val="uk-UA"/>
        </w:rPr>
        <w:t xml:space="preserve">. Серед обстежених було виявлено тільки одного учня (0,3 %) із запломбованим тимчасовим зубом і жодного з постійним. Було зафіксовано, що 9,7 % учнів мали видалений принаймні один постійний зуб. Більш як </w:t>
      </w:r>
      <w:r w:rsidRPr="00493F99">
        <w:rPr>
          <w:sz w:val="28"/>
          <w:szCs w:val="28"/>
          <w:lang w:val="uk-UA"/>
        </w:rPr>
        <w:lastRenderedPageBreak/>
        <w:t xml:space="preserve">73,5 % дітей мали кровоточивість ясен і 82,8 % – зубний камінь. Ці показники були найвищими в 5-й віковій групі (від 17 до 22 років). На основі проведених досліджень був зроблений висновок, що поширеність та інтенсивність карієсу зубів у обстеженої групи дітей, включаючи дітей з вадами слуху, які відвідували спеціальні школи в </w:t>
      </w:r>
      <w:r w:rsidRPr="00493F99">
        <w:rPr>
          <w:rStyle w:val="apple-style-span"/>
          <w:bCs/>
          <w:color w:val="000000"/>
          <w:sz w:val="28"/>
          <w:szCs w:val="28"/>
          <w:lang w:val="uk-UA"/>
        </w:rPr>
        <w:t>Дар-ес-Салам</w:t>
      </w:r>
      <w:r w:rsidRPr="00493F99">
        <w:rPr>
          <w:sz w:val="28"/>
          <w:szCs w:val="28"/>
          <w:lang w:val="uk-UA"/>
        </w:rPr>
        <w:t>, не була критичною. Виявлено відносно високу поширеність кровоточивості ясен та зубного каменю, майже повну відсутність санації порожнини рота, значну потребу в проведенні професійних гігієнічних заходів. Розбіжність отриманих результатів у дітей з різними вадами вказує на необхідність розроблення диференційованих програм профілактики основних стоматологічних захворювань – залежно від виду інвалідності [148].</w:t>
      </w:r>
    </w:p>
    <w:p w:rsidR="00534FB5" w:rsidRPr="00493F99" w:rsidRDefault="00534FB5" w:rsidP="00534FB5">
      <w:pPr>
        <w:pStyle w:val="af7"/>
        <w:spacing w:before="0" w:beforeAutospacing="0" w:after="0" w:afterAutospacing="0" w:line="360" w:lineRule="auto"/>
        <w:ind w:firstLine="709"/>
        <w:contextualSpacing/>
        <w:jc w:val="both"/>
        <w:rPr>
          <w:rStyle w:val="apple-style-span"/>
          <w:sz w:val="28"/>
          <w:szCs w:val="28"/>
          <w:lang w:val="uk-UA"/>
        </w:rPr>
      </w:pPr>
      <w:r w:rsidRPr="00493F99">
        <w:rPr>
          <w:rStyle w:val="apple-style-span"/>
          <w:color w:val="000000"/>
          <w:sz w:val="28"/>
          <w:szCs w:val="28"/>
          <w:lang w:val="uk-UA"/>
        </w:rPr>
        <w:t xml:space="preserve">Стоматологічний статус та потреба в лікуванні дітей із вадами слуху в </w:t>
      </w:r>
      <w:hyperlink r:id="rId8" w:history="1">
        <w:r w:rsidRPr="00493F99">
          <w:rPr>
            <w:rStyle w:val="gcpaddrlink"/>
            <w:bCs/>
            <w:sz w:val="28"/>
            <w:szCs w:val="28"/>
            <w:lang w:val="uk-UA"/>
          </w:rPr>
          <w:t>Удайпер, Раджастан</w:t>
        </w:r>
      </w:hyperlink>
      <w:r w:rsidRPr="00493F99">
        <w:rPr>
          <w:rStyle w:val="apple-style-span"/>
          <w:color w:val="000000"/>
          <w:sz w:val="28"/>
          <w:szCs w:val="28"/>
          <w:lang w:val="uk-UA"/>
        </w:rPr>
        <w:t xml:space="preserve"> (Індія)</w:t>
      </w:r>
      <w:r w:rsidR="00D4707C" w:rsidRPr="00493F99">
        <w:rPr>
          <w:rStyle w:val="apple-style-span"/>
          <w:color w:val="000000"/>
          <w:sz w:val="28"/>
          <w:szCs w:val="28"/>
          <w:lang w:val="uk-UA"/>
        </w:rPr>
        <w:t>,</w:t>
      </w:r>
      <w:r w:rsidRPr="00493F99">
        <w:rPr>
          <w:rStyle w:val="apple-style-span"/>
          <w:color w:val="000000"/>
          <w:sz w:val="28"/>
          <w:szCs w:val="28"/>
          <w:lang w:val="uk-UA"/>
        </w:rPr>
        <w:t xml:space="preserve"> вивчали M.</w:t>
      </w:r>
      <w:r w:rsidRPr="00493F99">
        <w:rPr>
          <w:rStyle w:val="apple-style-span"/>
          <w:color w:val="000000"/>
          <w:sz w:val="28"/>
          <w:szCs w:val="28"/>
          <w:lang w:val="en-US"/>
        </w:rPr>
        <w:t> Jain</w:t>
      </w:r>
      <w:r w:rsidRPr="00493F99">
        <w:rPr>
          <w:rStyle w:val="apple-style-span"/>
          <w:color w:val="000000"/>
          <w:sz w:val="28"/>
          <w:szCs w:val="28"/>
          <w:lang w:val="uk-UA"/>
        </w:rPr>
        <w:t xml:space="preserve">, </w:t>
      </w:r>
      <w:r w:rsidRPr="00493F99">
        <w:rPr>
          <w:rStyle w:val="apple-style-span"/>
          <w:color w:val="000000"/>
          <w:sz w:val="28"/>
          <w:szCs w:val="28"/>
        </w:rPr>
        <w:t>A</w:t>
      </w:r>
      <w:r w:rsidRPr="00493F99">
        <w:rPr>
          <w:rStyle w:val="apple-style-span"/>
          <w:color w:val="000000"/>
          <w:sz w:val="28"/>
          <w:szCs w:val="28"/>
          <w:lang w:val="uk-UA"/>
        </w:rPr>
        <w:t>.</w:t>
      </w:r>
      <w:r w:rsidRPr="00493F99">
        <w:rPr>
          <w:rStyle w:val="apple-style-span"/>
          <w:color w:val="000000"/>
          <w:sz w:val="28"/>
          <w:szCs w:val="28"/>
          <w:lang w:val="en-US"/>
        </w:rPr>
        <w:t> Mathur</w:t>
      </w:r>
      <w:r w:rsidRPr="00493F99">
        <w:rPr>
          <w:rStyle w:val="apple-style-span"/>
          <w:color w:val="000000"/>
          <w:sz w:val="28"/>
          <w:szCs w:val="28"/>
          <w:lang w:val="uk-UA"/>
        </w:rPr>
        <w:t>, S.</w:t>
      </w:r>
      <w:r w:rsidRPr="00493F99">
        <w:rPr>
          <w:rStyle w:val="apple-style-span"/>
          <w:color w:val="000000"/>
          <w:sz w:val="28"/>
          <w:szCs w:val="28"/>
          <w:lang w:val="en-US"/>
        </w:rPr>
        <w:t> Kumar</w:t>
      </w:r>
      <w:r w:rsidRPr="00493F99">
        <w:rPr>
          <w:rStyle w:val="apple-style-span"/>
          <w:color w:val="000000"/>
          <w:sz w:val="28"/>
          <w:szCs w:val="28"/>
          <w:lang w:val="uk-UA"/>
        </w:rPr>
        <w:t>,</w:t>
      </w:r>
      <w:r w:rsidRPr="00493F99">
        <w:rPr>
          <w:sz w:val="28"/>
          <w:szCs w:val="28"/>
          <w:lang w:val="uk-UA"/>
        </w:rPr>
        <w:t xml:space="preserve"> </w:t>
      </w:r>
      <w:r w:rsidRPr="00493F99">
        <w:rPr>
          <w:sz w:val="28"/>
          <w:szCs w:val="28"/>
          <w:lang w:val="en-US"/>
        </w:rPr>
        <w:t>R</w:t>
      </w:r>
      <w:r w:rsidRPr="00493F99">
        <w:rPr>
          <w:sz w:val="28"/>
          <w:szCs w:val="28"/>
          <w:lang w:val="uk-UA"/>
        </w:rPr>
        <w:t>.</w:t>
      </w:r>
      <w:r w:rsidRPr="00493F99">
        <w:rPr>
          <w:sz w:val="28"/>
          <w:szCs w:val="28"/>
          <w:lang w:val="en-US"/>
        </w:rPr>
        <w:t> J</w:t>
      </w:r>
      <w:r w:rsidRPr="00493F99">
        <w:rPr>
          <w:sz w:val="28"/>
          <w:szCs w:val="28"/>
          <w:lang w:val="uk-UA"/>
        </w:rPr>
        <w:t>.</w:t>
      </w:r>
      <w:r w:rsidRPr="00493F99">
        <w:rPr>
          <w:sz w:val="28"/>
          <w:szCs w:val="28"/>
          <w:lang w:val="en-US"/>
        </w:rPr>
        <w:t> Dagli</w:t>
      </w:r>
      <w:r w:rsidRPr="00493F99">
        <w:rPr>
          <w:sz w:val="28"/>
          <w:szCs w:val="28"/>
          <w:lang w:val="uk-UA"/>
        </w:rPr>
        <w:t xml:space="preserve">, </w:t>
      </w:r>
      <w:r w:rsidRPr="00493F99">
        <w:rPr>
          <w:rStyle w:val="apple-converted-space"/>
          <w:color w:val="000000"/>
          <w:sz w:val="28"/>
          <w:szCs w:val="28"/>
          <w:lang w:val="uk-UA"/>
        </w:rPr>
        <w:t>P. </w:t>
      </w:r>
      <w:r w:rsidRPr="00493F99">
        <w:rPr>
          <w:rStyle w:val="apple-style-span"/>
          <w:color w:val="000000"/>
          <w:sz w:val="28"/>
          <w:szCs w:val="28"/>
          <w:lang w:val="uk-UA"/>
        </w:rPr>
        <w:t>Duraiswamy,</w:t>
      </w:r>
      <w:r w:rsidRPr="00493F99">
        <w:rPr>
          <w:rStyle w:val="apple-converted-space"/>
          <w:color w:val="000000"/>
          <w:sz w:val="28"/>
          <w:szCs w:val="28"/>
          <w:lang w:val="uk-UA"/>
        </w:rPr>
        <w:t> S. </w:t>
      </w:r>
      <w:r w:rsidRPr="00493F99">
        <w:rPr>
          <w:rStyle w:val="apple-style-span"/>
          <w:color w:val="000000"/>
          <w:sz w:val="28"/>
          <w:szCs w:val="28"/>
          <w:lang w:val="uk-UA"/>
        </w:rPr>
        <w:t>Kulkarni (2008). Бул</w:t>
      </w:r>
      <w:r w:rsidR="00720D4A" w:rsidRPr="00493F99">
        <w:rPr>
          <w:rStyle w:val="apple-style-span"/>
          <w:color w:val="000000"/>
          <w:sz w:val="28"/>
          <w:szCs w:val="28"/>
          <w:lang w:val="uk-UA"/>
        </w:rPr>
        <w:t>о проведено обстеження 127 осіб</w:t>
      </w:r>
      <w:r w:rsidRPr="00493F99">
        <w:rPr>
          <w:rStyle w:val="apple-style-span"/>
          <w:color w:val="000000"/>
          <w:sz w:val="28"/>
          <w:szCs w:val="28"/>
          <w:lang w:val="uk-UA"/>
        </w:rPr>
        <w:t xml:space="preserve"> віком від 5 до 22 років, що відвідували спеціальну школу-інтернат. Оцінка стоматологічного статусу (за індексами КПВз, КПВп, кпз та кпп) глухих та приглухуватих дітей вказувала на високу інтенсивність каріозного процесу, порівняно зі здоровими однолітками. У віковій групі 5–8 років середні значення інтенсивності карієсу зубів (КПВз+кпвз та КПВп+кпп) становили 2,17±0,5 та 3,67±0,56 відповідно, у той час, як у здорових дітей того самого віку [122] середнє значення індексу не перевищувало 1,9±0,6. У віковій групі 9–12 років показники інтенсивності карієсу були на рівні 1,76±1,59 та 2,05±2,62 і значно не перевищували середнє значення індексу КПВз (1,7±0,8) у здорових однолітків, але при цьому поширеність карієсу у дітей з вадами слуху була вищою (93,3 %), порівняно зі здоровими дітьми (52,5 %). У </w:t>
      </w:r>
      <w:r w:rsidRPr="00493F99">
        <w:rPr>
          <w:rStyle w:val="apple-style-span"/>
          <w:sz w:val="28"/>
          <w:szCs w:val="28"/>
          <w:lang w:val="uk-UA"/>
        </w:rPr>
        <w:t xml:space="preserve">третій групі (13–17 років) показники інтенсивності карієсу (2,95±0,16 та 3,58±0,35) перевищували показники, виявлені у здорових дітей (середнє значення індексу КПВз становило 2,3±0,7), при цьому поширеність карієсу серед дітей з вадами слуху теж була вища (88,37 %), порівняно зі здоровими дітьми </w:t>
      </w:r>
      <w:r w:rsidRPr="003D356F">
        <w:rPr>
          <w:rStyle w:val="apple-style-span"/>
          <w:spacing w:val="-2"/>
          <w:sz w:val="28"/>
          <w:szCs w:val="28"/>
          <w:lang w:val="uk-UA"/>
        </w:rPr>
        <w:lastRenderedPageBreak/>
        <w:t>(61,4 %). У четвертій групі (18–22 роки) було виявлено найвищу інтенсивність каріозного процесу, КПВз становив 4,48</w:t>
      </w:r>
      <w:r w:rsidRPr="003D356F">
        <w:rPr>
          <w:rStyle w:val="apple-style-span"/>
          <w:spacing w:val="-2"/>
          <w:sz w:val="28"/>
          <w:szCs w:val="28"/>
        </w:rPr>
        <w:t>±</w:t>
      </w:r>
      <w:r w:rsidRPr="003D356F">
        <w:rPr>
          <w:rStyle w:val="apple-style-span"/>
          <w:spacing w:val="-2"/>
          <w:sz w:val="28"/>
          <w:szCs w:val="28"/>
          <w:lang w:val="uk-UA"/>
        </w:rPr>
        <w:t>0,69, КПВп</w:t>
      </w:r>
      <w:r w:rsidRPr="003D356F">
        <w:rPr>
          <w:rStyle w:val="apple-style-span"/>
          <w:spacing w:val="-2"/>
          <w:sz w:val="28"/>
          <w:szCs w:val="28"/>
        </w:rPr>
        <w:t xml:space="preserve"> </w:t>
      </w:r>
      <w:r w:rsidRPr="003D356F">
        <w:rPr>
          <w:rStyle w:val="apple-style-span"/>
          <w:spacing w:val="-2"/>
          <w:sz w:val="28"/>
          <w:szCs w:val="28"/>
          <w:lang w:val="uk-UA"/>
        </w:rPr>
        <w:t>– 7,86</w:t>
      </w:r>
      <w:r w:rsidRPr="003D356F">
        <w:rPr>
          <w:rStyle w:val="apple-style-span"/>
          <w:spacing w:val="-2"/>
          <w:sz w:val="28"/>
          <w:szCs w:val="28"/>
        </w:rPr>
        <w:t>±</w:t>
      </w:r>
      <w:r w:rsidRPr="003D356F">
        <w:rPr>
          <w:rStyle w:val="apple-style-span"/>
          <w:spacing w:val="-2"/>
          <w:sz w:val="28"/>
          <w:szCs w:val="28"/>
          <w:lang w:val="uk-UA"/>
        </w:rPr>
        <w:t xml:space="preserve">0,74. Відзначено високу потребу в стоматологічному лікуванні дітей із вадами слуху, майже 80 % дітей потребували пломбування принаймні однієї каріозної порожнини, 15 % – герметизації фісур, 7,9 % – накладання непрямої реставрації (коронка, вінір), 10,2 % – депульпування та 5,5 % – екстракції зуба. Багатофакторний кореляційно-регресійний аналіз був проведений для виявлення залежності інтенсивності карієсу від віку, касти, рівня освіти, соціально-економічного статусу та ступеня втрати слуху. Автори виявили залежність інтенсивності каріозного процесу від віку, найвищий показник виявлено у віковій групі 18–22 років. Отже, спираючись на дані проведеного дослідження, серед дітей з вадами слуху в </w:t>
      </w:r>
      <w:hyperlink r:id="rId9" w:history="1">
        <w:r w:rsidRPr="003D356F">
          <w:rPr>
            <w:rStyle w:val="gcpaddrlink"/>
            <w:bCs/>
            <w:spacing w:val="-2"/>
            <w:sz w:val="28"/>
            <w:szCs w:val="28"/>
            <w:lang w:val="uk-UA"/>
          </w:rPr>
          <w:t>Удайпер, Раджастан</w:t>
        </w:r>
      </w:hyperlink>
      <w:r w:rsidRPr="003D356F">
        <w:rPr>
          <w:rStyle w:val="apple-style-span"/>
          <w:spacing w:val="-2"/>
          <w:sz w:val="28"/>
          <w:szCs w:val="28"/>
          <w:lang w:val="uk-UA"/>
        </w:rPr>
        <w:t xml:space="preserve"> (Індія), поширений каріозний процес високої інтенсивності, низький рівень гігієни, існує нагальна потреба в санації порожнини рота [121], порівняно зі здоровими дітьми тих же вікових груп [113, 114, 122, 129, 140].</w:t>
      </w:r>
      <w:r w:rsidRPr="00493F99">
        <w:rPr>
          <w:rStyle w:val="apple-style-span"/>
          <w:sz w:val="28"/>
          <w:szCs w:val="28"/>
          <w:lang w:val="uk-UA"/>
        </w:rPr>
        <w:t xml:space="preserve"> </w:t>
      </w:r>
    </w:p>
    <w:p w:rsidR="00534FB5" w:rsidRPr="00493F99" w:rsidRDefault="00534FB5" w:rsidP="00534FB5">
      <w:pPr>
        <w:pStyle w:val="af7"/>
        <w:spacing w:before="0" w:beforeAutospacing="0" w:after="0" w:afterAutospacing="0" w:line="360" w:lineRule="auto"/>
        <w:ind w:firstLine="709"/>
        <w:contextualSpacing/>
        <w:jc w:val="both"/>
        <w:rPr>
          <w:rStyle w:val="apple-style-span"/>
          <w:bCs/>
          <w:sz w:val="28"/>
          <w:szCs w:val="28"/>
          <w:lang w:val="uk-UA"/>
        </w:rPr>
      </w:pPr>
      <w:r w:rsidRPr="00493F99">
        <w:rPr>
          <w:rStyle w:val="apple-style-span"/>
          <w:sz w:val="28"/>
          <w:szCs w:val="28"/>
          <w:lang w:val="uk-UA"/>
        </w:rPr>
        <w:t>Стан гігієни порожнини рота у 524-х</w:t>
      </w:r>
      <w:r w:rsidR="00795605">
        <w:rPr>
          <w:rStyle w:val="apple-style-span"/>
          <w:sz w:val="28"/>
          <w:szCs w:val="28"/>
          <w:lang w:val="uk-UA"/>
        </w:rPr>
        <w:t xml:space="preserve"> осіб</w:t>
      </w:r>
      <w:r w:rsidRPr="00493F99">
        <w:rPr>
          <w:rStyle w:val="apple-style-span"/>
          <w:sz w:val="28"/>
          <w:szCs w:val="28"/>
          <w:lang w:val="uk-UA"/>
        </w:rPr>
        <w:t xml:space="preserve">-інвалідів, у тому числі з вадами слуху (112), віком від 3 до 20 років (Південна </w:t>
      </w:r>
      <w:r w:rsidRPr="00493F99">
        <w:rPr>
          <w:sz w:val="28"/>
          <w:szCs w:val="28"/>
          <w:lang w:val="uk-UA"/>
        </w:rPr>
        <w:t>Канара, Індія) вивчали D. Rao, H. Amitha, A. K. Munshi (2005). Оцінку проводили за показником спрощеного гігієнічного індексу (</w:t>
      </w:r>
      <w:r w:rsidRPr="00493F99">
        <w:rPr>
          <w:rStyle w:val="apple-style-span"/>
          <w:sz w:val="28"/>
          <w:szCs w:val="28"/>
          <w:lang w:val="uk-UA"/>
        </w:rPr>
        <w:t>OHl-</w:t>
      </w:r>
      <w:r w:rsidRPr="00493F99">
        <w:rPr>
          <w:rStyle w:val="a9"/>
          <w:bCs/>
          <w:i w:val="0"/>
          <w:iCs w:val="0"/>
          <w:sz w:val="28"/>
          <w:szCs w:val="28"/>
          <w:lang w:val="uk-UA"/>
        </w:rPr>
        <w:t>S,</w:t>
      </w:r>
      <w:r w:rsidRPr="00493F99">
        <w:rPr>
          <w:rStyle w:val="apple-style-span"/>
          <w:sz w:val="28"/>
          <w:szCs w:val="28"/>
          <w:lang w:val="uk-UA"/>
        </w:rPr>
        <w:t xml:space="preserve"> Greene and Vermillion, 1964). В обстежених дітей з різноманітними вадами значення гігієнічного індексу варіювали від середнього (0,99) до високого (3,22). У дітей з вадами слуху індекс </w:t>
      </w:r>
      <w:r w:rsidRPr="00493F99">
        <w:rPr>
          <w:rStyle w:val="a9"/>
          <w:bCs/>
          <w:i w:val="0"/>
          <w:iCs w:val="0"/>
          <w:sz w:val="28"/>
          <w:szCs w:val="28"/>
          <w:lang w:val="uk-UA"/>
        </w:rPr>
        <w:t>мав середні значення – в межах від 0,99 до 1,49, вказуючи на задовільний стан гігієни порожнини рота. Автори констатували, що під час проведеного дослідження діти з вадами слуху, порівняно з іншими групами дітей-інвалідів, показали найкращу здатність</w:t>
      </w:r>
      <w:r w:rsidRPr="00493F99">
        <w:rPr>
          <w:rStyle w:val="a9"/>
          <w:bCs/>
          <w:i w:val="0"/>
          <w:iCs w:val="0"/>
          <w:color w:val="000000"/>
          <w:sz w:val="28"/>
          <w:szCs w:val="28"/>
          <w:lang w:val="uk-UA"/>
        </w:rPr>
        <w:t xml:space="preserve"> </w:t>
      </w:r>
      <w:r w:rsidRPr="00493F99">
        <w:rPr>
          <w:rStyle w:val="a9"/>
          <w:bCs/>
          <w:i w:val="0"/>
          <w:iCs w:val="0"/>
          <w:sz w:val="28"/>
          <w:szCs w:val="28"/>
          <w:lang w:val="uk-UA"/>
        </w:rPr>
        <w:t xml:space="preserve">сприймати, засвоювати і відтворювати мануальні гігієнічні навички, спостерігалося підвищення середніх значень </w:t>
      </w:r>
      <w:r w:rsidRPr="00493F99">
        <w:rPr>
          <w:rStyle w:val="apple-style-span"/>
          <w:sz w:val="28"/>
          <w:szCs w:val="28"/>
          <w:lang w:val="uk-UA"/>
        </w:rPr>
        <w:t>OHІ-</w:t>
      </w:r>
      <w:r w:rsidRPr="00493F99">
        <w:rPr>
          <w:rStyle w:val="a9"/>
          <w:bCs/>
          <w:i w:val="0"/>
          <w:iCs w:val="0"/>
          <w:sz w:val="28"/>
          <w:szCs w:val="28"/>
          <w:lang w:val="uk-UA"/>
        </w:rPr>
        <w:t>S з віком в усіх групах дітей-інвалідів, які</w:t>
      </w:r>
      <w:r w:rsidRPr="00493F99">
        <w:rPr>
          <w:rStyle w:val="apple-style-span"/>
          <w:sz w:val="28"/>
          <w:szCs w:val="28"/>
          <w:lang w:val="uk-UA"/>
        </w:rPr>
        <w:t xml:space="preserve"> відвідували спеціальні школи в Південній </w:t>
      </w:r>
      <w:r w:rsidRPr="00493F99">
        <w:rPr>
          <w:sz w:val="28"/>
          <w:szCs w:val="28"/>
          <w:lang w:val="uk-UA"/>
        </w:rPr>
        <w:t>Канарі (Індія)</w:t>
      </w:r>
      <w:r w:rsidRPr="00493F99">
        <w:rPr>
          <w:rStyle w:val="a9"/>
          <w:bCs/>
          <w:i w:val="0"/>
          <w:iCs w:val="0"/>
          <w:sz w:val="28"/>
          <w:szCs w:val="28"/>
          <w:lang w:val="uk-UA"/>
        </w:rPr>
        <w:t xml:space="preserve"> </w:t>
      </w:r>
      <w:r w:rsidRPr="00493F99">
        <w:rPr>
          <w:rStyle w:val="apple-style-span"/>
          <w:sz w:val="28"/>
          <w:szCs w:val="28"/>
          <w:lang w:val="uk-UA"/>
        </w:rPr>
        <w:t>[142].</w:t>
      </w:r>
    </w:p>
    <w:p w:rsidR="00534FB5" w:rsidRPr="00493F99" w:rsidRDefault="00534FB5" w:rsidP="00534FB5">
      <w:pPr>
        <w:pStyle w:val="af7"/>
        <w:spacing w:before="0" w:beforeAutospacing="0" w:after="0" w:afterAutospacing="0" w:line="360" w:lineRule="auto"/>
        <w:ind w:firstLine="709"/>
        <w:contextualSpacing/>
        <w:jc w:val="both"/>
        <w:rPr>
          <w:rStyle w:val="apple-style-span"/>
          <w:sz w:val="28"/>
          <w:szCs w:val="28"/>
          <w:lang w:val="uk-UA"/>
        </w:rPr>
      </w:pPr>
      <w:r w:rsidRPr="00493F99">
        <w:rPr>
          <w:rStyle w:val="apple-style-span"/>
          <w:sz w:val="28"/>
          <w:szCs w:val="28"/>
          <w:lang w:val="uk-UA"/>
        </w:rPr>
        <w:lastRenderedPageBreak/>
        <w:t xml:space="preserve">В 2001 році </w:t>
      </w:r>
      <w:r w:rsidRPr="00493F99">
        <w:rPr>
          <w:sz w:val="28"/>
          <w:szCs w:val="28"/>
          <w:lang w:val="uk-UA"/>
        </w:rPr>
        <w:t xml:space="preserve">D. Rao, H. Amitha, A. K. Munshi вивчали поширеність карієсу зубів серед 524 інвалідів (у тому числі з вадами слуху), віком від 3 до 30 років в Південній Канарі, штат </w:t>
      </w:r>
      <w:r w:rsidRPr="00493F99">
        <w:rPr>
          <w:rStyle w:val="a9"/>
          <w:bCs/>
          <w:i w:val="0"/>
          <w:iCs w:val="0"/>
          <w:sz w:val="28"/>
          <w:szCs w:val="28"/>
          <w:lang w:val="uk-UA"/>
        </w:rPr>
        <w:t>Карнатака</w:t>
      </w:r>
      <w:r w:rsidRPr="00493F99">
        <w:rPr>
          <w:sz w:val="28"/>
          <w:szCs w:val="28"/>
          <w:lang w:val="uk-UA"/>
        </w:rPr>
        <w:t xml:space="preserve"> (Індія). Поширеність карієсу становила 71,56 %. Каріозні ураження зубів мали 40 % дітей з тимчасовим, 70,59 % дітей зі змішаним та 66,18 % з постійним прикусом. Середнє значення кпз в групі дітей із вадами слуху було 2,6 (жодного запломбованого зуба), </w:t>
      </w:r>
      <w:r w:rsidRPr="00493F99">
        <w:rPr>
          <w:rStyle w:val="apple-style-span"/>
          <w:sz w:val="28"/>
          <w:szCs w:val="28"/>
          <w:lang w:val="uk-UA"/>
        </w:rPr>
        <w:t>КПВз+кпз становило 3,85 (8,42 % запломбованих зубів), КПВз – 2,48 (11,62 % запломбованих зубів). Науковці</w:t>
      </w:r>
      <w:r w:rsidRPr="00493F99">
        <w:rPr>
          <w:sz w:val="28"/>
          <w:szCs w:val="28"/>
          <w:lang w:val="uk-UA"/>
        </w:rPr>
        <w:t xml:space="preserve"> зауважили</w:t>
      </w:r>
      <w:r w:rsidRPr="00493F99">
        <w:rPr>
          <w:rStyle w:val="apple-style-span"/>
          <w:sz w:val="28"/>
          <w:szCs w:val="28"/>
          <w:lang w:val="uk-UA"/>
        </w:rPr>
        <w:t xml:space="preserve">, </w:t>
      </w:r>
      <w:r w:rsidRPr="00493F99">
        <w:rPr>
          <w:sz w:val="28"/>
          <w:szCs w:val="28"/>
          <w:lang w:val="uk-UA"/>
        </w:rPr>
        <w:t>що поширеність карієсу та інтенсивність каріозного процесу в дітей з вадами слуху є нижчою, ніж у розумово відсталих дітей та в дітей з множинними аномаліями. Проте, водночас, вона є вищою, порівняно зі здоровими однолітками. Відзначено також</w:t>
      </w:r>
      <w:r w:rsidRPr="00493F99">
        <w:rPr>
          <w:rStyle w:val="apple-style-span"/>
          <w:sz w:val="28"/>
          <w:szCs w:val="28"/>
          <w:lang w:val="uk-UA"/>
        </w:rPr>
        <w:t xml:space="preserve"> високу потребу в санації порожнини рота</w:t>
      </w:r>
      <w:r w:rsidRPr="00493F99">
        <w:rPr>
          <w:sz w:val="28"/>
          <w:szCs w:val="28"/>
          <w:lang w:val="uk-UA"/>
        </w:rPr>
        <w:t xml:space="preserve"> у дітей всіх груп </w:t>
      </w:r>
      <w:r w:rsidRPr="00493F99">
        <w:rPr>
          <w:rStyle w:val="apple-style-span"/>
          <w:sz w:val="28"/>
          <w:szCs w:val="28"/>
          <w:lang w:val="uk-UA"/>
        </w:rPr>
        <w:t>[141].</w:t>
      </w:r>
      <w:r w:rsidRPr="00493F99">
        <w:rPr>
          <w:sz w:val="28"/>
          <w:szCs w:val="28"/>
          <w:lang w:val="uk-UA"/>
        </w:rPr>
        <w:t xml:space="preserve"> </w:t>
      </w:r>
    </w:p>
    <w:p w:rsidR="00534FB5" w:rsidRPr="00493F99" w:rsidRDefault="00534FB5" w:rsidP="00D4707C">
      <w:pPr>
        <w:pStyle w:val="af7"/>
        <w:spacing w:before="0" w:beforeAutospacing="0" w:after="0" w:afterAutospacing="0" w:line="360" w:lineRule="auto"/>
        <w:ind w:firstLine="709"/>
        <w:contextualSpacing/>
        <w:jc w:val="both"/>
        <w:rPr>
          <w:sz w:val="28"/>
          <w:szCs w:val="28"/>
          <w:vertAlign w:val="superscript"/>
          <w:lang w:val="uk-UA"/>
        </w:rPr>
      </w:pPr>
      <w:r w:rsidRPr="00493F99">
        <w:rPr>
          <w:sz w:val="28"/>
          <w:szCs w:val="28"/>
          <w:lang w:val="uk-UA"/>
        </w:rPr>
        <w:t>B. A.</w:t>
      </w:r>
      <w:r w:rsidR="00597E77" w:rsidRPr="00597E77">
        <w:rPr>
          <w:noProof/>
          <w:sz w:val="28"/>
          <w:szCs w:val="28"/>
          <w:lang w:val="uk-UA"/>
        </w:rPr>
        <w:pict>
          <v:shape id="_x0000_s1027" type="#_x0000_t32" style="position:absolute;left:0;text-align:left;margin-left:181.95pt;margin-top:108.9pt;width:4.5pt;height:0;z-index:251657216;mso-position-horizontal-relative:text;mso-position-vertical-relative:text" o:connectortype="straight"/>
        </w:pict>
      </w:r>
      <w:r w:rsidRPr="00493F99">
        <w:rPr>
          <w:sz w:val="28"/>
          <w:szCs w:val="28"/>
          <w:lang w:val="uk-UA"/>
        </w:rPr>
        <w:t xml:space="preserve"> Ajami, M. Shabzendedar (2007) під час свого дослідження провели обстеження 1621 дитини (від 5 до 16 років) з різними вадами, в тому числі з вадами слуху (462 дитини), які відвідували 13 спеціалізованих шкіл в </w:t>
      </w:r>
      <w:r w:rsidRPr="00493F99">
        <w:rPr>
          <w:rStyle w:val="apple-style-span"/>
          <w:sz w:val="28"/>
          <w:szCs w:val="28"/>
          <w:lang w:val="uk-UA"/>
        </w:rPr>
        <w:t>Мешхед</w:t>
      </w:r>
      <w:r w:rsidRPr="00493F99">
        <w:rPr>
          <w:sz w:val="28"/>
          <w:szCs w:val="28"/>
          <w:lang w:val="uk-UA"/>
        </w:rPr>
        <w:t xml:space="preserve"> (Іран). Інтенсивність карієсу зубів за показниками КПВз+кпз</w:t>
      </w:r>
      <w:r w:rsidRPr="00493F99">
        <w:rPr>
          <w:rStyle w:val="apple-style-span"/>
          <w:sz w:val="28"/>
          <w:szCs w:val="28"/>
          <w:lang w:val="uk-UA"/>
        </w:rPr>
        <w:t xml:space="preserve"> в групі дітей із вадами слуху с</w:t>
      </w:r>
      <w:r w:rsidR="00D4707C" w:rsidRPr="00493F99">
        <w:rPr>
          <w:rStyle w:val="apple-style-span"/>
          <w:sz w:val="28"/>
          <w:szCs w:val="28"/>
          <w:lang w:val="uk-UA"/>
        </w:rPr>
        <w:t>т</w:t>
      </w:r>
      <w:r w:rsidRPr="00493F99">
        <w:rPr>
          <w:rStyle w:val="apple-style-span"/>
          <w:sz w:val="28"/>
          <w:szCs w:val="28"/>
          <w:lang w:val="uk-UA"/>
        </w:rPr>
        <w:t>ановила 1,91±2 і була нижчою, порівняно з показниками інтенсивності</w:t>
      </w:r>
      <w:r w:rsidRPr="00493F99">
        <w:rPr>
          <w:sz w:val="28"/>
          <w:szCs w:val="28"/>
          <w:lang w:val="uk-UA"/>
        </w:rPr>
        <w:t xml:space="preserve"> карієсу зубів</w:t>
      </w:r>
      <w:r w:rsidRPr="00493F99">
        <w:rPr>
          <w:rStyle w:val="apple-style-span"/>
          <w:sz w:val="28"/>
          <w:szCs w:val="28"/>
          <w:lang w:val="uk-UA"/>
        </w:rPr>
        <w:t xml:space="preserve"> у розумово відсталих (2,27±1,9) та сліпих (2,68±2,30) дітей. Водночас, компонент П+п був вищий у дітей з вадами слуху. Стан гігієни порожнини рота </w:t>
      </w:r>
      <w:r w:rsidRPr="00493F99">
        <w:rPr>
          <w:sz w:val="28"/>
          <w:szCs w:val="28"/>
          <w:lang w:val="uk-UA"/>
        </w:rPr>
        <w:t xml:space="preserve">(за показником спрощеного гігієнічного індексу </w:t>
      </w:r>
      <w:r w:rsidRPr="00493F99">
        <w:rPr>
          <w:rStyle w:val="apple-style-span"/>
          <w:sz w:val="28"/>
          <w:szCs w:val="28"/>
          <w:lang w:val="uk-UA"/>
        </w:rPr>
        <w:t>OHІ-</w:t>
      </w:r>
      <w:r w:rsidRPr="00493F99">
        <w:rPr>
          <w:rStyle w:val="a9"/>
          <w:bCs/>
          <w:i w:val="0"/>
          <w:iCs w:val="0"/>
          <w:sz w:val="28"/>
          <w:szCs w:val="28"/>
          <w:lang w:val="uk-UA"/>
        </w:rPr>
        <w:t>S) був оцінений як задовільний у 67,75 %, незадовільний у 25,2 % та поганий у 8,23 % дітей з вадами слуху. Стан ясен вивчався за допомогою ясенного індексу (</w:t>
      </w:r>
      <w:r w:rsidRPr="00493F99">
        <w:rPr>
          <w:sz w:val="28"/>
          <w:szCs w:val="28"/>
          <w:lang w:val="uk-UA"/>
        </w:rPr>
        <w:t>gingival index (Jackson &amp; James)). У 51,08 % глухих та приглухуватих дітей стан ясен був оцінений як задовільний, у 39,61 % – як незадовільний та у 9,31 % – як поганий. Потреба в пародонтологічному лікуванні не була виявлена у 51,8 % дітей з вадами слуху. Патологію прикусу зубів оцінювали за класифікацією Енгля (</w:t>
      </w:r>
      <w:r w:rsidRPr="00493F99">
        <w:rPr>
          <w:rStyle w:val="mw-headline"/>
          <w:sz w:val="28"/>
          <w:szCs w:val="28"/>
          <w:lang w:val="uk-UA"/>
        </w:rPr>
        <w:t>Angle’s classification method). У 64 % дітей з вадами слуху виявили І клас аномалій прикусу, у 26 % – ІІ клас і у 10 % – ІІІ клас.</w:t>
      </w:r>
      <w:r w:rsidRPr="00493F99">
        <w:rPr>
          <w:rStyle w:val="mw-headline"/>
          <w:sz w:val="28"/>
          <w:szCs w:val="28"/>
          <w:vertAlign w:val="superscript"/>
          <w:lang w:val="uk-UA"/>
        </w:rPr>
        <w:t xml:space="preserve"> </w:t>
      </w:r>
      <w:r w:rsidRPr="00493F99">
        <w:rPr>
          <w:rStyle w:val="mw-headline"/>
          <w:sz w:val="28"/>
          <w:szCs w:val="28"/>
          <w:lang w:val="uk-UA"/>
        </w:rPr>
        <w:t xml:space="preserve">За результатами дослідження </w:t>
      </w:r>
      <w:r w:rsidRPr="00493F99">
        <w:rPr>
          <w:rStyle w:val="mw-headline"/>
          <w:sz w:val="28"/>
          <w:szCs w:val="28"/>
          <w:lang w:val="uk-UA"/>
        </w:rPr>
        <w:lastRenderedPageBreak/>
        <w:t xml:space="preserve">зроблено висновок, що інтенсивність карієсу, поширеність захворювань тканин пародонта та патології прикусу є більшою у дітей-інвалідів, порівняно зі здоровими однолітками в </w:t>
      </w:r>
      <w:r w:rsidRPr="00493F99">
        <w:rPr>
          <w:rStyle w:val="apple-style-span"/>
          <w:sz w:val="28"/>
          <w:szCs w:val="28"/>
          <w:lang w:val="uk-UA"/>
        </w:rPr>
        <w:t>Мешхед</w:t>
      </w:r>
      <w:r w:rsidRPr="00493F99">
        <w:rPr>
          <w:sz w:val="28"/>
          <w:szCs w:val="28"/>
          <w:lang w:val="uk-UA"/>
        </w:rPr>
        <w:t xml:space="preserve"> (Іран). Потреба в «простому» лікуванні (simple treatment) виявлено тільки у 26 % дітей. Це свідчить про необхідність розробки довгострокової програми профілактики основних стоматологічних захворювань у дітей-інвалідів, у тому числі з вадами слуху</w:t>
      </w:r>
      <w:r w:rsidRPr="00493F99">
        <w:rPr>
          <w:rStyle w:val="mw-headline"/>
          <w:sz w:val="28"/>
          <w:szCs w:val="28"/>
          <w:lang w:val="uk-UA"/>
        </w:rPr>
        <w:t xml:space="preserve"> в </w:t>
      </w:r>
      <w:r w:rsidRPr="00493F99">
        <w:rPr>
          <w:sz w:val="28"/>
          <w:szCs w:val="28"/>
          <w:lang w:val="uk-UA"/>
        </w:rPr>
        <w:t>Машхед (Іран)</w:t>
      </w:r>
      <w:r w:rsidRPr="00493F99">
        <w:rPr>
          <w:rStyle w:val="apple-style-span"/>
          <w:sz w:val="28"/>
          <w:szCs w:val="28"/>
          <w:lang w:val="uk-UA"/>
        </w:rPr>
        <w:t xml:space="preserve"> [</w:t>
      </w:r>
      <w:r w:rsidRPr="00493F99">
        <w:rPr>
          <w:rStyle w:val="apple-style-span"/>
          <w:sz w:val="28"/>
          <w:szCs w:val="28"/>
        </w:rPr>
        <w:t>120</w:t>
      </w:r>
      <w:r w:rsidRPr="00493F99">
        <w:rPr>
          <w:rStyle w:val="apple-style-span"/>
          <w:sz w:val="28"/>
          <w:szCs w:val="28"/>
          <w:lang w:val="uk-UA"/>
        </w:rPr>
        <w:t>]</w:t>
      </w:r>
      <w:r w:rsidRPr="00493F99">
        <w:rPr>
          <w:sz w:val="28"/>
          <w:szCs w:val="28"/>
          <w:lang w:val="uk-UA"/>
        </w:rPr>
        <w:t>.</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 xml:space="preserve">Інше дослідження провели в </w:t>
      </w:r>
      <w:hyperlink r:id="rId10" w:history="1">
        <w:r w:rsidRPr="00493F99">
          <w:rPr>
            <w:rStyle w:val="gcpaddrlink"/>
            <w:bCs/>
            <w:sz w:val="28"/>
            <w:szCs w:val="28"/>
            <w:lang w:val="uk-UA"/>
          </w:rPr>
          <w:t>Ер-Ріяд</w:t>
        </w:r>
      </w:hyperlink>
      <w:r w:rsidRPr="00493F99">
        <w:rPr>
          <w:sz w:val="28"/>
          <w:szCs w:val="28"/>
          <w:lang w:val="uk-UA"/>
        </w:rPr>
        <w:t xml:space="preserve"> (Саудівська Аравія) науковці</w:t>
      </w:r>
      <w:r w:rsidR="00854C47">
        <w:rPr>
          <w:sz w:val="28"/>
          <w:szCs w:val="28"/>
          <w:lang w:val="uk-UA"/>
        </w:rPr>
        <w:t xml:space="preserve">    </w:t>
      </w:r>
      <w:r w:rsidRPr="00493F99">
        <w:rPr>
          <w:sz w:val="28"/>
          <w:szCs w:val="28"/>
          <w:lang w:val="uk-UA"/>
        </w:rPr>
        <w:t xml:space="preserve"> Al-Qahtani та Wyne в 2004 році. Поширеність карієсу зубів становила 95,7 % серед обстежених дітей з вадами слуху 6–7 років і 93 % – серед таких же дітей віком </w:t>
      </w:r>
      <w:r w:rsidRPr="00493F99">
        <w:rPr>
          <w:rStyle w:val="apple-style-span"/>
          <w:sz w:val="28"/>
          <w:szCs w:val="28"/>
          <w:lang w:val="uk-UA"/>
        </w:rPr>
        <w:t>9–12 років</w:t>
      </w:r>
      <w:r w:rsidRPr="00493F99">
        <w:rPr>
          <w:sz w:val="28"/>
          <w:szCs w:val="28"/>
          <w:lang w:val="uk-UA"/>
        </w:rPr>
        <w:t xml:space="preserve">. Середнє значення </w:t>
      </w:r>
      <w:r w:rsidRPr="00493F99">
        <w:rPr>
          <w:rStyle w:val="apple-style-span"/>
          <w:sz w:val="28"/>
          <w:szCs w:val="28"/>
          <w:lang w:val="uk-UA"/>
        </w:rPr>
        <w:t>кпз</w:t>
      </w:r>
      <w:r w:rsidRPr="00493F99">
        <w:rPr>
          <w:sz w:val="28"/>
          <w:szCs w:val="28"/>
          <w:lang w:val="uk-UA"/>
        </w:rPr>
        <w:t xml:space="preserve"> в групі 6–7-літок з вадами слуху було 7,35, середнє значення </w:t>
      </w:r>
      <w:r w:rsidRPr="00493F99">
        <w:rPr>
          <w:rStyle w:val="apple-style-span"/>
          <w:sz w:val="28"/>
          <w:szCs w:val="28"/>
          <w:lang w:val="uk-UA"/>
        </w:rPr>
        <w:t>КПВз у 9–12-річних – 5,12. Менш як одна п’ята (17,4 %)</w:t>
      </w:r>
      <w:r w:rsidRPr="00493F99">
        <w:rPr>
          <w:sz w:val="28"/>
          <w:szCs w:val="28"/>
          <w:lang w:val="uk-UA"/>
        </w:rPr>
        <w:t xml:space="preserve"> 6–7-річних та 7 % 11–12-річних дітей мали добру гігієну порожнини рота. Автори звернули увагу на високу поширеність й інтенсивність каріозного процесу серед обстежених дітей </w:t>
      </w:r>
      <w:r w:rsidRPr="00493F99">
        <w:rPr>
          <w:rStyle w:val="apple-style-span"/>
          <w:sz w:val="28"/>
          <w:szCs w:val="28"/>
          <w:lang w:val="uk-UA"/>
        </w:rPr>
        <w:t>[108]</w:t>
      </w:r>
      <w:r w:rsidRPr="00493F99">
        <w:rPr>
          <w:sz w:val="28"/>
          <w:szCs w:val="28"/>
          <w:lang w:val="uk-UA"/>
        </w:rPr>
        <w:t xml:space="preserve">. </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 xml:space="preserve">M. Shyama, S. A. Al-Mutawa (Кувейт, 2001) вивчали поширеність карієсу зубів та потребу в стоматологічному лікуванні в групі дітей та дорослих (832) віком від 3-х до 29-ти років з різними вадами, у тому числі з порушенням слуху, які відвідували спеціалізовані школи в Кувейті. В обстежених із глухотою та приглухуватістю було виявлено значну розповсюдженість (86 %) та високу інтенсивність каріозного процесу (середнє значення КПВз становило 5,0). Було зроблено висновок, що у пацієнтів із постійним прикусом ризик розвитку карієсу зубів був пов’язаний з віком, низьким рівнем гігієни та порушенням слуху </w:t>
      </w:r>
      <w:r w:rsidRPr="00493F99">
        <w:rPr>
          <w:rStyle w:val="apple-style-span"/>
          <w:sz w:val="28"/>
          <w:szCs w:val="28"/>
          <w:lang w:val="uk-UA"/>
        </w:rPr>
        <w:t>[117]</w:t>
      </w:r>
      <w:r w:rsidRPr="00493F99">
        <w:rPr>
          <w:sz w:val="28"/>
          <w:szCs w:val="28"/>
          <w:lang w:val="uk-UA"/>
        </w:rPr>
        <w:t xml:space="preserve">. </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rStyle w:val="apple-style-span"/>
          <w:sz w:val="28"/>
          <w:szCs w:val="28"/>
          <w:lang w:val="uk-UA"/>
        </w:rPr>
        <w:t>В Україні проблеми стоматологічного здоров’я та особливості надання стоматологічної</w:t>
      </w:r>
      <w:r w:rsidR="00493F99" w:rsidRPr="00493F99">
        <w:rPr>
          <w:rStyle w:val="apple-style-span"/>
          <w:sz w:val="28"/>
          <w:szCs w:val="28"/>
          <w:lang w:val="uk-UA"/>
        </w:rPr>
        <w:t xml:space="preserve"> допомоги дітям з вадами слуху </w:t>
      </w:r>
      <w:r w:rsidRPr="00493F99">
        <w:rPr>
          <w:rStyle w:val="apple-style-span"/>
          <w:sz w:val="28"/>
          <w:szCs w:val="28"/>
          <w:lang w:val="uk-UA"/>
        </w:rPr>
        <w:t xml:space="preserve"> майже не вивчалися. Під час</w:t>
      </w:r>
      <w:r w:rsidRPr="00493F99">
        <w:rPr>
          <w:rStyle w:val="apple-style-span"/>
          <w:color w:val="000000"/>
          <w:sz w:val="28"/>
          <w:szCs w:val="28"/>
          <w:lang w:val="uk-UA"/>
        </w:rPr>
        <w:t xml:space="preserve"> </w:t>
      </w:r>
      <w:r w:rsidRPr="00493F99">
        <w:rPr>
          <w:rStyle w:val="apple-style-span"/>
          <w:sz w:val="28"/>
          <w:szCs w:val="28"/>
          <w:lang w:val="uk-UA"/>
        </w:rPr>
        <w:t xml:space="preserve">проведення патентного пошуку було виявлено єдину роботу автора </w:t>
      </w:r>
      <w:r w:rsidRPr="00493F99">
        <w:rPr>
          <w:sz w:val="28"/>
          <w:szCs w:val="28"/>
          <w:lang w:val="uk-UA"/>
        </w:rPr>
        <w:t xml:space="preserve">Н. Я. Поляник (2008), в якій наведено результати дослідження особливостей стану стоматологічного здоров’я дітей із вадами слуху, залежно від віку та </w:t>
      </w:r>
      <w:r w:rsidRPr="00493F99">
        <w:rPr>
          <w:sz w:val="28"/>
          <w:szCs w:val="28"/>
          <w:lang w:val="uk-UA"/>
        </w:rPr>
        <w:lastRenderedPageBreak/>
        <w:t>статі. Науковець зробила спробу визначити та ранжувати фактори ризику формування та прогресування захворювань твердих тканин зубів, пародонта й щелепно-лицьових деформацій, а також обґрунтувати потребу в проведенні лікувально-профілактичних заходів. Автор провела обстеження 198 осіб віком від 6 до 18 років з вадами слуху. 177 діт</w:t>
      </w:r>
      <w:r w:rsidR="003B4E9F">
        <w:rPr>
          <w:sz w:val="28"/>
          <w:szCs w:val="28"/>
          <w:lang w:val="uk-UA"/>
        </w:rPr>
        <w:t>ей страждали на туговухість, 21 </w:t>
      </w:r>
      <w:r w:rsidRPr="00493F99">
        <w:rPr>
          <w:sz w:val="28"/>
          <w:szCs w:val="28"/>
          <w:lang w:val="uk-UA"/>
        </w:rPr>
        <w:t xml:space="preserve">дитині поставлено діагноз – глухота. 165 дітей належали до третьої, 33 дитини – до четвертої групи здоров’я [76]. </w:t>
      </w:r>
    </w:p>
    <w:p w:rsidR="00534FB5" w:rsidRPr="002352D7" w:rsidRDefault="00534FB5" w:rsidP="00534FB5">
      <w:pPr>
        <w:pStyle w:val="af7"/>
        <w:spacing w:before="0" w:beforeAutospacing="0" w:after="0" w:afterAutospacing="0" w:line="360" w:lineRule="auto"/>
        <w:ind w:firstLine="709"/>
        <w:contextualSpacing/>
        <w:jc w:val="both"/>
        <w:rPr>
          <w:spacing w:val="-2"/>
          <w:sz w:val="28"/>
          <w:szCs w:val="28"/>
          <w:lang w:val="uk-UA"/>
        </w:rPr>
      </w:pPr>
      <w:r w:rsidRPr="002352D7">
        <w:rPr>
          <w:spacing w:val="-2"/>
          <w:sz w:val="28"/>
          <w:szCs w:val="28"/>
          <w:lang w:val="uk-UA"/>
        </w:rPr>
        <w:t xml:space="preserve">Отримані результати дозволили автору виокремити найбільш значущий комплекс факторів ризику, що спричиняє погіршення стану твердих тканин та пародонта: дисфункції органів порожнини рота, низька карієсрезистентність емалі, гіпоплазія емалі, значна поширеність та інтенсивність карієсу зубів, схильність до формування захворювань тканин пародонта, порушення гігієнічного статусу, зниження рівня природного та стимульованого слиновиділення, підвищення в’язкості слини, зниження буферної здатності та рівня рН стимульованої та нестимульованої слини, диспропорція кальцій-фосфорного співвідношення та підвищений рівень лужної фосфатази у ротовій рідині, надлишкове бактеріальне обсіменіння зубної бляшки з високою імовірністю інфікування карієсогенною мікрофлорою </w:t>
      </w:r>
      <w:r w:rsidRPr="002352D7">
        <w:rPr>
          <w:spacing w:val="-2"/>
          <w:sz w:val="28"/>
          <w:szCs w:val="28"/>
        </w:rPr>
        <w:t>[76]</w:t>
      </w:r>
      <w:r w:rsidRPr="002352D7">
        <w:rPr>
          <w:spacing w:val="-2"/>
          <w:sz w:val="28"/>
          <w:szCs w:val="28"/>
          <w:lang w:val="uk-UA"/>
        </w:rPr>
        <w:t>.</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Науковець Н. Я. Поляник розробила схему лікувально-профілактичних заходів в умовах організованого колективу дітей з вадами слуху, за участю стоматолога та педіатра. Ця схема включала диференційований підхід до вибору тактики застосування лікувально-профілактичних заходів, залежно від віку та стану стоматологічного здоров’я, застосування комплексу засобів екзогенної (розчин «Профлюорид М», желе «Профлюорид Желе», фторлак «Біфлюорид 12» (VOCO, Німеччина)) та ендогенної («Кальцинова» (KRKA), «Кальцію-D3 Нікомед» (Nycomed Pharma AG)) медикаментозної п</w:t>
      </w:r>
      <w:r w:rsidR="00493F99" w:rsidRPr="00493F99">
        <w:rPr>
          <w:sz w:val="28"/>
          <w:szCs w:val="28"/>
          <w:lang w:val="uk-UA"/>
        </w:rPr>
        <w:t>рофілактики, герметизацію слабо</w:t>
      </w:r>
      <w:r w:rsidRPr="00493F99">
        <w:rPr>
          <w:sz w:val="28"/>
          <w:szCs w:val="28"/>
          <w:lang w:val="uk-UA"/>
        </w:rPr>
        <w:t xml:space="preserve">мінералізованих фіcур («Фісуріт FX» (VOCO, Німеччина)), зниження обсіменіння ротової порожнини (розчин «Гівалекс» (Norgine Pharma, Франція)), міофункціональних трейнерів (Т4К, </w:t>
      </w:r>
      <w:r w:rsidRPr="00493F99">
        <w:rPr>
          <w:sz w:val="28"/>
          <w:szCs w:val="28"/>
          <w:lang w:val="uk-UA"/>
        </w:rPr>
        <w:lastRenderedPageBreak/>
        <w:t>Т4А), міобрейсів («МRC») та незнімної ортодонтичної техніки Damon System (Damon 3, Damon 3MX).</w:t>
      </w:r>
    </w:p>
    <w:p w:rsidR="00534FB5" w:rsidRPr="00493F99" w:rsidRDefault="00534FB5" w:rsidP="00534FB5">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Запропонований лікувально-профілактичний комплекс спрямований на зменшення та усунення негативного впливу факторів ризику на стан стоматологічного здоров’я дітей з вадами слуху. Але в роботі автора немає чіткого опису наявності кореляційного зв’язку між особливостями стану стоматологічного здоров’я дітей з вадами слуху та віком і статтю. Простежується тільки констатація фактів порушення стоматологічного здоров’я дітей з вадами слуху без виявлення етіологічних факторів, причин та патогенетичних механізмів розвитку цих порушень. Окрім того, масове використання коштовних препаратів імпортного виробництва не завжди видається можливим в умовах дефіциту державного фінансування профілактичних програм, зокрема програм, спрямованих на поліпшення стоматологічного здоров’я дітей з особливими потребами, що перебувають у школах-інтернатах.</w:t>
      </w:r>
    </w:p>
    <w:p w:rsidR="00534FB5" w:rsidRPr="00AF6311" w:rsidRDefault="00534FB5" w:rsidP="00140864">
      <w:pPr>
        <w:pStyle w:val="af7"/>
        <w:spacing w:before="0" w:beforeAutospacing="0" w:after="0" w:afterAutospacing="0" w:line="360" w:lineRule="auto"/>
        <w:ind w:firstLine="709"/>
        <w:contextualSpacing/>
        <w:jc w:val="both"/>
        <w:rPr>
          <w:sz w:val="28"/>
          <w:szCs w:val="28"/>
          <w:lang w:val="uk-UA"/>
        </w:rPr>
      </w:pPr>
      <w:r w:rsidRPr="00493F99">
        <w:rPr>
          <w:sz w:val="28"/>
          <w:szCs w:val="28"/>
          <w:lang w:val="uk-UA"/>
        </w:rPr>
        <w:t>Таким чином, можна зробити висновок, що</w:t>
      </w:r>
      <w:r w:rsidRPr="00493F99">
        <w:rPr>
          <w:rStyle w:val="mw-headline"/>
          <w:sz w:val="28"/>
          <w:szCs w:val="28"/>
          <w:lang w:val="uk-UA"/>
        </w:rPr>
        <w:t xml:space="preserve"> проблема рівня стоматологічного здоров’я та надання стоматологічної допомоги дітям-інвалідам, у тому числі з вадами слуху, хвилює науковців і лікарів у всьому світі.</w:t>
      </w:r>
      <w:r w:rsidRPr="00493F99">
        <w:rPr>
          <w:sz w:val="28"/>
          <w:szCs w:val="28"/>
          <w:lang w:val="uk-UA"/>
        </w:rPr>
        <w:t xml:space="preserve"> Дані, які отримали різні автори, мають суперечливий характер. Деякі науковці вказують на низький рівень стоматологічного здоров’я дітей з вадами слуху, в той час як інші відзначають відсутність достовірної різниці, порівняно зі здоровими однолітками. Оскільки глухота або приглухуватість як хвороба не має ізольованого характеру, вона значною мірою залежить як від </w:t>
      </w:r>
      <w:r w:rsidRPr="00493F99">
        <w:rPr>
          <w:rStyle w:val="a9"/>
          <w:bCs/>
          <w:i w:val="0"/>
          <w:iCs w:val="0"/>
          <w:sz w:val="28"/>
          <w:szCs w:val="28"/>
          <w:lang w:val="uk-UA"/>
        </w:rPr>
        <w:t>психо</w:t>
      </w:r>
      <w:r w:rsidRPr="00493F99">
        <w:rPr>
          <w:rStyle w:val="apple-style-span"/>
          <w:sz w:val="28"/>
          <w:szCs w:val="28"/>
          <w:lang w:val="uk-UA"/>
        </w:rPr>
        <w:t>емоційного,</w:t>
      </w:r>
      <w:r w:rsidRPr="00493F99">
        <w:rPr>
          <w:rStyle w:val="apple-converted-space"/>
          <w:sz w:val="28"/>
          <w:szCs w:val="28"/>
          <w:lang w:val="uk-UA"/>
        </w:rPr>
        <w:t xml:space="preserve"> так і від </w:t>
      </w:r>
      <w:r w:rsidRPr="00493F99">
        <w:rPr>
          <w:rStyle w:val="a9"/>
          <w:bCs/>
          <w:i w:val="0"/>
          <w:iCs w:val="0"/>
          <w:sz w:val="28"/>
          <w:szCs w:val="28"/>
          <w:lang w:val="uk-UA"/>
        </w:rPr>
        <w:t>фізичного</w:t>
      </w:r>
      <w:r w:rsidRPr="00493F99">
        <w:rPr>
          <w:sz w:val="28"/>
          <w:szCs w:val="28"/>
          <w:lang w:val="uk-UA"/>
        </w:rPr>
        <w:t xml:space="preserve"> стану організму в цілому, можна зробити припущення щодо ймовірності зв’язку між психоемоційним та стоматологічним статусом дітей із вадами слуху.</w:t>
      </w:r>
    </w:p>
    <w:p w:rsidR="00534FB5" w:rsidRPr="00AF6311" w:rsidRDefault="00534FB5" w:rsidP="00534FB5">
      <w:pPr>
        <w:pStyle w:val="af7"/>
        <w:spacing w:before="0" w:beforeAutospacing="0" w:after="0" w:afterAutospacing="0" w:line="360" w:lineRule="auto"/>
        <w:ind w:firstLine="709"/>
        <w:contextualSpacing/>
        <w:jc w:val="both"/>
        <w:rPr>
          <w:sz w:val="28"/>
          <w:szCs w:val="28"/>
          <w:lang w:val="uk-UA"/>
        </w:rPr>
      </w:pPr>
      <w:r>
        <w:rPr>
          <w:sz w:val="28"/>
          <w:szCs w:val="28"/>
          <w:lang w:val="uk-UA"/>
        </w:rPr>
        <w:t>Отже</w:t>
      </w:r>
      <w:r w:rsidRPr="00AF6311">
        <w:rPr>
          <w:sz w:val="28"/>
          <w:szCs w:val="28"/>
          <w:lang w:val="uk-UA"/>
        </w:rPr>
        <w:t>, залишається актуальною не тільки проблема розробки та впровадження патогенетично</w:t>
      </w:r>
      <w:r w:rsidR="00A55FB6">
        <w:rPr>
          <w:sz w:val="28"/>
          <w:szCs w:val="28"/>
          <w:lang w:val="uk-UA"/>
        </w:rPr>
        <w:t xml:space="preserve"> </w:t>
      </w:r>
      <w:r w:rsidRPr="00AF6311">
        <w:rPr>
          <w:sz w:val="28"/>
          <w:szCs w:val="28"/>
          <w:lang w:val="uk-UA"/>
        </w:rPr>
        <w:t>обґрунтованих методів профілактики карієсу зубів і захворювань тканин па</w:t>
      </w:r>
      <w:r>
        <w:rPr>
          <w:sz w:val="28"/>
          <w:szCs w:val="28"/>
          <w:lang w:val="uk-UA"/>
        </w:rPr>
        <w:t>родонта</w:t>
      </w:r>
      <w:r w:rsidRPr="00AF6311">
        <w:rPr>
          <w:sz w:val="28"/>
          <w:szCs w:val="28"/>
          <w:lang w:val="uk-UA"/>
        </w:rPr>
        <w:t xml:space="preserve"> у дітей з вадами слуху, а й </w:t>
      </w:r>
      <w:r w:rsidRPr="00AF6311">
        <w:rPr>
          <w:sz w:val="28"/>
          <w:szCs w:val="28"/>
          <w:lang w:val="uk-UA"/>
        </w:rPr>
        <w:lastRenderedPageBreak/>
        <w:t>використання з цією метою високоефективних препаратів вітчизняного виробництва.</w:t>
      </w:r>
      <w:r w:rsidRPr="00AF6311">
        <w:rPr>
          <w:b/>
          <w:sz w:val="28"/>
          <w:szCs w:val="28"/>
          <w:lang w:val="uk-UA"/>
        </w:rPr>
        <w:t xml:space="preserve"> </w:t>
      </w:r>
    </w:p>
    <w:p w:rsidR="00534FB5" w:rsidRPr="00AF6311" w:rsidRDefault="00534FB5" w:rsidP="00534FB5">
      <w:pPr>
        <w:ind w:firstLine="709"/>
      </w:pPr>
    </w:p>
    <w:p w:rsidR="00534FB5" w:rsidRPr="00AF6311" w:rsidRDefault="00534FB5" w:rsidP="00534FB5">
      <w:pPr>
        <w:ind w:firstLine="709"/>
        <w:contextualSpacing/>
        <w:rPr>
          <w:b/>
        </w:rPr>
      </w:pPr>
      <w:r w:rsidRPr="00AF6311">
        <w:rPr>
          <w:b/>
        </w:rPr>
        <w:t xml:space="preserve">1.2. Особливості психоемоційного статусу дітей з вадами слуху </w:t>
      </w:r>
    </w:p>
    <w:p w:rsidR="00534FB5" w:rsidRPr="00AF6311" w:rsidRDefault="00534FB5" w:rsidP="00534FB5">
      <w:pPr>
        <w:ind w:firstLine="709"/>
        <w:contextualSpacing/>
      </w:pPr>
    </w:p>
    <w:p w:rsidR="00534FB5" w:rsidRDefault="00534FB5" w:rsidP="00534FB5">
      <w:pPr>
        <w:pStyle w:val="11"/>
        <w:ind w:left="0" w:firstLine="709"/>
        <w:jc w:val="both"/>
      </w:pPr>
      <w:r>
        <w:t>Д</w:t>
      </w:r>
      <w:r w:rsidRPr="00AF6311">
        <w:t xml:space="preserve">ля повноцінного гармонійного психічного розвитку і функціонування </w:t>
      </w:r>
      <w:r>
        <w:t>о</w:t>
      </w:r>
      <w:r w:rsidRPr="00AF6311">
        <w:t xml:space="preserve">собистість потребує впливу різноманітних зовнішніх стимулів: сенсорних, емоційних тощо. Їх дефіцит має несприятливі наслідки для </w:t>
      </w:r>
      <w:r>
        <w:t>психіки [1</w:t>
      </w:r>
      <w:r w:rsidRPr="00AF6311">
        <w:t>, с.</w:t>
      </w:r>
      <w:r>
        <w:t> </w:t>
      </w:r>
      <w:r w:rsidRPr="00AF6311">
        <w:t>5]. Психічний стан, що виникає внаслідок обставин, де суб</w:t>
      </w:r>
      <w:r>
        <w:t>’</w:t>
      </w:r>
      <w:r w:rsidRPr="00AF6311">
        <w:t xml:space="preserve">єкт не має змоги в повній мірі </w:t>
      </w:r>
      <w:r>
        <w:t>й</w:t>
      </w:r>
      <w:r w:rsidRPr="00AF6311">
        <w:t xml:space="preserve"> протягом довгого часу задовольнити деякі свої основні психічні (життєві) потреби</w:t>
      </w:r>
      <w:r>
        <w:t>,</w:t>
      </w:r>
      <w:r w:rsidRPr="00AF6311">
        <w:t xml:space="preserve"> </w:t>
      </w:r>
      <w:r>
        <w:t>має назву психічної депривації [4</w:t>
      </w:r>
      <w:r w:rsidRPr="00525702">
        <w:t>1</w:t>
      </w:r>
      <w:r>
        <w:t xml:space="preserve">, </w:t>
      </w:r>
      <w:r w:rsidRPr="00AF6311">
        <w:t>с.</w:t>
      </w:r>
      <w:r>
        <w:rPr>
          <w:lang w:val="ru-RU"/>
        </w:rPr>
        <w:t> </w:t>
      </w:r>
      <w:r w:rsidRPr="00AF6311">
        <w:t>17</w:t>
      </w:r>
      <w:r>
        <w:t>]. Й. Лангмейер та З. </w:t>
      </w:r>
      <w:r w:rsidRPr="00AF6311">
        <w:t>Матейчек</w:t>
      </w:r>
      <w:r w:rsidR="003B4E9F">
        <w:t xml:space="preserve"> (1984)</w:t>
      </w:r>
      <w:r w:rsidRPr="00AF6311">
        <w:t xml:space="preserve"> д</w:t>
      </w:r>
      <w:r>
        <w:t>о «основ</w:t>
      </w:r>
      <w:r w:rsidRPr="00AF6311">
        <w:t xml:space="preserve">них (життєвих)» потреб відносять </w:t>
      </w:r>
      <w:r>
        <w:t xml:space="preserve">такі: </w:t>
      </w:r>
      <w:r w:rsidRPr="00AF6311">
        <w:t>потреб</w:t>
      </w:r>
      <w:r>
        <w:t>а</w:t>
      </w:r>
      <w:r w:rsidRPr="00AF6311">
        <w:t xml:space="preserve"> в певній кількості, мінливості, виді стимулів, потреб</w:t>
      </w:r>
      <w:r>
        <w:t>а</w:t>
      </w:r>
      <w:r w:rsidRPr="00AF6311">
        <w:t xml:space="preserve"> в первинних суспільних зв</w:t>
      </w:r>
      <w:r>
        <w:t>’</w:t>
      </w:r>
      <w:r w:rsidRPr="00AF6311">
        <w:t>язках, що забезпечують основу інтеграції особистості, потреб</w:t>
      </w:r>
      <w:r>
        <w:t>а</w:t>
      </w:r>
      <w:r w:rsidRPr="00AF6311">
        <w:t xml:space="preserve"> в суспільній самореалізації, що дає змогу оволодіти різними суспільними ролями та ціннісними цілями, потреб</w:t>
      </w:r>
      <w:r>
        <w:t>а</w:t>
      </w:r>
      <w:r w:rsidRPr="00AF6311">
        <w:t xml:space="preserve"> в основних</w:t>
      </w:r>
      <w:r>
        <w:t xml:space="preserve"> умовах для дієвого навчання [</w:t>
      </w:r>
      <w:r w:rsidRPr="00525702">
        <w:t>41</w:t>
      </w:r>
      <w:r w:rsidRPr="00AF6311">
        <w:t>, с.</w:t>
      </w:r>
      <w:r>
        <w:rPr>
          <w:lang w:val="ru-RU"/>
        </w:rPr>
        <w:t> </w:t>
      </w:r>
      <w:r w:rsidRPr="00AF6311">
        <w:t>19]. Дитина з вадами слуху від самого народження зазнає всіх видів психічної депривації: сенсорної, емоційної, соціальної та когнітивної</w:t>
      </w:r>
      <w:r w:rsidRPr="00440FA0">
        <w:t xml:space="preserve"> [99]</w:t>
      </w:r>
      <w:r w:rsidRPr="00AF6311">
        <w:t>.</w:t>
      </w:r>
      <w:r>
        <w:t xml:space="preserve"> </w:t>
      </w:r>
      <w:r w:rsidRPr="00AF6311">
        <w:t>Сенсорна депривація у глухих та приглухуватих дітей виникає вна</w:t>
      </w:r>
      <w:r>
        <w:t xml:space="preserve">слідок їх </w:t>
      </w:r>
      <w:r w:rsidRPr="00AF6311">
        <w:t xml:space="preserve">основного захворювання. </w:t>
      </w:r>
    </w:p>
    <w:p w:rsidR="00534FB5" w:rsidRPr="00AF6311" w:rsidRDefault="00534FB5" w:rsidP="00534FB5">
      <w:pPr>
        <w:pStyle w:val="11"/>
        <w:ind w:left="0" w:firstLine="709"/>
        <w:jc w:val="both"/>
      </w:pPr>
      <w:r>
        <w:t>Не припиняється пошук апаратних та програмних засобів діагностики та терапії порушень слуху, поширених серед дітей різного віку і пов’язаних з порушенням центральних і периферичних відділів слухової сенсорної системи</w:t>
      </w:r>
      <w:r w:rsidRPr="00A0730E">
        <w:t xml:space="preserve"> [15].</w:t>
      </w:r>
      <w:r>
        <w:t xml:space="preserve"> </w:t>
      </w:r>
      <w:r w:rsidRPr="00AF6311">
        <w:t>Оскільки скринінг серед новонароджених проводиться переважно в групі ризику, в 30</w:t>
      </w:r>
      <w:r>
        <w:t>-</w:t>
      </w:r>
      <w:r w:rsidRPr="00AF6311">
        <w:t>50</w:t>
      </w:r>
      <w:r>
        <w:t> </w:t>
      </w:r>
      <w:r w:rsidRPr="00AF6311">
        <w:t xml:space="preserve">% випадків діагноз встановлюється в </w:t>
      </w:r>
      <w:r w:rsidR="003B4E9F">
        <w:t xml:space="preserve">     </w:t>
      </w:r>
      <w:r w:rsidRPr="00AF6311">
        <w:t>13</w:t>
      </w:r>
      <w:r>
        <w:t>–</w:t>
      </w:r>
      <w:r w:rsidRPr="00AF6311">
        <w:t>18</w:t>
      </w:r>
      <w:r>
        <w:t>-</w:t>
      </w:r>
      <w:r w:rsidRPr="00AF6311">
        <w:t>місячному віці дитини [</w:t>
      </w:r>
      <w:r w:rsidRPr="00A0730E">
        <w:t>130</w:t>
      </w:r>
      <w:r w:rsidRPr="00AF6311">
        <w:t>]. Зважаючи на те, що бурхливе дозрівання слухового аналізатор</w:t>
      </w:r>
      <w:r>
        <w:t>а</w:t>
      </w:r>
      <w:r w:rsidRPr="00AF6311">
        <w:t xml:space="preserve"> обмежується віком 2-3 років, затримка у встановленні діагнозу має не</w:t>
      </w:r>
      <w:r>
        <w:t>зв</w:t>
      </w:r>
      <w:r w:rsidRPr="00AF6311">
        <w:t xml:space="preserve">оротні наслідки. Відсутність надходження до мозку подразників від рецепторів призводить до деструктивних змін відповідних </w:t>
      </w:r>
      <w:r>
        <w:lastRenderedPageBreak/>
        <w:t xml:space="preserve">його </w:t>
      </w:r>
      <w:r w:rsidRPr="00AF6311">
        <w:t>структур. Вплив на мозкові структури після завершення їх морфологічного дозрівання практично не прино</w:t>
      </w:r>
      <w:r>
        <w:t>сить позитивних результатів [63</w:t>
      </w:r>
      <w:r w:rsidRPr="00AF6311">
        <w:t xml:space="preserve">]. Як наслідок сенсорної депривації у дитини виникає деструкція поведінки: погіршується здатність до встановлення міжособистісних </w:t>
      </w:r>
      <w:r w:rsidRPr="00440FA0">
        <w:t>контактів</w:t>
      </w:r>
      <w:r w:rsidRPr="00AF6311">
        <w:t>, розвивається загальмованість, депресія, апатія, які чергуються з ейфорією, дратівливіст</w:t>
      </w:r>
      <w:r>
        <w:t>ю, порушенням уваги, пам’яті [1</w:t>
      </w:r>
      <w:r w:rsidRPr="00AF6311">
        <w:t>, с.</w:t>
      </w:r>
      <w:r>
        <w:rPr>
          <w:lang w:val="ru-RU"/>
        </w:rPr>
        <w:t> </w:t>
      </w:r>
      <w:r w:rsidRPr="00AF6311">
        <w:t>10]. Можливий розвиток тривожності, страху, невротичних реакцій, утруднюється соціалізація</w:t>
      </w:r>
      <w:r>
        <w:t xml:space="preserve"> дитини [7</w:t>
      </w:r>
      <w:r w:rsidRPr="00AF6311">
        <w:t>,</w:t>
      </w:r>
      <w:r>
        <w:t xml:space="preserve"> с. </w:t>
      </w:r>
      <w:r w:rsidRPr="00AF6311">
        <w:t>72]</w:t>
      </w:r>
      <w:r>
        <w:t>,</w:t>
      </w:r>
      <w:r w:rsidRPr="00AF6311">
        <w:t xml:space="preserve"> </w:t>
      </w:r>
      <w:r>
        <w:t>щ</w:t>
      </w:r>
      <w:r w:rsidRPr="00AF6311">
        <w:t>о при</w:t>
      </w:r>
      <w:r>
        <w:t>зводить до її інваліди</w:t>
      </w:r>
      <w:r w:rsidRPr="00AF6311">
        <w:t>зації [</w:t>
      </w:r>
      <w:r>
        <w:t>12</w:t>
      </w:r>
      <w:r w:rsidRPr="00AF6311">
        <w:t xml:space="preserve">]. </w:t>
      </w:r>
    </w:p>
    <w:p w:rsidR="00534FB5" w:rsidRPr="00AF6311" w:rsidRDefault="00534FB5" w:rsidP="00534FB5">
      <w:pPr>
        <w:pStyle w:val="11"/>
        <w:ind w:left="0" w:firstLine="709"/>
        <w:jc w:val="both"/>
      </w:pPr>
      <w:r w:rsidRPr="00AF6311">
        <w:t>Діти з вадами слуху</w:t>
      </w:r>
      <w:r>
        <w:t>,</w:t>
      </w:r>
      <w:r w:rsidRPr="00AF6311">
        <w:t xml:space="preserve"> перебуваючи в спеціалізованих закладах з раннього дитинства, відірвані від родини, опиняються в умовах емоційної депривації. Сучасні дослідження вказують на те, що в закладах закритого типу девіації в психічному розвитку простежуються одразу по багатьох напрямках</w:t>
      </w:r>
      <w:r>
        <w:rPr>
          <w:lang w:val="ru-RU"/>
        </w:rPr>
        <w:t xml:space="preserve"> </w:t>
      </w:r>
      <w:r w:rsidRPr="00B21580">
        <w:rPr>
          <w:lang w:val="ru-RU"/>
        </w:rPr>
        <w:t>[</w:t>
      </w:r>
      <w:r>
        <w:rPr>
          <w:lang w:val="ru-RU"/>
        </w:rPr>
        <w:t>53, 54, 77, 79, 82</w:t>
      </w:r>
      <w:r w:rsidRPr="00B21580">
        <w:rPr>
          <w:lang w:val="ru-RU"/>
        </w:rPr>
        <w:t>]</w:t>
      </w:r>
      <w:r>
        <w:rPr>
          <w:lang w:val="ru-RU"/>
        </w:rPr>
        <w:t>.</w:t>
      </w:r>
      <w:r w:rsidRPr="00AF6311">
        <w:t xml:space="preserve"> </w:t>
      </w:r>
    </w:p>
    <w:p w:rsidR="00534FB5" w:rsidRPr="00AF6311" w:rsidRDefault="00534FB5" w:rsidP="00534FB5">
      <w:pPr>
        <w:pStyle w:val="11"/>
        <w:ind w:left="0" w:firstLine="709"/>
        <w:jc w:val="both"/>
      </w:pPr>
      <w:r w:rsidRPr="00AF6311">
        <w:t>Обмежене надходження стимулів, дефіцит інформації, її хаотичність, мінливість, невпорядкованість, ускладнюють створення адекватних когнітивних моделей (образів об</w:t>
      </w:r>
      <w:r>
        <w:t>’</w:t>
      </w:r>
      <w:r w:rsidRPr="00AF6311">
        <w:t>єкт</w:t>
      </w:r>
      <w:r>
        <w:t>а</w:t>
      </w:r>
      <w:r w:rsidRPr="00AF6311">
        <w:t xml:space="preserve">, які формує когнітивна система), що перешкоджає подальшій продуктивній діяльності людини в </w:t>
      </w:r>
      <w:r>
        <w:t>навколишнь</w:t>
      </w:r>
      <w:r w:rsidRPr="00AF6311">
        <w:t>ому св</w:t>
      </w:r>
      <w:r>
        <w:t>іті [1</w:t>
      </w:r>
      <w:r w:rsidRPr="00AF6311">
        <w:t>, с.</w:t>
      </w:r>
      <w:r>
        <w:rPr>
          <w:lang w:val="ru-RU"/>
        </w:rPr>
        <w:t> </w:t>
      </w:r>
      <w:r w:rsidRPr="00AF6311">
        <w:t xml:space="preserve">18, 36]. </w:t>
      </w:r>
      <w:r>
        <w:t>У</w:t>
      </w:r>
      <w:r w:rsidRPr="00AF6311">
        <w:t xml:space="preserve"> результаті </w:t>
      </w:r>
      <w:r>
        <w:t>ць</w:t>
      </w:r>
      <w:r w:rsidRPr="00AF6311">
        <w:t xml:space="preserve">ого </w:t>
      </w:r>
      <w:r>
        <w:t>в</w:t>
      </w:r>
      <w:r w:rsidRPr="00AF6311">
        <w:t xml:space="preserve"> дитини з вадами слуху розвивається ще один тип депривації – когнітивна. </w:t>
      </w:r>
      <w:r>
        <w:t>Вона</w:t>
      </w:r>
      <w:r w:rsidRPr="00AF6311">
        <w:t xml:space="preserve"> тісно пов</w:t>
      </w:r>
      <w:r>
        <w:t>’</w:t>
      </w:r>
      <w:r w:rsidRPr="00AF6311">
        <w:t xml:space="preserve">язана з сенсорною і має з нею багато спільного </w:t>
      </w:r>
      <w:r>
        <w:t xml:space="preserve">– </w:t>
      </w:r>
      <w:r w:rsidRPr="00AF6311">
        <w:t xml:space="preserve">як </w:t>
      </w:r>
      <w:r>
        <w:t>щодо</w:t>
      </w:r>
      <w:r w:rsidRPr="00AF6311">
        <w:t xml:space="preserve"> причин виникнення</w:t>
      </w:r>
      <w:r>
        <w:t>,</w:t>
      </w:r>
      <w:r w:rsidRPr="00AF6311">
        <w:t xml:space="preserve"> так і </w:t>
      </w:r>
      <w:r>
        <w:t>щодо</w:t>
      </w:r>
      <w:r w:rsidRPr="00AF6311">
        <w:t xml:space="preserve"> можливих наслідків</w:t>
      </w:r>
      <w:r>
        <w:t xml:space="preserve"> [1</w:t>
      </w:r>
      <w:r w:rsidRPr="00AF6311">
        <w:t>, с.</w:t>
      </w:r>
      <w:r>
        <w:rPr>
          <w:lang w:val="ru-RU"/>
        </w:rPr>
        <w:t> </w:t>
      </w:r>
      <w:r w:rsidRPr="00AF6311">
        <w:t>38].</w:t>
      </w:r>
    </w:p>
    <w:p w:rsidR="00534FB5" w:rsidRPr="00AF6311" w:rsidRDefault="00534FB5" w:rsidP="00534FB5">
      <w:pPr>
        <w:pStyle w:val="11"/>
        <w:ind w:left="0" w:firstLine="709"/>
        <w:jc w:val="both"/>
        <w:rPr>
          <w:rStyle w:val="apple-style-span"/>
        </w:rPr>
      </w:pPr>
      <w:r w:rsidRPr="00AF6311">
        <w:t>Перебування в інтернаті, окрім емоційної депривації, ставить глуху дитину в ум</w:t>
      </w:r>
      <w:r>
        <w:t>ови соціальної ізольованості [1</w:t>
      </w:r>
      <w:r w:rsidRPr="00AF6311">
        <w:t>, с.</w:t>
      </w:r>
      <w:r>
        <w:rPr>
          <w:lang w:val="ru-RU"/>
        </w:rPr>
        <w:t> </w:t>
      </w:r>
      <w:r w:rsidRPr="00AF6311">
        <w:t xml:space="preserve">53]. Навіть за умови перебування дитини за межами виховного закладу, порушення мовного спілкування утруднює взаємодію дитини з </w:t>
      </w:r>
      <w:r>
        <w:t>навколишні</w:t>
      </w:r>
      <w:r w:rsidRPr="00AF6311">
        <w:t>м світом і призводить до часткової ізоляції. Це викликає труднощі в засвоєнні соціального досвіду. Така депривація призводить до затримки розвитку</w:t>
      </w:r>
      <w:r w:rsidRPr="00480E7E">
        <w:t xml:space="preserve"> </w:t>
      </w:r>
      <w:r w:rsidRPr="00AF6311">
        <w:t>дитини</w:t>
      </w:r>
      <w:r w:rsidRPr="00715691">
        <w:rPr>
          <w:lang w:val="ru-RU"/>
        </w:rPr>
        <w:t xml:space="preserve"> [58]</w:t>
      </w:r>
      <w:r w:rsidRPr="00AF6311">
        <w:t xml:space="preserve">. </w:t>
      </w:r>
      <w:r w:rsidRPr="00AF6311">
        <w:rPr>
          <w:rStyle w:val="apple-style-span"/>
        </w:rPr>
        <w:t>Ще в 30-ті роки XX сторіччя Л.</w:t>
      </w:r>
      <w:r>
        <w:rPr>
          <w:rStyle w:val="apple-style-span"/>
        </w:rPr>
        <w:t> С. </w:t>
      </w:r>
      <w:r w:rsidRPr="00AF6311">
        <w:rPr>
          <w:rStyle w:val="apple-style-span"/>
        </w:rPr>
        <w:t xml:space="preserve">Виготський писав про несприятливий вплив інституціонального виховання на розвиток дітей і виступав проти </w:t>
      </w:r>
      <w:r>
        <w:rPr>
          <w:rStyle w:val="apple-style-span"/>
        </w:rPr>
        <w:lastRenderedPageBreak/>
        <w:t>влаштува</w:t>
      </w:r>
      <w:r w:rsidRPr="00335849">
        <w:rPr>
          <w:rStyle w:val="apple-style-span"/>
        </w:rPr>
        <w:t>ння</w:t>
      </w:r>
      <w:r w:rsidRPr="00AF6311">
        <w:rPr>
          <w:rStyle w:val="apple-style-span"/>
        </w:rPr>
        <w:t xml:space="preserve"> дітей з вадами в інтернати. «</w:t>
      </w:r>
      <w:r w:rsidRPr="00335849">
        <w:rPr>
          <w:rStyle w:val="apple-style-span"/>
        </w:rPr>
        <w:t>Найтяжчи</w:t>
      </w:r>
      <w:r>
        <w:rPr>
          <w:rStyle w:val="apple-style-span"/>
        </w:rPr>
        <w:t>м</w:t>
      </w:r>
      <w:r w:rsidRPr="00335849">
        <w:rPr>
          <w:rStyle w:val="apple-style-span"/>
        </w:rPr>
        <w:t xml:space="preserve"> гріх</w:t>
      </w:r>
      <w:r>
        <w:rPr>
          <w:rStyle w:val="apple-style-span"/>
        </w:rPr>
        <w:t>ом</w:t>
      </w:r>
      <w:r w:rsidRPr="00AF6311">
        <w:rPr>
          <w:rStyle w:val="apple-style-span"/>
        </w:rPr>
        <w:t xml:space="preserve"> сучасної школи є систематичне відокремлення глухого від нормального середовища, його ізоляція і розміщення у вузькому, обмеженому, маленькому світі…</w:t>
      </w:r>
      <w:r>
        <w:rPr>
          <w:rStyle w:val="apple-style-span"/>
        </w:rPr>
        <w:t xml:space="preserve"> </w:t>
      </w:r>
      <w:r w:rsidRPr="00AF6311">
        <w:rPr>
          <w:rStyle w:val="apple-style-span"/>
        </w:rPr>
        <w:t xml:space="preserve">Це штучне середовище значною мірою відрізняється від нормального світу, у якому глухому доведеться жити… Глухий обертається у вузькому колі глухих. Тут усе підживлює дефект, фіксує глухого на його глухоті і травмує його саме в цьому пункті. За таких умов не тільки не відбувається розвиток, а й атрофуються ті сили дитини, які в майбутньому могли би допомогти їй увійти у життя. </w:t>
      </w:r>
      <w:r w:rsidRPr="009A59FC">
        <w:rPr>
          <w:rStyle w:val="apple-style-span"/>
          <w:spacing w:val="-10"/>
        </w:rPr>
        <w:t>Душевне здоров</w:t>
      </w:r>
      <w:r>
        <w:rPr>
          <w:rStyle w:val="apple-style-span"/>
          <w:spacing w:val="-10"/>
        </w:rPr>
        <w:t>’</w:t>
      </w:r>
      <w:r w:rsidRPr="009A59FC">
        <w:rPr>
          <w:rStyle w:val="apple-style-span"/>
          <w:spacing w:val="-10"/>
        </w:rPr>
        <w:t>я, нормальна психіка дезорганізуються, розщеплюються; глухота стає травмою»</w:t>
      </w:r>
      <w:r>
        <w:rPr>
          <w:rStyle w:val="apple-style-span"/>
          <w:spacing w:val="-10"/>
        </w:rPr>
        <w:t>,</w:t>
      </w:r>
      <w:r w:rsidRPr="009A59FC">
        <w:rPr>
          <w:rStyle w:val="apple-style-span"/>
          <w:spacing w:val="-10"/>
        </w:rPr>
        <w:t xml:space="preserve"> </w:t>
      </w:r>
      <w:r>
        <w:rPr>
          <w:rStyle w:val="apple-style-span"/>
          <w:spacing w:val="-10"/>
        </w:rPr>
        <w:t>–</w:t>
      </w:r>
      <w:r w:rsidRPr="009A59FC">
        <w:rPr>
          <w:rStyle w:val="apple-style-span"/>
          <w:spacing w:val="-10"/>
        </w:rPr>
        <w:t xml:space="preserve"> писав Л. С. Виготський [14, с. 113]. </w:t>
      </w:r>
    </w:p>
    <w:p w:rsidR="00534FB5" w:rsidRPr="00AF6311" w:rsidRDefault="00534FB5" w:rsidP="00534FB5">
      <w:pPr>
        <w:pStyle w:val="11"/>
        <w:ind w:left="0" w:firstLine="709"/>
        <w:jc w:val="both"/>
        <w:rPr>
          <w:lang w:val="ru-RU"/>
        </w:rPr>
      </w:pPr>
      <w:r w:rsidRPr="00AF6311">
        <w:t>Багато дослідів</w:t>
      </w:r>
      <w:r>
        <w:t>,</w:t>
      </w:r>
      <w:r w:rsidRPr="00AF6311">
        <w:t xml:space="preserve"> проведених протягом минулого сто</w:t>
      </w:r>
      <w:r>
        <w:t>літт</w:t>
      </w:r>
      <w:r w:rsidRPr="00AF6311">
        <w:t>я (Дж.</w:t>
      </w:r>
      <w:r w:rsidR="00251F62">
        <w:t> Ліллі </w:t>
      </w:r>
      <w:r>
        <w:t>(1954), Д. Г</w:t>
      </w:r>
      <w:r w:rsidRPr="00AF6311">
        <w:t>еб (1957))</w:t>
      </w:r>
      <w:r>
        <w:t>,</w:t>
      </w:r>
      <w:r w:rsidRPr="00AF6311">
        <w:t xml:space="preserve"> довели, що потреба в сенсорній стимуляції з боку </w:t>
      </w:r>
      <w:r>
        <w:t>навколишнь</w:t>
      </w:r>
      <w:r w:rsidRPr="00AF6311">
        <w:t>ого середовища є фундаментальною потребою організму. За відсутності такої стимуляції порушується розумова діяльність і в</w:t>
      </w:r>
      <w:r>
        <w:t>иникають особистісні розлади [1</w:t>
      </w:r>
      <w:r w:rsidRPr="00AF6311">
        <w:t>,</w:t>
      </w:r>
      <w:r w:rsidRPr="006C493E">
        <w:t xml:space="preserve"> </w:t>
      </w:r>
      <w:r w:rsidRPr="00AF6311">
        <w:t>с.</w:t>
      </w:r>
      <w:r>
        <w:rPr>
          <w:lang w:val="ru-RU"/>
        </w:rPr>
        <w:t> </w:t>
      </w:r>
      <w:r w:rsidRPr="00AF6311">
        <w:t>18]. У дітей з вадами слуху всі види депривацій тісно переплетені. Деякі з них можуть об</w:t>
      </w:r>
      <w:r>
        <w:t>’</w:t>
      </w:r>
      <w:r w:rsidRPr="00AF6311">
        <w:t>єднуватис</w:t>
      </w:r>
      <w:r>
        <w:t>я</w:t>
      </w:r>
      <w:r w:rsidRPr="00AF6311">
        <w:t xml:space="preserve"> або одна може бути результатом іншої.</w:t>
      </w:r>
    </w:p>
    <w:p w:rsidR="00534FB5" w:rsidRPr="00AF6311" w:rsidRDefault="00534FB5" w:rsidP="00534FB5">
      <w:pPr>
        <w:pStyle w:val="11"/>
        <w:ind w:left="0" w:firstLine="709"/>
        <w:jc w:val="both"/>
      </w:pPr>
      <w:r w:rsidRPr="00AF6311">
        <w:t>В.</w:t>
      </w:r>
      <w:r>
        <w:t> М. </w:t>
      </w:r>
      <w:r w:rsidRPr="00AF6311">
        <w:t>Рахманов, Д.</w:t>
      </w:r>
      <w:r>
        <w:t> І. </w:t>
      </w:r>
      <w:r w:rsidRPr="00AF6311">
        <w:t>Клименко</w:t>
      </w:r>
      <w:r w:rsidR="0057105F">
        <w:t xml:space="preserve"> (2009)</w:t>
      </w:r>
      <w:r w:rsidRPr="00AF6311">
        <w:t xml:space="preserve"> провели експериментально-психологічне дослідження 158 пацієнтів та інвалідів віком від 7 до 57 р</w:t>
      </w:r>
      <w:r>
        <w:t>оків із тяжкими ураженнями органа</w:t>
      </w:r>
      <w:r w:rsidRPr="00AF6311">
        <w:t xml:space="preserve"> слуху</w:t>
      </w:r>
      <w:r>
        <w:rPr>
          <w:lang w:val="ru-RU"/>
        </w:rPr>
        <w:t xml:space="preserve"> </w:t>
      </w:r>
      <w:r w:rsidRPr="00E53429">
        <w:rPr>
          <w:lang w:val="ru-RU"/>
        </w:rPr>
        <w:t>[</w:t>
      </w:r>
      <w:r>
        <w:rPr>
          <w:lang w:val="ru-RU"/>
        </w:rPr>
        <w:t>86</w:t>
      </w:r>
      <w:r w:rsidRPr="00E53429">
        <w:rPr>
          <w:lang w:val="ru-RU"/>
        </w:rPr>
        <w:t>]</w:t>
      </w:r>
      <w:r w:rsidRPr="00AF6311">
        <w:t xml:space="preserve">. Дослідження, яке мало на меті оцінку порушення психічної діяльності пацієнтів з вадами слуху, включало клінічну бесіду, збір клінічного анамнезу, клінічне спостереження за невербальними </w:t>
      </w:r>
      <w:r>
        <w:t>ви</w:t>
      </w:r>
      <w:r w:rsidRPr="00AF6311">
        <w:t>явами психічної діяльності, проведення психологічних тестів, застосування стандартних та розроблених опитувальників</w:t>
      </w:r>
      <w:r>
        <w:t xml:space="preserve"> </w:t>
      </w:r>
      <w:r w:rsidRPr="00E53429">
        <w:t>[</w:t>
      </w:r>
      <w:r>
        <w:t>71, 86</w:t>
      </w:r>
      <w:r w:rsidRPr="00E53429">
        <w:t>]</w:t>
      </w:r>
      <w:r w:rsidRPr="00AF6311">
        <w:t xml:space="preserve">. </w:t>
      </w:r>
    </w:p>
    <w:p w:rsidR="00534FB5" w:rsidRPr="00AF6311" w:rsidRDefault="00534FB5" w:rsidP="00140864">
      <w:pPr>
        <w:pStyle w:val="11"/>
        <w:ind w:left="0" w:firstLine="709"/>
        <w:jc w:val="both"/>
        <w:rPr>
          <w:lang w:val="ru-RU"/>
        </w:rPr>
      </w:pPr>
      <w:r w:rsidRPr="00AF6311">
        <w:t>У 47,5</w:t>
      </w:r>
      <w:r>
        <w:t> </w:t>
      </w:r>
      <w:r w:rsidRPr="00AF6311">
        <w:t>% обстежених з приглухуватістю II</w:t>
      </w:r>
      <w:r>
        <w:t>–</w:t>
      </w:r>
      <w:r w:rsidRPr="00AF6311">
        <w:t>IV ступеня у клінічній картині захворювання б</w:t>
      </w:r>
      <w:r>
        <w:t>уло виявлено симптоми астено-</w:t>
      </w:r>
      <w:r w:rsidRPr="00AF6311">
        <w:t>субдепресивних і тривожно-</w:t>
      </w:r>
      <w:r w:rsidR="00140864">
        <w:t>в</w:t>
      </w:r>
      <w:r w:rsidRPr="00AF6311">
        <w:t>егетативних розладів. Проте психопатичні прояви даної групи пацієнтів не досягли рівня нозологічних проявів</w:t>
      </w:r>
      <w:r>
        <w:t>,</w:t>
      </w:r>
      <w:r w:rsidRPr="00AF6311">
        <w:t xml:space="preserve"> тому В.</w:t>
      </w:r>
      <w:r>
        <w:t> М. </w:t>
      </w:r>
      <w:r w:rsidRPr="00AF6311">
        <w:t>Рахманов та Д.</w:t>
      </w:r>
      <w:r>
        <w:t> І. </w:t>
      </w:r>
      <w:r w:rsidRPr="00AF6311">
        <w:t xml:space="preserve">Клименко в своїй науковій роботі розглядали їх як ознаку патологічного </w:t>
      </w:r>
      <w:r w:rsidRPr="00AF6311">
        <w:lastRenderedPageBreak/>
        <w:t xml:space="preserve">розладу психічної адаптації та визначали як психічну передхворобу. Майже у всіх пацієнтів цієї групи психічна передхвороба </w:t>
      </w:r>
      <w:r>
        <w:t>розви</w:t>
      </w:r>
      <w:r w:rsidRPr="00AF6311">
        <w:t>валас</w:t>
      </w:r>
      <w:r>
        <w:t>я</w:t>
      </w:r>
      <w:r w:rsidRPr="00AF6311">
        <w:t xml:space="preserve"> на тлі відчуття неповноцінності, пов</w:t>
      </w:r>
      <w:r>
        <w:t>’</w:t>
      </w:r>
      <w:r w:rsidRPr="00AF6311">
        <w:t>язаного з приглухуватістю. Характерним було те, що донозологічні психічні розлади формувалися у рамках реакції цих осіб на стресову подію, наприклад, вступ до школи або іншого навчального закладу, початок тренувального процесу, спортивні змагання, незалежно від їх рівня, екзамени тощо. Більшість обстежених, в тому числі діти та їхні батьки, не пов</w:t>
      </w:r>
      <w:r>
        <w:t>’</w:t>
      </w:r>
      <w:r w:rsidRPr="00AF6311">
        <w:t>язували порушення стану здоров</w:t>
      </w:r>
      <w:r>
        <w:t>’</w:t>
      </w:r>
      <w:r w:rsidRPr="00AF6311">
        <w:t>я з проявами психічної патології і відмовлялися від кваліфікованої психіатричної допомоги, вважаючи, що проблема не в них самих, а в патології орган</w:t>
      </w:r>
      <w:r>
        <w:t>а</w:t>
      </w:r>
      <w:r w:rsidRPr="00AF6311">
        <w:t xml:space="preserve"> слуху. Успіхи у навчанні, спорті тощо не</w:t>
      </w:r>
      <w:r>
        <w:t xml:space="preserve">рідко </w:t>
      </w:r>
      <w:r w:rsidRPr="00AF6311">
        <w:t>чергувалися з відвертими провалами через нестійкість психічної сфери, що призводило до поглиблення психічних розладів [</w:t>
      </w:r>
      <w:r>
        <w:t>86</w:t>
      </w:r>
      <w:r w:rsidRPr="00AF6311">
        <w:t>].</w:t>
      </w:r>
    </w:p>
    <w:p w:rsidR="00534FB5" w:rsidRPr="00AF6311" w:rsidRDefault="00534FB5" w:rsidP="00534FB5">
      <w:pPr>
        <w:pStyle w:val="11"/>
        <w:ind w:left="0" w:firstLine="709"/>
        <w:jc w:val="both"/>
        <w:rPr>
          <w:lang w:val="ru-RU"/>
        </w:rPr>
      </w:pPr>
      <w:r w:rsidRPr="00AF6311">
        <w:t>У 25,3</w:t>
      </w:r>
      <w:r>
        <w:t> </w:t>
      </w:r>
      <w:r w:rsidRPr="00AF6311">
        <w:t>% осіб з набутими тяжкими розладами слуху спостерігалис</w:t>
      </w:r>
      <w:r>
        <w:t>я</w:t>
      </w:r>
      <w:r w:rsidRPr="00AF6311">
        <w:t xml:space="preserve"> органічні тривожні розлади (нозологічна форма захворювання F06.4 за</w:t>
      </w:r>
      <w:r w:rsidR="0032545B">
        <w:t xml:space="preserve">  </w:t>
      </w:r>
      <w:r w:rsidRPr="00AF6311">
        <w:t xml:space="preserve"> МКХ-10), причому здебільшого тривожність мала генералізований та стійкий характер</w:t>
      </w:r>
      <w:r>
        <w:t>,</w:t>
      </w:r>
      <w:r w:rsidRPr="00AF6311">
        <w:t xml:space="preserve"> і тільки у 19 пацієнтів – епізодичний (панічний) характер. У більшості обстежених </w:t>
      </w:r>
      <w:r>
        <w:t>ціє</w:t>
      </w:r>
      <w:r w:rsidRPr="00AF6311">
        <w:t>ї групи вади слуху носили набутий характер і були обумовлені перенесеними захворюваннями центральної нервової системи внаслідок арахноїдиту, арахноенцефаліту, черепно-мозкової травми. Через виражену тривогу панічних нападів, фізичного та психологічного дискомфорту у хворих спостерігалис</w:t>
      </w:r>
      <w:r>
        <w:t>я</w:t>
      </w:r>
      <w:r w:rsidRPr="00AF6311">
        <w:t xml:space="preserve"> труднощі при контактах, самоізоляція. Такі особи часто скаржилис</w:t>
      </w:r>
      <w:r>
        <w:t>я</w:t>
      </w:r>
      <w:r w:rsidRPr="00AF6311">
        <w:t xml:space="preserve"> на значну втомлюваність [</w:t>
      </w:r>
      <w:r>
        <w:t>86</w:t>
      </w:r>
      <w:r w:rsidRPr="00AF6311">
        <w:t>].</w:t>
      </w:r>
    </w:p>
    <w:p w:rsidR="00534FB5" w:rsidRPr="00AF6311" w:rsidRDefault="00534FB5" w:rsidP="00534FB5">
      <w:pPr>
        <w:ind w:firstLine="709"/>
        <w:contextualSpacing/>
        <w:rPr>
          <w:lang w:val="ru-RU"/>
        </w:rPr>
      </w:pPr>
      <w:r w:rsidRPr="00AF6311">
        <w:t>У 13,3</w:t>
      </w:r>
      <w:r>
        <w:t> </w:t>
      </w:r>
      <w:r w:rsidRPr="00AF6311">
        <w:t xml:space="preserve">% обстежених психопатологічні розлади </w:t>
      </w:r>
      <w:r>
        <w:t>мали</w:t>
      </w:r>
      <w:r w:rsidRPr="00AF6311">
        <w:t xml:space="preserve"> вигляд неврастенії з переважанням емоційних порушень. У них спостерігалис</w:t>
      </w:r>
      <w:r>
        <w:t>я</w:t>
      </w:r>
      <w:r w:rsidRPr="00AF6311">
        <w:t xml:space="preserve"> дратівливість, швидка психофізична стомлюваність, вегетативні порушення</w:t>
      </w:r>
      <w:r>
        <w:t>, як-от</w:t>
      </w:r>
      <w:r w:rsidRPr="00AF6311">
        <w:t xml:space="preserve"> головн</w:t>
      </w:r>
      <w:r>
        <w:t>ий</w:t>
      </w:r>
      <w:r w:rsidRPr="00AF6311">
        <w:t xml:space="preserve"> б</w:t>
      </w:r>
      <w:r>
        <w:t>іль</w:t>
      </w:r>
      <w:r w:rsidRPr="00AF6311">
        <w:t xml:space="preserve"> п</w:t>
      </w:r>
      <w:r>
        <w:t>ід час</w:t>
      </w:r>
      <w:r w:rsidRPr="00AF6311">
        <w:t xml:space="preserve"> хвилювання, втом</w:t>
      </w:r>
      <w:r>
        <w:t>и</w:t>
      </w:r>
      <w:r w:rsidRPr="00AF6311">
        <w:t xml:space="preserve"> і</w:t>
      </w:r>
      <w:r w:rsidRPr="00480E7E">
        <w:t xml:space="preserve"> </w:t>
      </w:r>
      <w:r w:rsidRPr="00AF6311">
        <w:t>стресових стан</w:t>
      </w:r>
      <w:r>
        <w:t>ів</w:t>
      </w:r>
      <w:r w:rsidRPr="00AF6311">
        <w:t>, а також лабільн</w:t>
      </w:r>
      <w:r>
        <w:t>ість</w:t>
      </w:r>
      <w:r w:rsidRPr="00AF6311">
        <w:t xml:space="preserve"> пульсу </w:t>
      </w:r>
      <w:r>
        <w:t>й</w:t>
      </w:r>
      <w:r w:rsidRPr="00AF6311">
        <w:t xml:space="preserve"> артеріального тиску, пітлив</w:t>
      </w:r>
      <w:r>
        <w:t>і</w:t>
      </w:r>
      <w:r w:rsidRPr="00AF6311">
        <w:t>ст</w:t>
      </w:r>
      <w:r>
        <w:t>ь</w:t>
      </w:r>
      <w:r w:rsidRPr="00AF6311">
        <w:t xml:space="preserve"> тощо. Цим хворим було діагностовано неврастенічний невроз (F48.0) [</w:t>
      </w:r>
      <w:r>
        <w:t>86</w:t>
      </w:r>
      <w:r w:rsidRPr="00AF6311">
        <w:t>].</w:t>
      </w:r>
    </w:p>
    <w:p w:rsidR="00534FB5" w:rsidRPr="00AF6311" w:rsidRDefault="00534FB5" w:rsidP="00534FB5">
      <w:pPr>
        <w:ind w:firstLine="709"/>
        <w:contextualSpacing/>
      </w:pPr>
      <w:r w:rsidRPr="00AF6311">
        <w:t xml:space="preserve">Порушення психоемоційної сфери </w:t>
      </w:r>
      <w:r>
        <w:t>виявлено</w:t>
      </w:r>
      <w:r w:rsidRPr="00AF6311">
        <w:t xml:space="preserve"> у 10,7</w:t>
      </w:r>
      <w:r>
        <w:t> </w:t>
      </w:r>
      <w:r w:rsidRPr="00AF6311">
        <w:t xml:space="preserve">% осіб з набутою </w:t>
      </w:r>
      <w:r w:rsidRPr="00AF6311">
        <w:lastRenderedPageBreak/>
        <w:t>глухотою. В клінічній картині захворювання переважали коливання емоційного стану, часті зміни настрою, чергування тривоги, образи</w:t>
      </w:r>
      <w:r>
        <w:t>,</w:t>
      </w:r>
      <w:r w:rsidRPr="00AF6311">
        <w:t xml:space="preserve"> гніву, розгубленості тощо. Часто активність та енергійність різко замінювалис</w:t>
      </w:r>
      <w:r>
        <w:t>я</w:t>
      </w:r>
      <w:r w:rsidRPr="00AF6311">
        <w:t xml:space="preserve"> пасивністю, депресивними реакціями. У цієї групи пацієнтів діагностували емоційно</w:t>
      </w:r>
      <w:r>
        <w:t xml:space="preserve"> </w:t>
      </w:r>
      <w:r w:rsidRPr="00AF6311">
        <w:t>нестійкі розлади особистості (</w:t>
      </w:r>
      <w:r w:rsidRPr="00AF6311">
        <w:rPr>
          <w:lang w:val="en-US"/>
        </w:rPr>
        <w:t>F</w:t>
      </w:r>
      <w:r w:rsidRPr="00AF6311">
        <w:t>60.3) [</w:t>
      </w:r>
      <w:r>
        <w:t>86</w:t>
      </w:r>
      <w:r w:rsidRPr="00AF6311">
        <w:t xml:space="preserve">]. </w:t>
      </w:r>
    </w:p>
    <w:p w:rsidR="00534FB5" w:rsidRPr="00AF6311" w:rsidRDefault="00534FB5" w:rsidP="00534FB5">
      <w:pPr>
        <w:ind w:firstLine="709"/>
        <w:contextualSpacing/>
      </w:pPr>
      <w:r w:rsidRPr="00AF6311">
        <w:t>Клінічними проявами обсесивно-фобічних розладів (</w:t>
      </w:r>
      <w:r w:rsidRPr="00AF6311">
        <w:rPr>
          <w:lang w:val="en-US"/>
        </w:rPr>
        <w:t>F</w:t>
      </w:r>
      <w:r w:rsidRPr="00AF6311">
        <w:t>40.1) у 3,2</w:t>
      </w:r>
      <w:r>
        <w:t> </w:t>
      </w:r>
      <w:r w:rsidRPr="00AF6311">
        <w:t xml:space="preserve">% обстежених </w:t>
      </w:r>
      <w:r>
        <w:t>і</w:t>
      </w:r>
      <w:r w:rsidRPr="00AF6311">
        <w:t>з приглухуватістю ІІІ</w:t>
      </w:r>
      <w:r>
        <w:t> </w:t>
      </w:r>
      <w:r w:rsidRPr="00AF6311">
        <w:t xml:space="preserve">ступеня був стан тривоги і страху, який був обумовлений переважно ситуаціями мовного спілкування. Стан страху </w:t>
      </w:r>
      <w:r>
        <w:t>в</w:t>
      </w:r>
      <w:r w:rsidRPr="00AF6311">
        <w:t xml:space="preserve"> них сформувався поступово на тлі зніяковілості від невдалих комунікацій </w:t>
      </w:r>
      <w:r>
        <w:t>і</w:t>
      </w:r>
      <w:r w:rsidRPr="00AF6311">
        <w:t xml:space="preserve">з наростаючим почуттям власної неповноцінності внаслідок вад слуху. В </w:t>
      </w:r>
      <w:r>
        <w:t>ц</w:t>
      </w:r>
      <w:r w:rsidRPr="00AF6311">
        <w:t>ій групі пацієнтів стомлення наставало швидко і мало глибокий характер внаслідок відчуття страху і тривожності. Вони самоізолювалися від суспільства [</w:t>
      </w:r>
      <w:r>
        <w:t>86</w:t>
      </w:r>
      <w:r w:rsidRPr="00AF6311">
        <w:t>].</w:t>
      </w:r>
      <w:r>
        <w:t xml:space="preserve"> </w:t>
      </w:r>
    </w:p>
    <w:p w:rsidR="00534FB5" w:rsidRPr="0057105F" w:rsidRDefault="00534FB5" w:rsidP="00534FB5">
      <w:pPr>
        <w:ind w:firstLine="709"/>
        <w:contextualSpacing/>
        <w:rPr>
          <w:spacing w:val="-2"/>
        </w:rPr>
      </w:pPr>
      <w:r w:rsidRPr="0057105F">
        <w:rPr>
          <w:spacing w:val="-2"/>
        </w:rPr>
        <w:t>За даними дослідження В. М. Рахманова й Д. І. Клименка, тільки у 20,3 % обстежених не було виявлено порушень пізнавальних функцій (пам’яті, уваги, мислення), емоційно-вольової сфери, а загальна спрямованість особистості дозволяла в умовах хронічного захворювання й обмежень життєдіяльності підтримувати адекватні взаємозв’язки з оточенням [86].</w:t>
      </w:r>
    </w:p>
    <w:p w:rsidR="00534FB5" w:rsidRDefault="00534FB5" w:rsidP="00534FB5">
      <w:pPr>
        <w:ind w:firstLine="709"/>
        <w:contextualSpacing/>
      </w:pPr>
      <w:r w:rsidRPr="00AF6311">
        <w:t xml:space="preserve">Таким чином, психічний розвиток дитини з патологією слуху є своєрідним і відбувається в особливих умовах взаємодії з </w:t>
      </w:r>
      <w:r>
        <w:t>навколишнім</w:t>
      </w:r>
      <w:r w:rsidRPr="00AF6311">
        <w:t xml:space="preserve"> світом. При цьому дифіцитарному типі порушеного розвитку первинний дефект слухового аналізатор</w:t>
      </w:r>
      <w:r>
        <w:t>а</w:t>
      </w:r>
      <w:r w:rsidRPr="00AF6311">
        <w:t xml:space="preserve"> призводить до недорозвинення найбільш тісно пов</w:t>
      </w:r>
      <w:r>
        <w:t>’</w:t>
      </w:r>
      <w:r w:rsidRPr="00AF6311">
        <w:t xml:space="preserve">язаних </w:t>
      </w:r>
      <w:r>
        <w:t>і</w:t>
      </w:r>
      <w:r w:rsidRPr="00AF6311">
        <w:t xml:space="preserve">з ним функцій та до послаблення </w:t>
      </w:r>
      <w:r>
        <w:t>тих функцій</w:t>
      </w:r>
      <w:r w:rsidRPr="00AF6311">
        <w:t>, що пов</w:t>
      </w:r>
      <w:r>
        <w:t>’</w:t>
      </w:r>
      <w:r w:rsidRPr="00AF6311">
        <w:t>язані зі слухом опосередковано. Порушення розвитку окремих психічних функцій сво</w:t>
      </w:r>
      <w:r>
        <w:t>є</w:t>
      </w:r>
      <w:r w:rsidRPr="00AF6311">
        <w:t>ю черг</w:t>
      </w:r>
      <w:r>
        <w:t>ою</w:t>
      </w:r>
      <w:r w:rsidRPr="00AF6311">
        <w:t xml:space="preserve"> призводить до гальмування психічного розвитку [</w:t>
      </w:r>
      <w:r>
        <w:t>7</w:t>
      </w:r>
      <w:r w:rsidRPr="00AF6311">
        <w:t xml:space="preserve">, </w:t>
      </w:r>
      <w:r w:rsidRPr="003E0639">
        <w:rPr>
          <w:lang w:val="ru-RU"/>
        </w:rPr>
        <w:t>с</w:t>
      </w:r>
      <w:r w:rsidRPr="00AF6311">
        <w:t>.</w:t>
      </w:r>
      <w:r>
        <w:t> </w:t>
      </w:r>
      <w:r w:rsidRPr="00AF6311">
        <w:t xml:space="preserve">25]. У дітей з вадами слуху </w:t>
      </w:r>
      <w:r>
        <w:t xml:space="preserve">– </w:t>
      </w:r>
      <w:r w:rsidRPr="00AF6311">
        <w:t>на тлі відчуття фізичного та психічного дискомфорту, неповноцінності, невдоволення своїми діями і результатами, утруднення соціальних контактів, самоізоляції, сприйняття найменшої події в житті як стресової ситуації, постійного відчуття страху при зовнішніх контактах</w:t>
      </w:r>
      <w:r>
        <w:t xml:space="preserve"> –</w:t>
      </w:r>
      <w:r w:rsidRPr="00AF6311">
        <w:t xml:space="preserve"> </w:t>
      </w:r>
      <w:r w:rsidRPr="00AF6311">
        <w:lastRenderedPageBreak/>
        <w:t>відбувається розвиток психічних розладів</w:t>
      </w:r>
      <w:r>
        <w:t>,</w:t>
      </w:r>
      <w:r w:rsidRPr="00AF6311">
        <w:t xml:space="preserve"> </w:t>
      </w:r>
      <w:r>
        <w:t>я</w:t>
      </w:r>
      <w:r w:rsidRPr="00AF6311">
        <w:t>кі проявляютьс</w:t>
      </w:r>
      <w:r>
        <w:t>я у вигляді симптомів астено-</w:t>
      </w:r>
      <w:r w:rsidRPr="00AF6311">
        <w:t xml:space="preserve">субдепресивних розладів, тривожно-вегетативних розладів, органічних тривожних розладів, неврастеній </w:t>
      </w:r>
      <w:r>
        <w:t>і</w:t>
      </w:r>
      <w:r w:rsidRPr="00AF6311">
        <w:t>з переважанням емоційних порушень, емоційно</w:t>
      </w:r>
      <w:r>
        <w:t xml:space="preserve"> </w:t>
      </w:r>
      <w:r w:rsidRPr="00AF6311">
        <w:t>нестійких розладів особистості та обсесивно-фобічних розладів.</w:t>
      </w:r>
    </w:p>
    <w:p w:rsidR="00534FB5" w:rsidRPr="00480E7E" w:rsidRDefault="00534FB5" w:rsidP="00534FB5">
      <w:pPr>
        <w:ind w:firstLine="709"/>
        <w:contextualSpacing/>
      </w:pPr>
    </w:p>
    <w:p w:rsidR="00534FB5" w:rsidRPr="00AF6311" w:rsidRDefault="00534FB5" w:rsidP="00534FB5">
      <w:pPr>
        <w:ind w:firstLine="709"/>
        <w:contextualSpacing/>
        <w:rPr>
          <w:b/>
        </w:rPr>
      </w:pPr>
      <w:r w:rsidRPr="00AF6311">
        <w:rPr>
          <w:b/>
        </w:rPr>
        <w:t>1.3. Роль психоемоційних факторів у розвитку основних стоматологічних захворювань</w:t>
      </w:r>
    </w:p>
    <w:p w:rsidR="00534FB5" w:rsidRPr="003770BC" w:rsidRDefault="00534FB5" w:rsidP="00534FB5">
      <w:pPr>
        <w:ind w:firstLine="709"/>
        <w:contextualSpacing/>
        <w:rPr>
          <w:lang w:val="ru-RU"/>
        </w:rPr>
      </w:pPr>
    </w:p>
    <w:p w:rsidR="00534FB5" w:rsidRPr="00376EE1" w:rsidRDefault="00534FB5" w:rsidP="00534FB5">
      <w:pPr>
        <w:ind w:firstLine="709"/>
        <w:contextualSpacing/>
        <w:rPr>
          <w:spacing w:val="-4"/>
        </w:rPr>
      </w:pPr>
      <w:r w:rsidRPr="0057105F">
        <w:rPr>
          <w:spacing w:val="-4"/>
        </w:rPr>
        <w:t>У наш час немає сумнівів з приводу зв’язку психічного та соматичного здоров’я. На думку О. С. Оленко, В. Ф. Кірічука</w:t>
      </w:r>
      <w:r w:rsidR="0057105F" w:rsidRPr="0057105F">
        <w:rPr>
          <w:spacing w:val="-4"/>
        </w:rPr>
        <w:t xml:space="preserve"> (2009)</w:t>
      </w:r>
      <w:r w:rsidRPr="0057105F">
        <w:rPr>
          <w:spacing w:val="-4"/>
        </w:rPr>
        <w:t xml:space="preserve"> та співавторів дослідження, в умовах дії психічної травми (стресу) людина, завдяки стресостійкості та впливу методів психологічного захисту, може залишитися психічно та соматично здоровою, однак за відсутності вказаних чинників у людини відбувається розвиток неврозу або психосоматичної патології [</w:t>
      </w:r>
      <w:r w:rsidRPr="0057105F">
        <w:rPr>
          <w:spacing w:val="-4"/>
          <w:lang w:val="ru-RU"/>
        </w:rPr>
        <w:t>80</w:t>
      </w:r>
      <w:r w:rsidRPr="0057105F">
        <w:rPr>
          <w:spacing w:val="-4"/>
        </w:rPr>
        <w:t xml:space="preserve">]. Стрес опосередковано, через нервові та гуморальні механізми, збуджує ті органи та системи, активація яких необхідна для загального адаптаційного синдрому [80]. Багато науковців вважає, що кінцевими органами стресорної реакції є серцево-судинна та травна системи. Остання є найбільш чутливою до емоцій люті та гніву. Раціональним є розгляд генези психосоматичних розладів з точки зору системно-структурного переходу, який передбачає виділення чотирьох компонентів: психосоматичного (особливості психологічного захисту у відповідь на дію стресу); корково-підкіркового компонента (особливості діяльності кори головного мозку, системи гіпоталамус – гіпофіз – надниркові залози, лімбічної системи, ретикулярної формації та стовбура мозку); нейрогуморального компонента, що включає вегетативну та ендокринну </w:t>
      </w:r>
      <w:r w:rsidRPr="00376EE1">
        <w:rPr>
          <w:spacing w:val="-4"/>
        </w:rPr>
        <w:t xml:space="preserve">системи, та органного або системного компонента [80]. </w:t>
      </w:r>
    </w:p>
    <w:p w:rsidR="00534FB5" w:rsidRPr="00376EE1" w:rsidRDefault="00534FB5" w:rsidP="00534FB5">
      <w:pPr>
        <w:ind w:firstLine="709"/>
        <w:contextualSpacing/>
      </w:pPr>
      <w:r w:rsidRPr="00376EE1">
        <w:t xml:space="preserve">Виділення чотирикомпонентного механізму формування психосоматичної патології дає змогу простежити, як конфлікт, при взаємодії </w:t>
      </w:r>
      <w:r w:rsidRPr="00376EE1">
        <w:lastRenderedPageBreak/>
        <w:t xml:space="preserve">з особистістю, спочатку на психологічному рівні, переходить на фізіологічний рівень, трансформується в патологію внутрішніх органів [80]. </w:t>
      </w:r>
    </w:p>
    <w:p w:rsidR="00534FB5" w:rsidRPr="00376EE1" w:rsidRDefault="00534FB5" w:rsidP="00534FB5">
      <w:pPr>
        <w:ind w:firstLine="709"/>
        <w:contextualSpacing/>
      </w:pPr>
      <w:r w:rsidRPr="00376EE1">
        <w:t>З класичних робіт І. П. Павлова відомо, що слинні залози є високочутливими до нервових та гуморальних впливів [8, с. 1]. Підтвердження цьому можна знайти й у дисертаційній роботі Ю. В. Борисенка (1993) «</w:t>
      </w:r>
      <w:r w:rsidRPr="00376EE1">
        <w:rPr>
          <w:lang w:val="en-US"/>
        </w:rPr>
        <w:t>C</w:t>
      </w:r>
      <w:r w:rsidRPr="00376EE1">
        <w:t xml:space="preserve">тресорна реакція слинних залоз та її корекція», в якій зазначається, що під дією стресорів відбуваються біохімічні та морфологічні зміни в привушних слинних залозах [8, с. 12]. </w:t>
      </w:r>
    </w:p>
    <w:p w:rsidR="00534FB5" w:rsidRPr="00376EE1" w:rsidRDefault="00534FB5" w:rsidP="00534FB5">
      <w:pPr>
        <w:ind w:firstLine="709"/>
        <w:contextualSpacing/>
      </w:pPr>
      <w:r w:rsidRPr="00376EE1">
        <w:t xml:space="preserve">Семенов К. А. (2006) провів дослідження впливу психогенного стресу на карієсогенну ситуацію порожнини рота, зокрема на фізичні властивості та біохімічний склад ротової рідини у дітей з </w:t>
      </w:r>
      <w:r w:rsidR="0073260E">
        <w:t>різними психоемоційними типами </w:t>
      </w:r>
      <w:r w:rsidRPr="00376EE1">
        <w:t>[92]. У дітей з низьким рівнем функціональної рухливості нервових процесів (пасивна група) спостерігалося достовірне зниження швидкості салівації (р&lt;0,05), підвищення рівня вільного кортизолу (р&lt;0,01), зниження рівня глюкози (р&lt;0,01), sIgA (р&lt;0,05) і сер</w:t>
      </w:r>
      <w:r w:rsidR="0073260E">
        <w:t>едньомолекулярних олігопептидів </w:t>
      </w:r>
      <w:r w:rsidRPr="00376EE1">
        <w:t>(р&lt;0,05) у ротовій рідині [92].</w:t>
      </w:r>
    </w:p>
    <w:p w:rsidR="00534FB5" w:rsidRPr="00376EE1" w:rsidRDefault="00534FB5" w:rsidP="00534FB5">
      <w:pPr>
        <w:ind w:firstLine="709"/>
        <w:contextualSpacing/>
      </w:pPr>
      <w:r w:rsidRPr="00376EE1">
        <w:t xml:space="preserve">У працях зарубіжних авторів широко обговорюється зв’язок стресорного впливу та рівня секреції sIgA, але єдиної думки з цього приводу немає. Так, </w:t>
      </w:r>
      <w:r w:rsidRPr="00376EE1">
        <w:rPr>
          <w:lang w:val="en-US"/>
        </w:rPr>
        <w:t>A</w:t>
      </w:r>
      <w:r w:rsidRPr="00376EE1">
        <w:t>. </w:t>
      </w:r>
      <w:r w:rsidRPr="00376EE1">
        <w:rPr>
          <w:lang w:val="en-US"/>
        </w:rPr>
        <w:t>A</w:t>
      </w:r>
      <w:r w:rsidRPr="00376EE1">
        <w:t>. </w:t>
      </w:r>
      <w:r w:rsidRPr="00376EE1">
        <w:rPr>
          <w:lang w:val="en-US"/>
        </w:rPr>
        <w:t>Stone</w:t>
      </w:r>
      <w:r w:rsidRPr="00376EE1">
        <w:t xml:space="preserve"> та співавтори (1987), зазначаючи суперечливість секреторно-імуноглобулінової </w:t>
      </w:r>
      <w:r w:rsidRPr="00376EE1">
        <w:rPr>
          <w:lang w:val="en-AU"/>
        </w:rPr>
        <w:t>A</w:t>
      </w:r>
      <w:r w:rsidRPr="00376EE1">
        <w:t xml:space="preserve"> відповіді на дію стресору, пояснюють її негативною кореляцією між концентрацією sIgA та швидкістю салівації, можливим руйнуванням sIgA протеазами в ротовій рідині. Автори запропонували метод визначення концентрації sIgA в слині привушної залози як показника імунологічної активності, замість визначення загальної концентрації sIgA в ротовій рідині [146].</w:t>
      </w:r>
    </w:p>
    <w:p w:rsidR="00534FB5" w:rsidRPr="00376EE1" w:rsidRDefault="00534FB5" w:rsidP="00534FB5">
      <w:pPr>
        <w:ind w:firstLine="709"/>
        <w:contextualSpacing/>
      </w:pPr>
      <w:r w:rsidRPr="00376EE1">
        <w:t xml:space="preserve">Протилежну точку зору обстоюють науковці </w:t>
      </w:r>
      <w:r w:rsidRPr="00376EE1">
        <w:rPr>
          <w:lang w:val="en-US"/>
        </w:rPr>
        <w:t>J</w:t>
      </w:r>
      <w:r w:rsidRPr="00376EE1">
        <w:t>. </w:t>
      </w:r>
      <w:r w:rsidRPr="00376EE1">
        <w:rPr>
          <w:lang w:val="en-US"/>
        </w:rPr>
        <w:t>B</w:t>
      </w:r>
      <w:r w:rsidRPr="00376EE1">
        <w:t>. </w:t>
      </w:r>
      <w:r w:rsidRPr="00376EE1">
        <w:rPr>
          <w:lang w:val="en-US"/>
        </w:rPr>
        <w:t>Jemmott</w:t>
      </w:r>
      <w:r w:rsidRPr="00376EE1" w:rsidDel="005A5782">
        <w:rPr>
          <w:lang w:val="ru-RU"/>
        </w:rPr>
        <w:t xml:space="preserve"> </w:t>
      </w:r>
      <w:r w:rsidRPr="00376EE1">
        <w:t xml:space="preserve">та його колеги (1989). Вони вважають, що негативний кореляційний зв’язок між концентрацією sIgA та швидкістю салівації є слабким і не надто критичним, за умови використання не стимульованої слини. У своїй науковій роботі </w:t>
      </w:r>
      <w:r w:rsidRPr="00376EE1">
        <w:lastRenderedPageBreak/>
        <w:t>дослідники довели, що академічний стрес пригнічує секрецію sIgA [</w:t>
      </w:r>
      <w:r w:rsidRPr="00376EE1">
        <w:rPr>
          <w:lang w:val="ru-RU"/>
        </w:rPr>
        <w:t>125</w:t>
      </w:r>
      <w:r w:rsidRPr="00376EE1">
        <w:t>].</w:t>
      </w:r>
    </w:p>
    <w:p w:rsidR="00534FB5" w:rsidRPr="00376EE1" w:rsidRDefault="00534FB5" w:rsidP="00534FB5">
      <w:pPr>
        <w:ind w:firstLine="709"/>
        <w:contextualSpacing/>
      </w:pPr>
      <w:r w:rsidRPr="00376EE1">
        <w:t>Деякі науковці (</w:t>
      </w:r>
      <w:r w:rsidRPr="00376EE1">
        <w:rPr>
          <w:lang w:val="en-US"/>
        </w:rPr>
        <w:t>I</w:t>
      </w:r>
      <w:r w:rsidRPr="00376EE1">
        <w:t>. </w:t>
      </w:r>
      <w:r w:rsidRPr="00376EE1">
        <w:rPr>
          <w:lang w:val="en-US"/>
        </w:rPr>
        <w:t>D</w:t>
      </w:r>
      <w:r w:rsidRPr="00376EE1">
        <w:t>. </w:t>
      </w:r>
      <w:r w:rsidRPr="00376EE1">
        <w:rPr>
          <w:lang w:val="en-US"/>
        </w:rPr>
        <w:t>Miletic</w:t>
      </w:r>
      <w:r w:rsidRPr="00376EE1">
        <w:t xml:space="preserve">, 1996) провели дослідження, які показали, що переживання позитивних емоцій сприяє підвищенню рівня sIgA в ротові рідині [143]. </w:t>
      </w:r>
    </w:p>
    <w:p w:rsidR="00534FB5" w:rsidRPr="00376EE1" w:rsidRDefault="00534FB5" w:rsidP="00534FB5">
      <w:pPr>
        <w:ind w:firstLine="709"/>
        <w:contextualSpacing/>
      </w:pPr>
      <w:r w:rsidRPr="00376EE1">
        <w:t xml:space="preserve">Науковці кафедри гігієни та профілактики осакської університетської школи медицини (Японія, Осака) </w:t>
      </w:r>
      <w:r w:rsidRPr="00376EE1">
        <w:rPr>
          <w:lang w:val="en-US"/>
        </w:rPr>
        <w:t>Satoshi</w:t>
      </w:r>
      <w:r w:rsidRPr="00376EE1">
        <w:t xml:space="preserve"> </w:t>
      </w:r>
      <w:r w:rsidRPr="00376EE1">
        <w:rPr>
          <w:lang w:val="en-US"/>
        </w:rPr>
        <w:t>Tsujita</w:t>
      </w:r>
      <w:r w:rsidRPr="00376EE1">
        <w:t xml:space="preserve"> та </w:t>
      </w:r>
      <w:r w:rsidRPr="00376EE1">
        <w:rPr>
          <w:lang w:val="en-US"/>
        </w:rPr>
        <w:t>Kanehisa</w:t>
      </w:r>
      <w:r w:rsidRPr="00376EE1">
        <w:t xml:space="preserve"> </w:t>
      </w:r>
      <w:r w:rsidRPr="00376EE1">
        <w:rPr>
          <w:lang w:val="en-US"/>
        </w:rPr>
        <w:t>Morimoto</w:t>
      </w:r>
      <w:r w:rsidRPr="00376EE1">
        <w:t xml:space="preserve">, у своїй статті «Секреторний IgA слини – корисний маркер стресу» (1999), писали, що на їх думку, секреторно-імуноглобулінова </w:t>
      </w:r>
      <w:r w:rsidRPr="00376EE1">
        <w:rPr>
          <w:lang w:val="en-AU"/>
        </w:rPr>
        <w:t>A</w:t>
      </w:r>
      <w:r w:rsidRPr="00376EE1">
        <w:t xml:space="preserve"> відповідь на дію психологічного стресу є складною. Необхідно відокремлювати вплив хронічного стресу на рівень sIgA, коли відбувається поступове зниження його секреції, та вплив гострого стресу, під час якого миттєво підвищується виділення sIgA. Таким чином, пережита людиною гостра стресорна подія напередодні дослідження може завадити точному виявленню рівня секреції sIgA при хронічному стресі [</w:t>
      </w:r>
      <w:r w:rsidRPr="00376EE1">
        <w:rPr>
          <w:lang w:val="ru-RU"/>
        </w:rPr>
        <w:t>151</w:t>
      </w:r>
      <w:r w:rsidRPr="00376EE1">
        <w:t xml:space="preserve">]. З метою отримання достовірних даних Deinzer R. та Schuller N. (1998) запропонували робити забір зразків слини вранці, одразу після пробудження [116]. На думку </w:t>
      </w:r>
      <w:r w:rsidRPr="00376EE1">
        <w:rPr>
          <w:lang w:val="en-US"/>
        </w:rPr>
        <w:t>Satoshi</w:t>
      </w:r>
      <w:r w:rsidRPr="00376EE1">
        <w:t xml:space="preserve"> </w:t>
      </w:r>
      <w:r w:rsidRPr="00376EE1">
        <w:rPr>
          <w:lang w:val="en-US"/>
        </w:rPr>
        <w:t>Tsujita</w:t>
      </w:r>
      <w:r w:rsidRPr="00376EE1">
        <w:t xml:space="preserve"> та </w:t>
      </w:r>
      <w:r w:rsidRPr="00376EE1">
        <w:rPr>
          <w:lang w:val="en-US"/>
        </w:rPr>
        <w:t>Kanehisa</w:t>
      </w:r>
      <w:r w:rsidRPr="00376EE1">
        <w:t xml:space="preserve"> </w:t>
      </w:r>
      <w:r w:rsidRPr="00376EE1">
        <w:rPr>
          <w:lang w:val="en-US"/>
        </w:rPr>
        <w:t>Morimoto</w:t>
      </w:r>
      <w:r w:rsidRPr="00376EE1">
        <w:t xml:space="preserve"> (1999) sIgA є багатообіцяючим кандидатом у маркери стресу, за допомогою якого стане можливо диференціювати позитивний та негативний стрес-ефекти. Однак залишається розробити точні методи для відокремлення дії гострого та хронічного стресу на секрецію sIgA та дослідити механізми зв’язку залежності секреції sIgA від психосоціальних факторів [151].</w:t>
      </w:r>
    </w:p>
    <w:p w:rsidR="00534FB5" w:rsidRDefault="00534FB5" w:rsidP="00534FB5">
      <w:pPr>
        <w:ind w:firstLine="709"/>
        <w:contextualSpacing/>
      </w:pPr>
      <w:r w:rsidRPr="00376EE1">
        <w:t>Отже, стає очевидним, що психоемоційний стрес впливає на функцію слинних залоз, фізичні та біохімічні властивості ротової рідини. Більшість досліджень, присвячених розкриттю механізмів виникнення та розвитку основних стоматологічних захворювань, відводять певне місце змінам, що відбуваються в ротовій рідині.</w:t>
      </w:r>
      <w:r>
        <w:t xml:space="preserve"> </w:t>
      </w:r>
    </w:p>
    <w:p w:rsidR="00534FB5" w:rsidRDefault="00534FB5" w:rsidP="00534FB5">
      <w:pPr>
        <w:ind w:firstLine="709"/>
        <w:contextualSpacing/>
      </w:pPr>
      <w:r>
        <w:t>На думку І. В. </w:t>
      </w:r>
      <w:r w:rsidRPr="00AF6311">
        <w:t>Ковач (2008)</w:t>
      </w:r>
      <w:r>
        <w:t>,</w:t>
      </w:r>
      <w:r w:rsidRPr="00AF6311">
        <w:t xml:space="preserve"> стабільність фізичних властивостей</w:t>
      </w:r>
      <w:r>
        <w:t xml:space="preserve"> ротової рідини</w:t>
      </w:r>
      <w:r w:rsidRPr="00AF6311">
        <w:t>, таких як швидкість слиновиділення, в</w:t>
      </w:r>
      <w:r>
        <w:t>’</w:t>
      </w:r>
      <w:r w:rsidRPr="00AF6311">
        <w:t>язкість, рН,</w:t>
      </w:r>
      <w:r>
        <w:t xml:space="preserve"> </w:t>
      </w:r>
      <w:r w:rsidRPr="00AF6311">
        <w:t>вміст лізоциму та sIgA</w:t>
      </w:r>
      <w:r>
        <w:t>,</w:t>
      </w:r>
      <w:r w:rsidRPr="00AF6311">
        <w:t xml:space="preserve"> є необхідною умовою для нормального функціонування </w:t>
      </w:r>
      <w:r w:rsidRPr="00AF6311">
        <w:lastRenderedPageBreak/>
        <w:t xml:space="preserve">органів </w:t>
      </w:r>
      <w:r>
        <w:t>і</w:t>
      </w:r>
      <w:r w:rsidRPr="00AF6311">
        <w:t xml:space="preserve"> тканин порожнини рота</w:t>
      </w:r>
      <w:r>
        <w:t xml:space="preserve"> </w:t>
      </w:r>
      <w:r w:rsidRPr="00182F38">
        <w:t>[</w:t>
      </w:r>
      <w:r>
        <w:t>29</w:t>
      </w:r>
      <w:r w:rsidRPr="00182F38">
        <w:t>]</w:t>
      </w:r>
      <w:r>
        <w:t>. І. С. Мащенко, К. В. Скидан, А. П </w:t>
      </w:r>
      <w:r w:rsidRPr="00AF6311">
        <w:t>Левицький у своїх дослідженнях показали, що розви</w:t>
      </w:r>
      <w:r>
        <w:t>ток захворювань тканин пародонта</w:t>
      </w:r>
      <w:r w:rsidRPr="00AF6311">
        <w:t xml:space="preserve"> відбувається на фоні зниження рівня антимікробного захисту ротової порожнини, яке проявляється змен</w:t>
      </w:r>
      <w:r>
        <w:t xml:space="preserve">шенням секреції лізоциму та </w:t>
      </w:r>
      <w:r w:rsidRPr="00AF6311">
        <w:rPr>
          <w:lang w:val="en-US"/>
        </w:rPr>
        <w:t>s</w:t>
      </w:r>
      <w:r w:rsidRPr="00AF6311">
        <w:t>IgА [</w:t>
      </w:r>
      <w:r w:rsidRPr="00F01379">
        <w:t>59</w:t>
      </w:r>
      <w:r w:rsidRPr="00AF6311">
        <w:t xml:space="preserve">]. </w:t>
      </w:r>
    </w:p>
    <w:p w:rsidR="00534FB5" w:rsidRPr="00507578" w:rsidRDefault="00534FB5" w:rsidP="00534FB5">
      <w:pPr>
        <w:ind w:firstLine="708"/>
        <w:contextualSpacing/>
      </w:pPr>
      <w:r w:rsidRPr="00E40BFA">
        <w:t>Результати досліджень останніх</w:t>
      </w:r>
      <w:r>
        <w:t xml:space="preserve"> років свідчать, що виникнення і</w:t>
      </w:r>
      <w:r w:rsidRPr="00E40BFA">
        <w:t xml:space="preserve"> розвиток широкого кола</w:t>
      </w:r>
      <w:r>
        <w:t xml:space="preserve"> стоматологічних</w:t>
      </w:r>
      <w:r w:rsidRPr="00E40BFA">
        <w:t xml:space="preserve"> захворювань супроводжується активацією вільнорадикальних реакцій (ВРР) </w:t>
      </w:r>
      <w:r w:rsidR="00CB78C0">
        <w:t>перекисн</w:t>
      </w:r>
      <w:r w:rsidRPr="00E40BFA">
        <w:t xml:space="preserve">ого окислення ліпідів (ПОЛ). Радикали, які утворюються у клітині, вступають </w:t>
      </w:r>
      <w:r>
        <w:t>у</w:t>
      </w:r>
      <w:r w:rsidRPr="00E40BFA">
        <w:t xml:space="preserve"> взаємоді</w:t>
      </w:r>
      <w:r>
        <w:t>ю</w:t>
      </w:r>
      <w:r w:rsidRPr="00E40BFA">
        <w:t xml:space="preserve"> з клітинними компонентами та ініціюють вторинні ВРР. Це є доказом твердження про загальнобіологічний характер участі вільних радикалів та перекисів ліпідів у пошкодженні</w:t>
      </w:r>
      <w:r w:rsidRPr="0003145F">
        <w:t xml:space="preserve"> клітин</w:t>
      </w:r>
      <w:r>
        <w:t xml:space="preserve"> </w:t>
      </w:r>
      <w:r w:rsidRPr="00182F38">
        <w:t>[</w:t>
      </w:r>
      <w:r>
        <w:t>29</w:t>
      </w:r>
      <w:r w:rsidRPr="00182F38">
        <w:t>]</w:t>
      </w:r>
      <w:r>
        <w:t xml:space="preserve">. </w:t>
      </w:r>
      <w:r w:rsidRPr="0003145F">
        <w:t>Розвиток процесів ПОЛ контролюєтьс</w:t>
      </w:r>
      <w:r>
        <w:t>я антиоксидантною системою (АОС)</w:t>
      </w:r>
      <w:r w:rsidRPr="0003145F">
        <w:t xml:space="preserve">, яка підтримує в організмі прооксидантно-антиоксидантний гомеостаз, а також регулює надмірні кількості продуктів </w:t>
      </w:r>
      <w:r>
        <w:t>ПОЛ</w:t>
      </w:r>
      <w:r w:rsidRPr="0003145F">
        <w:t xml:space="preserve">, що виступають у ролі медіаторів стресу. </w:t>
      </w:r>
      <w:r w:rsidRPr="00E40BFA">
        <w:t>Виснаження АОС призводить до дисбалансу окисно-відновних процесів, що відтак супроводжується синдромом пероксидації та зменшенням концентрації природних антиоксидантів</w:t>
      </w:r>
      <w:r>
        <w:t xml:space="preserve"> </w:t>
      </w:r>
      <w:r w:rsidRPr="00182F38">
        <w:t>[</w:t>
      </w:r>
      <w:r>
        <w:t>29, 65, 68</w:t>
      </w:r>
      <w:r w:rsidRPr="00182F38">
        <w:t>]</w:t>
      </w:r>
      <w:r>
        <w:rPr>
          <w:sz w:val="16"/>
          <w:szCs w:val="16"/>
        </w:rPr>
        <w:t>.</w:t>
      </w:r>
      <w:r>
        <w:t xml:space="preserve"> Зазначене вище свідчить, що</w:t>
      </w:r>
      <w:r w:rsidRPr="00E40BFA">
        <w:t xml:space="preserve"> </w:t>
      </w:r>
      <w:r>
        <w:t xml:space="preserve">ефективність </w:t>
      </w:r>
      <w:r w:rsidRPr="00E40BFA">
        <w:t>стоматологічного лікування суттєво залежить від неспецифічної резистентності порожнини рота</w:t>
      </w:r>
      <w:r>
        <w:t xml:space="preserve"> </w:t>
      </w:r>
      <w:r w:rsidRPr="002F4E76">
        <w:t>[65</w:t>
      </w:r>
      <w:r>
        <w:t>, 68</w:t>
      </w:r>
      <w:r w:rsidRPr="002F4E76">
        <w:t>]</w:t>
      </w:r>
      <w:r>
        <w:t>.</w:t>
      </w:r>
      <w:r>
        <w:rPr>
          <w:color w:val="000000"/>
          <w:shd w:val="clear" w:color="auto" w:fill="FFFFFF"/>
        </w:rPr>
        <w:t xml:space="preserve"> </w:t>
      </w:r>
    </w:p>
    <w:p w:rsidR="00534FB5" w:rsidRPr="009A6B7D" w:rsidRDefault="00534FB5" w:rsidP="00534FB5">
      <w:pPr>
        <w:ind w:firstLine="567"/>
        <w:contextualSpacing/>
        <w:rPr>
          <w:sz w:val="16"/>
          <w:szCs w:val="16"/>
        </w:rPr>
      </w:pPr>
      <w:r>
        <w:t>Окрім того, р</w:t>
      </w:r>
      <w:r w:rsidRPr="00E40BFA">
        <w:t>озвиток патологічних змін в ротовій порожнині завжди супроводжується реакцією різних ланок її захисту: запал</w:t>
      </w:r>
      <w:r>
        <w:t>ьні процеси в тканинах пародонта</w:t>
      </w:r>
      <w:r w:rsidRPr="00E40BFA">
        <w:t xml:space="preserve"> призводять до втрати зубів, появи в порожнині рота осередків хронічної інфекції, зниження реактивності організму, мікробної сенсибілізації, розвитку алергічних станів </w:t>
      </w:r>
      <w:r>
        <w:t>та</w:t>
      </w:r>
      <w:r w:rsidRPr="00E40BFA">
        <w:t xml:space="preserve"> інших розладів</w:t>
      </w:r>
      <w:r>
        <w:t xml:space="preserve"> </w:t>
      </w:r>
      <w:r w:rsidRPr="00182F38">
        <w:t>[</w:t>
      </w:r>
      <w:r w:rsidRPr="00F01379">
        <w:t>28, 29, 34, 61, 72, 91].</w:t>
      </w:r>
      <w:r>
        <w:t xml:space="preserve"> </w:t>
      </w:r>
      <w:r w:rsidRPr="00E40BFA">
        <w:t>Саме тому поглиблене вивчення ролі місцевого імунітету в процесах життєзабезпечення щільних</w:t>
      </w:r>
      <w:r>
        <w:t xml:space="preserve"> та м’яких тканин порожнини рота</w:t>
      </w:r>
      <w:r w:rsidRPr="00E40BFA">
        <w:t xml:space="preserve"> створює передумови для коректного втручання з лікувально-профілактичною метою. </w:t>
      </w:r>
    </w:p>
    <w:p w:rsidR="00534FB5" w:rsidRPr="00AF6311" w:rsidRDefault="00534FB5" w:rsidP="00534FB5">
      <w:pPr>
        <w:ind w:firstLine="709"/>
        <w:contextualSpacing/>
      </w:pPr>
      <w:r w:rsidRPr="00AF6311">
        <w:t>Таким чином, спираючись на все зазначене</w:t>
      </w:r>
      <w:r w:rsidRPr="003B6371">
        <w:t xml:space="preserve"> </w:t>
      </w:r>
      <w:r w:rsidRPr="00AF6311">
        <w:t xml:space="preserve">вище, не виникає сумнівів </w:t>
      </w:r>
      <w:r w:rsidRPr="00AF6311">
        <w:lastRenderedPageBreak/>
        <w:t>правомірність розгляду питань психологічного та соматичного здоров</w:t>
      </w:r>
      <w:r>
        <w:t>’</w:t>
      </w:r>
      <w:r w:rsidRPr="00AF6311">
        <w:t>я в сенсі їх взаємного впливу.</w:t>
      </w:r>
      <w:r>
        <w:t xml:space="preserve"> </w:t>
      </w:r>
      <w:r w:rsidRPr="00AF6311">
        <w:t xml:space="preserve">Дія стресу опосередковано призводить до активації адаптаційного синдрому. Збій </w:t>
      </w:r>
      <w:r>
        <w:t>у</w:t>
      </w:r>
      <w:r w:rsidRPr="00AF6311">
        <w:t xml:space="preserve"> системі, що забезпечує пристосування до мінливих умов соціального життя, розв</w:t>
      </w:r>
      <w:r>
        <w:t>’</w:t>
      </w:r>
      <w:r w:rsidRPr="00AF6311">
        <w:t xml:space="preserve">язання психогенних ситуацій </w:t>
      </w:r>
      <w:r>
        <w:t>викликає</w:t>
      </w:r>
      <w:r w:rsidRPr="00AF6311">
        <w:t xml:space="preserve"> розвит</w:t>
      </w:r>
      <w:r>
        <w:t>о</w:t>
      </w:r>
      <w:r w:rsidRPr="00AF6311">
        <w:t>к психологічної дезадаптації</w:t>
      </w:r>
      <w:r>
        <w:t>,</w:t>
      </w:r>
      <w:r w:rsidRPr="00AF6311">
        <w:t xml:space="preserve"> </w:t>
      </w:r>
      <w:r>
        <w:t>я</w:t>
      </w:r>
      <w:r w:rsidRPr="00AF6311">
        <w:t xml:space="preserve">ка проявляється у невротичному розвитку особистості, невротичних станах </w:t>
      </w:r>
      <w:r>
        <w:t>і</w:t>
      </w:r>
      <w:r w:rsidRPr="00AF6311">
        <w:t xml:space="preserve"> реакціях, акцентуаціях тощо. Слинні залози є високочутливими до дії нервових та гуморальних впливів. Стрес</w:t>
      </w:r>
      <w:r>
        <w:t>,</w:t>
      </w:r>
      <w:r w:rsidRPr="00AF6311">
        <w:t xml:space="preserve"> впливаючи на їх функцію</w:t>
      </w:r>
      <w:r>
        <w:t xml:space="preserve">, </w:t>
      </w:r>
      <w:r w:rsidRPr="00AF6311">
        <w:t>змінює біохімічні та фізичні властивості ротової рідини</w:t>
      </w:r>
      <w:r>
        <w:t>,</w:t>
      </w:r>
      <w:r w:rsidRPr="00AF6311">
        <w:t xml:space="preserve"> </w:t>
      </w:r>
      <w:r>
        <w:t>я</w:t>
      </w:r>
      <w:r w:rsidRPr="00AF6311">
        <w:t xml:space="preserve">ка відіграє важливу роль у виникненні </w:t>
      </w:r>
      <w:r>
        <w:t>й</w:t>
      </w:r>
      <w:r w:rsidRPr="00AF6311">
        <w:t xml:space="preserve"> розвитку основних стоматологічних захворювань.</w:t>
      </w:r>
    </w:p>
    <w:p w:rsidR="00534FB5" w:rsidRPr="00480E7E" w:rsidRDefault="00534FB5" w:rsidP="00534FB5"/>
    <w:p w:rsidR="00534FB5" w:rsidRPr="00AF6311" w:rsidRDefault="00534FB5" w:rsidP="00534FB5">
      <w:pPr>
        <w:ind w:firstLine="709"/>
        <w:contextualSpacing/>
        <w:rPr>
          <w:b/>
        </w:rPr>
      </w:pPr>
      <w:r w:rsidRPr="00AF6311">
        <w:rPr>
          <w:b/>
        </w:rPr>
        <w:t>1.4. Особливості проведення профілактичних заходів на сучасному етапі розвитку стоматології</w:t>
      </w:r>
    </w:p>
    <w:p w:rsidR="00534FB5" w:rsidRPr="00AF6311" w:rsidRDefault="00534FB5" w:rsidP="00534FB5">
      <w:pPr>
        <w:ind w:firstLine="709"/>
        <w:contextualSpacing/>
      </w:pPr>
    </w:p>
    <w:p w:rsidR="00534FB5" w:rsidRPr="00AF6311" w:rsidRDefault="00534FB5" w:rsidP="00534FB5">
      <w:pPr>
        <w:ind w:firstLine="709"/>
        <w:contextualSpacing/>
        <w:rPr>
          <w:b/>
        </w:rPr>
      </w:pPr>
      <w:r w:rsidRPr="00AF6311">
        <w:t xml:space="preserve">На сучасному етапі профілактика </w:t>
      </w:r>
      <w:r>
        <w:t>–</w:t>
      </w:r>
      <w:r w:rsidRPr="00AF6311">
        <w:t xml:space="preserve"> це система державних, соціальних, гігієнічних і медичних заходів, спрямованих на забезпечення високого рівня здоров</w:t>
      </w:r>
      <w:r>
        <w:t>’</w:t>
      </w:r>
      <w:r w:rsidRPr="00AF6311">
        <w:t xml:space="preserve">я населення та </w:t>
      </w:r>
      <w:r>
        <w:t>запобігання</w:t>
      </w:r>
      <w:r w:rsidRPr="00AF6311">
        <w:t xml:space="preserve"> хвороб</w:t>
      </w:r>
      <w:r>
        <w:t>ам</w:t>
      </w:r>
      <w:r w:rsidRPr="00AF6311">
        <w:t>. Медичні заходи профілактики основних стоматологічних захворювань повинні включати розро</w:t>
      </w:r>
      <w:r>
        <w:t>бку та впровадження обґрунтованих етіологічно</w:t>
      </w:r>
      <w:r w:rsidRPr="00AF6311">
        <w:t xml:space="preserve"> та патогенетично методів впливу на макроорганізм та органи порожнини рота з метою їх загального оздоровлення, підвищення резистентності до основних стоматологічних захворювань та зниження карієсогенності несприятливих факторів зовнішнього середовища [</w:t>
      </w:r>
      <w:r w:rsidRPr="00F01379">
        <w:t>78,</w:t>
      </w:r>
      <w:r>
        <w:t xml:space="preserve"> </w:t>
      </w:r>
      <w:r w:rsidRPr="00AF6311">
        <w:t>с.</w:t>
      </w:r>
      <w:r>
        <w:rPr>
          <w:lang w:val="en-US"/>
        </w:rPr>
        <w:t> </w:t>
      </w:r>
      <w:r w:rsidRPr="00AF6311">
        <w:t xml:space="preserve">6]. </w:t>
      </w:r>
    </w:p>
    <w:p w:rsidR="00534FB5" w:rsidRPr="00963341" w:rsidRDefault="00534FB5" w:rsidP="0001401C">
      <w:pPr>
        <w:ind w:firstLine="709"/>
        <w:contextualSpacing/>
      </w:pPr>
      <w:r w:rsidRPr="00AF6311">
        <w:t xml:space="preserve">Заходи, спрямовані на зниження дії патогенних факторів </w:t>
      </w:r>
      <w:r>
        <w:t>у</w:t>
      </w:r>
      <w:r w:rsidRPr="00AF6311">
        <w:t xml:space="preserve"> порожни</w:t>
      </w:r>
      <w:r>
        <w:t xml:space="preserve">ні рота, можуть бути </w:t>
      </w:r>
      <w:r w:rsidRPr="00AF6311">
        <w:t>етіотропни</w:t>
      </w:r>
      <w:r>
        <w:t>ми</w:t>
      </w:r>
      <w:r w:rsidRPr="00AF6311">
        <w:t xml:space="preserve"> та патогенетични</w:t>
      </w:r>
      <w:r>
        <w:t>ми</w:t>
      </w:r>
      <w:r w:rsidRPr="00AF6311">
        <w:t>, залежно від ланки розвитку хвороби</w:t>
      </w:r>
      <w:r>
        <w:t>,</w:t>
      </w:r>
      <w:r w:rsidRPr="00AF6311">
        <w:t xml:space="preserve"> на яку буде здійснен</w:t>
      </w:r>
      <w:r>
        <w:t>о</w:t>
      </w:r>
      <w:r w:rsidRPr="00AF6311">
        <w:t xml:space="preserve"> вплив. Оскільки одним </w:t>
      </w:r>
      <w:r>
        <w:t>і</w:t>
      </w:r>
      <w:r w:rsidRPr="00AF6311">
        <w:t>з важливих етіологічних чинників розвитку карієсу зубів</w:t>
      </w:r>
      <w:r>
        <w:t xml:space="preserve"> та захворювань тканин пародонта</w:t>
      </w:r>
      <w:r w:rsidRPr="00AF6311">
        <w:t xml:space="preserve"> є патоге</w:t>
      </w:r>
      <w:r>
        <w:t xml:space="preserve">нна мікрофлора порожнини рота, </w:t>
      </w:r>
      <w:r w:rsidRPr="00AF6311">
        <w:t xml:space="preserve">основна кількість профілактичних заходів на сучасному етапі розвитку стоматології </w:t>
      </w:r>
      <w:r w:rsidRPr="00AF6311">
        <w:lastRenderedPageBreak/>
        <w:t>спрямована на зниження її кількості в порожнині рота</w:t>
      </w:r>
      <w:r>
        <w:t xml:space="preserve"> </w:t>
      </w:r>
      <w:r w:rsidRPr="007F40FC">
        <w:t>[45,</w:t>
      </w:r>
      <w:r>
        <w:t xml:space="preserve"> 89,</w:t>
      </w:r>
      <w:r w:rsidRPr="007F40FC">
        <w:t xml:space="preserve"> 106, 110, 127]</w:t>
      </w:r>
      <w:r w:rsidRPr="00AF6311">
        <w:t>. Досягнення цієї мети можливе завдяки використанню препаратів антимікробної дії. Їх кількість та розмаїття, завдя</w:t>
      </w:r>
      <w:r>
        <w:t>к</w:t>
      </w:r>
      <w:r w:rsidRPr="00AF6311">
        <w:t>и широкому розвитку фармацевтичної промисловості, значно збільшилас</w:t>
      </w:r>
      <w:r>
        <w:t>я</w:t>
      </w:r>
      <w:r w:rsidR="00345EEC">
        <w:t xml:space="preserve"> в останні десятиріччя </w:t>
      </w:r>
      <w:r w:rsidRPr="00AF6311">
        <w:t>[</w:t>
      </w:r>
      <w:r w:rsidRPr="006632F1">
        <w:t>45</w:t>
      </w:r>
      <w:r w:rsidRPr="00AF6311">
        <w:t>]. Без використання антимікробних препаратів не можна уявити майже жодної схеми лікування та профілактики. У вигляді ін</w:t>
      </w:r>
      <w:r>
        <w:t>’</w:t>
      </w:r>
      <w:r w:rsidRPr="00AF6311">
        <w:t xml:space="preserve">єкцій, таблеток, капсул, крапель, мазей тощо вони проникли і міцно </w:t>
      </w:r>
      <w:r>
        <w:t>в</w:t>
      </w:r>
      <w:r w:rsidRPr="00AF6311">
        <w:t>кор</w:t>
      </w:r>
      <w:r w:rsidR="0001401C">
        <w:t>е</w:t>
      </w:r>
      <w:r w:rsidRPr="00AF6311">
        <w:t>нилис</w:t>
      </w:r>
      <w:r>
        <w:t>я</w:t>
      </w:r>
      <w:r w:rsidRPr="00AF6311">
        <w:t xml:space="preserve"> у всіх галузях медицини, виключенням </w:t>
      </w:r>
      <w:r>
        <w:t>не є</w:t>
      </w:r>
      <w:r w:rsidRPr="00AF6311">
        <w:t xml:space="preserve"> і стоматологія. За рекомендацією фармацевт</w:t>
      </w:r>
      <w:r>
        <w:t>а</w:t>
      </w:r>
      <w:r w:rsidRPr="00AF6311">
        <w:t xml:space="preserve"> аптечної мережі або самостійно без нагляду лікаря хворі приймають антибактеріальні препарати</w:t>
      </w:r>
      <w:r>
        <w:t xml:space="preserve"> –</w:t>
      </w:r>
      <w:r w:rsidRPr="00AF6311">
        <w:t xml:space="preserve"> за потребою і без</w:t>
      </w:r>
      <w:r>
        <w:t>,</w:t>
      </w:r>
      <w:r w:rsidRPr="00AF6311">
        <w:t xml:space="preserve"> </w:t>
      </w:r>
      <w:r>
        <w:t>у</w:t>
      </w:r>
      <w:r w:rsidRPr="00AF6311">
        <w:t xml:space="preserve"> той час як аналіз опублікованих матеріалів і даних щодо їх хімічного, фармакологічного, експериментального та клінічного вивчення</w:t>
      </w:r>
      <w:r>
        <w:t xml:space="preserve"> </w:t>
      </w:r>
      <w:r w:rsidRPr="00AF6311">
        <w:t>дозволяє зробити висновок щодо великої кількості негативних наслідків</w:t>
      </w:r>
      <w:r>
        <w:t xml:space="preserve"> </w:t>
      </w:r>
      <w:r w:rsidRPr="00AF6311">
        <w:t xml:space="preserve">використання </w:t>
      </w:r>
      <w:r>
        <w:t xml:space="preserve">цих ліків </w:t>
      </w:r>
      <w:r w:rsidRPr="008B63D3">
        <w:t>[</w:t>
      </w:r>
      <w:r>
        <w:t>31, 36</w:t>
      </w:r>
      <w:r w:rsidRPr="00277C4F">
        <w:t>, 88, 90</w:t>
      </w:r>
      <w:r w:rsidRPr="008B63D3">
        <w:t>]</w:t>
      </w:r>
      <w:r w:rsidRPr="00277C4F">
        <w:t>.</w:t>
      </w:r>
      <w:r w:rsidRPr="00AF6311">
        <w:t xml:space="preserve"> Окрім токсичних, алергічних та інших побічних ефектів антибактеріальні препарати мають мікробні ефекти, що проявляються у вигляді дисбактеріозів та</w:t>
      </w:r>
      <w:r>
        <w:t xml:space="preserve"> суперінфекцій [45</w:t>
      </w:r>
      <w:r w:rsidRPr="00AF6311">
        <w:t xml:space="preserve">]. </w:t>
      </w:r>
      <w:r>
        <w:t>У</w:t>
      </w:r>
      <w:r w:rsidRPr="00AF6311">
        <w:t xml:space="preserve"> складі засобів для гігієни порожнини рота (зубних паст, еліксирів та ополіскувачів) вони надходять до організму щоденно</w:t>
      </w:r>
      <w:r>
        <w:t>,</w:t>
      </w:r>
      <w:r w:rsidRPr="00AF6311">
        <w:t xml:space="preserve"> </w:t>
      </w:r>
      <w:r>
        <w:t>з</w:t>
      </w:r>
      <w:r w:rsidRPr="00AF6311">
        <w:t xml:space="preserve">дебільшого </w:t>
      </w:r>
      <w:r>
        <w:t xml:space="preserve">– </w:t>
      </w:r>
      <w:r w:rsidRPr="00AF6311">
        <w:t>у вигляді бензоату натрію, саліцилатів, поліфенолів, хлоргексидину, триклозану тощо [</w:t>
      </w:r>
      <w:r w:rsidRPr="00F01379">
        <w:t>107</w:t>
      </w:r>
      <w:r w:rsidRPr="00AF6311">
        <w:t xml:space="preserve">]. Здавалося б, після такої масивної «атаки» хвороботворні мікроорганізм порожнини рота мають бути переможені, а кількість стоматологічних захворювань </w:t>
      </w:r>
      <w:r>
        <w:t xml:space="preserve">повинна </w:t>
      </w:r>
      <w:r w:rsidRPr="00AF6311">
        <w:t>різко знизитис</w:t>
      </w:r>
      <w:r>
        <w:t>я</w:t>
      </w:r>
      <w:r w:rsidRPr="00AF6311">
        <w:t xml:space="preserve">, але цього не відбувається, </w:t>
      </w:r>
      <w:r>
        <w:t>пошир</w:t>
      </w:r>
      <w:r w:rsidRPr="00AF6311">
        <w:t>еність стоматологічних захворювань</w:t>
      </w:r>
      <w:r>
        <w:t xml:space="preserve"> </w:t>
      </w:r>
      <w:r w:rsidRPr="00AF6311">
        <w:t xml:space="preserve">продовжує зростати не тільки в Україні, а й </w:t>
      </w:r>
      <w:r>
        <w:t>у</w:t>
      </w:r>
      <w:r w:rsidRPr="00AF6311">
        <w:t xml:space="preserve"> розвинених країнах</w:t>
      </w:r>
      <w:r>
        <w:t xml:space="preserve"> </w:t>
      </w:r>
      <w:r w:rsidRPr="00837DB1">
        <w:t>[</w:t>
      </w:r>
      <w:r w:rsidRPr="00F01379">
        <w:t>17,</w:t>
      </w:r>
      <w:r>
        <w:t xml:space="preserve"> 27,</w:t>
      </w:r>
      <w:r w:rsidRPr="00F01379">
        <w:t xml:space="preserve"> </w:t>
      </w:r>
      <w:r>
        <w:t>66, 69</w:t>
      </w:r>
      <w:r w:rsidRPr="00837DB1">
        <w:t>]</w:t>
      </w:r>
      <w:r w:rsidRPr="00AF6311">
        <w:t xml:space="preserve">. </w:t>
      </w:r>
      <w:r>
        <w:t>Р</w:t>
      </w:r>
      <w:r w:rsidRPr="00AF6311">
        <w:t>озплатою за безвідповідальне та недоцільне використання антимікробних препаратів є</w:t>
      </w:r>
      <w:r>
        <w:t xml:space="preserve"> </w:t>
      </w:r>
      <w:r w:rsidRPr="00AF6311">
        <w:t xml:space="preserve">збільшення питомої ваги ускладнень в стоматології у вигляді антибіотичних, </w:t>
      </w:r>
      <w:r w:rsidRPr="00963341">
        <w:t>виразково-некротичних стоматитів, медикаментозних гінгівітів та алергічних глоситів [45], дисбактеріозу [30]. Оральний дисбактеріоз, своєю чергою, обумовлює виникнення опортуністичних інфекцій [26].</w:t>
      </w:r>
    </w:p>
    <w:p w:rsidR="00534FB5" w:rsidRPr="00963341" w:rsidRDefault="00534FB5" w:rsidP="00534FB5">
      <w:pPr>
        <w:ind w:firstLine="709"/>
        <w:contextualSpacing/>
      </w:pPr>
      <w:r w:rsidRPr="00963341">
        <w:lastRenderedPageBreak/>
        <w:t xml:space="preserve">Фізіологічний мікробіоциноз порожнини рота починає формуватися з моменту народження дитини, цей процес продовжується під час грудного годування, тетрасахариди молока матері стимулюють </w:t>
      </w:r>
      <w:r w:rsidR="00752CB5">
        <w:t>ріст біфідумбактерій </w:t>
      </w:r>
      <w:r w:rsidRPr="00963341">
        <w:t xml:space="preserve">[45]. Після закінчення грудного годування у ролі пребіотиків можуть виступати харчові речовини рослинного походження. Але, на жаль, більшість із них не є їстівними (оболонки, листя) або рідковживаними (топінамбур, цикорій, лопух). Водночас вживання рафінованої їжі взагалі позбавляє організм останньої можливості природним шляхом відновити мікробіоциноз порожнини рота [45]. Саме тому, на думку таких вчених, як Б. А. Шендеров, В. В. Смирнов, А. П. Левицький </w:t>
      </w:r>
      <w:r w:rsidRPr="00963341">
        <w:rPr>
          <w:lang w:val="ru-RU"/>
        </w:rPr>
        <w:t>[45, 94, 105],</w:t>
      </w:r>
      <w:r w:rsidRPr="00963341">
        <w:t xml:space="preserve"> настала криза антимікробної терапії та профілактики багатьох захворювань, у тому числі й стоматологічних. Виходом із цієї ситуації є звернення медицини, зокрема стоматології, в бік здійснення заходів зі створення специфічного (вакцини) та неспецифічного (адаптогени, імуностимулятори) імунітету [93].</w:t>
      </w:r>
    </w:p>
    <w:p w:rsidR="00534FB5" w:rsidRPr="00963341" w:rsidRDefault="00534FB5" w:rsidP="00534FB5">
      <w:pPr>
        <w:ind w:firstLine="709"/>
        <w:contextualSpacing/>
      </w:pPr>
      <w:r w:rsidRPr="00963341">
        <w:t xml:space="preserve">Під створенням специфічного імунітету розуміють розробку вакцин для профілактики карієсу зубів. Починаючи з 1975 року, коли компанія </w:t>
      </w:r>
      <w:r w:rsidRPr="00963341">
        <w:rPr>
          <w:lang w:val="en-US"/>
        </w:rPr>
        <w:t>Colgate</w:t>
      </w:r>
      <w:r w:rsidRPr="00963341">
        <w:t xml:space="preserve"> </w:t>
      </w:r>
      <w:r w:rsidRPr="00963341">
        <w:rPr>
          <w:lang w:val="en-US"/>
        </w:rPr>
        <w:t>Palmolive</w:t>
      </w:r>
      <w:r w:rsidRPr="00963341">
        <w:t xml:space="preserve"> (</w:t>
      </w:r>
      <w:r w:rsidRPr="00963341">
        <w:rPr>
          <w:lang w:val="en-US"/>
        </w:rPr>
        <w:t>GB</w:t>
      </w:r>
      <w:r w:rsidRPr="00963341">
        <w:t xml:space="preserve">) запатентувала свою вакцину проти карієсу зубів [134], і дотепер зареєстровано близько сорока патентів, що стосуються виду вакцини, способу та компонентів, які використовують для її виготовлення. У 2007 році науковці Lee Andrew, </w:t>
      </w:r>
      <w:r w:rsidRPr="00963341">
        <w:rPr>
          <w:lang w:val="en-US"/>
        </w:rPr>
        <w:t>Taubman</w:t>
      </w:r>
      <w:r w:rsidRPr="00963341">
        <w:t> </w:t>
      </w:r>
      <w:r w:rsidRPr="00963341">
        <w:rPr>
          <w:lang w:val="en-US"/>
        </w:rPr>
        <w:t>Martin</w:t>
      </w:r>
      <w:r w:rsidRPr="00963341">
        <w:t> </w:t>
      </w:r>
      <w:r w:rsidRPr="00963341">
        <w:rPr>
          <w:lang w:val="en-US"/>
        </w:rPr>
        <w:t>A</w:t>
      </w:r>
      <w:r w:rsidRPr="00963341">
        <w:t xml:space="preserve">., </w:t>
      </w:r>
      <w:r w:rsidRPr="00963341">
        <w:rPr>
          <w:lang w:val="en-US"/>
        </w:rPr>
        <w:t>Smiyh</w:t>
      </w:r>
      <w:r w:rsidRPr="00963341">
        <w:t> </w:t>
      </w:r>
      <w:r w:rsidRPr="00963341">
        <w:rPr>
          <w:lang w:val="en-US"/>
        </w:rPr>
        <w:t>Daniel</w:t>
      </w:r>
      <w:r w:rsidRPr="00963341">
        <w:t> </w:t>
      </w:r>
      <w:r w:rsidRPr="00963341">
        <w:rPr>
          <w:lang w:val="en-US"/>
        </w:rPr>
        <w:t>J</w:t>
      </w:r>
      <w:r w:rsidRPr="00963341">
        <w:t>. (США) запатентували відкриття кон’югованої вакцини для профілактики карієсу (</w:t>
      </w:r>
      <w:r w:rsidRPr="00963341">
        <w:rPr>
          <w:lang w:val="en-US"/>
        </w:rPr>
        <w:t>Conjugate</w:t>
      </w:r>
      <w:r w:rsidRPr="00963341">
        <w:t xml:space="preserve"> </w:t>
      </w:r>
      <w:r w:rsidRPr="00963341">
        <w:rPr>
          <w:lang w:val="en-US"/>
        </w:rPr>
        <w:t>Vaccines</w:t>
      </w:r>
      <w:r w:rsidRPr="00963341">
        <w:t xml:space="preserve"> </w:t>
      </w:r>
      <w:r w:rsidRPr="00963341">
        <w:rPr>
          <w:lang w:val="en-US"/>
        </w:rPr>
        <w:t>for</w:t>
      </w:r>
      <w:r w:rsidRPr="00963341">
        <w:t xml:space="preserve"> </w:t>
      </w:r>
      <w:r w:rsidRPr="00963341">
        <w:rPr>
          <w:lang w:val="en-US"/>
        </w:rPr>
        <w:t>Prevention</w:t>
      </w:r>
      <w:r w:rsidRPr="00963341">
        <w:t xml:space="preserve"> </w:t>
      </w:r>
      <w:r w:rsidRPr="00963341">
        <w:rPr>
          <w:lang w:val="en-US"/>
        </w:rPr>
        <w:t>of</w:t>
      </w:r>
      <w:r w:rsidRPr="00963341">
        <w:t xml:space="preserve"> </w:t>
      </w:r>
      <w:r w:rsidRPr="00963341">
        <w:rPr>
          <w:lang w:val="en-US"/>
        </w:rPr>
        <w:t>Dental</w:t>
      </w:r>
      <w:r w:rsidRPr="00963341">
        <w:t xml:space="preserve"> </w:t>
      </w:r>
      <w:r w:rsidRPr="00963341">
        <w:rPr>
          <w:lang w:val="en-US"/>
        </w:rPr>
        <w:t>Caries</w:t>
      </w:r>
      <w:r w:rsidRPr="00963341">
        <w:t>) [137]. В 2006 році дослідники з Португалії розробили та запатентували вакцину проти карієсу зубів, дія якої пов’язана з імуномодулюючими вірулентними позаклітинними білками карієсогенних Str</w:t>
      </w:r>
      <w:r w:rsidRPr="00963341">
        <w:rPr>
          <w:lang w:val="en-US"/>
        </w:rPr>
        <w:t>eptococcus</w:t>
      </w:r>
      <w:r w:rsidRPr="00963341">
        <w:t xml:space="preserve"> </w:t>
      </w:r>
      <w:r w:rsidRPr="00963341">
        <w:rPr>
          <w:lang w:val="en-US"/>
        </w:rPr>
        <w:t>mutans</w:t>
      </w:r>
      <w:r w:rsidRPr="00963341">
        <w:t xml:space="preserve"> та Str</w:t>
      </w:r>
      <w:r w:rsidRPr="00963341">
        <w:rPr>
          <w:lang w:val="en-US"/>
        </w:rPr>
        <w:t>eptococcus</w:t>
      </w:r>
      <w:r w:rsidRPr="00963341">
        <w:t xml:space="preserve"> </w:t>
      </w:r>
      <w:r w:rsidRPr="00963341">
        <w:rPr>
          <w:lang w:val="en-US"/>
        </w:rPr>
        <w:t>sobrinus</w:t>
      </w:r>
      <w:r w:rsidRPr="00963341">
        <w:t xml:space="preserve"> (</w:t>
      </w:r>
      <w:r w:rsidRPr="00963341">
        <w:rPr>
          <w:lang w:val="en-US"/>
        </w:rPr>
        <w:t>Virulence</w:t>
      </w:r>
      <w:r w:rsidRPr="00963341">
        <w:t>-</w:t>
      </w:r>
      <w:r w:rsidRPr="00963341">
        <w:rPr>
          <w:lang w:val="en-US"/>
        </w:rPr>
        <w:t>associated</w:t>
      </w:r>
      <w:r w:rsidRPr="00963341">
        <w:t xml:space="preserve"> </w:t>
      </w:r>
      <w:r w:rsidRPr="00963341">
        <w:rPr>
          <w:lang w:val="en-US"/>
        </w:rPr>
        <w:t>Immunomodulatory</w:t>
      </w:r>
      <w:r w:rsidRPr="00963341">
        <w:t xml:space="preserve"> </w:t>
      </w:r>
      <w:r w:rsidRPr="00963341">
        <w:rPr>
          <w:lang w:val="en-US"/>
        </w:rPr>
        <w:t>extracellular</w:t>
      </w:r>
      <w:r w:rsidRPr="00963341">
        <w:t xml:space="preserve"> </w:t>
      </w:r>
      <w:r w:rsidRPr="00963341">
        <w:rPr>
          <w:lang w:val="en-US"/>
        </w:rPr>
        <w:t>Proteins</w:t>
      </w:r>
      <w:r w:rsidRPr="00963341">
        <w:t xml:space="preserve"> – </w:t>
      </w:r>
      <w:r w:rsidRPr="00963341">
        <w:rPr>
          <w:lang w:val="en-US"/>
        </w:rPr>
        <w:t>VIP</w:t>
      </w:r>
      <w:r w:rsidRPr="00963341">
        <w:t xml:space="preserve">) [136]. Китайські науковці Fan Mingwen, </w:t>
      </w:r>
      <w:r w:rsidRPr="00963341">
        <w:rPr>
          <w:lang w:val="en-US"/>
        </w:rPr>
        <w:t>Jia</w:t>
      </w:r>
      <w:r w:rsidRPr="00963341">
        <w:t> </w:t>
      </w:r>
      <w:r w:rsidRPr="00963341">
        <w:rPr>
          <w:lang w:val="en-US"/>
        </w:rPr>
        <w:t>Rong</w:t>
      </w:r>
      <w:r w:rsidRPr="00963341">
        <w:t xml:space="preserve">, </w:t>
      </w:r>
      <w:r w:rsidRPr="00963341">
        <w:rPr>
          <w:lang w:val="en-US"/>
        </w:rPr>
        <w:t>Guo</w:t>
      </w:r>
      <w:r w:rsidRPr="00963341">
        <w:t> </w:t>
      </w:r>
      <w:r w:rsidRPr="00963341">
        <w:rPr>
          <w:lang w:val="en-US"/>
        </w:rPr>
        <w:t>Jihua</w:t>
      </w:r>
      <w:r w:rsidRPr="00963341">
        <w:t xml:space="preserve"> в 2005 році запатентували ДНК-вакцину цільового призначення для профілактики карієсу та спосіб її приготування [133]. </w:t>
      </w:r>
      <w:r w:rsidRPr="00963341">
        <w:rPr>
          <w:lang w:val="en-US"/>
        </w:rPr>
        <w:t>Cabrita</w:t>
      </w:r>
      <w:r w:rsidRPr="00963341">
        <w:t> </w:t>
      </w:r>
      <w:r w:rsidRPr="00963341">
        <w:rPr>
          <w:lang w:val="en-US"/>
        </w:rPr>
        <w:t>Antonio</w:t>
      </w:r>
      <w:r w:rsidRPr="00963341">
        <w:t> </w:t>
      </w:r>
      <w:r w:rsidRPr="00963341">
        <w:rPr>
          <w:lang w:val="en-US"/>
        </w:rPr>
        <w:t>Manuel</w:t>
      </w:r>
      <w:r w:rsidRPr="00963341">
        <w:t> </w:t>
      </w:r>
      <w:r w:rsidRPr="00963341">
        <w:rPr>
          <w:lang w:val="en-US"/>
        </w:rPr>
        <w:t>Silveri</w:t>
      </w:r>
      <w:r w:rsidRPr="00963341">
        <w:t xml:space="preserve">, </w:t>
      </w:r>
      <w:r w:rsidRPr="00963341">
        <w:rPr>
          <w:lang w:val="en-US"/>
        </w:rPr>
        <w:lastRenderedPageBreak/>
        <w:t>Gomes</w:t>
      </w:r>
      <w:r w:rsidRPr="00963341">
        <w:t> </w:t>
      </w:r>
      <w:r w:rsidRPr="00963341">
        <w:rPr>
          <w:lang w:val="en-US"/>
        </w:rPr>
        <w:t>Maria</w:t>
      </w:r>
      <w:r w:rsidRPr="00963341">
        <w:t> </w:t>
      </w:r>
      <w:r w:rsidRPr="00963341">
        <w:rPr>
          <w:lang w:val="en-US"/>
        </w:rPr>
        <w:t>Delfina</w:t>
      </w:r>
      <w:r w:rsidRPr="00963341">
        <w:t> </w:t>
      </w:r>
      <w:r w:rsidRPr="00963341">
        <w:rPr>
          <w:lang w:val="en-US"/>
        </w:rPr>
        <w:t>da</w:t>
      </w:r>
      <w:r w:rsidRPr="00963341">
        <w:t> </w:t>
      </w:r>
      <w:r w:rsidRPr="00963341">
        <w:rPr>
          <w:lang w:val="en-US"/>
        </w:rPr>
        <w:t>Conceic</w:t>
      </w:r>
      <w:r w:rsidRPr="00963341">
        <w:t xml:space="preserve"> та співавтори з Університету Порто в 2004 році розробили вакцину проти карієсу, основану на позаклітинних білках, ізольованих від Str</w:t>
      </w:r>
      <w:r w:rsidRPr="00963341">
        <w:rPr>
          <w:lang w:val="en-US"/>
        </w:rPr>
        <w:t>eptococcus</w:t>
      </w:r>
      <w:r w:rsidRPr="00963341">
        <w:t xml:space="preserve"> </w:t>
      </w:r>
      <w:r w:rsidRPr="00963341">
        <w:rPr>
          <w:lang w:val="en-US"/>
        </w:rPr>
        <w:t>sobrinus </w:t>
      </w:r>
      <w:r w:rsidRPr="00963341">
        <w:t xml:space="preserve">[135]. </w:t>
      </w:r>
    </w:p>
    <w:p w:rsidR="00534FB5" w:rsidRPr="00963341" w:rsidRDefault="00534FB5" w:rsidP="00534FB5">
      <w:pPr>
        <w:ind w:firstLine="709"/>
        <w:contextualSpacing/>
      </w:pPr>
      <w:r w:rsidRPr="00963341">
        <w:t xml:space="preserve">Однак незважаючи на майже тридцятирічний досвід у розробці вакцин для профілактики карієсу зубів, дотепер вони не набули широкого поширення ні за кордоном, ні в Україні. </w:t>
      </w:r>
    </w:p>
    <w:p w:rsidR="00534FB5" w:rsidRPr="00963341" w:rsidRDefault="00534FB5" w:rsidP="00534FB5">
      <w:pPr>
        <w:ind w:firstLine="709"/>
        <w:contextualSpacing/>
      </w:pPr>
      <w:r w:rsidRPr="00963341">
        <w:t>Найбільш ефективним способом підвищення рівня загальної та місцевої неспецифічної резистентності є нормалізація адаптаційних реакцій в організмі. Іншими словами, забезпечення переведення функціональних реакцій в організмі на нормальний фізіологічний рівень. При цьому основним завданням є забезпечення стабільності досягнутого ефективного рівня адаптаційно-компенсаторних реакцій [</w:t>
      </w:r>
      <w:r w:rsidRPr="00963341">
        <w:rPr>
          <w:lang w:val="ru-RU"/>
        </w:rPr>
        <w:t xml:space="preserve">22, </w:t>
      </w:r>
      <w:r w:rsidRPr="00963341">
        <w:t xml:space="preserve">84]. </w:t>
      </w:r>
    </w:p>
    <w:p w:rsidR="00534FB5" w:rsidRPr="00963341" w:rsidRDefault="00534FB5" w:rsidP="00534FB5">
      <w:pPr>
        <w:ind w:firstLine="709"/>
        <w:contextualSpacing/>
      </w:pPr>
      <w:r w:rsidRPr="00963341">
        <w:t>Для практичної стоматології найбільш перспективним способом переведення на нормальний фізіологічний рівень функціональних адаптаційно-компенсаторних реакцій є підвищення надійності їх нейрогуморальної регуляції, тобто резерву відповідних біорегуляторів [84].</w:t>
      </w:r>
    </w:p>
    <w:p w:rsidR="00534FB5" w:rsidRPr="00AF6311" w:rsidRDefault="00534FB5" w:rsidP="00E9481A">
      <w:pPr>
        <w:ind w:firstLine="709"/>
        <w:contextualSpacing/>
      </w:pPr>
      <w:r w:rsidRPr="00963341">
        <w:t xml:space="preserve">В інституті стоматології АМН України були проведені теоретичні, експериментальні та клінічні дослідження, які свідчать, що вирішення поставленого завдання [20] можливе шляхом використання адаптогенів рослинного походження [39], поєднання їх з адаптогенними факторами фізичної дії (КВЧ, лазеротерапією, постійним </w:t>
      </w:r>
      <w:r w:rsidR="00F75DBB">
        <w:t>струм</w:t>
      </w:r>
      <w:r w:rsidR="00F75DBB" w:rsidRPr="00963341">
        <w:t xml:space="preserve">ом </w:t>
      </w:r>
      <w:r w:rsidRPr="00963341">
        <w:t>фізіологічної величини) та різноманітними препаратами специфічної терапії [13, 25, 44, 48]. Було доведено ефективність такої комплексної терапії за умови її поетапності та багатофазовості, коли на підготовчих періодах створюються умови для максимальної ефективності подальших профілактичних та лікувальних заходів [</w:t>
      </w:r>
      <w:r w:rsidRPr="00963341">
        <w:rPr>
          <w:rStyle w:val="apple-style-span"/>
        </w:rPr>
        <w:t>21</w:t>
      </w:r>
      <w:r w:rsidRPr="00963341">
        <w:t>]. При цьому необхідно враховувати вікові особливості організму,</w:t>
      </w:r>
      <w:r w:rsidRPr="00AF6311">
        <w:t xml:space="preserve"> </w:t>
      </w:r>
      <w:r>
        <w:t>насамперед</w:t>
      </w:r>
      <w:r w:rsidRPr="00AF6311">
        <w:t xml:space="preserve"> дітей, характер патогенного біогеохімічного впливу середовища (надлишок фтору, брому, солей важких металів та інших макро- та мікроелементів), геното</w:t>
      </w:r>
      <w:r>
        <w:t xml:space="preserve">ксичність цього впливу </w:t>
      </w:r>
      <w:r>
        <w:lastRenderedPageBreak/>
        <w:t>[16</w:t>
      </w:r>
      <w:r w:rsidRPr="00AF6311">
        <w:t xml:space="preserve">]. </w:t>
      </w:r>
      <w:r>
        <w:t>Вітчизняні науковці</w:t>
      </w:r>
      <w:r w:rsidRPr="00AF6311">
        <w:t xml:space="preserve"> розроб</w:t>
      </w:r>
      <w:r>
        <w:t>или</w:t>
      </w:r>
      <w:r w:rsidRPr="00AF6311">
        <w:t xml:space="preserve"> </w:t>
      </w:r>
      <w:r>
        <w:t>низку</w:t>
      </w:r>
      <w:r w:rsidRPr="00AF6311">
        <w:t xml:space="preserve"> адаптогенних препаратів рослинного походження у вигляді </w:t>
      </w:r>
      <w:r>
        <w:t xml:space="preserve">біологічно активних домішок </w:t>
      </w:r>
      <w:r w:rsidRPr="00AF6311">
        <w:t>до їжі та гігієнічних засобів (зубних паст, еліксирів, жувальних таблеток) для застосування в стоматології</w:t>
      </w:r>
      <w:r w:rsidRPr="00683C78">
        <w:t xml:space="preserve"> [6, 42, 43</w:t>
      </w:r>
      <w:r>
        <w:t>, 70</w:t>
      </w:r>
      <w:r w:rsidRPr="00683C78">
        <w:t>]</w:t>
      </w:r>
      <w:r w:rsidRPr="00AF6311">
        <w:t>. До них належ</w:t>
      </w:r>
      <w:r>
        <w:t>и</w:t>
      </w:r>
      <w:r w:rsidRPr="00AF6311">
        <w:t>ть</w:t>
      </w:r>
      <w:r w:rsidRPr="00890BFC">
        <w:t xml:space="preserve"> передусім</w:t>
      </w:r>
      <w:r w:rsidRPr="00AF6311">
        <w:t xml:space="preserve"> екстракт парост</w:t>
      </w:r>
      <w:r>
        <w:t>ків пшениці</w:t>
      </w:r>
      <w:r w:rsidRPr="00AF6311">
        <w:t xml:space="preserve">. Цей екстракт </w:t>
      </w:r>
      <w:r>
        <w:t>є</w:t>
      </w:r>
      <w:r w:rsidRPr="00AF6311">
        <w:t xml:space="preserve"> біологічно активни</w:t>
      </w:r>
      <w:r>
        <w:t>м</w:t>
      </w:r>
      <w:r w:rsidRPr="00AF6311">
        <w:t xml:space="preserve"> комплекс</w:t>
      </w:r>
      <w:r>
        <w:t>ом</w:t>
      </w:r>
      <w:r w:rsidRPr="00AF6311">
        <w:t>, який за рахунок високого вмісту вільних амінокислот, біофлавоноїдів та інших біологічно активних речовин за своїми властивостями в декілька разів перевищує біологічну акти</w:t>
      </w:r>
      <w:r>
        <w:t>вність екстрактів алое та</w:t>
      </w:r>
      <w:r w:rsidRPr="00AF6311">
        <w:t xml:space="preserve"> плацент</w:t>
      </w:r>
      <w:r>
        <w:t>и [84]. На думку К. Н. </w:t>
      </w:r>
      <w:r w:rsidRPr="00AF6311">
        <w:t>Косенко та співавторів (2004)</w:t>
      </w:r>
      <w:r>
        <w:t>,</w:t>
      </w:r>
      <w:r w:rsidRPr="00AF6311">
        <w:t xml:space="preserve"> </w:t>
      </w:r>
      <w:r>
        <w:t>у</w:t>
      </w:r>
      <w:r w:rsidRPr="00AF6311">
        <w:t xml:space="preserve">сі або більшість гуморальних та клітинних регуляторів тваринних тканин мають рослинні аналоги, ці аналоги входять до складу рослин, </w:t>
      </w:r>
      <w:r>
        <w:t>які</w:t>
      </w:r>
      <w:r w:rsidRPr="00AF6311">
        <w:t xml:space="preserve"> різн</w:t>
      </w:r>
      <w:r>
        <w:t>і</w:t>
      </w:r>
      <w:r w:rsidRPr="00AF6311">
        <w:t xml:space="preserve"> народи використовують в їжу. Але рослинні аналоги медіаторів та гормонів мають відмінні риси: вони швидко метаболізуються, не накопичуються</w:t>
      </w:r>
      <w:r>
        <w:t>;</w:t>
      </w:r>
      <w:r w:rsidRPr="00AF6311">
        <w:t xml:space="preserve"> </w:t>
      </w:r>
      <w:r>
        <w:t>на відміну від</w:t>
      </w:r>
      <w:r w:rsidRPr="00AF6311">
        <w:t xml:space="preserve"> більш слабк</w:t>
      </w:r>
      <w:r>
        <w:t>их</w:t>
      </w:r>
      <w:r w:rsidRPr="00AF6311">
        <w:t xml:space="preserve"> за активністю тваринн</w:t>
      </w:r>
      <w:r>
        <w:t>их</w:t>
      </w:r>
      <w:r w:rsidRPr="00AF6311">
        <w:t xml:space="preserve"> біорегулятор</w:t>
      </w:r>
      <w:r>
        <w:t>ів</w:t>
      </w:r>
      <w:r w:rsidRPr="00AF6311">
        <w:t xml:space="preserve">, залежно від вмісту останніх в тканинах, </w:t>
      </w:r>
      <w:r>
        <w:t xml:space="preserve">вони </w:t>
      </w:r>
      <w:r w:rsidRPr="00AF6311">
        <w:t xml:space="preserve">можуть проявляти ефекти як агоністів (ендогенних речовин, які можуть взаємодіяти з рецепторами та ініціювати фізіологічні або фармакологічні характеристики </w:t>
      </w:r>
      <w:r w:rsidRPr="00890BFC">
        <w:t>від</w:t>
      </w:r>
      <w:r>
        <w:t>гу</w:t>
      </w:r>
      <w:r w:rsidRPr="00890BFC">
        <w:t>ку</w:t>
      </w:r>
      <w:r w:rsidRPr="00AF6311">
        <w:t xml:space="preserve"> рецептор</w:t>
      </w:r>
      <w:r>
        <w:t>а</w:t>
      </w:r>
      <w:r w:rsidRPr="00AF6311">
        <w:t>, запускаючи ланцюг внутрішньоклітинних біохімічних процесів в організмі), так і антагоністів</w:t>
      </w:r>
      <w:r>
        <w:t>;</w:t>
      </w:r>
      <w:r w:rsidRPr="00AF6311">
        <w:t xml:space="preserve"> здатні витісняти</w:t>
      </w:r>
      <w:r w:rsidRPr="00AF6311">
        <w:rPr>
          <w:b/>
        </w:rPr>
        <w:t xml:space="preserve"> </w:t>
      </w:r>
      <w:r w:rsidRPr="00AF6311">
        <w:rPr>
          <w:color w:val="000000"/>
        </w:rPr>
        <w:t>ксенобіотики (</w:t>
      </w:r>
      <w:r w:rsidRPr="00AF6311">
        <w:rPr>
          <w:rStyle w:val="apple-style-span"/>
          <w:color w:val="000000"/>
        </w:rPr>
        <w:t>чужорідні для</w:t>
      </w:r>
      <w:r>
        <w:rPr>
          <w:rStyle w:val="apple-converted-space"/>
          <w:color w:val="000000"/>
        </w:rPr>
        <w:t xml:space="preserve"> </w:t>
      </w:r>
      <w:r w:rsidRPr="00AF6311">
        <w:rPr>
          <w:rStyle w:val="apple-style-span"/>
          <w:color w:val="000000"/>
        </w:rPr>
        <w:t>організму</w:t>
      </w:r>
      <w:r>
        <w:rPr>
          <w:rStyle w:val="apple-converted-space"/>
          <w:color w:val="000000"/>
        </w:rPr>
        <w:t xml:space="preserve"> </w:t>
      </w:r>
      <w:hyperlink r:id="rId11" w:tooltip="Хімічні речовини" w:history="1">
        <w:r w:rsidRPr="00AF6311">
          <w:rPr>
            <w:rStyle w:val="af0"/>
            <w:color w:val="000000"/>
            <w:u w:val="none"/>
          </w:rPr>
          <w:t>хімічні речовини</w:t>
        </w:r>
      </w:hyperlink>
      <w:r w:rsidRPr="00AF6311">
        <w:rPr>
          <w:rStyle w:val="apple-style-span"/>
          <w:color w:val="000000"/>
        </w:rPr>
        <w:t>, що природно не синтезуються і не можуть асимілюватис</w:t>
      </w:r>
      <w:r>
        <w:rPr>
          <w:rStyle w:val="apple-style-span"/>
          <w:color w:val="000000"/>
        </w:rPr>
        <w:t>я</w:t>
      </w:r>
      <w:r w:rsidRPr="00AF6311">
        <w:rPr>
          <w:color w:val="000000"/>
        </w:rPr>
        <w:t xml:space="preserve">) </w:t>
      </w:r>
      <w:r w:rsidRPr="00AF6311">
        <w:t>з відповідних білків – транспортерів, рецепторів та ферментів</w:t>
      </w:r>
      <w:r>
        <w:t>;</w:t>
      </w:r>
      <w:r w:rsidRPr="00AF6311">
        <w:t xml:space="preserve"> не мають віддалених </w:t>
      </w:r>
      <w:r>
        <w:t>побічних ефектів [84</w:t>
      </w:r>
      <w:r w:rsidRPr="00AF6311">
        <w:t>]. Морфологічні</w:t>
      </w:r>
      <w:r>
        <w:t xml:space="preserve"> дослідження, які провели К. Н. </w:t>
      </w:r>
      <w:r w:rsidRPr="00AF6311">
        <w:t>Косенко,</w:t>
      </w:r>
      <w:r>
        <w:t xml:space="preserve"> </w:t>
      </w:r>
      <w:r w:rsidRPr="00AF6311">
        <w:t>О.</w:t>
      </w:r>
      <w:r>
        <w:t> В. </w:t>
      </w:r>
      <w:r w:rsidRPr="00AF6311">
        <w:t>Дєньга, А.</w:t>
      </w:r>
      <w:r>
        <w:t> П. </w:t>
      </w:r>
      <w:r w:rsidRPr="00AF6311">
        <w:t>Левицький та О.</w:t>
      </w:r>
      <w:r>
        <w:t> Н. </w:t>
      </w:r>
      <w:r w:rsidRPr="00AF6311">
        <w:t>Воскресенський (2004)</w:t>
      </w:r>
      <w:r>
        <w:t xml:space="preserve">, </w:t>
      </w:r>
      <w:r w:rsidRPr="00AF6311">
        <w:t xml:space="preserve">показали, що всі зміни в альвеолярному паростку та слизовій оболонці порожнини рота щурів, </w:t>
      </w:r>
      <w:r>
        <w:t>які</w:t>
      </w:r>
      <w:r w:rsidRPr="00AF6311">
        <w:t xml:space="preserve"> відбувалися під дією біотриту, носили виражений захисно-пристосувальний адаптаційний характер. На перших етапах </w:t>
      </w:r>
      <w:r>
        <w:t xml:space="preserve">спостерігалося </w:t>
      </w:r>
      <w:r w:rsidRPr="00AF6311">
        <w:t>підсилення мікроциркуляції крові, що активізувало процеси перебудови. Біотрит безпосередн</w:t>
      </w:r>
      <w:r>
        <w:t>ьо й одразу підсилював ядерно-</w:t>
      </w:r>
      <w:r w:rsidRPr="00AF6311">
        <w:t>цитоплазматичні відносини в клітинах (Я/Ц-індекс зріс на 22</w:t>
      </w:r>
      <w:r>
        <w:t> </w:t>
      </w:r>
      <w:r w:rsidRPr="00AF6311">
        <w:t xml:space="preserve">%) та синтез </w:t>
      </w:r>
      <w:r w:rsidRPr="00AF6311">
        <w:lastRenderedPageBreak/>
        <w:t>специфічних білків, підвищував вміст РНК в цитоплазмі (на 62</w:t>
      </w:r>
      <w:r>
        <w:t> </w:t>
      </w:r>
      <w:r w:rsidRPr="00AF6311">
        <w:t>%) та, за необхідністю, ДНК, ініціював проліферативні процеси в клітинах [</w:t>
      </w:r>
      <w:r>
        <w:t>84</w:t>
      </w:r>
      <w:r w:rsidRPr="00AF6311">
        <w:t>]. Введення щурам препарату</w:t>
      </w:r>
      <w:r>
        <w:t>,</w:t>
      </w:r>
      <w:r w:rsidRPr="00AF6311">
        <w:t xml:space="preserve"> до складу якого входи</w:t>
      </w:r>
      <w:r>
        <w:t>в</w:t>
      </w:r>
      <w:r w:rsidRPr="00AF6311">
        <w:t xml:space="preserve"> біот</w:t>
      </w:r>
      <w:r>
        <w:t>р</w:t>
      </w:r>
      <w:r w:rsidRPr="00AF6311">
        <w:t>ит, на фоні карієсу значним чином впливало на ключові ферменти</w:t>
      </w:r>
      <w:r>
        <w:t xml:space="preserve"> </w:t>
      </w:r>
      <w:r w:rsidRPr="00AF6311">
        <w:t xml:space="preserve">сироватки крові, </w:t>
      </w:r>
      <w:r>
        <w:t>ротової рідини, тканин пародонта</w:t>
      </w:r>
      <w:r w:rsidRPr="00AF6311">
        <w:t xml:space="preserve"> і пульпи зубів. При цьому активність лужної фосфатази достовірно досягала норми (підвищувалас</w:t>
      </w:r>
      <w:r>
        <w:t>я</w:t>
      </w:r>
      <w:r w:rsidRPr="00AF6311">
        <w:t xml:space="preserve"> у сироватці крові, пульпі зубів </w:t>
      </w:r>
      <w:r>
        <w:t>і</w:t>
      </w:r>
      <w:r w:rsidRPr="00AF6311">
        <w:t xml:space="preserve"> знижувалас</w:t>
      </w:r>
      <w:r>
        <w:t>я</w:t>
      </w:r>
      <w:r w:rsidRPr="00AF6311">
        <w:t xml:space="preserve"> в ро</w:t>
      </w:r>
      <w:r>
        <w:t>товій рідині, тканинах пародонта</w:t>
      </w:r>
      <w:r w:rsidRPr="00AF6311">
        <w:t>). Активність кислої фосфатази в пульпі зубів знизилас</w:t>
      </w:r>
      <w:r>
        <w:t>я</w:t>
      </w:r>
      <w:r w:rsidRPr="00AF6311">
        <w:t xml:space="preserve"> в 2</w:t>
      </w:r>
      <w:r>
        <w:t> </w:t>
      </w:r>
      <w:r w:rsidRPr="00AF6311">
        <w:t>рази, в ротовій рідині</w:t>
      </w:r>
      <w:r>
        <w:t xml:space="preserve"> –</w:t>
      </w:r>
      <w:r w:rsidRPr="00AF6311">
        <w:t xml:space="preserve"> на 30</w:t>
      </w:r>
      <w:r>
        <w:t> </w:t>
      </w:r>
      <w:r w:rsidRPr="00AF6311">
        <w:t>%, наблизившис</w:t>
      </w:r>
      <w:r>
        <w:t>ь до норми, в тканинах пародонта</w:t>
      </w:r>
      <w:r w:rsidRPr="00AF6311">
        <w:t xml:space="preserve"> </w:t>
      </w:r>
      <w:r>
        <w:t xml:space="preserve">– </w:t>
      </w:r>
      <w:r w:rsidRPr="00AF6311">
        <w:t>на 25</w:t>
      </w:r>
      <w:r>
        <w:t> </w:t>
      </w:r>
      <w:r w:rsidRPr="00AF6311">
        <w:t>%</w:t>
      </w:r>
      <w:r>
        <w:t>, тобто</w:t>
      </w:r>
      <w:r w:rsidRPr="00AF6311">
        <w:t xml:space="preserve"> відповідно</w:t>
      </w:r>
      <w:r>
        <w:t xml:space="preserve"> –</w:t>
      </w:r>
      <w:r w:rsidRPr="00AF6311">
        <w:t xml:space="preserve"> з 3,8</w:t>
      </w:r>
      <w:r>
        <w:t>±</w:t>
      </w:r>
      <w:r w:rsidRPr="00AF6311">
        <w:t>0,6</w:t>
      </w:r>
      <w:r>
        <w:t> </w:t>
      </w:r>
      <w:r w:rsidRPr="00AF6311">
        <w:t>нкат/л до 2,2</w:t>
      </w:r>
      <w:r>
        <w:t>±</w:t>
      </w:r>
      <w:r w:rsidRPr="00AF6311">
        <w:t>нкат/л, з 5,6</w:t>
      </w:r>
      <w:r>
        <w:t>±</w:t>
      </w:r>
      <w:r w:rsidRPr="00AF6311">
        <w:t>0,6</w:t>
      </w:r>
      <w:r>
        <w:t> </w:t>
      </w:r>
      <w:r w:rsidRPr="00AF6311">
        <w:t>нкат/л до 3,8</w:t>
      </w:r>
      <w:r>
        <w:t>±</w:t>
      </w:r>
      <w:r w:rsidRPr="00AF6311">
        <w:t>0,4</w:t>
      </w:r>
      <w:r>
        <w:t> </w:t>
      </w:r>
      <w:r w:rsidRPr="00AF6311">
        <w:t>нкат/л та з 87,6</w:t>
      </w:r>
      <w:r>
        <w:t>±</w:t>
      </w:r>
      <w:r w:rsidRPr="00AF6311">
        <w:t>7,0</w:t>
      </w:r>
      <w:r>
        <w:t> </w:t>
      </w:r>
      <w:r w:rsidRPr="00AF6311">
        <w:t>нкат/л до 72,0</w:t>
      </w:r>
      <w:r>
        <w:t> </w:t>
      </w:r>
      <w:r w:rsidRPr="00AF6311">
        <w:t>±</w:t>
      </w:r>
      <w:r>
        <w:t> </w:t>
      </w:r>
      <w:r w:rsidRPr="00AF6311">
        <w:t>4,6</w:t>
      </w:r>
      <w:r>
        <w:t> </w:t>
      </w:r>
      <w:r w:rsidRPr="00AF6311">
        <w:t>нкат/л. Зміни активності ферментів, що спостерігалис</w:t>
      </w:r>
      <w:r>
        <w:t>я</w:t>
      </w:r>
      <w:r w:rsidRPr="00AF6311">
        <w:t xml:space="preserve"> під дією біот</w:t>
      </w:r>
      <w:r>
        <w:t>р</w:t>
      </w:r>
      <w:r w:rsidRPr="00AF6311">
        <w:t>итвмісного препарату, вочевидь, є факторами підвищення стійкості зубів до каріозного процесу [</w:t>
      </w:r>
      <w:r>
        <w:t>84</w:t>
      </w:r>
      <w:r w:rsidRPr="00AF6311">
        <w:t xml:space="preserve">]. </w:t>
      </w:r>
    </w:p>
    <w:p w:rsidR="00534FB5" w:rsidRPr="00AF6311" w:rsidRDefault="00534FB5" w:rsidP="001A2203">
      <w:pPr>
        <w:ind w:firstLine="709"/>
        <w:contextualSpacing/>
      </w:pPr>
      <w:r w:rsidRPr="00AF6311">
        <w:t>У клініці дитячої стоматології встановлено [</w:t>
      </w:r>
      <w:r>
        <w:t>84</w:t>
      </w:r>
      <w:r w:rsidRPr="00AF6311">
        <w:t xml:space="preserve">], що застосування препаратів, </w:t>
      </w:r>
      <w:r>
        <w:t>які</w:t>
      </w:r>
      <w:r w:rsidRPr="00AF6311">
        <w:t xml:space="preserve"> </w:t>
      </w:r>
      <w:r>
        <w:t>мають у своєму складі</w:t>
      </w:r>
      <w:r w:rsidRPr="00AF6311">
        <w:t xml:space="preserve"> біот</w:t>
      </w:r>
      <w:r>
        <w:t>р</w:t>
      </w:r>
      <w:r w:rsidRPr="00AF6311">
        <w:t xml:space="preserve">ит, у дітей семирічного віку дозволило знизити </w:t>
      </w:r>
      <w:r>
        <w:t>пошир</w:t>
      </w:r>
      <w:r w:rsidRPr="00AF6311">
        <w:t>еність карієсу зубів</w:t>
      </w:r>
      <w:r>
        <w:t xml:space="preserve"> </w:t>
      </w:r>
      <w:r w:rsidRPr="00AF6311">
        <w:t>за 2</w:t>
      </w:r>
      <w:r>
        <w:t> </w:t>
      </w:r>
      <w:r w:rsidRPr="00AF6311">
        <w:t>роки до 3,9</w:t>
      </w:r>
      <w:r>
        <w:t> </w:t>
      </w:r>
      <w:r w:rsidRPr="00AF6311">
        <w:t>%</w:t>
      </w:r>
      <w:r>
        <w:t>,</w:t>
      </w:r>
      <w:r w:rsidRPr="00AF6311">
        <w:t xml:space="preserve"> порівнян</w:t>
      </w:r>
      <w:r>
        <w:t>о</w:t>
      </w:r>
      <w:r w:rsidRPr="00AF6311">
        <w:t xml:space="preserve"> з 20,1</w:t>
      </w:r>
      <w:r>
        <w:t> </w:t>
      </w:r>
      <w:r w:rsidRPr="00AF6311">
        <w:t xml:space="preserve">% </w:t>
      </w:r>
      <w:r>
        <w:t>у</w:t>
      </w:r>
      <w:r w:rsidRPr="00AF6311">
        <w:t xml:space="preserve"> контрольній групі, карієспрофілактичний ефект с</w:t>
      </w:r>
      <w:r>
        <w:t>танови</w:t>
      </w:r>
      <w:r w:rsidRPr="00AF6311">
        <w:t>в 28,1</w:t>
      </w:r>
      <w:r>
        <w:t> </w:t>
      </w:r>
      <w:r w:rsidRPr="00AF6311">
        <w:t>%. За 2</w:t>
      </w:r>
      <w:r>
        <w:t> </w:t>
      </w:r>
      <w:r w:rsidRPr="00AF6311">
        <w:t xml:space="preserve">роки </w:t>
      </w:r>
      <w:r>
        <w:t>пошир</w:t>
      </w:r>
      <w:r w:rsidRPr="00AF6311">
        <w:t>еність гінгівітів</w:t>
      </w:r>
      <w:r>
        <w:t xml:space="preserve"> </w:t>
      </w:r>
      <w:r w:rsidRPr="00AF6311">
        <w:t>знизилас</w:t>
      </w:r>
      <w:r>
        <w:t>я</w:t>
      </w:r>
      <w:r w:rsidRPr="00AF6311">
        <w:t xml:space="preserve"> на 5</w:t>
      </w:r>
      <w:r>
        <w:t> %</w:t>
      </w:r>
      <w:r w:rsidRPr="00AF6311">
        <w:t xml:space="preserve">, у той час як в контрольній групі </w:t>
      </w:r>
      <w:r>
        <w:t xml:space="preserve">– </w:t>
      </w:r>
      <w:r w:rsidRPr="00AF6311">
        <w:t>зросла на 13,1</w:t>
      </w:r>
      <w:r>
        <w:t> </w:t>
      </w:r>
      <w:r w:rsidRPr="00AF6311">
        <w:t>%, індекс кровоточивості знизився на 1,0</w:t>
      </w:r>
      <w:r>
        <w:t> </w:t>
      </w:r>
      <w:r w:rsidR="00345EEC">
        <w:t>бал (в </w:t>
      </w:r>
      <w:r w:rsidRPr="00AF6311">
        <w:t xml:space="preserve">контрольній групі </w:t>
      </w:r>
      <w:r>
        <w:t xml:space="preserve">він </w:t>
      </w:r>
      <w:r w:rsidRPr="00AF6311">
        <w:t>зріс на 0,46</w:t>
      </w:r>
      <w:r>
        <w:t> </w:t>
      </w:r>
      <w:r w:rsidRPr="00AF6311">
        <w:t>бал</w:t>
      </w:r>
      <w:r>
        <w:t>а</w:t>
      </w:r>
      <w:r w:rsidRPr="00AF6311">
        <w:t>). Достовірно в дослідній групі за 2</w:t>
      </w:r>
      <w:r>
        <w:t> </w:t>
      </w:r>
      <w:r w:rsidRPr="00AF6311">
        <w:t>роки в 2-3 рази зменшилися значення індексів Гріна</w:t>
      </w:r>
      <w:r>
        <w:t>–</w:t>
      </w:r>
      <w:r w:rsidRPr="00AF6311">
        <w:t>Вермі</w:t>
      </w:r>
      <w:r w:rsidR="00526DDC">
        <w:t>л</w:t>
      </w:r>
      <w:r w:rsidRPr="00AF6311">
        <w:t>ліона, Турески, РМА, у той час як в контрольній групі вон</w:t>
      </w:r>
      <w:r>
        <w:t>и або не змінилися, або зросли</w:t>
      </w:r>
      <w:r w:rsidRPr="00AF6311">
        <w:t xml:space="preserve">. </w:t>
      </w:r>
      <w:r>
        <w:t>У</w:t>
      </w:r>
      <w:r w:rsidRPr="00AF6311">
        <w:t xml:space="preserve"> групі 12</w:t>
      </w:r>
      <w:r>
        <w:t>-</w:t>
      </w:r>
      <w:r w:rsidRPr="00AF6311">
        <w:t>річних дітей</w:t>
      </w:r>
      <w:r>
        <w:t xml:space="preserve"> </w:t>
      </w:r>
      <w:r w:rsidRPr="00AF6311">
        <w:t>протягом другого року дослідження приріст карієсу в дослідній групі виявися в 4</w:t>
      </w:r>
      <w:r>
        <w:t> </w:t>
      </w:r>
      <w:r w:rsidRPr="00AF6311">
        <w:t xml:space="preserve">рази </w:t>
      </w:r>
      <w:r>
        <w:t>нижч</w:t>
      </w:r>
      <w:r w:rsidRPr="00AF6311">
        <w:t>ий, аніж в контрольній, а карієспрофілактичний ефект с</w:t>
      </w:r>
      <w:r>
        <w:t>танови</w:t>
      </w:r>
      <w:r w:rsidRPr="00AF6311">
        <w:t>в 17,9</w:t>
      </w:r>
      <w:r>
        <w:t> </w:t>
      </w:r>
      <w:r w:rsidRPr="00AF6311">
        <w:t xml:space="preserve">%. </w:t>
      </w:r>
      <w:r>
        <w:t>Пошир</w:t>
      </w:r>
      <w:r w:rsidRPr="00AF6311">
        <w:t>еність гінгівітів у</w:t>
      </w:r>
      <w:r w:rsidR="00055FF5">
        <w:t xml:space="preserve">       </w:t>
      </w:r>
      <w:r w:rsidRPr="00AF6311">
        <w:t>12</w:t>
      </w:r>
      <w:r>
        <w:t>-</w:t>
      </w:r>
      <w:r w:rsidRPr="00AF6311">
        <w:t>річних дітей дослідної групи знизилас</w:t>
      </w:r>
      <w:r>
        <w:t>я</w:t>
      </w:r>
      <w:r w:rsidRPr="00AF6311">
        <w:t xml:space="preserve"> на 35,3</w:t>
      </w:r>
      <w:r>
        <w:t> </w:t>
      </w:r>
      <w:r w:rsidRPr="00AF6311">
        <w:t>%</w:t>
      </w:r>
      <w:r>
        <w:t>,</w:t>
      </w:r>
      <w:r w:rsidRPr="00AF6311">
        <w:t xml:space="preserve"> </w:t>
      </w:r>
      <w:r>
        <w:t>а</w:t>
      </w:r>
      <w:r w:rsidRPr="00AF6311">
        <w:t xml:space="preserve"> в контрольній </w:t>
      </w:r>
      <w:r>
        <w:t xml:space="preserve">– </w:t>
      </w:r>
      <w:r w:rsidRPr="00AF6311">
        <w:t>зросла на 9,7</w:t>
      </w:r>
      <w:r>
        <w:t> </w:t>
      </w:r>
      <w:r w:rsidR="009E13B3">
        <w:t>%. Індекс</w:t>
      </w:r>
      <w:r w:rsidRPr="00AF6311">
        <w:t xml:space="preserve"> кровоточивості</w:t>
      </w:r>
      <w:r w:rsidR="00384442">
        <w:t xml:space="preserve"> </w:t>
      </w:r>
      <w:r w:rsidR="00384442" w:rsidRPr="00AF6311">
        <w:t>в дослідній групі за 2</w:t>
      </w:r>
      <w:r w:rsidR="00384442">
        <w:t> </w:t>
      </w:r>
      <w:r w:rsidR="009E13B3">
        <w:t>роки зменшився</w:t>
      </w:r>
      <w:r w:rsidR="00384442" w:rsidRPr="00AF6311">
        <w:t xml:space="preserve"> </w:t>
      </w:r>
      <w:r w:rsidR="00384442" w:rsidRPr="009E13B3">
        <w:rPr>
          <w:spacing w:val="-3"/>
        </w:rPr>
        <w:t xml:space="preserve">на 25 %, </w:t>
      </w:r>
      <w:r w:rsidR="009E13B3" w:rsidRPr="009E13B3">
        <w:rPr>
          <w:spacing w:val="-3"/>
        </w:rPr>
        <w:t xml:space="preserve">у свою чергу </w:t>
      </w:r>
      <w:r w:rsidR="00384442" w:rsidRPr="009E13B3">
        <w:rPr>
          <w:spacing w:val="-3"/>
        </w:rPr>
        <w:t>індекс</w:t>
      </w:r>
      <w:r w:rsidR="009E13B3" w:rsidRPr="009E13B3">
        <w:rPr>
          <w:spacing w:val="-3"/>
        </w:rPr>
        <w:t>и</w:t>
      </w:r>
      <w:r w:rsidRPr="009E13B3">
        <w:rPr>
          <w:spacing w:val="-3"/>
        </w:rPr>
        <w:t xml:space="preserve"> Шиллера–Писарева, РМА, Турески, Грін–Вермілліона зменшилися на 0,32, 0,93, 1,89 та 1,0 бал відповідно, в той час як у </w:t>
      </w:r>
      <w:r w:rsidRPr="009E13B3">
        <w:rPr>
          <w:spacing w:val="-3"/>
        </w:rPr>
        <w:lastRenderedPageBreak/>
        <w:t>контрольній групі кровоточивість збільшилася на 30 %, індекси Шиллера–Писарева, РМА та Гр</w:t>
      </w:r>
      <w:r w:rsidR="00526DDC" w:rsidRPr="009E13B3">
        <w:rPr>
          <w:spacing w:val="-3"/>
        </w:rPr>
        <w:t>і</w:t>
      </w:r>
      <w:r w:rsidRPr="009E13B3">
        <w:rPr>
          <w:spacing w:val="-3"/>
        </w:rPr>
        <w:t>н–Вермілліона не змінилися, а індекс Турески зменшився на 0,45 бала. Біофізичні дослідження ротової рідини дітей</w:t>
      </w:r>
      <w:r w:rsidR="000F7B34">
        <w:rPr>
          <w:spacing w:val="-3"/>
        </w:rPr>
        <w:t xml:space="preserve"> </w:t>
      </w:r>
      <w:r w:rsidRPr="009E13B3">
        <w:rPr>
          <w:spacing w:val="-3"/>
        </w:rPr>
        <w:t>7-річного віку, що отримували препарат, який містить біотрит, виявили деяке недостовірне підвищення її рН</w:t>
      </w:r>
      <w:r w:rsidRPr="009E13B3">
        <w:rPr>
          <w:spacing w:val="-3"/>
          <w:vertAlign w:val="subscript"/>
        </w:rPr>
        <w:t>ср</w:t>
      </w:r>
      <w:r w:rsidRPr="009E13B3">
        <w:rPr>
          <w:spacing w:val="-3"/>
        </w:rPr>
        <w:t>, порівняно з контрольною групою, і достовірне зменшення ΔрН</w:t>
      </w:r>
      <w:r w:rsidRPr="009E13B3">
        <w:rPr>
          <w:spacing w:val="-3"/>
          <w:vertAlign w:val="subscript"/>
        </w:rPr>
        <w:t>ср</w:t>
      </w:r>
      <w:r w:rsidRPr="009E13B3">
        <w:rPr>
          <w:spacing w:val="-3"/>
        </w:rPr>
        <w:t>. У 12-річному віці за два роки спостережень при прийомі препарату величина рН</w:t>
      </w:r>
      <w:r w:rsidRPr="009E13B3">
        <w:rPr>
          <w:spacing w:val="-3"/>
          <w:vertAlign w:val="subscript"/>
        </w:rPr>
        <w:t xml:space="preserve">ср </w:t>
      </w:r>
      <w:r w:rsidRPr="009E13B3">
        <w:rPr>
          <w:spacing w:val="-3"/>
        </w:rPr>
        <w:t>ротової рідини стабільно збільшувалася з 7,03±0,16 до 7,26±0,14, ΔрН</w:t>
      </w:r>
      <w:r w:rsidRPr="009E13B3">
        <w:rPr>
          <w:spacing w:val="-3"/>
          <w:vertAlign w:val="subscript"/>
        </w:rPr>
        <w:t xml:space="preserve">ср </w:t>
      </w:r>
      <w:r w:rsidRPr="009E13B3">
        <w:rPr>
          <w:spacing w:val="-3"/>
        </w:rPr>
        <w:t>знизилася з 0,27±0,03 до 0,11±0,04, а ΔрН</w:t>
      </w:r>
      <w:r w:rsidRPr="009E13B3">
        <w:rPr>
          <w:spacing w:val="-3"/>
          <w:vertAlign w:val="subscript"/>
        </w:rPr>
        <w:t>ср/</w:t>
      </w:r>
      <w:r w:rsidRPr="009E13B3">
        <w:rPr>
          <w:spacing w:val="-3"/>
        </w:rPr>
        <w:t>рН</w:t>
      </w:r>
      <w:r w:rsidRPr="009E13B3">
        <w:rPr>
          <w:spacing w:val="-3"/>
          <w:vertAlign w:val="subscript"/>
        </w:rPr>
        <w:t>ср</w:t>
      </w:r>
      <w:r w:rsidRPr="009E13B3">
        <w:rPr>
          <w:spacing w:val="-3"/>
        </w:rPr>
        <w:t xml:space="preserve"> – з 0,038 до 0,015. Відповідні величини в контрольній групі майже не змінилися. Біохімічні дослідження ротової рідини (вміст білка, активність протеаз, лужної та кислої фосфатаз) також довели позитивний вплив фітоадаптогенного препарату на основі біотриту на запальні та мінералізаційні процеси в порожнині рота у дітей. Концентрація білка в ротовій рідині стабільно зменшилася та за 2 роки знизилася в 2,86 раза у молодшій групі й у 2,38 раза – у старшій. Активність протеолітичних ферментів за цей проміжок часу стабільно змінювалася від 7,4±0,6 нкат/л до 3,6±0,2 нкат/л у 7-річному віці та від 4,8±0,5 нкат/л до 2,4±0,2 нкат/л у</w:t>
      </w:r>
      <w:r w:rsidR="000F7B34">
        <w:rPr>
          <w:spacing w:val="-3"/>
        </w:rPr>
        <w:t xml:space="preserve"> </w:t>
      </w:r>
      <w:r w:rsidRPr="009E13B3">
        <w:rPr>
          <w:spacing w:val="-3"/>
        </w:rPr>
        <w:t xml:space="preserve">12-річному віці. В обох дослідних вікових групах за 2 роки лужна та кисла фосфатази знизилися приблизно в 1,5 раза. Відповідні зміни біохімічних показників у контрольних групах були достовірно меншими, ніж у дослідних. Розмір функціональної карієспротекторної активності пульпи під дією флавоноїдів, кемпферолу та трицину за два роки зріс у групі 7-річних дітей від 9,5±0,8 до 13,1±1,0, а в групі 12-річних – з 1,1±0,3 до 5,6 ±0,45. У контрольній групі ця усереднена величина за 2 роки спостережень тільки зменшилася. У випадку відсутності карієсу, гіпоплазії, флюорозу фітоадаптоген не стимулював зміни величини функціональної карієспротекторної активності пульпи. Спектроколориметричне дослідження слизової оболонки ясен та зубів дітей, які отримували біотритвмісний </w:t>
      </w:r>
      <w:r w:rsidRPr="00AF6311">
        <w:t>препарат</w:t>
      </w:r>
      <w:r>
        <w:t>,</w:t>
      </w:r>
      <w:r w:rsidRPr="00AF6311">
        <w:t xml:space="preserve"> виявили більш помітну та менш стабільну в молодшій віковій групі, порівнян</w:t>
      </w:r>
      <w:r>
        <w:t>о</w:t>
      </w:r>
      <w:r w:rsidRPr="00AF6311">
        <w:t xml:space="preserve"> зі старшою, нормалізацію кровообігу в артеріальній та </w:t>
      </w:r>
      <w:r w:rsidRPr="00AF6311">
        <w:lastRenderedPageBreak/>
        <w:t>венозній частинах мікроциркуляторного русл</w:t>
      </w:r>
      <w:r>
        <w:t>а</w:t>
      </w:r>
      <w:r w:rsidRPr="00AF6311">
        <w:t xml:space="preserve"> (збільшення у випадку послабленого</w:t>
      </w:r>
      <w:r>
        <w:t xml:space="preserve"> </w:t>
      </w:r>
      <w:r w:rsidRPr="00AF6311">
        <w:t>та зменшення при підсиленому),</w:t>
      </w:r>
      <w:r>
        <w:t xml:space="preserve"> а також </w:t>
      </w:r>
      <w:r w:rsidRPr="00AF6311">
        <w:t>перехід негативної гіперемії у мікроциркуляторному руслі під дією</w:t>
      </w:r>
      <w:r>
        <w:t xml:space="preserve"> </w:t>
      </w:r>
      <w:r w:rsidRPr="00AF6311">
        <w:t>жувальних навантажень, яка спостерігалас</w:t>
      </w:r>
      <w:r>
        <w:t>я</w:t>
      </w:r>
      <w:r w:rsidRPr="00AF6311">
        <w:t xml:space="preserve"> при запальних процесах, у позитивну</w:t>
      </w:r>
      <w:r w:rsidRPr="00AF6311">
        <w:rPr>
          <w:b/>
        </w:rPr>
        <w:t xml:space="preserve"> </w:t>
      </w:r>
      <w:r w:rsidRPr="00AF6311">
        <w:t xml:space="preserve">гіперемію. Нормалізація кровообігу </w:t>
      </w:r>
      <w:r>
        <w:t>в</w:t>
      </w:r>
      <w:r w:rsidRPr="00AF6311">
        <w:t xml:space="preserve"> капілярному руслі супроводжувалас</w:t>
      </w:r>
      <w:r>
        <w:t>я</w:t>
      </w:r>
      <w:r w:rsidRPr="00AF6311">
        <w:t xml:space="preserve"> функціональним зміненням</w:t>
      </w:r>
      <w:r>
        <w:t xml:space="preserve"> </w:t>
      </w:r>
      <w:r w:rsidRPr="00AF6311">
        <w:t xml:space="preserve">кількості глікогену </w:t>
      </w:r>
      <w:r>
        <w:t>в</w:t>
      </w:r>
      <w:r w:rsidRPr="00AF6311">
        <w:t xml:space="preserve"> яснах, зменшенням бар</w:t>
      </w:r>
      <w:r>
        <w:t>’</w:t>
      </w:r>
      <w:r w:rsidRPr="00AF6311">
        <w:t>єрної проникності слизової оболонки. В групі 7</w:t>
      </w:r>
      <w:r>
        <w:t>-</w:t>
      </w:r>
      <w:r w:rsidRPr="00AF6311">
        <w:t>річних дітей спостерігалас</w:t>
      </w:r>
      <w:r>
        <w:t>я</w:t>
      </w:r>
      <w:r w:rsidRPr="00AF6311">
        <w:t xml:space="preserve"> більш помітна</w:t>
      </w:r>
      <w:r>
        <w:t>,</w:t>
      </w:r>
      <w:r w:rsidRPr="00AF6311">
        <w:t xml:space="preserve"> аніж у групі 12</w:t>
      </w:r>
      <w:r>
        <w:t>-</w:t>
      </w:r>
      <w:r w:rsidRPr="00AF6311">
        <w:t>річних</w:t>
      </w:r>
      <w:r>
        <w:t>,</w:t>
      </w:r>
      <w:r w:rsidRPr="00AF6311">
        <w:t xml:space="preserve"> стимуляція мінералі</w:t>
      </w:r>
      <w:r>
        <w:t>зацій</w:t>
      </w:r>
      <w:r w:rsidRPr="00AF6311">
        <w:t>них процесів у твердих тканинах зубів. В обох вікових контрольних групах достовірних змін вказаних параметрів не спостерігалос</w:t>
      </w:r>
      <w:r>
        <w:t>я</w:t>
      </w:r>
      <w:r w:rsidRPr="00AF6311">
        <w:t xml:space="preserve">. </w:t>
      </w:r>
      <w:r>
        <w:t>І</w:t>
      </w:r>
      <w:r w:rsidRPr="00AF6311">
        <w:t>мунологічні дослідження</w:t>
      </w:r>
      <w:r>
        <w:t>,</w:t>
      </w:r>
      <w:r w:rsidRPr="00AF6311">
        <w:t xml:space="preserve"> </w:t>
      </w:r>
      <w:r>
        <w:t>п</w:t>
      </w:r>
      <w:r w:rsidRPr="00AF6311">
        <w:t>роведені у групі 12</w:t>
      </w:r>
      <w:r>
        <w:t>-</w:t>
      </w:r>
      <w:r w:rsidRPr="00AF6311">
        <w:t xml:space="preserve">річних дітей з гінгівітом, </w:t>
      </w:r>
      <w:r>
        <w:t>який</w:t>
      </w:r>
      <w:r w:rsidRPr="00AF6311">
        <w:t xml:space="preserve"> здебільшого супроводжу</w:t>
      </w:r>
      <w:r>
        <w:t>є</w:t>
      </w:r>
      <w:r w:rsidRPr="00AF6311">
        <w:t>ться карієсом, показали, що фітоадаптогенний препарат, до складу якого входить біот</w:t>
      </w:r>
      <w:r w:rsidR="00D01443">
        <w:t>р</w:t>
      </w:r>
      <w:r w:rsidRPr="00AF6311">
        <w:t>ит, стабільно підвищує рівень лізоциму в ясе</w:t>
      </w:r>
      <w:r>
        <w:t xml:space="preserve">невій рідині, знижує кількість </w:t>
      </w:r>
      <w:r>
        <w:rPr>
          <w:lang w:val="en-US"/>
        </w:rPr>
        <w:t>s</w:t>
      </w:r>
      <w:r w:rsidRPr="00AF6311">
        <w:t xml:space="preserve">IgA, імуноглобуліну А та </w:t>
      </w:r>
      <w:r w:rsidRPr="00AF6311">
        <w:rPr>
          <w:lang w:val="en-US"/>
        </w:rPr>
        <w:t>G</w:t>
      </w:r>
      <w:r w:rsidRPr="00AF6311">
        <w:t xml:space="preserve">, а також зменшує практично до норми фагоцитарний індекс </w:t>
      </w:r>
      <w:r>
        <w:t>і</w:t>
      </w:r>
      <w:r w:rsidRPr="00AF6311">
        <w:t xml:space="preserve"> фагоцитарне число венозної крові. </w:t>
      </w:r>
    </w:p>
    <w:p w:rsidR="00534FB5" w:rsidRPr="00AF6311" w:rsidRDefault="00534FB5" w:rsidP="00534FB5">
      <w:pPr>
        <w:ind w:firstLine="709"/>
        <w:contextualSpacing/>
      </w:pPr>
      <w:r w:rsidRPr="00AF6311">
        <w:t>Таким чином, автори показа</w:t>
      </w:r>
      <w:r>
        <w:t>ли</w:t>
      </w:r>
      <w:r w:rsidRPr="00AF6311">
        <w:t xml:space="preserve"> висок</w:t>
      </w:r>
      <w:r>
        <w:t>у</w:t>
      </w:r>
      <w:r w:rsidRPr="00AF6311">
        <w:t xml:space="preserve"> ефективність дії біотриту </w:t>
      </w:r>
      <w:r>
        <w:t>для</w:t>
      </w:r>
      <w:r w:rsidRPr="00AF6311">
        <w:t xml:space="preserve"> профілакти</w:t>
      </w:r>
      <w:r>
        <w:t>ки</w:t>
      </w:r>
      <w:r w:rsidRPr="00AF6311">
        <w:t xml:space="preserve"> та лікуванн</w:t>
      </w:r>
      <w:r>
        <w:t>я</w:t>
      </w:r>
      <w:r w:rsidRPr="00AF6311">
        <w:t xml:space="preserve"> основних стоматологічних захворювань, </w:t>
      </w:r>
      <w:r w:rsidRPr="00890BFC">
        <w:t xml:space="preserve">яка ґрунтується на активації ядерно-цитоплазматичних відносин у клітинах, знятті «клітинного стресу», підсиленні ефективності адаптаційних реакцій, і як результат, </w:t>
      </w:r>
      <w:r>
        <w:t xml:space="preserve">сприяє </w:t>
      </w:r>
      <w:r w:rsidRPr="00890BFC">
        <w:t>підвищенн</w:t>
      </w:r>
      <w:r>
        <w:t>ю</w:t>
      </w:r>
      <w:r w:rsidRPr="00890BFC">
        <w:t xml:space="preserve"> неспецифічної резистентності, у тому числі</w:t>
      </w:r>
      <w:r w:rsidRPr="00AF6311">
        <w:t xml:space="preserve"> в порожнині рот</w:t>
      </w:r>
      <w:r>
        <w:t>а</w:t>
      </w:r>
      <w:r w:rsidRPr="00AF6311">
        <w:t xml:space="preserve">. </w:t>
      </w:r>
    </w:p>
    <w:p w:rsidR="00534FB5" w:rsidRPr="00A951A4" w:rsidRDefault="00534FB5" w:rsidP="00534FB5">
      <w:pPr>
        <w:ind w:firstLine="709"/>
        <w:contextualSpacing/>
      </w:pPr>
      <w:r w:rsidRPr="00A951A4">
        <w:t xml:space="preserve">Отже, </w:t>
      </w:r>
      <w:r w:rsidRPr="00890BFC">
        <w:t>спираючись на наведену в розділі інформацію, можна підсумувати, що протягом минулих років науковці у всьому світі, в тому числі й в Україні, вивчали</w:t>
      </w:r>
      <w:r w:rsidRPr="00A951A4">
        <w:t xml:space="preserve"> стоматологічний статус дітей з особливими потребами. Серед захворювань, що призводять до інвалідизації</w:t>
      </w:r>
      <w:r>
        <w:t>,</w:t>
      </w:r>
      <w:r w:rsidRPr="00A951A4">
        <w:t xml:space="preserve"> глухота займає </w:t>
      </w:r>
      <w:r>
        <w:t>одне з провідних</w:t>
      </w:r>
      <w:r w:rsidRPr="00A951A4">
        <w:t xml:space="preserve"> місц</w:t>
      </w:r>
      <w:r>
        <w:t>ь</w:t>
      </w:r>
      <w:r w:rsidRPr="00A951A4">
        <w:t xml:space="preserve">. </w:t>
      </w:r>
      <w:r w:rsidRPr="00A951A4">
        <w:rPr>
          <w:color w:val="000000"/>
        </w:rPr>
        <w:t xml:space="preserve">В </w:t>
      </w:r>
      <w:r w:rsidRPr="00A951A4">
        <w:rPr>
          <w:color w:val="000000"/>
          <w:shd w:val="clear" w:color="auto" w:fill="FFFFFF"/>
        </w:rPr>
        <w:t xml:space="preserve">Україні налічується близько </w:t>
      </w:r>
      <w:r>
        <w:rPr>
          <w:color w:val="000000"/>
          <w:shd w:val="clear" w:color="auto" w:fill="FFFFFF"/>
        </w:rPr>
        <w:t> </w:t>
      </w:r>
      <w:r w:rsidRPr="00A951A4">
        <w:rPr>
          <w:color w:val="000000"/>
          <w:shd w:val="clear" w:color="auto" w:fill="FFFFFF"/>
        </w:rPr>
        <w:t>300</w:t>
      </w:r>
      <w:r>
        <w:rPr>
          <w:color w:val="000000"/>
          <w:shd w:val="clear" w:color="auto" w:fill="FFFFFF"/>
        </w:rPr>
        <w:t> </w:t>
      </w:r>
      <w:r w:rsidRPr="00A951A4">
        <w:rPr>
          <w:color w:val="000000"/>
          <w:shd w:val="clear" w:color="auto" w:fill="FFFFFF"/>
        </w:rPr>
        <w:t>тисяч дітей з порушенням слуху, з яких одинадцяти тисячам дітей встановлений діагноз глухота.</w:t>
      </w:r>
      <w:r w:rsidRPr="00A951A4">
        <w:t xml:space="preserve"> </w:t>
      </w:r>
      <w:r w:rsidRPr="00A951A4">
        <w:rPr>
          <w:rStyle w:val="apple-style-span"/>
          <w:color w:val="000000"/>
        </w:rPr>
        <w:t>В нашій країні проблеми стоматологічного здоров</w:t>
      </w:r>
      <w:r>
        <w:rPr>
          <w:rStyle w:val="apple-style-span"/>
          <w:color w:val="000000"/>
        </w:rPr>
        <w:t>’</w:t>
      </w:r>
      <w:r w:rsidRPr="00A951A4">
        <w:rPr>
          <w:rStyle w:val="apple-style-span"/>
          <w:color w:val="000000"/>
        </w:rPr>
        <w:t>я та особливості надання стоматологічної допомоги</w:t>
      </w:r>
      <w:r>
        <w:rPr>
          <w:rStyle w:val="apple-style-span"/>
          <w:color w:val="000000"/>
        </w:rPr>
        <w:t xml:space="preserve"> </w:t>
      </w:r>
      <w:r w:rsidRPr="00A951A4">
        <w:rPr>
          <w:rStyle w:val="apple-style-span"/>
          <w:color w:val="000000"/>
        </w:rPr>
        <w:t xml:space="preserve">дітям </w:t>
      </w:r>
      <w:r>
        <w:rPr>
          <w:rStyle w:val="apple-style-span"/>
          <w:color w:val="000000"/>
        </w:rPr>
        <w:t>і</w:t>
      </w:r>
      <w:r w:rsidRPr="00A951A4">
        <w:rPr>
          <w:rStyle w:val="apple-style-span"/>
          <w:color w:val="000000"/>
        </w:rPr>
        <w:t xml:space="preserve">з вадами слуху є </w:t>
      </w:r>
      <w:r w:rsidRPr="00A951A4">
        <w:rPr>
          <w:rStyle w:val="apple-style-span"/>
          <w:color w:val="000000"/>
        </w:rPr>
        <w:lastRenderedPageBreak/>
        <w:t xml:space="preserve">майже не вивчені. Під час проведення патентного пошуку було виявлено єдину роботу автора </w:t>
      </w:r>
      <w:r w:rsidRPr="00A951A4">
        <w:t>Н. Я. Поляник (2008), в якій</w:t>
      </w:r>
      <w:r>
        <w:t xml:space="preserve"> </w:t>
      </w:r>
      <w:r w:rsidRPr="00A951A4">
        <w:t>наведен</w:t>
      </w:r>
      <w:r>
        <w:t>о</w:t>
      </w:r>
      <w:r w:rsidRPr="00A951A4">
        <w:t xml:space="preserve"> результати вивчення особливостей стану стоматологічного здоров</w:t>
      </w:r>
      <w:r>
        <w:t>’</w:t>
      </w:r>
      <w:r w:rsidRPr="00A951A4">
        <w:t>я дітей з вадами слуху</w:t>
      </w:r>
      <w:r>
        <w:t>,</w:t>
      </w:r>
      <w:r w:rsidRPr="00A951A4">
        <w:t xml:space="preserve"> залежно від віку та статі. Але в </w:t>
      </w:r>
      <w:r>
        <w:t>цій праці</w:t>
      </w:r>
      <w:r w:rsidRPr="00A951A4">
        <w:t xml:space="preserve"> не наведено чіткого опису кореляційного зв</w:t>
      </w:r>
      <w:r>
        <w:t>’</w:t>
      </w:r>
      <w:r w:rsidRPr="00A951A4">
        <w:t>язку між особливостями стану стоматологічного здоров</w:t>
      </w:r>
      <w:r>
        <w:t>’</w:t>
      </w:r>
      <w:r w:rsidRPr="00A951A4">
        <w:t>я дітей з вадами слуху та віком і статтю. Простежувалас</w:t>
      </w:r>
      <w:r>
        <w:t>я</w:t>
      </w:r>
      <w:r w:rsidRPr="00A951A4">
        <w:t xml:space="preserve"> лише констатація фактів порушення стоматологічного здоров</w:t>
      </w:r>
      <w:r>
        <w:t>’</w:t>
      </w:r>
      <w:r w:rsidRPr="00A951A4">
        <w:t xml:space="preserve">я дітей </w:t>
      </w:r>
      <w:r>
        <w:t>і</w:t>
      </w:r>
      <w:r w:rsidRPr="00A951A4">
        <w:t xml:space="preserve">з вадами слуху без виявлення етіологічних чинників, причин та патогенетичних механізмів розвитку </w:t>
      </w:r>
      <w:r>
        <w:t>ц</w:t>
      </w:r>
      <w:r w:rsidRPr="00A951A4">
        <w:t xml:space="preserve">их порушень. </w:t>
      </w:r>
      <w:r>
        <w:t>Водночас</w:t>
      </w:r>
      <w:r w:rsidRPr="00A951A4">
        <w:t xml:space="preserve"> слід зауважити, що глухота або приглухуватість як хвороба</w:t>
      </w:r>
      <w:r>
        <w:t xml:space="preserve"> </w:t>
      </w:r>
      <w:r w:rsidRPr="00A951A4">
        <w:t>не має ізольован</w:t>
      </w:r>
      <w:r>
        <w:t xml:space="preserve">ого </w:t>
      </w:r>
      <w:r w:rsidRPr="00A951A4">
        <w:t>характеру, вона тісно взаємопов</w:t>
      </w:r>
      <w:r>
        <w:t>’</w:t>
      </w:r>
      <w:r w:rsidRPr="00A951A4">
        <w:t>язана як з психоемоційним</w:t>
      </w:r>
      <w:r>
        <w:t>,</w:t>
      </w:r>
      <w:r>
        <w:rPr>
          <w:rStyle w:val="apple-converted-space"/>
          <w:color w:val="000000"/>
        </w:rPr>
        <w:t xml:space="preserve"> </w:t>
      </w:r>
      <w:r w:rsidRPr="00A951A4">
        <w:rPr>
          <w:rStyle w:val="apple-converted-space"/>
          <w:color w:val="000000"/>
        </w:rPr>
        <w:t>так і з фізичним</w:t>
      </w:r>
      <w:r w:rsidRPr="00A951A4">
        <w:rPr>
          <w:rStyle w:val="a9"/>
          <w:color w:val="000000"/>
        </w:rPr>
        <w:t xml:space="preserve"> </w:t>
      </w:r>
      <w:r w:rsidRPr="00A951A4">
        <w:t xml:space="preserve">станом організму в цілому. </w:t>
      </w:r>
      <w:r>
        <w:t>Г</w:t>
      </w:r>
      <w:r w:rsidRPr="00A951A4">
        <w:t xml:space="preserve">лухота є сильним травмуючим фактором, що призводить до розвитку низки психологічних і психічних порушень. </w:t>
      </w:r>
      <w:r>
        <w:t>У наш час н</w:t>
      </w:r>
      <w:r w:rsidRPr="00A951A4">
        <w:t xml:space="preserve">е виникає сумнівів </w:t>
      </w:r>
      <w:r>
        <w:t xml:space="preserve">щодо </w:t>
      </w:r>
      <w:r w:rsidRPr="00A951A4">
        <w:t>правомірн</w:t>
      </w:r>
      <w:r>
        <w:t>ості</w:t>
      </w:r>
      <w:r w:rsidRPr="00A951A4">
        <w:t xml:space="preserve"> розгляду питань психологічного та соматичного здоров</w:t>
      </w:r>
      <w:r>
        <w:t xml:space="preserve">’я в сенсі їх взаємного зв’язку. </w:t>
      </w:r>
      <w:r w:rsidRPr="00A951A4">
        <w:t>Слинні залози є високочутливими до дії нервових та гуморальних впливів. Стрес</w:t>
      </w:r>
      <w:r>
        <w:t>,</w:t>
      </w:r>
      <w:r w:rsidRPr="00A951A4">
        <w:t xml:space="preserve"> </w:t>
      </w:r>
      <w:r>
        <w:t>ді</w:t>
      </w:r>
      <w:r w:rsidRPr="00A951A4">
        <w:t>ючи на їх функцію</w:t>
      </w:r>
      <w:r w:rsidR="00963341">
        <w:t>,</w:t>
      </w:r>
      <w:r>
        <w:t xml:space="preserve"> </w:t>
      </w:r>
      <w:r w:rsidRPr="00A951A4">
        <w:t xml:space="preserve">змінює біохімічні та фізичні властивості ротової рідини, яка відіграє важливу роль у виникненні та розвитку основних стоматологічних захворювань. </w:t>
      </w:r>
      <w:r>
        <w:t>Аналізуючи інформацію, наведену в</w:t>
      </w:r>
      <w:r w:rsidRPr="00A951A4">
        <w:t xml:space="preserve"> літературних джерел</w:t>
      </w:r>
      <w:r>
        <w:t>ах,</w:t>
      </w:r>
      <w:r w:rsidRPr="00A951A4">
        <w:t xml:space="preserve"> можна зробити висновок, що загалом у дітей з важкими порушеннями слуху виявляється низький рівень гігієни порожнини рота, висока </w:t>
      </w:r>
      <w:r>
        <w:t>пошир</w:t>
      </w:r>
      <w:r w:rsidRPr="00A951A4">
        <w:t xml:space="preserve">еність уражень твердих тканин зубів </w:t>
      </w:r>
      <w:r>
        <w:t>і</w:t>
      </w:r>
      <w:r w:rsidRPr="00A951A4">
        <w:t xml:space="preserve"> тканин пародонта, висока інтенсивність та здебільшого гострий плин каріозного процесу, потреба у невідкладній стоматологічній допомозі, низький рівень санації порожнини рота. Аналізуючи профілактичні заходи на сучасному етапі розвитку стоматології</w:t>
      </w:r>
      <w:r>
        <w:t>,</w:t>
      </w:r>
      <w:r w:rsidRPr="00A951A4">
        <w:t xml:space="preserve"> стає очевидним, що найбільш ефективним способом профілактики основних стоматологічних захворювань є нормалізація адаптаційних </w:t>
      </w:r>
      <w:r>
        <w:t>процесів</w:t>
      </w:r>
      <w:r w:rsidRPr="00A951A4">
        <w:t xml:space="preserve"> в організмі. Іншими словами</w:t>
      </w:r>
      <w:r>
        <w:t>,</w:t>
      </w:r>
      <w:r w:rsidRPr="00A951A4">
        <w:t xml:space="preserve"> забезпечення переведення функціональних реакцій в організмі на нормальний фізіологічний рівень. При цьому основн</w:t>
      </w:r>
      <w:r>
        <w:t>им</w:t>
      </w:r>
      <w:r w:rsidRPr="00A951A4">
        <w:t xml:space="preserve"> за</w:t>
      </w:r>
      <w:r>
        <w:t>в</w:t>
      </w:r>
      <w:r w:rsidRPr="00A951A4">
        <w:t>да</w:t>
      </w:r>
      <w:r>
        <w:t>нням</w:t>
      </w:r>
      <w:r w:rsidRPr="00A951A4">
        <w:t xml:space="preserve"> є </w:t>
      </w:r>
      <w:r w:rsidRPr="00A951A4">
        <w:lastRenderedPageBreak/>
        <w:t>забезпечення стабільності досягнутого ефективного рівня адаптаційно-компенсаторних реакцій. Для практичної стоматології перспективним способом пере</w:t>
      </w:r>
      <w:r>
        <w:t>вед</w:t>
      </w:r>
      <w:r w:rsidRPr="00A951A4">
        <w:t>ення на нормальний фізіологічний рівень функціональних адаптаційно-компенсаторних реакцій є підвищення надійності їх нейрогуморальної регуляції, тобто рез</w:t>
      </w:r>
      <w:r>
        <w:t xml:space="preserve">ерву відповідних біорегуляторів, а це можливо </w:t>
      </w:r>
      <w:r w:rsidRPr="00AF6311">
        <w:t>шляхом використання адаптогенів рослинного походження</w:t>
      </w:r>
      <w:r>
        <w:t>.</w:t>
      </w:r>
    </w:p>
    <w:p w:rsidR="00534FB5" w:rsidRDefault="00534FB5" w:rsidP="00534FB5">
      <w:pPr>
        <w:ind w:firstLine="709"/>
        <w:contextualSpacing/>
      </w:pPr>
      <w:r w:rsidRPr="00A951A4">
        <w:t>Таким чином, зауважимо, що питання розробки та впровадження</w:t>
      </w:r>
      <w:r>
        <w:t xml:space="preserve"> </w:t>
      </w:r>
      <w:r w:rsidRPr="00A951A4">
        <w:t>патогенетично-обґрунтованих методів профілактики карієсу зубів і захворювань тканин пародонта у дітей з вадами слуху є безумовно актуальним і мало вивченим</w:t>
      </w:r>
      <w:r>
        <w:t>,</w:t>
      </w:r>
      <w:r w:rsidRPr="00A951A4">
        <w:t xml:space="preserve"> </w:t>
      </w:r>
      <w:r>
        <w:t>а</w:t>
      </w:r>
      <w:r w:rsidRPr="00A951A4">
        <w:t xml:space="preserve"> використання з цією метою доступних високоефективних препаратів вітчизняного виробництва </w:t>
      </w:r>
      <w:r>
        <w:t xml:space="preserve">– </w:t>
      </w:r>
      <w:r w:rsidRPr="00A951A4">
        <w:t>життєвою необхідністю.</w:t>
      </w:r>
    </w:p>
    <w:p w:rsidR="00534FB5" w:rsidRDefault="00534FB5" w:rsidP="000061A9">
      <w:pPr>
        <w:sectPr w:rsidR="00534FB5" w:rsidSect="00534FB5">
          <w:headerReference w:type="default" r:id="rId12"/>
          <w:pgSz w:w="11906" w:h="16838"/>
          <w:pgMar w:top="1134" w:right="850" w:bottom="1134" w:left="1701" w:header="708" w:footer="708" w:gutter="0"/>
          <w:cols w:space="708"/>
          <w:titlePg/>
          <w:docGrid w:linePitch="381"/>
        </w:sectPr>
      </w:pPr>
    </w:p>
    <w:p w:rsidR="00534FB5" w:rsidRPr="006B47CA" w:rsidRDefault="00534FB5" w:rsidP="00534FB5">
      <w:pPr>
        <w:jc w:val="center"/>
        <w:rPr>
          <w:b/>
        </w:rPr>
      </w:pPr>
      <w:r w:rsidRPr="006B47CA">
        <w:rPr>
          <w:b/>
        </w:rPr>
        <w:lastRenderedPageBreak/>
        <w:t>РОЗДІЛ 2</w:t>
      </w:r>
    </w:p>
    <w:p w:rsidR="00534FB5" w:rsidRPr="006B47CA" w:rsidRDefault="00534FB5" w:rsidP="00534FB5">
      <w:pPr>
        <w:jc w:val="center"/>
        <w:rPr>
          <w:b/>
        </w:rPr>
      </w:pPr>
      <w:r>
        <w:rPr>
          <w:b/>
        </w:rPr>
        <w:t>ОБ’ЄКТИ</w:t>
      </w:r>
      <w:r>
        <w:rPr>
          <w:b/>
          <w:lang w:val="ru-RU"/>
        </w:rPr>
        <w:t xml:space="preserve"> </w:t>
      </w:r>
      <w:r w:rsidRPr="006B47CA">
        <w:rPr>
          <w:b/>
        </w:rPr>
        <w:t>ТА МЕТОДИ ДОСЛІДЖЕН</w:t>
      </w:r>
      <w:r>
        <w:rPr>
          <w:b/>
        </w:rPr>
        <w:t>НЯ</w:t>
      </w:r>
    </w:p>
    <w:p w:rsidR="00534FB5" w:rsidRPr="006B47CA" w:rsidRDefault="00534FB5" w:rsidP="00534FB5">
      <w:pPr>
        <w:pStyle w:val="11"/>
        <w:rPr>
          <w:b/>
        </w:rPr>
      </w:pPr>
    </w:p>
    <w:p w:rsidR="00534FB5" w:rsidRPr="006B47CA" w:rsidRDefault="00534FB5" w:rsidP="00534FB5">
      <w:pPr>
        <w:pStyle w:val="11"/>
        <w:jc w:val="both"/>
        <w:rPr>
          <w:b/>
        </w:rPr>
      </w:pPr>
      <w:r w:rsidRPr="006B47CA">
        <w:rPr>
          <w:b/>
        </w:rPr>
        <w:t>2.1. Характеристика обстежуваних груп пацієнтів</w:t>
      </w:r>
    </w:p>
    <w:p w:rsidR="00534FB5" w:rsidRPr="001D7E40" w:rsidRDefault="00534FB5" w:rsidP="00534FB5"/>
    <w:p w:rsidR="003E2970" w:rsidRDefault="00534FB5" w:rsidP="003E2970">
      <w:pPr>
        <w:ind w:firstLine="709"/>
        <w:contextualSpacing/>
        <w:rPr>
          <w:lang w:val="ru-RU"/>
        </w:rPr>
      </w:pPr>
      <w:r>
        <w:t>Під час</w:t>
      </w:r>
      <w:r w:rsidRPr="00356DCA">
        <w:t xml:space="preserve"> проведення науково</w:t>
      </w:r>
      <w:r>
        <w:t>-</w:t>
      </w:r>
      <w:r w:rsidRPr="00356DCA">
        <w:t>дослідної роботи</w:t>
      </w:r>
      <w:r w:rsidR="00AF21FD" w:rsidRPr="00AF21FD">
        <w:t xml:space="preserve"> </w:t>
      </w:r>
      <w:r w:rsidR="00AF21FD">
        <w:t>всього</w:t>
      </w:r>
      <w:r w:rsidRPr="00356DCA">
        <w:t xml:space="preserve"> було обстежено 99</w:t>
      </w:r>
      <w:r>
        <w:t> </w:t>
      </w:r>
      <w:r w:rsidRPr="00356DCA">
        <w:t xml:space="preserve">дітей </w:t>
      </w:r>
      <w:r w:rsidR="006C493E">
        <w:t>із вродженою</w:t>
      </w:r>
      <w:r w:rsidRPr="00356DCA">
        <w:t xml:space="preserve"> глухотою</w:t>
      </w:r>
      <w:r w:rsidR="003E2970">
        <w:t xml:space="preserve"> (ДВГ)</w:t>
      </w:r>
      <w:r w:rsidRPr="00356DCA">
        <w:t xml:space="preserve"> віком від 6 до 16</w:t>
      </w:r>
      <w:r>
        <w:t> </w:t>
      </w:r>
      <w:r w:rsidRPr="00356DCA">
        <w:t>років (</w:t>
      </w:r>
      <w:r w:rsidRPr="0094374D">
        <w:t xml:space="preserve">з них 60 </w:t>
      </w:r>
      <w:r>
        <w:t xml:space="preserve">– </w:t>
      </w:r>
      <w:r w:rsidRPr="0094374D">
        <w:t xml:space="preserve">хлопців та 39 </w:t>
      </w:r>
      <w:r>
        <w:t xml:space="preserve">– </w:t>
      </w:r>
      <w:r w:rsidRPr="0094374D">
        <w:t>дівчат</w:t>
      </w:r>
      <w:r w:rsidRPr="00356DCA">
        <w:t>), які навчалися в Харківському обласному спеціальному загальноосвітньому навчально-виховному комплексі (дошкільному навчальному закладі</w:t>
      </w:r>
      <w:r>
        <w:t xml:space="preserve"> – </w:t>
      </w:r>
      <w:r w:rsidRPr="00356DCA">
        <w:t>школі-інте</w:t>
      </w:r>
      <w:r w:rsidR="00077349">
        <w:t xml:space="preserve">рнаті) для дітей з вадами слуху та </w:t>
      </w:r>
      <w:r w:rsidRPr="00356DCA">
        <w:t>43</w:t>
      </w:r>
      <w:r>
        <w:t> </w:t>
      </w:r>
      <w:r w:rsidRPr="00356DCA">
        <w:t xml:space="preserve">дитини </w:t>
      </w:r>
      <w:r w:rsidR="003E2970">
        <w:t>з нормальним слухом (ДНС) першої групи здоров</w:t>
      </w:r>
      <w:r w:rsidR="003E2970" w:rsidRPr="003E2970">
        <w:t>’</w:t>
      </w:r>
      <w:r w:rsidR="003E2970">
        <w:t>я</w:t>
      </w:r>
      <w:r w:rsidRPr="00356DCA">
        <w:t xml:space="preserve"> віком від 6 до 16 років (</w:t>
      </w:r>
      <w:r>
        <w:t>і</w:t>
      </w:r>
      <w:r w:rsidRPr="00356DCA">
        <w:t xml:space="preserve">з них 16 </w:t>
      </w:r>
      <w:r>
        <w:t xml:space="preserve">– </w:t>
      </w:r>
      <w:r w:rsidRPr="00356DCA">
        <w:t>хлоп</w:t>
      </w:r>
      <w:r>
        <w:t>ц</w:t>
      </w:r>
      <w:r w:rsidRPr="00356DCA">
        <w:t xml:space="preserve">ів та 27 </w:t>
      </w:r>
      <w:r>
        <w:t xml:space="preserve">– </w:t>
      </w:r>
      <w:r w:rsidRPr="00356DCA">
        <w:t xml:space="preserve">дівчат), </w:t>
      </w:r>
      <w:r>
        <w:t>які</w:t>
      </w:r>
      <w:r w:rsidRPr="00356DCA">
        <w:t xml:space="preserve"> навчалися в </w:t>
      </w:r>
      <w:r w:rsidRPr="00356DCA">
        <w:rPr>
          <w:rStyle w:val="apple-style-span"/>
          <w:color w:val="000000"/>
        </w:rPr>
        <w:t>Харківському</w:t>
      </w:r>
      <w:r>
        <w:rPr>
          <w:rStyle w:val="apple-style-span"/>
          <w:color w:val="000000"/>
        </w:rPr>
        <w:t xml:space="preserve"> </w:t>
      </w:r>
      <w:r w:rsidRPr="00356DCA">
        <w:rPr>
          <w:rStyle w:val="apple-style-span"/>
          <w:color w:val="000000"/>
        </w:rPr>
        <w:t>ліцеї</w:t>
      </w:r>
      <w:r>
        <w:rPr>
          <w:rStyle w:val="apple-style-span"/>
          <w:color w:val="000000"/>
        </w:rPr>
        <w:t xml:space="preserve"> </w:t>
      </w:r>
      <w:r w:rsidRPr="00356DCA">
        <w:rPr>
          <w:rStyle w:val="apple-style-span"/>
          <w:color w:val="000000"/>
        </w:rPr>
        <w:t>№</w:t>
      </w:r>
      <w:r>
        <w:rPr>
          <w:rStyle w:val="apple-style-span"/>
          <w:color w:val="000000"/>
        </w:rPr>
        <w:t> </w:t>
      </w:r>
      <w:r w:rsidRPr="00356DCA">
        <w:rPr>
          <w:rStyle w:val="apple-style-span"/>
          <w:color w:val="000000"/>
        </w:rPr>
        <w:t>149 Харківської міської ради Харківської області</w:t>
      </w:r>
      <w:r w:rsidRPr="00356DCA">
        <w:t>.</w:t>
      </w:r>
      <w:r>
        <w:t xml:space="preserve"> </w:t>
      </w:r>
      <w:r w:rsidR="00AF21FD">
        <w:t>З них д</w:t>
      </w:r>
      <w:r w:rsidR="00077349">
        <w:t>о складу основної групи</w:t>
      </w:r>
      <w:r w:rsidR="00AF21FD">
        <w:t xml:space="preserve"> (ОГ)</w:t>
      </w:r>
      <w:r w:rsidR="00077349">
        <w:t xml:space="preserve"> було відібрано 70 дітей з </w:t>
      </w:r>
      <w:r w:rsidR="00077349" w:rsidRPr="0042348D">
        <w:t>діагноз</w:t>
      </w:r>
      <w:r w:rsidR="00077349">
        <w:t>ом</w:t>
      </w:r>
      <w:r w:rsidR="00077349" w:rsidRPr="0042348D">
        <w:t xml:space="preserve"> нейросенсорна туговухість </w:t>
      </w:r>
      <w:r w:rsidR="00077349" w:rsidRPr="0042348D">
        <w:rPr>
          <w:lang w:val="en-US"/>
        </w:rPr>
        <w:t>III</w:t>
      </w:r>
      <w:r w:rsidR="00077349" w:rsidRPr="0042348D">
        <w:t>-</w:t>
      </w:r>
      <w:r w:rsidR="00077349" w:rsidRPr="0042348D">
        <w:rPr>
          <w:lang w:val="en-US"/>
        </w:rPr>
        <w:t>IV</w:t>
      </w:r>
      <w:r w:rsidR="00077349" w:rsidRPr="0042348D">
        <w:t xml:space="preserve"> ступеня, глухота</w:t>
      </w:r>
      <w:r w:rsidR="00077349">
        <w:t>, які</w:t>
      </w:r>
      <w:r w:rsidR="00077349" w:rsidRPr="0042348D">
        <w:t xml:space="preserve"> не перебува</w:t>
      </w:r>
      <w:r w:rsidR="00077349">
        <w:t>ли</w:t>
      </w:r>
      <w:r w:rsidR="00077349" w:rsidRPr="00216262">
        <w:t xml:space="preserve"> на диспансерному огляді з приводу іншої патології або мали загальн</w:t>
      </w:r>
      <w:r w:rsidR="00077349">
        <w:t>у</w:t>
      </w:r>
      <w:r w:rsidR="00077349" w:rsidRPr="00216262">
        <w:t xml:space="preserve"> соматичну патологію в стадії компенсації</w:t>
      </w:r>
      <w:r w:rsidR="00077349">
        <w:t xml:space="preserve"> (сколіотичну поставу, захворювання очей, нервової системи, шлунково-кишкової системи, патологію </w:t>
      </w:r>
      <w:r w:rsidR="00BF3D98">
        <w:t>ЛОР-</w:t>
      </w:r>
      <w:r w:rsidR="00077349">
        <w:t xml:space="preserve">органів тощо). </w:t>
      </w:r>
      <w:r w:rsidR="00077349" w:rsidRPr="00356DCA">
        <w:t xml:space="preserve">До </w:t>
      </w:r>
      <w:r w:rsidR="00AF21FD">
        <w:t xml:space="preserve">контрольної групи (КГ) </w:t>
      </w:r>
      <w:r w:rsidR="00077349" w:rsidRPr="00356DCA">
        <w:t>увійшли</w:t>
      </w:r>
      <w:r w:rsidR="00077349">
        <w:t xml:space="preserve"> 32 </w:t>
      </w:r>
      <w:r w:rsidR="00BF3D98">
        <w:t xml:space="preserve">дитини </w:t>
      </w:r>
      <w:r w:rsidR="00077349">
        <w:t>першої групи здоров</w:t>
      </w:r>
      <w:r w:rsidR="00BF3D98">
        <w:t>ʼ</w:t>
      </w:r>
      <w:r w:rsidR="00077349">
        <w:t xml:space="preserve">я </w:t>
      </w:r>
      <w:r w:rsidR="00077349" w:rsidRPr="00356DCA">
        <w:t>без патології слуху</w:t>
      </w:r>
      <w:r w:rsidR="00077349">
        <w:t xml:space="preserve">. </w:t>
      </w:r>
      <w:r w:rsidR="00077349">
        <w:rPr>
          <w:lang w:val="ru-RU"/>
        </w:rPr>
        <w:t xml:space="preserve"> </w:t>
      </w:r>
    </w:p>
    <w:p w:rsidR="001B048C" w:rsidRDefault="00077349" w:rsidP="003E2970">
      <w:pPr>
        <w:ind w:firstLine="709"/>
        <w:contextualSpacing/>
        <w:rPr>
          <w:rFonts w:eastAsia="ArialMT"/>
          <w:lang w:val="ru-RU" w:eastAsia="uk-UA"/>
        </w:rPr>
      </w:pPr>
      <w:r w:rsidRPr="00356DCA">
        <w:rPr>
          <w:rFonts w:eastAsia="ArialMT"/>
          <w:lang w:eastAsia="uk-UA"/>
        </w:rPr>
        <w:t>Розподіл дітей на групи був проведений з урахуванням рекомендацій ВООЗ щодо вибору вікових груп дітей для проведення епідеміологічного дослідження з метою визначення стоматологічного статусу</w:t>
      </w:r>
      <w:r w:rsidRPr="00356DCA">
        <w:rPr>
          <w:rFonts w:eastAsia="ArialMT"/>
          <w:lang w:val="ru-RU" w:eastAsia="uk-UA"/>
        </w:rPr>
        <w:t xml:space="preserve"> [132].</w:t>
      </w:r>
      <w:r w:rsidR="003E2970">
        <w:rPr>
          <w:rFonts w:eastAsia="ArialMT"/>
          <w:lang w:val="ru-RU" w:eastAsia="uk-UA"/>
        </w:rPr>
        <w:t xml:space="preserve"> </w:t>
      </w:r>
      <w:r w:rsidR="001B048C">
        <w:rPr>
          <w:rFonts w:eastAsia="ArialMT"/>
          <w:lang w:val="ru-RU" w:eastAsia="uk-UA"/>
        </w:rPr>
        <w:t>Окрім того, враховували здатність ДВГ сприймати інформацію, наявніть соціальних навичок, періоди розвитку дитини та формування прикусу [87, 104</w:t>
      </w:r>
      <w:r w:rsidR="001B048C" w:rsidRPr="00356DCA">
        <w:rPr>
          <w:rFonts w:eastAsia="ArialMT"/>
          <w:lang w:val="ru-RU" w:eastAsia="uk-UA"/>
        </w:rPr>
        <w:t>].</w:t>
      </w:r>
      <w:r w:rsidR="001B048C">
        <w:rPr>
          <w:rFonts w:eastAsia="ArialMT"/>
          <w:lang w:val="ru-RU" w:eastAsia="uk-UA"/>
        </w:rPr>
        <w:t xml:space="preserve">  </w:t>
      </w:r>
    </w:p>
    <w:p w:rsidR="00077349" w:rsidRPr="00AF21FD" w:rsidRDefault="003E2970" w:rsidP="003E2970">
      <w:pPr>
        <w:ind w:firstLine="709"/>
        <w:contextualSpacing/>
      </w:pPr>
      <w:r w:rsidRPr="00356DCA">
        <w:t>Діти з вродженою глухотою ОГ та</w:t>
      </w:r>
      <w:r>
        <w:t xml:space="preserve"> </w:t>
      </w:r>
      <w:r w:rsidRPr="00356DCA">
        <w:t>діти з нормальним слухом КГ за віком були поділені на три групи: 7-8 років (ОГ1 та КГ1), 11-12 років (ОГ2 та КГ2), та 14-15 років (ОГ3 та КГ3).</w:t>
      </w:r>
      <w:r w:rsidRPr="00356DCA">
        <w:rPr>
          <w:rFonts w:eastAsia="ArialMT"/>
          <w:color w:val="FF0000"/>
          <w:lang w:eastAsia="uk-UA"/>
        </w:rPr>
        <w:t xml:space="preserve"> </w:t>
      </w:r>
    </w:p>
    <w:p w:rsidR="00534FB5" w:rsidRPr="00356DCA" w:rsidRDefault="00534FB5" w:rsidP="00534FB5">
      <w:pPr>
        <w:ind w:firstLine="709"/>
        <w:contextualSpacing/>
      </w:pPr>
      <w:r w:rsidRPr="00356DCA">
        <w:t>Розподіл дітей за віком і статтю наведений у таблиці 2.1.</w:t>
      </w:r>
    </w:p>
    <w:p w:rsidR="00534FB5" w:rsidRPr="0020671B" w:rsidRDefault="00534FB5" w:rsidP="00534FB5">
      <w:pPr>
        <w:jc w:val="right"/>
        <w:rPr>
          <w:i/>
        </w:rPr>
      </w:pPr>
      <w:r w:rsidRPr="0020671B">
        <w:rPr>
          <w:i/>
        </w:rPr>
        <w:lastRenderedPageBreak/>
        <w:t>Таблиця 2.1</w:t>
      </w:r>
    </w:p>
    <w:p w:rsidR="00534FB5" w:rsidRPr="00715691" w:rsidRDefault="00534FB5" w:rsidP="00534FB5">
      <w:pPr>
        <w:jc w:val="center"/>
        <w:rPr>
          <w:b/>
        </w:rPr>
      </w:pPr>
      <w:r w:rsidRPr="00715691">
        <w:rPr>
          <w:b/>
        </w:rPr>
        <w:t>Розподіл обстежених дітей за віком і статтю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1102"/>
        <w:gridCol w:w="882"/>
        <w:gridCol w:w="1098"/>
        <w:gridCol w:w="1029"/>
        <w:gridCol w:w="951"/>
        <w:gridCol w:w="1317"/>
        <w:gridCol w:w="663"/>
        <w:gridCol w:w="1003"/>
      </w:tblGrid>
      <w:tr w:rsidR="006602F6" w:rsidTr="00FD609C">
        <w:trPr>
          <w:trHeight w:val="349"/>
          <w:jc w:val="center"/>
        </w:trPr>
        <w:tc>
          <w:tcPr>
            <w:tcW w:w="534" w:type="dxa"/>
            <w:vMerge w:val="restart"/>
            <w:shd w:val="clear" w:color="auto" w:fill="auto"/>
            <w:textDirection w:val="btLr"/>
          </w:tcPr>
          <w:p w:rsidR="006602F6" w:rsidRPr="00210CB3" w:rsidRDefault="006602F6" w:rsidP="006602F6">
            <w:pPr>
              <w:spacing w:line="240" w:lineRule="atLeast"/>
              <w:ind w:left="113" w:right="113"/>
              <w:contextualSpacing/>
              <w:jc w:val="center"/>
              <w:rPr>
                <w:spacing w:val="-20"/>
              </w:rPr>
            </w:pPr>
            <w:r>
              <w:rPr>
                <w:spacing w:val="-20"/>
              </w:rPr>
              <w:t>ОГ</w:t>
            </w:r>
          </w:p>
        </w:tc>
        <w:tc>
          <w:tcPr>
            <w:tcW w:w="992" w:type="dxa"/>
            <w:vMerge w:val="restart"/>
            <w:shd w:val="clear" w:color="auto" w:fill="auto"/>
          </w:tcPr>
          <w:p w:rsidR="006602F6" w:rsidRPr="00210CB3" w:rsidRDefault="006602F6" w:rsidP="006602F6">
            <w:pPr>
              <w:spacing w:line="240" w:lineRule="atLeast"/>
              <w:contextualSpacing/>
              <w:jc w:val="center"/>
              <w:rPr>
                <w:spacing w:val="-20"/>
              </w:rPr>
            </w:pPr>
            <w:r w:rsidRPr="00210CB3">
              <w:rPr>
                <w:spacing w:val="-20"/>
              </w:rPr>
              <w:t>Стать</w:t>
            </w:r>
          </w:p>
        </w:tc>
        <w:tc>
          <w:tcPr>
            <w:tcW w:w="1984"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7-8 років</w:t>
            </w:r>
            <w:r>
              <w:rPr>
                <w:spacing w:val="-20"/>
              </w:rPr>
              <w:t xml:space="preserve">  </w:t>
            </w:r>
            <w:r w:rsidRPr="00210CB3">
              <w:rPr>
                <w:spacing w:val="-20"/>
              </w:rPr>
              <w:t>(ОГ1)</w:t>
            </w:r>
          </w:p>
        </w:tc>
        <w:tc>
          <w:tcPr>
            <w:tcW w:w="2127"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11-12 років</w:t>
            </w:r>
            <w:r>
              <w:rPr>
                <w:spacing w:val="-20"/>
              </w:rPr>
              <w:t xml:space="preserve"> </w:t>
            </w:r>
            <w:r w:rsidRPr="00210CB3">
              <w:rPr>
                <w:spacing w:val="-20"/>
              </w:rPr>
              <w:t xml:space="preserve"> (ОГ2)</w:t>
            </w:r>
          </w:p>
        </w:tc>
        <w:tc>
          <w:tcPr>
            <w:tcW w:w="2268"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14</w:t>
            </w:r>
            <w:r w:rsidR="00C26C8C">
              <w:rPr>
                <w:spacing w:val="-20"/>
              </w:rPr>
              <w:t xml:space="preserve"> </w:t>
            </w:r>
            <w:r w:rsidRPr="00210CB3">
              <w:rPr>
                <w:spacing w:val="-20"/>
              </w:rPr>
              <w:t>-15 років</w:t>
            </w:r>
            <w:r>
              <w:rPr>
                <w:spacing w:val="-20"/>
              </w:rPr>
              <w:t xml:space="preserve"> </w:t>
            </w:r>
            <w:r w:rsidRPr="00210CB3">
              <w:rPr>
                <w:spacing w:val="-20"/>
              </w:rPr>
              <w:t xml:space="preserve"> (ОГ3)</w:t>
            </w:r>
          </w:p>
        </w:tc>
        <w:tc>
          <w:tcPr>
            <w:tcW w:w="1666"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Разом</w:t>
            </w:r>
          </w:p>
        </w:tc>
      </w:tr>
      <w:tr w:rsidR="006602F6" w:rsidTr="00FD609C">
        <w:trPr>
          <w:trHeight w:val="332"/>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vMerge/>
            <w:shd w:val="clear" w:color="auto" w:fill="auto"/>
          </w:tcPr>
          <w:p w:rsidR="006602F6" w:rsidRPr="00210CB3" w:rsidRDefault="006602F6" w:rsidP="006602F6">
            <w:pPr>
              <w:spacing w:line="240" w:lineRule="atLeast"/>
              <w:contextualSpacing/>
              <w:jc w:val="center"/>
              <w:rPr>
                <w:spacing w:val="-20"/>
              </w:rPr>
            </w:pPr>
          </w:p>
        </w:tc>
        <w:tc>
          <w:tcPr>
            <w:tcW w:w="1984"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32,9</w:t>
            </w:r>
            <w:r>
              <w:rPr>
                <w:spacing w:val="-20"/>
              </w:rPr>
              <w:t xml:space="preserve"> </w:t>
            </w:r>
            <w:r w:rsidRPr="00210CB3">
              <w:rPr>
                <w:spacing w:val="-20"/>
              </w:rPr>
              <w:t>%</w:t>
            </w:r>
          </w:p>
        </w:tc>
        <w:tc>
          <w:tcPr>
            <w:tcW w:w="2127"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30,0</w:t>
            </w:r>
            <w:r>
              <w:rPr>
                <w:spacing w:val="-20"/>
              </w:rPr>
              <w:t xml:space="preserve"> </w:t>
            </w:r>
            <w:r w:rsidRPr="00210CB3">
              <w:rPr>
                <w:spacing w:val="-20"/>
              </w:rPr>
              <w:t>%</w:t>
            </w:r>
          </w:p>
        </w:tc>
        <w:tc>
          <w:tcPr>
            <w:tcW w:w="2268"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37,1%</w:t>
            </w:r>
          </w:p>
        </w:tc>
        <w:tc>
          <w:tcPr>
            <w:tcW w:w="1666" w:type="dxa"/>
            <w:gridSpan w:val="2"/>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100</w:t>
            </w:r>
            <w:r w:rsidRPr="00210CB3">
              <w:rPr>
                <w:spacing w:val="-20"/>
              </w:rPr>
              <w:t>%</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vMerge/>
            <w:shd w:val="clear" w:color="auto" w:fill="auto"/>
          </w:tcPr>
          <w:p w:rsidR="006602F6" w:rsidRPr="00210CB3" w:rsidRDefault="006602F6" w:rsidP="006602F6">
            <w:pPr>
              <w:spacing w:line="240" w:lineRule="atLeast"/>
              <w:contextualSpacing/>
              <w:jc w:val="center"/>
              <w:rPr>
                <w:spacing w:val="-20"/>
              </w:rPr>
            </w:pP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003"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Хлоп</w:t>
            </w:r>
            <w:r>
              <w:rPr>
                <w:spacing w:val="-20"/>
              </w:rPr>
              <w:t>ці</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13</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56,5</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13</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61,9</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16</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61,5</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42</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60,0</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Дівчата</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10</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43,5</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8</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38,1</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10</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38,5</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28</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40,0</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Разом</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23</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21</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26</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70</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100</w:t>
            </w:r>
          </w:p>
        </w:tc>
      </w:tr>
      <w:tr w:rsidR="006602F6" w:rsidTr="00FD609C">
        <w:trPr>
          <w:trHeight w:val="322"/>
          <w:jc w:val="center"/>
        </w:trPr>
        <w:tc>
          <w:tcPr>
            <w:tcW w:w="534" w:type="dxa"/>
            <w:vMerge w:val="restart"/>
            <w:shd w:val="clear" w:color="auto" w:fill="auto"/>
            <w:textDirection w:val="btLr"/>
          </w:tcPr>
          <w:p w:rsidR="006602F6" w:rsidRPr="00210CB3" w:rsidRDefault="006602F6" w:rsidP="006602F6">
            <w:pPr>
              <w:spacing w:line="240" w:lineRule="atLeast"/>
              <w:ind w:left="113" w:right="113"/>
              <w:contextualSpacing/>
              <w:jc w:val="center"/>
              <w:rPr>
                <w:spacing w:val="-20"/>
              </w:rPr>
            </w:pPr>
            <w:r>
              <w:rPr>
                <w:spacing w:val="-20"/>
              </w:rPr>
              <w:t>КГ</w:t>
            </w:r>
          </w:p>
        </w:tc>
        <w:tc>
          <w:tcPr>
            <w:tcW w:w="992" w:type="dxa"/>
            <w:vMerge w:val="restart"/>
            <w:shd w:val="clear" w:color="auto" w:fill="auto"/>
          </w:tcPr>
          <w:p w:rsidR="006602F6" w:rsidRPr="00210CB3" w:rsidRDefault="006602F6" w:rsidP="006602F6">
            <w:pPr>
              <w:spacing w:line="240" w:lineRule="atLeast"/>
              <w:contextualSpacing/>
              <w:jc w:val="center"/>
              <w:rPr>
                <w:spacing w:val="-20"/>
              </w:rPr>
            </w:pPr>
          </w:p>
        </w:tc>
        <w:tc>
          <w:tcPr>
            <w:tcW w:w="1984"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7-8 років</w:t>
            </w:r>
            <w:r>
              <w:rPr>
                <w:spacing w:val="-20"/>
              </w:rPr>
              <w:t xml:space="preserve">  </w:t>
            </w:r>
            <w:r w:rsidR="00AA499D">
              <w:rPr>
                <w:spacing w:val="-20"/>
              </w:rPr>
              <w:t>(</w:t>
            </w:r>
            <w:r w:rsidR="00AA499D">
              <w:rPr>
                <w:spacing w:val="-20"/>
                <w:lang w:val="en-US"/>
              </w:rPr>
              <w:t>K</w:t>
            </w:r>
            <w:r w:rsidRPr="00210CB3">
              <w:rPr>
                <w:spacing w:val="-20"/>
              </w:rPr>
              <w:t>Г1)</w:t>
            </w:r>
          </w:p>
        </w:tc>
        <w:tc>
          <w:tcPr>
            <w:tcW w:w="2127"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11-12 років</w:t>
            </w:r>
            <w:r>
              <w:rPr>
                <w:spacing w:val="-20"/>
              </w:rPr>
              <w:t xml:space="preserve">  </w:t>
            </w:r>
            <w:r w:rsidR="00AA499D">
              <w:rPr>
                <w:spacing w:val="-20"/>
              </w:rPr>
              <w:t>(</w:t>
            </w:r>
            <w:r w:rsidR="00AA499D">
              <w:rPr>
                <w:spacing w:val="-20"/>
                <w:lang w:val="en-US"/>
              </w:rPr>
              <w:t>K</w:t>
            </w:r>
            <w:r w:rsidRPr="00210CB3">
              <w:rPr>
                <w:spacing w:val="-20"/>
              </w:rPr>
              <w:t>Г2)</w:t>
            </w:r>
          </w:p>
        </w:tc>
        <w:tc>
          <w:tcPr>
            <w:tcW w:w="2268"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14</w:t>
            </w:r>
            <w:r w:rsidR="00FD609C">
              <w:rPr>
                <w:spacing w:val="-20"/>
              </w:rPr>
              <w:t xml:space="preserve"> </w:t>
            </w:r>
            <w:r w:rsidRPr="00210CB3">
              <w:rPr>
                <w:spacing w:val="-20"/>
              </w:rPr>
              <w:t>-15 років</w:t>
            </w:r>
            <w:r>
              <w:rPr>
                <w:spacing w:val="-20"/>
              </w:rPr>
              <w:t xml:space="preserve">  </w:t>
            </w:r>
            <w:r w:rsidR="00AA499D">
              <w:rPr>
                <w:spacing w:val="-20"/>
              </w:rPr>
              <w:t>(</w:t>
            </w:r>
            <w:r w:rsidR="00AA499D">
              <w:rPr>
                <w:spacing w:val="-20"/>
                <w:lang w:val="en-US"/>
              </w:rPr>
              <w:t>K</w:t>
            </w:r>
            <w:r w:rsidRPr="00210CB3">
              <w:rPr>
                <w:spacing w:val="-20"/>
              </w:rPr>
              <w:t>Г3)</w:t>
            </w:r>
          </w:p>
        </w:tc>
        <w:tc>
          <w:tcPr>
            <w:tcW w:w="1666"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Разом</w:t>
            </w:r>
          </w:p>
        </w:tc>
      </w:tr>
      <w:tr w:rsidR="006602F6" w:rsidTr="00FD609C">
        <w:trPr>
          <w:trHeight w:val="332"/>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vMerge/>
            <w:shd w:val="clear" w:color="auto" w:fill="auto"/>
          </w:tcPr>
          <w:p w:rsidR="006602F6" w:rsidRPr="00210CB3" w:rsidRDefault="006602F6" w:rsidP="006602F6">
            <w:pPr>
              <w:spacing w:line="240" w:lineRule="atLeast"/>
              <w:contextualSpacing/>
              <w:jc w:val="center"/>
              <w:rPr>
                <w:spacing w:val="-20"/>
              </w:rPr>
            </w:pPr>
          </w:p>
        </w:tc>
        <w:tc>
          <w:tcPr>
            <w:tcW w:w="1984"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31,3%</w:t>
            </w:r>
          </w:p>
        </w:tc>
        <w:tc>
          <w:tcPr>
            <w:tcW w:w="2127"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31,3%</w:t>
            </w:r>
          </w:p>
        </w:tc>
        <w:tc>
          <w:tcPr>
            <w:tcW w:w="2268"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rPr>
              <w:t>37,5%</w:t>
            </w:r>
          </w:p>
        </w:tc>
        <w:tc>
          <w:tcPr>
            <w:tcW w:w="1666" w:type="dxa"/>
            <w:gridSpan w:val="2"/>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r w:rsidRPr="00210CB3">
              <w:rPr>
                <w:spacing w:val="-20"/>
              </w:rPr>
              <w:t>%</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vMerge/>
            <w:shd w:val="clear" w:color="auto" w:fill="auto"/>
          </w:tcPr>
          <w:p w:rsidR="006602F6" w:rsidRPr="00210CB3" w:rsidRDefault="006602F6" w:rsidP="006602F6">
            <w:pPr>
              <w:spacing w:line="240" w:lineRule="atLeast"/>
              <w:contextualSpacing/>
              <w:jc w:val="center"/>
              <w:rPr>
                <w:spacing w:val="-20"/>
              </w:rPr>
            </w:pP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абс.</w:t>
            </w:r>
          </w:p>
        </w:tc>
        <w:tc>
          <w:tcPr>
            <w:tcW w:w="1003" w:type="dxa"/>
            <w:shd w:val="clear" w:color="auto" w:fill="auto"/>
          </w:tcPr>
          <w:p w:rsidR="006602F6" w:rsidRPr="00210CB3" w:rsidRDefault="006602F6" w:rsidP="006602F6">
            <w:pPr>
              <w:spacing w:line="240" w:lineRule="atLeast"/>
              <w:contextualSpacing/>
              <w:jc w:val="center"/>
              <w:rPr>
                <w:spacing w:val="-20"/>
              </w:rPr>
            </w:pPr>
            <w:r w:rsidRPr="00210CB3">
              <w:rPr>
                <w:spacing w:val="-20"/>
              </w:rPr>
              <w:t>%</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Хлоп</w:t>
            </w:r>
            <w:r>
              <w:rPr>
                <w:spacing w:val="-20"/>
              </w:rPr>
              <w:t>ці</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1</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10,0</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3</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30,0</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8</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66,7</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12</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37,5</w:t>
            </w:r>
          </w:p>
        </w:tc>
      </w:tr>
      <w:tr w:rsidR="006602F6" w:rsidTr="00FD609C">
        <w:trPr>
          <w:trHeight w:val="325"/>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Дівчата</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9</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rPr>
              <w:t>90,0</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7</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rPr>
              <w:t>70,0</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4</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rPr>
              <w:t>33,3</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20</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62,5</w:t>
            </w:r>
          </w:p>
        </w:tc>
      </w:tr>
      <w:tr w:rsidR="006602F6" w:rsidTr="00FD609C">
        <w:trPr>
          <w:jc w:val="center"/>
        </w:trPr>
        <w:tc>
          <w:tcPr>
            <w:tcW w:w="534" w:type="dxa"/>
            <w:vMerge/>
            <w:shd w:val="clear" w:color="auto" w:fill="auto"/>
          </w:tcPr>
          <w:p w:rsidR="006602F6" w:rsidRPr="00210CB3" w:rsidRDefault="006602F6" w:rsidP="006602F6">
            <w:pPr>
              <w:spacing w:line="240" w:lineRule="atLeast"/>
              <w:contextualSpacing/>
              <w:jc w:val="center"/>
              <w:rPr>
                <w:spacing w:val="-20"/>
              </w:rPr>
            </w:pPr>
          </w:p>
        </w:tc>
        <w:tc>
          <w:tcPr>
            <w:tcW w:w="992" w:type="dxa"/>
            <w:shd w:val="clear" w:color="auto" w:fill="auto"/>
          </w:tcPr>
          <w:p w:rsidR="006602F6" w:rsidRPr="00210CB3" w:rsidRDefault="006602F6" w:rsidP="006602F6">
            <w:pPr>
              <w:spacing w:line="240" w:lineRule="atLeast"/>
              <w:contextualSpacing/>
              <w:jc w:val="center"/>
              <w:rPr>
                <w:spacing w:val="-20"/>
              </w:rPr>
            </w:pPr>
            <w:r w:rsidRPr="00210CB3">
              <w:rPr>
                <w:spacing w:val="-20"/>
              </w:rPr>
              <w:t>Разом</w:t>
            </w:r>
          </w:p>
        </w:tc>
        <w:tc>
          <w:tcPr>
            <w:tcW w:w="1102" w:type="dxa"/>
            <w:shd w:val="clear" w:color="auto" w:fill="auto"/>
          </w:tcPr>
          <w:p w:rsidR="006602F6" w:rsidRPr="00210CB3" w:rsidRDefault="006602F6" w:rsidP="006602F6">
            <w:pPr>
              <w:spacing w:line="240" w:lineRule="atLeast"/>
              <w:contextualSpacing/>
              <w:jc w:val="center"/>
              <w:rPr>
                <w:spacing w:val="-20"/>
              </w:rPr>
            </w:pPr>
            <w:r w:rsidRPr="00210CB3">
              <w:rPr>
                <w:spacing w:val="-20"/>
              </w:rPr>
              <w:t>10</w:t>
            </w:r>
          </w:p>
        </w:tc>
        <w:tc>
          <w:tcPr>
            <w:tcW w:w="882"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1098" w:type="dxa"/>
            <w:shd w:val="clear" w:color="auto" w:fill="auto"/>
          </w:tcPr>
          <w:p w:rsidR="006602F6" w:rsidRPr="00210CB3" w:rsidRDefault="006602F6" w:rsidP="006602F6">
            <w:pPr>
              <w:spacing w:line="240" w:lineRule="atLeast"/>
              <w:contextualSpacing/>
              <w:jc w:val="center"/>
              <w:rPr>
                <w:spacing w:val="-20"/>
              </w:rPr>
            </w:pPr>
            <w:r w:rsidRPr="00210CB3">
              <w:rPr>
                <w:spacing w:val="-20"/>
              </w:rPr>
              <w:t>10</w:t>
            </w:r>
          </w:p>
        </w:tc>
        <w:tc>
          <w:tcPr>
            <w:tcW w:w="1029"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951" w:type="dxa"/>
            <w:shd w:val="clear" w:color="auto" w:fill="auto"/>
          </w:tcPr>
          <w:p w:rsidR="006602F6" w:rsidRPr="00210CB3" w:rsidRDefault="006602F6" w:rsidP="006602F6">
            <w:pPr>
              <w:spacing w:line="240" w:lineRule="atLeast"/>
              <w:contextualSpacing/>
              <w:jc w:val="center"/>
              <w:rPr>
                <w:spacing w:val="-20"/>
              </w:rPr>
            </w:pPr>
            <w:r w:rsidRPr="00210CB3">
              <w:rPr>
                <w:spacing w:val="-20"/>
              </w:rPr>
              <w:t>12</w:t>
            </w:r>
          </w:p>
        </w:tc>
        <w:tc>
          <w:tcPr>
            <w:tcW w:w="1317" w:type="dxa"/>
            <w:shd w:val="clear" w:color="auto" w:fill="auto"/>
          </w:tcPr>
          <w:p w:rsidR="006602F6" w:rsidRPr="00210CB3" w:rsidRDefault="006602F6" w:rsidP="006602F6">
            <w:pPr>
              <w:spacing w:line="240" w:lineRule="atLeast"/>
              <w:contextualSpacing/>
              <w:jc w:val="center"/>
              <w:rPr>
                <w:spacing w:val="-20"/>
              </w:rPr>
            </w:pPr>
            <w:r w:rsidRPr="00210CB3">
              <w:rPr>
                <w:spacing w:val="-20"/>
                <w:lang w:val="ru-RU"/>
              </w:rPr>
              <w:t>100</w:t>
            </w:r>
          </w:p>
        </w:tc>
        <w:tc>
          <w:tcPr>
            <w:tcW w:w="663" w:type="dxa"/>
            <w:shd w:val="clear" w:color="auto" w:fill="auto"/>
          </w:tcPr>
          <w:p w:rsidR="006602F6" w:rsidRPr="00210CB3" w:rsidRDefault="006602F6" w:rsidP="006602F6">
            <w:pPr>
              <w:spacing w:line="240" w:lineRule="atLeast"/>
              <w:contextualSpacing/>
              <w:jc w:val="center"/>
              <w:rPr>
                <w:spacing w:val="-20"/>
              </w:rPr>
            </w:pPr>
            <w:r w:rsidRPr="00210CB3">
              <w:rPr>
                <w:spacing w:val="-20"/>
              </w:rPr>
              <w:t>32</w:t>
            </w:r>
          </w:p>
        </w:tc>
        <w:tc>
          <w:tcPr>
            <w:tcW w:w="1003" w:type="dxa"/>
            <w:shd w:val="clear" w:color="auto" w:fill="auto"/>
          </w:tcPr>
          <w:p w:rsidR="006602F6" w:rsidRPr="00210CB3" w:rsidRDefault="006602F6" w:rsidP="006602F6">
            <w:pPr>
              <w:spacing w:line="240" w:lineRule="atLeast"/>
              <w:contextualSpacing/>
              <w:jc w:val="center"/>
              <w:rPr>
                <w:spacing w:val="-20"/>
                <w:lang w:val="ru-RU"/>
              </w:rPr>
            </w:pPr>
            <w:r w:rsidRPr="00210CB3">
              <w:rPr>
                <w:spacing w:val="-20"/>
                <w:lang w:val="ru-RU"/>
              </w:rPr>
              <w:t>100</w:t>
            </w:r>
          </w:p>
        </w:tc>
      </w:tr>
    </w:tbl>
    <w:p w:rsidR="00534FB5" w:rsidRPr="00E57017" w:rsidRDefault="00534FB5" w:rsidP="00534FB5">
      <w:pPr>
        <w:ind w:left="-142"/>
        <w:rPr>
          <w:sz w:val="24"/>
        </w:rPr>
      </w:pPr>
      <w:r w:rsidRPr="00E57017">
        <w:rPr>
          <w:sz w:val="24"/>
        </w:rPr>
        <w:t>Примітка: відсоток розрахов</w:t>
      </w:r>
      <w:r>
        <w:rPr>
          <w:sz w:val="24"/>
        </w:rPr>
        <w:t>ано</w:t>
      </w:r>
      <w:r w:rsidRPr="00E57017">
        <w:rPr>
          <w:sz w:val="24"/>
        </w:rPr>
        <w:t xml:space="preserve"> від загальної кількості хворих.</w:t>
      </w:r>
    </w:p>
    <w:p w:rsidR="00534FB5" w:rsidRPr="00DE560F" w:rsidRDefault="00534FB5" w:rsidP="00534FB5">
      <w:pPr>
        <w:ind w:firstLine="709"/>
        <w:contextualSpacing/>
        <w:rPr>
          <w:sz w:val="24"/>
        </w:rPr>
      </w:pPr>
    </w:p>
    <w:p w:rsidR="00534FB5" w:rsidRPr="00B6790C" w:rsidRDefault="00534FB5" w:rsidP="00B6790C">
      <w:pPr>
        <w:ind w:firstLine="709"/>
        <w:contextualSpacing/>
        <w:rPr>
          <w:spacing w:val="-1"/>
        </w:rPr>
      </w:pPr>
      <w:r w:rsidRPr="00B6790C">
        <w:rPr>
          <w:spacing w:val="-1"/>
        </w:rPr>
        <w:t>Дітям КГ лікувально-профілактичні заходи не проводилися.</w:t>
      </w:r>
      <w:r w:rsidR="00B6790C" w:rsidRPr="00B6790C">
        <w:rPr>
          <w:spacing w:val="-1"/>
        </w:rPr>
        <w:t xml:space="preserve"> </w:t>
      </w:r>
      <w:r w:rsidRPr="00B6790C">
        <w:rPr>
          <w:spacing w:val="-1"/>
        </w:rPr>
        <w:t>Діти ОГ були поділе</w:t>
      </w:r>
      <w:r w:rsidR="00F37AD0">
        <w:rPr>
          <w:spacing w:val="-1"/>
        </w:rPr>
        <w:t xml:space="preserve">ні на дві підгрупи – підгрупа </w:t>
      </w:r>
      <w:r w:rsidR="005840BB">
        <w:rPr>
          <w:spacing w:val="-1"/>
        </w:rPr>
        <w:t>«А»</w:t>
      </w:r>
      <w:r w:rsidRPr="00B6790C">
        <w:rPr>
          <w:spacing w:val="-1"/>
        </w:rPr>
        <w:t xml:space="preserve"> </w:t>
      </w:r>
      <w:r w:rsidR="00F37AD0">
        <w:rPr>
          <w:spacing w:val="-1"/>
        </w:rPr>
        <w:t xml:space="preserve">та підгрупа </w:t>
      </w:r>
      <w:r w:rsidR="005840BB">
        <w:rPr>
          <w:spacing w:val="-1"/>
        </w:rPr>
        <w:t>«Б»</w:t>
      </w:r>
      <w:r w:rsidR="00E14F11">
        <w:rPr>
          <w:spacing w:val="-1"/>
        </w:rPr>
        <w:t>. Дітям підгрупи </w:t>
      </w:r>
      <w:r w:rsidR="00BF3D98">
        <w:rPr>
          <w:spacing w:val="-1"/>
        </w:rPr>
        <w:t xml:space="preserve"> «</w:t>
      </w:r>
      <w:r w:rsidR="005840BB">
        <w:rPr>
          <w:spacing w:val="-1"/>
        </w:rPr>
        <w:t>А»</w:t>
      </w:r>
      <w:r w:rsidR="00FD609C">
        <w:rPr>
          <w:spacing w:val="-1"/>
        </w:rPr>
        <w:t xml:space="preserve"> </w:t>
      </w:r>
      <w:r w:rsidRPr="00B6790C">
        <w:rPr>
          <w:spacing w:val="-1"/>
        </w:rPr>
        <w:t>(ОГ1а, ОГ2а, ОГ3а) проводили традиційну схему лікування та профілактики. Дітям підг</w:t>
      </w:r>
      <w:r w:rsidR="00F37AD0">
        <w:rPr>
          <w:spacing w:val="-1"/>
        </w:rPr>
        <w:t xml:space="preserve">рупи </w:t>
      </w:r>
      <w:r w:rsidR="005840BB">
        <w:rPr>
          <w:spacing w:val="-1"/>
        </w:rPr>
        <w:t>«Б»</w:t>
      </w:r>
      <w:r w:rsidRPr="00B6790C">
        <w:rPr>
          <w:spacing w:val="-1"/>
        </w:rPr>
        <w:t xml:space="preserve"> (ОГ1б, ОГ2б, ОГ3б) проводили запропоновану схему лікувально-профілактичних заходів.</w:t>
      </w:r>
    </w:p>
    <w:p w:rsidR="00534FB5" w:rsidRPr="00B6790C" w:rsidRDefault="00534FB5" w:rsidP="00534FB5">
      <w:pPr>
        <w:ind w:firstLine="709"/>
        <w:contextualSpacing/>
        <w:rPr>
          <w:color w:val="222222"/>
          <w:spacing w:val="-1"/>
          <w:shd w:val="clear" w:color="auto" w:fill="FFFFFF"/>
          <w:lang w:val="ru-RU"/>
        </w:rPr>
      </w:pPr>
      <w:r w:rsidRPr="00B6790C">
        <w:rPr>
          <w:spacing w:val="-1"/>
        </w:rPr>
        <w:t xml:space="preserve">Майже всі діти, залучені до виконання науково-дослідної роботи, мешкали в одному районі міста Харкова. Діти, які мешкали в інтернаті, отримували збалансоване харчування в їдальні інтернату. Зі слів батьків, діти, які навчалися в </w:t>
      </w:r>
      <w:r w:rsidRPr="00B6790C">
        <w:rPr>
          <w:rStyle w:val="apple-style-span"/>
          <w:color w:val="000000"/>
          <w:spacing w:val="-1"/>
        </w:rPr>
        <w:t xml:space="preserve">Харківському ліцеї № 149, також отримували збалансоване харчування вдома та в їдальні ліцею. Вода, що використовувалася для приготування їжі та напоїв для дітей, які брали участь в </w:t>
      </w:r>
      <w:r w:rsidRPr="00B6790C">
        <w:rPr>
          <w:spacing w:val="-1"/>
        </w:rPr>
        <w:t>науково-дослідній роботі, надходила з</w:t>
      </w:r>
      <w:r w:rsidRPr="00B6790C">
        <w:rPr>
          <w:bCs/>
          <w:iCs/>
          <w:color w:val="000000"/>
          <w:spacing w:val="-1"/>
          <w:shd w:val="clear" w:color="auto" w:fill="FFFFFF"/>
        </w:rPr>
        <w:t xml:space="preserve"> </w:t>
      </w:r>
      <w:r w:rsidRPr="00B6790C">
        <w:rPr>
          <w:rStyle w:val="a9"/>
          <w:bCs/>
          <w:i w:val="0"/>
          <w:color w:val="000000"/>
          <w:spacing w:val="-1"/>
          <w:shd w:val="clear" w:color="auto" w:fill="FFFFFF"/>
        </w:rPr>
        <w:t>централізованої</w:t>
      </w:r>
      <w:r w:rsidRPr="00B6790C">
        <w:rPr>
          <w:rStyle w:val="apple-converted-space"/>
          <w:i/>
          <w:color w:val="222222"/>
          <w:spacing w:val="-1"/>
          <w:shd w:val="clear" w:color="auto" w:fill="FFFFFF"/>
        </w:rPr>
        <w:t xml:space="preserve"> </w:t>
      </w:r>
      <w:r w:rsidRPr="00B6790C">
        <w:rPr>
          <w:color w:val="222222"/>
          <w:spacing w:val="-1"/>
          <w:shd w:val="clear" w:color="auto" w:fill="FFFFFF"/>
        </w:rPr>
        <w:t xml:space="preserve">системи водопостачання. </w:t>
      </w:r>
    </w:p>
    <w:p w:rsidR="00534FB5" w:rsidRPr="00FF0DD4" w:rsidRDefault="00534FB5" w:rsidP="00534FB5">
      <w:pPr>
        <w:rPr>
          <w:shd w:val="clear" w:color="auto" w:fill="FFFFFF"/>
          <w:lang w:val="ru-RU"/>
        </w:rPr>
      </w:pPr>
    </w:p>
    <w:p w:rsidR="00534FB5" w:rsidRPr="00EC3DD8" w:rsidRDefault="00534FB5" w:rsidP="00534FB5">
      <w:pPr>
        <w:pStyle w:val="af1"/>
        <w:spacing w:after="0"/>
        <w:ind w:left="0" w:firstLine="709"/>
        <w:jc w:val="both"/>
        <w:rPr>
          <w:b/>
        </w:rPr>
      </w:pPr>
      <w:r w:rsidRPr="00EC3DD8">
        <w:rPr>
          <w:b/>
        </w:rPr>
        <w:t xml:space="preserve">2.2. </w:t>
      </w:r>
      <w:r w:rsidRPr="00356DCA">
        <w:rPr>
          <w:b/>
        </w:rPr>
        <w:t>Характеристика клінічних методів дослідження</w:t>
      </w:r>
    </w:p>
    <w:p w:rsidR="00534FB5" w:rsidRPr="001E7C90" w:rsidRDefault="00534FB5" w:rsidP="00534FB5">
      <w:pPr>
        <w:pStyle w:val="af1"/>
        <w:spacing w:after="0"/>
        <w:ind w:left="0"/>
        <w:jc w:val="both"/>
      </w:pPr>
    </w:p>
    <w:p w:rsidR="00534FB5" w:rsidRPr="00EC3DD8" w:rsidRDefault="00534FB5" w:rsidP="00534FB5">
      <w:pPr>
        <w:ind w:firstLine="709"/>
        <w:contextualSpacing/>
      </w:pPr>
      <w:r w:rsidRPr="00EC3DD8">
        <w:t>Використання епідеміологічних методів дослідження дало змогу оцін</w:t>
      </w:r>
      <w:r>
        <w:t>ити</w:t>
      </w:r>
      <w:r w:rsidRPr="00EC3DD8">
        <w:t xml:space="preserve"> стан стоматологічного здо</w:t>
      </w:r>
      <w:r>
        <w:t xml:space="preserve">ров’я </w:t>
      </w:r>
      <w:r w:rsidR="0089238F">
        <w:t>ДВГ</w:t>
      </w:r>
      <w:r w:rsidRPr="00EC3DD8">
        <w:t>, виявити потребу в проведе</w:t>
      </w:r>
      <w:r>
        <w:t>н</w:t>
      </w:r>
      <w:r w:rsidRPr="00EC3DD8">
        <w:t xml:space="preserve">ні </w:t>
      </w:r>
      <w:r w:rsidRPr="00EC3DD8">
        <w:lastRenderedPageBreak/>
        <w:t>профілактичних та лікувальних заходів,</w:t>
      </w:r>
      <w:r>
        <w:t xml:space="preserve"> </w:t>
      </w:r>
      <w:r w:rsidRPr="00EC3DD8">
        <w:rPr>
          <w:color w:val="000000"/>
          <w:shd w:val="clear" w:color="auto" w:fill="FFFFFF"/>
        </w:rPr>
        <w:t xml:space="preserve">вивчити причини, чинники ризику та механізми формування основних стоматологічних захворювань серед </w:t>
      </w:r>
      <w:r>
        <w:rPr>
          <w:color w:val="000000"/>
          <w:shd w:val="clear" w:color="auto" w:fill="FFFFFF"/>
        </w:rPr>
        <w:t>ціє</w:t>
      </w:r>
      <w:r w:rsidRPr="00EC3DD8">
        <w:rPr>
          <w:color w:val="000000"/>
          <w:shd w:val="clear" w:color="auto" w:fill="FFFFFF"/>
        </w:rPr>
        <w:t>ї групи дітей. Отримані дані</w:t>
      </w:r>
      <w:r>
        <w:rPr>
          <w:color w:val="000000"/>
          <w:shd w:val="clear" w:color="auto" w:fill="FFFFFF"/>
        </w:rPr>
        <w:t xml:space="preserve"> </w:t>
      </w:r>
      <w:r w:rsidRPr="00EC3DD8">
        <w:rPr>
          <w:color w:val="000000"/>
          <w:shd w:val="clear" w:color="auto" w:fill="FFFFFF"/>
        </w:rPr>
        <w:t xml:space="preserve">дозволили розробити та обґрунтувати використання профілактичного комплексу та провести оцінку його ефективності. </w:t>
      </w:r>
    </w:p>
    <w:p w:rsidR="00534FB5" w:rsidRPr="00EC3DD8" w:rsidRDefault="00534FB5" w:rsidP="006D7EDB">
      <w:pPr>
        <w:ind w:firstLine="709"/>
        <w:contextualSpacing/>
      </w:pPr>
      <w:r w:rsidRPr="00EC3DD8">
        <w:rPr>
          <w:shd w:val="clear" w:color="auto" w:fill="FFFFFF"/>
        </w:rPr>
        <w:t xml:space="preserve">Основним документом епідеміологічного дослідження, який використовувався під час виконання науково-дослідної роботи, була </w:t>
      </w:r>
      <w:r w:rsidRPr="00EC3DD8">
        <w:t>комбінована карта ВООЗ для стоматологічного дослідження та визначення потреби в лікуванні</w:t>
      </w:r>
      <w:r>
        <w:t xml:space="preserve"> </w:t>
      </w:r>
      <w:r w:rsidRPr="00DF72C6">
        <w:rPr>
          <w:rFonts w:eastAsia="ArialMT"/>
          <w:lang w:val="ru-RU" w:eastAsia="uk-UA"/>
        </w:rPr>
        <w:t>[</w:t>
      </w:r>
      <w:r>
        <w:rPr>
          <w:rFonts w:eastAsia="ArialMT"/>
          <w:lang w:val="ru-RU" w:eastAsia="uk-UA"/>
        </w:rPr>
        <w:t>24</w:t>
      </w:r>
      <w:r w:rsidRPr="00DF72C6">
        <w:rPr>
          <w:rFonts w:eastAsia="ArialMT"/>
          <w:lang w:val="ru-RU" w:eastAsia="uk-UA"/>
        </w:rPr>
        <w:t>].</w:t>
      </w:r>
      <w:r>
        <w:rPr>
          <w:lang w:val="ru-RU"/>
        </w:rPr>
        <w:t xml:space="preserve"> </w:t>
      </w:r>
      <w:r w:rsidRPr="00EC3DD8">
        <w:t>Клінічне обстеження здійснювали згідно зі стандартною методикою</w:t>
      </w:r>
      <w:r>
        <w:t xml:space="preserve"> </w:t>
      </w:r>
      <w:r w:rsidRPr="006D7EDB">
        <w:t>[24]</w:t>
      </w:r>
      <w:r w:rsidRPr="00EC3DD8">
        <w:t>, яка включала опитування та об</w:t>
      </w:r>
      <w:r>
        <w:t>’</w:t>
      </w:r>
      <w:r w:rsidRPr="00EC3DD8">
        <w:t>єктивне дослідження, отримані дані заносилис</w:t>
      </w:r>
      <w:r>
        <w:t>я</w:t>
      </w:r>
      <w:r w:rsidRPr="00EC3DD8">
        <w:t xml:space="preserve"> до «Медичної карти стоматологічного хворого»</w:t>
      </w:r>
      <w:r>
        <w:t xml:space="preserve"> </w:t>
      </w:r>
      <w:r w:rsidRPr="00EC3DD8">
        <w:t>(форма 043-о). Об</w:t>
      </w:r>
      <w:r>
        <w:t>’</w:t>
      </w:r>
      <w:r w:rsidRPr="00EC3DD8">
        <w:t xml:space="preserve">єктивне дослідження складалося з зовнішнього огляду, огляду присінку та порожнини рота. </w:t>
      </w:r>
    </w:p>
    <w:p w:rsidR="00534FB5" w:rsidRDefault="00534FB5" w:rsidP="00534FB5">
      <w:pPr>
        <w:ind w:firstLine="709"/>
        <w:contextualSpacing/>
      </w:pPr>
      <w:r w:rsidRPr="00EC3DD8">
        <w:t xml:space="preserve">Для встановлення діагнозу карієсу зубів використовували загальноприйняту класифікацію </w:t>
      </w:r>
      <w:r w:rsidRPr="00EC3DD8">
        <w:rPr>
          <w:color w:val="1B1B1B"/>
        </w:rPr>
        <w:t xml:space="preserve">карієсу зубів, яка характеризує ураження зубів за характером перебігу, глибиною та локалізацією </w:t>
      </w:r>
      <w:r w:rsidRPr="00883E50">
        <w:rPr>
          <w:color w:val="1B1B1B"/>
        </w:rPr>
        <w:t>[</w:t>
      </w:r>
      <w:r w:rsidRPr="006632F1">
        <w:rPr>
          <w:color w:val="1B1B1B"/>
        </w:rPr>
        <w:t>101</w:t>
      </w:r>
      <w:r w:rsidRPr="006632F1">
        <w:t>].</w:t>
      </w:r>
    </w:p>
    <w:p w:rsidR="00534FB5" w:rsidRPr="006D7EDB" w:rsidRDefault="00534FB5" w:rsidP="006D7EDB">
      <w:pPr>
        <w:ind w:firstLine="709"/>
        <w:contextualSpacing/>
        <w:rPr>
          <w:rStyle w:val="a9"/>
          <w:i w:val="0"/>
          <w:iCs w:val="0"/>
          <w:spacing w:val="-10"/>
        </w:rPr>
      </w:pPr>
      <w:r w:rsidRPr="006D7EDB">
        <w:rPr>
          <w:spacing w:val="-10"/>
        </w:rPr>
        <w:t>Для визначення гігієнічного стану порожнини рота використовували індекси першої (індекс гігієни</w:t>
      </w:r>
      <w:r w:rsidR="00F4048F">
        <w:rPr>
          <w:spacing w:val="-10"/>
        </w:rPr>
        <w:t xml:space="preserve"> Федорова</w:t>
      </w:r>
      <w:r w:rsidR="00BF3D98">
        <w:rPr>
          <w:spacing w:val="-10"/>
        </w:rPr>
        <w:t>–</w:t>
      </w:r>
      <w:r w:rsidR="00F4048F">
        <w:rPr>
          <w:spacing w:val="-10"/>
        </w:rPr>
        <w:t>Володкіної</w:t>
      </w:r>
      <w:r w:rsidRPr="006D7EDB">
        <w:rPr>
          <w:spacing w:val="-10"/>
        </w:rPr>
        <w:t xml:space="preserve"> (Федоров Ю.</w:t>
      </w:r>
      <w:r w:rsidRPr="006D7EDB">
        <w:rPr>
          <w:spacing w:val="-10"/>
          <w:lang w:val="en-US"/>
        </w:rPr>
        <w:t> </w:t>
      </w:r>
      <w:r w:rsidRPr="006D7EDB">
        <w:rPr>
          <w:spacing w:val="-10"/>
        </w:rPr>
        <w:t>А., Володкіна В. В., 1971),</w:t>
      </w:r>
      <w:r w:rsidRPr="006D7EDB">
        <w:rPr>
          <w:color w:val="000000"/>
          <w:spacing w:val="-10"/>
          <w:bdr w:val="none" w:sz="0" w:space="0" w:color="auto" w:frame="1"/>
        </w:rPr>
        <w:t xml:space="preserve"> індекс Stallard (1969)</w:t>
      </w:r>
      <w:r w:rsidRPr="006D7EDB">
        <w:rPr>
          <w:spacing w:val="-10"/>
        </w:rPr>
        <w:t>) та другої (</w:t>
      </w:r>
      <w:r w:rsidRPr="006D7EDB">
        <w:rPr>
          <w:color w:val="000000"/>
          <w:spacing w:val="-10"/>
        </w:rPr>
        <w:t xml:space="preserve">індекс гігієни </w:t>
      </w:r>
      <w:r w:rsidRPr="006D7EDB">
        <w:rPr>
          <w:spacing w:val="-10"/>
        </w:rPr>
        <w:t>Silness</w:t>
      </w:r>
      <w:r w:rsidRPr="006D7EDB">
        <w:rPr>
          <w:spacing w:val="-10"/>
          <w:lang w:val="en-US"/>
        </w:rPr>
        <w:t> </w:t>
      </w:r>
      <w:r w:rsidRPr="006D7EDB">
        <w:rPr>
          <w:spacing w:val="-10"/>
        </w:rPr>
        <w:t>J.</w:t>
      </w:r>
      <w:r w:rsidRPr="006D7EDB">
        <w:rPr>
          <w:spacing w:val="-10"/>
          <w:lang w:val="en-US"/>
        </w:rPr>
        <w:t> </w:t>
      </w:r>
      <w:r w:rsidRPr="006D7EDB">
        <w:rPr>
          <w:spacing w:val="-10"/>
        </w:rPr>
        <w:t xml:space="preserve">(1964) і Loe H. (1967)) групи [98, 101]. </w:t>
      </w:r>
      <w:r w:rsidRPr="00EC3DD8">
        <w:t>Для визначення індексів першо</w:t>
      </w:r>
      <w:r>
        <w:t>ї групи використовували барвник для виявлення м’яких та твердих зубних нашарувань</w:t>
      </w:r>
      <w:r>
        <w:rPr>
          <w:rStyle w:val="a9"/>
          <w:i w:val="0"/>
          <w:color w:val="000000"/>
        </w:rPr>
        <w:t>.</w:t>
      </w:r>
    </w:p>
    <w:p w:rsidR="00534FB5" w:rsidRPr="00EC3DD8" w:rsidRDefault="00534FB5" w:rsidP="00534FB5">
      <w:pPr>
        <w:ind w:firstLine="709"/>
        <w:contextualSpacing/>
      </w:pPr>
      <w:r w:rsidRPr="00EC3DD8">
        <w:t>Під час вивчення стану твердих тканин зубів у обстежених дітей визнач</w:t>
      </w:r>
      <w:r>
        <w:t xml:space="preserve">али поширеність карієсу [101] та </w:t>
      </w:r>
      <w:r w:rsidRPr="00EC3DD8">
        <w:t>інтенсивність карієсу за показниками КПВ+кп та КПВ [</w:t>
      </w:r>
      <w:r>
        <w:t>101</w:t>
      </w:r>
      <w:r w:rsidRPr="00EC3DD8">
        <w:t xml:space="preserve">]. </w:t>
      </w:r>
    </w:p>
    <w:p w:rsidR="00534FB5" w:rsidRPr="00EC3DD8" w:rsidRDefault="00534FB5" w:rsidP="00534FB5">
      <w:pPr>
        <w:ind w:firstLine="709"/>
        <w:contextualSpacing/>
      </w:pPr>
      <w:r w:rsidRPr="00EC3DD8">
        <w:t>Визначення активності каріозного процесу проводили за методом Т.</w:t>
      </w:r>
      <w:r>
        <w:t> </w:t>
      </w:r>
      <w:r w:rsidRPr="00EC3DD8">
        <w:t>Ф.</w:t>
      </w:r>
      <w:r>
        <w:t> </w:t>
      </w:r>
      <w:r w:rsidRPr="00EC3DD8">
        <w:t>Виноградової (1972) [</w:t>
      </w:r>
      <w:r>
        <w:t>11</w:t>
      </w:r>
      <w:r w:rsidRPr="00EC3DD8">
        <w:t xml:space="preserve">]. Для кожної вікової групи </w:t>
      </w:r>
      <w:r>
        <w:t>вказан</w:t>
      </w:r>
      <w:r w:rsidRPr="00EC3DD8">
        <w:t>ого регіону було визначено середнє зна</w:t>
      </w:r>
      <w:r>
        <w:t xml:space="preserve">чення індексу КПВ і КПВ+кп та </w:t>
      </w:r>
      <w:r w:rsidRPr="00EC3DD8">
        <w:t xml:space="preserve">відхилення від середнього значення за </w:t>
      </w:r>
      <w:r>
        <w:t>трьома сигмальними відхиленнями (М±Зо) </w:t>
      </w:r>
      <w:r w:rsidRPr="00182F38">
        <w:t>[</w:t>
      </w:r>
      <w:r>
        <w:t>11</w:t>
      </w:r>
      <w:r w:rsidRPr="00182F38">
        <w:t>]</w:t>
      </w:r>
      <w:r w:rsidRPr="00EC3DD8">
        <w:t xml:space="preserve">. На підставі отриманих даних були визначені ступені активності каріозного </w:t>
      </w:r>
      <w:r w:rsidRPr="00EC3DD8">
        <w:lastRenderedPageBreak/>
        <w:t>процесу та сформовані диспансерні групи дітей</w:t>
      </w:r>
      <w:r>
        <w:t xml:space="preserve"> [11</w:t>
      </w:r>
      <w:r w:rsidRPr="00EC3DD8">
        <w:t xml:space="preserve">]. </w:t>
      </w:r>
    </w:p>
    <w:p w:rsidR="006D7EDB" w:rsidRDefault="00534FB5" w:rsidP="007A7823">
      <w:pPr>
        <w:ind w:firstLine="709"/>
        <w:contextualSpacing/>
      </w:pPr>
      <w:r w:rsidRPr="00EC3DD8">
        <w:t>Під час проведення диспансерних оглядів за динамікою показників інтенсивності карієсу визначали показники приросту інтенсивності карієсу</w:t>
      </w:r>
      <w:r w:rsidR="007A7823">
        <w:t xml:space="preserve">, який </w:t>
      </w:r>
      <w:r w:rsidR="007A7823" w:rsidRPr="00E40BFA">
        <w:t xml:space="preserve">розраховували за </w:t>
      </w:r>
      <w:r w:rsidR="007A7823" w:rsidRPr="00E40BFA">
        <w:rPr>
          <w:rFonts w:eastAsia="Batang"/>
        </w:rPr>
        <w:t>різницею між показником КПВз до та через 12 місяців після проведення лікувально-профілактичних заходів</w:t>
      </w:r>
      <w:r w:rsidRPr="00EC3DD8">
        <w:t xml:space="preserve"> </w:t>
      </w:r>
      <w:r>
        <w:t>[101</w:t>
      </w:r>
      <w:r w:rsidRPr="00544C1B">
        <w:t>]</w:t>
      </w:r>
      <w:r w:rsidR="005D57A1">
        <w:t xml:space="preserve"> </w:t>
      </w:r>
      <w:r w:rsidRPr="00EC3DD8">
        <w:t>та карієспрофілактичну ефективність</w:t>
      </w:r>
      <w:r w:rsidR="006D7EDB">
        <w:t xml:space="preserve"> (КПЕ) </w:t>
      </w:r>
      <w:r w:rsidRPr="00EC3DD8">
        <w:t>[</w:t>
      </w:r>
      <w:r>
        <w:t>83</w:t>
      </w:r>
      <w:r w:rsidRPr="00EC3DD8">
        <w:t xml:space="preserve">]. </w:t>
      </w:r>
      <w:r w:rsidR="006D7EDB">
        <w:t>КПЕ</w:t>
      </w:r>
      <w:r w:rsidR="005D57A1">
        <w:t xml:space="preserve"> розраховували </w:t>
      </w:r>
      <w:r w:rsidR="006D7EDB" w:rsidRPr="001E7C90">
        <w:t xml:space="preserve">за формулою: </w:t>
      </w:r>
    </w:p>
    <w:p w:rsidR="006D7EDB" w:rsidRPr="001E7C90" w:rsidRDefault="006D7EDB" w:rsidP="006D7EDB">
      <w:pPr>
        <w:ind w:firstLine="709"/>
        <w:contextualSpacing/>
      </w:pPr>
      <w:r w:rsidRPr="001E7C90">
        <w:rPr>
          <w:color w:val="000000"/>
        </w:rPr>
        <w:br/>
        <w:t xml:space="preserve">                             </w:t>
      </w:r>
      <w:r w:rsidRPr="00695826">
        <w:rPr>
          <w:color w:val="000000"/>
        </w:rPr>
        <w:t xml:space="preserve">  </w:t>
      </w:r>
      <m:oMath>
        <m:r>
          <m:rPr>
            <m:sty m:val="p"/>
          </m:rPr>
          <w:rPr>
            <w:rFonts w:ascii="Cambria Math" w:hAnsi="Cambria Math"/>
            <w:color w:val="000000"/>
            <w:sz w:val="24"/>
            <w:szCs w:val="24"/>
          </w:rPr>
          <m:t xml:space="preserve">КПЕ=100%- </m:t>
        </m:r>
        <m:f>
          <m:fPr>
            <m:ctrlPr>
              <w:rPr>
                <w:rFonts w:ascii="Cambria Math" w:hAnsi="Cambria Math"/>
                <w:color w:val="000000"/>
                <w:sz w:val="24"/>
                <w:szCs w:val="24"/>
              </w:rPr>
            </m:ctrlPr>
          </m:fPr>
          <m:num>
            <m:r>
              <m:rPr>
                <m:sty m:val="p"/>
              </m:rPr>
              <w:rPr>
                <w:rFonts w:ascii="Cambria Math" w:hAnsi="Cambria Math"/>
                <w:color w:val="000000"/>
                <w:sz w:val="24"/>
                <w:szCs w:val="24"/>
              </w:rPr>
              <m:t>Ко*100%</m:t>
            </m:r>
          </m:num>
          <m:den>
            <m:r>
              <m:rPr>
                <m:sty m:val="p"/>
              </m:rPr>
              <w:rPr>
                <w:rFonts w:ascii="Cambria Math" w:hAnsi="Cambria Math"/>
                <w:color w:val="000000"/>
                <w:sz w:val="24"/>
                <w:szCs w:val="24"/>
              </w:rPr>
              <m:t>Кк</m:t>
            </m:r>
          </m:den>
        </m:f>
        <m:r>
          <m:rPr>
            <m:sty m:val="p"/>
          </m:rPr>
          <w:rPr>
            <w:rFonts w:ascii="Cambria Math" w:hAnsi="Cambria Math"/>
            <w:color w:val="000000"/>
            <w:sz w:val="24"/>
            <w:szCs w:val="24"/>
          </w:rPr>
          <m:t>,</m:t>
        </m:r>
      </m:oMath>
      <w:r w:rsidRPr="001E7C90">
        <w:t xml:space="preserve">   </w:t>
      </w:r>
      <w:r>
        <w:t xml:space="preserve">                         </w:t>
      </w:r>
      <w:r w:rsidRPr="001E7C90">
        <w:t xml:space="preserve">     (2.2</w:t>
      </w:r>
      <w:r>
        <w:t>.1</w:t>
      </w:r>
      <w:r w:rsidRPr="001E7C90">
        <w:t>)</w:t>
      </w:r>
      <w:r>
        <w:t>,</w:t>
      </w:r>
    </w:p>
    <w:p w:rsidR="006D7EDB" w:rsidRPr="001E7C90" w:rsidRDefault="006D7EDB" w:rsidP="006D7EDB">
      <w:pPr>
        <w:ind w:firstLine="567"/>
        <w:contextualSpacing/>
        <w:rPr>
          <w:color w:val="000000"/>
        </w:rPr>
      </w:pPr>
    </w:p>
    <w:p w:rsidR="006D7EDB" w:rsidRDefault="006D7EDB" w:rsidP="006D7EDB">
      <w:pPr>
        <w:ind w:firstLine="709"/>
        <w:contextualSpacing/>
      </w:pPr>
      <w:r w:rsidRPr="001E7C90">
        <w:rPr>
          <w:color w:val="000000"/>
          <w:shd w:val="clear" w:color="auto" w:fill="FFFFFF"/>
        </w:rPr>
        <w:t>де КПЕ – карієспрофілактичний ефект, К</w:t>
      </w:r>
      <w:r w:rsidRPr="001E7C90">
        <w:rPr>
          <w:color w:val="000000"/>
          <w:shd w:val="clear" w:color="auto" w:fill="FFFFFF"/>
          <w:vertAlign w:val="subscript"/>
        </w:rPr>
        <w:t>о</w:t>
      </w:r>
      <w:r w:rsidRPr="001E7C90">
        <w:rPr>
          <w:color w:val="000000"/>
          <w:shd w:val="clear" w:color="auto" w:fill="FFFFFF"/>
        </w:rPr>
        <w:t xml:space="preserve"> - ураженість карієсом в основній групі, К</w:t>
      </w:r>
      <w:r w:rsidRPr="001E7C90">
        <w:rPr>
          <w:color w:val="000000"/>
          <w:shd w:val="clear" w:color="auto" w:fill="FFFFFF"/>
          <w:vertAlign w:val="subscript"/>
        </w:rPr>
        <w:t>к</w:t>
      </w:r>
      <w:r w:rsidRPr="001E7C90">
        <w:rPr>
          <w:color w:val="000000"/>
          <w:shd w:val="clear" w:color="auto" w:fill="FFFFFF"/>
        </w:rPr>
        <w:t xml:space="preserve"> – ураженість карієсом у контрольній групі </w:t>
      </w:r>
      <w:r w:rsidRPr="00EC3DD8">
        <w:t>[</w:t>
      </w:r>
      <w:r>
        <w:t>83</w:t>
      </w:r>
      <w:r w:rsidRPr="00EC3DD8">
        <w:t>].</w:t>
      </w:r>
    </w:p>
    <w:p w:rsidR="006B2854" w:rsidRDefault="006B2854" w:rsidP="00695826">
      <w:pPr>
        <w:ind w:firstLine="709"/>
        <w:contextualSpacing/>
      </w:pPr>
      <w:r>
        <w:t>Редукцію приросту карієсу в різ</w:t>
      </w:r>
      <w:r w:rsidR="0089238F">
        <w:t>них вікових групах ДВГ через 12 </w:t>
      </w:r>
      <w:r>
        <w:t>місяців після застосування запропонованого лікувально-профілактичного комплексу</w:t>
      </w:r>
      <w:r w:rsidR="002C53D9">
        <w:t xml:space="preserve"> розраховували за формулою:</w:t>
      </w:r>
    </w:p>
    <w:p w:rsidR="00695826" w:rsidRDefault="00695826" w:rsidP="00695826">
      <w:pPr>
        <w:ind w:firstLine="709"/>
        <w:contextualSpacing/>
      </w:pPr>
    </w:p>
    <w:p w:rsidR="002C53D9" w:rsidRPr="001E7C90" w:rsidRDefault="002C53D9" w:rsidP="002C53D9">
      <w:pPr>
        <w:ind w:firstLine="1701"/>
        <w:contextualSpacing/>
      </w:pPr>
      <w:r w:rsidRPr="002C53D9">
        <w:rPr>
          <w:color w:val="000000"/>
          <w:sz w:val="32"/>
        </w:rPr>
        <w:t xml:space="preserve">      </w:t>
      </w:r>
      <m:oMath>
        <m:r>
          <m:rPr>
            <m:sty m:val="p"/>
          </m:rPr>
          <w:rPr>
            <w:rFonts w:ascii="Cambria Math" w:hAnsi="Cambria Math"/>
            <w:color w:val="000000"/>
            <w:sz w:val="24"/>
            <w:szCs w:val="24"/>
          </w:rPr>
          <m:t>Редукція</m:t>
        </m:r>
        <m:r>
          <m:rPr>
            <m:sty m:val="p"/>
          </m:rPr>
          <w:rPr>
            <w:rFonts w:ascii="Cambria Math"/>
            <w:color w:val="000000"/>
            <w:sz w:val="24"/>
            <w:szCs w:val="24"/>
          </w:rPr>
          <m:t>=100%</m:t>
        </m:r>
        <m:r>
          <m:rPr>
            <m:sty m:val="p"/>
          </m:rPr>
          <w:rPr>
            <w:rFonts w:ascii="Cambria Math" w:hAns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Мк-М</m:t>
            </m:r>
          </m:num>
          <m:den>
            <m:r>
              <m:rPr>
                <m:sty m:val="p"/>
              </m:rPr>
              <w:rPr>
                <w:rFonts w:ascii="Cambria Math" w:hAnsi="Cambria Math"/>
                <w:color w:val="000000"/>
                <w:sz w:val="24"/>
                <w:szCs w:val="24"/>
              </w:rPr>
              <m:t>Мк</m:t>
            </m:r>
          </m:den>
        </m:f>
        <m:r>
          <w:rPr>
            <w:rFonts w:ascii="Cambria Math"/>
            <w:color w:val="000000"/>
            <w:sz w:val="24"/>
            <w:szCs w:val="24"/>
          </w:rPr>
          <m:t>,</m:t>
        </m:r>
      </m:oMath>
      <w:r w:rsidRPr="002C53D9">
        <w:rPr>
          <w:sz w:val="32"/>
        </w:rPr>
        <w:t xml:space="preserve">                           </w:t>
      </w:r>
      <w:r w:rsidRPr="001E7C90">
        <w:t>(2.2</w:t>
      </w:r>
      <w:r w:rsidR="00695826">
        <w:t>.2</w:t>
      </w:r>
      <w:r w:rsidRPr="001E7C90">
        <w:t>)</w:t>
      </w:r>
      <w:r>
        <w:t>,</w:t>
      </w:r>
    </w:p>
    <w:p w:rsidR="002C53D9" w:rsidRPr="001E7C90" w:rsidRDefault="002C53D9" w:rsidP="002C53D9">
      <w:pPr>
        <w:ind w:firstLine="567"/>
        <w:contextualSpacing/>
        <w:rPr>
          <w:color w:val="000000"/>
        </w:rPr>
      </w:pPr>
    </w:p>
    <w:p w:rsidR="002C53D9" w:rsidRDefault="002C53D9" w:rsidP="00695826">
      <w:pPr>
        <w:ind w:firstLine="709"/>
        <w:contextualSpacing/>
      </w:pPr>
      <w:r w:rsidRPr="001E7C90">
        <w:rPr>
          <w:color w:val="000000"/>
          <w:shd w:val="clear" w:color="auto" w:fill="FFFFFF"/>
        </w:rPr>
        <w:t xml:space="preserve">де </w:t>
      </w:r>
      <w:r w:rsidR="00695826">
        <w:rPr>
          <w:color w:val="000000"/>
          <w:shd w:val="clear" w:color="auto" w:fill="FFFFFF"/>
        </w:rPr>
        <w:t xml:space="preserve"> М</w:t>
      </w:r>
      <w:r w:rsidR="00695826">
        <w:rPr>
          <w:color w:val="000000"/>
          <w:shd w:val="clear" w:color="auto" w:fill="FFFFFF"/>
          <w:vertAlign w:val="subscript"/>
        </w:rPr>
        <w:t>к</w:t>
      </w:r>
      <w:r w:rsidRPr="001E7C90">
        <w:rPr>
          <w:color w:val="000000"/>
          <w:shd w:val="clear" w:color="auto" w:fill="FFFFFF"/>
        </w:rPr>
        <w:t xml:space="preserve"> </w:t>
      </w:r>
      <w:r w:rsidR="00695826">
        <w:rPr>
          <w:color w:val="000000"/>
          <w:shd w:val="clear" w:color="auto" w:fill="FFFFFF"/>
        </w:rPr>
        <w:t>–</w:t>
      </w:r>
      <w:r w:rsidRPr="001E7C90">
        <w:rPr>
          <w:color w:val="000000"/>
          <w:shd w:val="clear" w:color="auto" w:fill="FFFFFF"/>
        </w:rPr>
        <w:t xml:space="preserve"> </w:t>
      </w:r>
      <w:r w:rsidR="00695826">
        <w:rPr>
          <w:color w:val="000000"/>
          <w:shd w:val="clear" w:color="auto" w:fill="FFFFFF"/>
        </w:rPr>
        <w:t xml:space="preserve">приріст інтенсивності </w:t>
      </w:r>
      <w:r w:rsidR="00E33F8C">
        <w:rPr>
          <w:color w:val="000000"/>
          <w:shd w:val="clear" w:color="auto" w:fill="FFFFFF"/>
        </w:rPr>
        <w:t>карієсу</w:t>
      </w:r>
      <w:r w:rsidR="00695826">
        <w:rPr>
          <w:color w:val="000000"/>
          <w:shd w:val="clear" w:color="auto" w:fill="FFFFFF"/>
        </w:rPr>
        <w:t xml:space="preserve"> в </w:t>
      </w:r>
      <w:r w:rsidR="00E33F8C">
        <w:rPr>
          <w:color w:val="000000"/>
          <w:shd w:val="clear" w:color="auto" w:fill="FFFFFF"/>
        </w:rPr>
        <w:t>групі</w:t>
      </w:r>
      <w:r w:rsidR="00695826">
        <w:rPr>
          <w:color w:val="000000"/>
          <w:shd w:val="clear" w:color="auto" w:fill="FFFFFF"/>
        </w:rPr>
        <w:t xml:space="preserve"> порівняння</w:t>
      </w:r>
      <w:r w:rsidRPr="001E7C90">
        <w:rPr>
          <w:color w:val="000000"/>
          <w:shd w:val="clear" w:color="auto" w:fill="FFFFFF"/>
        </w:rPr>
        <w:t xml:space="preserve">, </w:t>
      </w:r>
      <w:r w:rsidR="00695826">
        <w:rPr>
          <w:color w:val="000000"/>
          <w:shd w:val="clear" w:color="auto" w:fill="FFFFFF"/>
        </w:rPr>
        <w:t>М</w:t>
      </w:r>
      <w:r w:rsidRPr="001E7C90">
        <w:rPr>
          <w:color w:val="000000"/>
          <w:shd w:val="clear" w:color="auto" w:fill="FFFFFF"/>
        </w:rPr>
        <w:t xml:space="preserve"> – </w:t>
      </w:r>
      <w:r w:rsidR="00695826">
        <w:rPr>
          <w:color w:val="000000"/>
          <w:shd w:val="clear" w:color="auto" w:fill="FFFFFF"/>
        </w:rPr>
        <w:t xml:space="preserve">приріст інтенсивності </w:t>
      </w:r>
      <w:r w:rsidR="00E33F8C">
        <w:rPr>
          <w:color w:val="000000"/>
          <w:shd w:val="clear" w:color="auto" w:fill="FFFFFF"/>
        </w:rPr>
        <w:t>карієсу</w:t>
      </w:r>
      <w:r w:rsidR="00695826">
        <w:rPr>
          <w:color w:val="000000"/>
          <w:shd w:val="clear" w:color="auto" w:fill="FFFFFF"/>
        </w:rPr>
        <w:t xml:space="preserve"> в основній </w:t>
      </w:r>
      <w:r w:rsidR="00E33F8C">
        <w:rPr>
          <w:color w:val="000000"/>
          <w:shd w:val="clear" w:color="auto" w:fill="FFFFFF"/>
        </w:rPr>
        <w:t>групі</w:t>
      </w:r>
      <w:r w:rsidR="00695826">
        <w:rPr>
          <w:color w:val="000000"/>
          <w:shd w:val="clear" w:color="auto" w:fill="FFFFFF"/>
        </w:rPr>
        <w:t xml:space="preserve"> </w:t>
      </w:r>
      <w:r w:rsidRPr="00EC3DD8">
        <w:t>[</w:t>
      </w:r>
      <w:r>
        <w:t>83</w:t>
      </w:r>
      <w:r w:rsidRPr="00EC3DD8">
        <w:t>].</w:t>
      </w:r>
    </w:p>
    <w:p w:rsidR="00534FB5" w:rsidRPr="00EC3DD8" w:rsidRDefault="00534FB5" w:rsidP="00534FB5">
      <w:pPr>
        <w:ind w:firstLine="709"/>
        <w:contextualSpacing/>
        <w:rPr>
          <w:shd w:val="clear" w:color="auto" w:fill="FFFFFF"/>
        </w:rPr>
      </w:pPr>
      <w:r w:rsidRPr="00EC3DD8">
        <w:rPr>
          <w:shd w:val="clear" w:color="auto" w:fill="FFFFFF"/>
        </w:rPr>
        <w:t>Діагноз захворювань тканин па</w:t>
      </w:r>
      <w:r>
        <w:rPr>
          <w:shd w:val="clear" w:color="auto" w:fill="FFFFFF"/>
        </w:rPr>
        <w:t>родонта</w:t>
      </w:r>
      <w:r w:rsidRPr="00EC3DD8">
        <w:rPr>
          <w:shd w:val="clear" w:color="auto" w:fill="FFFFFF"/>
        </w:rPr>
        <w:t xml:space="preserve"> встановлювали за класифікацією Н.</w:t>
      </w:r>
      <w:r>
        <w:rPr>
          <w:shd w:val="clear" w:color="auto" w:fill="FFFFFF"/>
          <w:lang w:val="en-US"/>
        </w:rPr>
        <w:t> </w:t>
      </w:r>
      <w:r w:rsidRPr="00EC3DD8">
        <w:rPr>
          <w:shd w:val="clear" w:color="auto" w:fill="FFFFFF"/>
        </w:rPr>
        <w:t>Ф.</w:t>
      </w:r>
      <w:r>
        <w:rPr>
          <w:shd w:val="clear" w:color="auto" w:fill="FFFFFF"/>
        </w:rPr>
        <w:t> </w:t>
      </w:r>
      <w:r w:rsidRPr="00EC3DD8">
        <w:rPr>
          <w:shd w:val="clear" w:color="auto" w:fill="FFFFFF"/>
        </w:rPr>
        <w:t xml:space="preserve">Данилевського </w:t>
      </w:r>
      <w:r>
        <w:t xml:space="preserve">(1994) [18, </w:t>
      </w:r>
      <w:r w:rsidRPr="006632F1">
        <w:t>19</w:t>
      </w:r>
      <w:r w:rsidRPr="00EC3DD8">
        <w:t>]</w:t>
      </w:r>
      <w:r w:rsidRPr="006632F1">
        <w:t>.</w:t>
      </w:r>
      <w:r>
        <w:rPr>
          <w:shd w:val="clear" w:color="auto" w:fill="FFFFFF"/>
        </w:rPr>
        <w:t xml:space="preserve"> Стан тканин пародонта</w:t>
      </w:r>
      <w:r w:rsidRPr="00EC3DD8">
        <w:rPr>
          <w:shd w:val="clear" w:color="auto" w:fill="FFFFFF"/>
        </w:rPr>
        <w:t xml:space="preserve"> оцінювали з використанням індекс</w:t>
      </w:r>
      <w:r>
        <w:rPr>
          <w:shd w:val="clear" w:color="auto" w:fill="FFFFFF"/>
        </w:rPr>
        <w:t>у </w:t>
      </w:r>
      <w:r w:rsidRPr="00EC3DD8">
        <w:rPr>
          <w:bdr w:val="none" w:sz="0" w:space="0" w:color="auto" w:frame="1"/>
        </w:rPr>
        <w:t>ПМА (РМА) в модифікації Парма (Parma</w:t>
      </w:r>
      <w:r>
        <w:rPr>
          <w:bdr w:val="none" w:sz="0" w:space="0" w:color="auto" w:frame="1"/>
          <w:lang w:val="en-US"/>
        </w:rPr>
        <w:t> C</w:t>
      </w:r>
      <w:r w:rsidRPr="00883E50">
        <w:rPr>
          <w:bdr w:val="none" w:sz="0" w:space="0" w:color="auto" w:frame="1"/>
        </w:rPr>
        <w:t>.</w:t>
      </w:r>
      <w:r w:rsidRPr="00EC3DD8">
        <w:rPr>
          <w:bdr w:val="none" w:sz="0" w:space="0" w:color="auto" w:frame="1"/>
        </w:rPr>
        <w:t>, 1960)</w:t>
      </w:r>
      <w:r>
        <w:t xml:space="preserve"> [40, 101</w:t>
      </w:r>
      <w:r w:rsidRPr="00EC3DD8">
        <w:t>]</w:t>
      </w:r>
      <w:r w:rsidRPr="00EC3DD8">
        <w:rPr>
          <w:bdr w:val="none" w:sz="0" w:space="0" w:color="auto" w:frame="1"/>
        </w:rPr>
        <w:t>.</w:t>
      </w:r>
      <w:r w:rsidRPr="00EC3DD8">
        <w:rPr>
          <w:shd w:val="clear" w:color="auto" w:fill="FFFFFF"/>
        </w:rPr>
        <w:t xml:space="preserve"> </w:t>
      </w:r>
    </w:p>
    <w:p w:rsidR="00534FB5" w:rsidRPr="009A59FC" w:rsidRDefault="00534FB5" w:rsidP="00534FB5">
      <w:pPr>
        <w:pStyle w:val="af7"/>
        <w:spacing w:before="0" w:beforeAutospacing="0" w:after="0" w:afterAutospacing="0" w:line="360" w:lineRule="auto"/>
        <w:ind w:firstLine="709"/>
        <w:contextualSpacing/>
        <w:jc w:val="both"/>
        <w:rPr>
          <w:sz w:val="28"/>
          <w:szCs w:val="28"/>
          <w:shd w:val="clear" w:color="auto" w:fill="FFFFFF"/>
          <w:lang w:val="uk-UA"/>
        </w:rPr>
      </w:pPr>
      <w:r w:rsidRPr="00EC3DD8">
        <w:rPr>
          <w:sz w:val="28"/>
          <w:szCs w:val="28"/>
          <w:shd w:val="clear" w:color="auto" w:fill="FFFFFF"/>
          <w:lang w:val="uk-UA"/>
        </w:rPr>
        <w:t>Для оцінки інтенсивності, поширено</w:t>
      </w:r>
      <w:r>
        <w:rPr>
          <w:sz w:val="28"/>
          <w:szCs w:val="28"/>
          <w:shd w:val="clear" w:color="auto" w:fill="FFFFFF"/>
          <w:lang w:val="uk-UA"/>
        </w:rPr>
        <w:t>сті захворювань тканин пародонта</w:t>
      </w:r>
      <w:r w:rsidRPr="00EC3DD8">
        <w:rPr>
          <w:sz w:val="28"/>
          <w:szCs w:val="28"/>
          <w:shd w:val="clear" w:color="auto" w:fill="FFFFFF"/>
          <w:lang w:val="uk-UA"/>
        </w:rPr>
        <w:t xml:space="preserve"> серед обстежених груп дітей та для планування заходів щодо лікування і профілактики цих захворювань був використаний комунальний індекс потр</w:t>
      </w:r>
      <w:r>
        <w:rPr>
          <w:sz w:val="28"/>
          <w:szCs w:val="28"/>
          <w:shd w:val="clear" w:color="auto" w:fill="FFFFFF"/>
          <w:lang w:val="uk-UA"/>
        </w:rPr>
        <w:t>еби в лікуванні хвороб пародонта</w:t>
      </w:r>
      <w:r w:rsidRPr="00EC3DD8">
        <w:rPr>
          <w:sz w:val="28"/>
          <w:szCs w:val="28"/>
          <w:shd w:val="clear" w:color="auto" w:fill="FFFFFF"/>
          <w:lang w:val="uk-UA"/>
        </w:rPr>
        <w:t xml:space="preserve">, </w:t>
      </w:r>
      <w:r w:rsidRPr="0089238F">
        <w:rPr>
          <w:sz w:val="28"/>
          <w:szCs w:val="28"/>
          <w:shd w:val="clear" w:color="auto" w:fill="FFFFFF"/>
        </w:rPr>
        <w:t>CPITN</w:t>
      </w:r>
      <w:r w:rsidRPr="0089238F">
        <w:rPr>
          <w:sz w:val="28"/>
          <w:szCs w:val="28"/>
          <w:shd w:val="clear" w:color="auto" w:fill="FFFFFF"/>
          <w:lang w:val="uk-UA"/>
        </w:rPr>
        <w:t xml:space="preserve"> (</w:t>
      </w:r>
      <w:r w:rsidRPr="0089238F">
        <w:rPr>
          <w:sz w:val="28"/>
          <w:szCs w:val="28"/>
          <w:shd w:val="clear" w:color="auto" w:fill="FFFFFF"/>
          <w:lang w:val="en-US"/>
        </w:rPr>
        <w:t>J</w:t>
      </w:r>
      <w:r w:rsidRPr="0089238F">
        <w:rPr>
          <w:sz w:val="28"/>
          <w:szCs w:val="28"/>
          <w:shd w:val="clear" w:color="auto" w:fill="FFFFFF"/>
          <w:lang w:val="uk-UA"/>
        </w:rPr>
        <w:t>.</w:t>
      </w:r>
      <w:r w:rsidRPr="0089238F">
        <w:rPr>
          <w:sz w:val="28"/>
          <w:szCs w:val="28"/>
          <w:shd w:val="clear" w:color="auto" w:fill="FFFFFF"/>
          <w:lang w:val="en-US"/>
        </w:rPr>
        <w:t>Ainamo</w:t>
      </w:r>
      <w:r w:rsidRPr="0089238F">
        <w:rPr>
          <w:sz w:val="28"/>
          <w:szCs w:val="28"/>
          <w:shd w:val="clear" w:color="auto" w:fill="FFFFFF"/>
          <w:lang w:val="uk-UA"/>
        </w:rPr>
        <w:t xml:space="preserve"> </w:t>
      </w:r>
      <w:r w:rsidRPr="0089238F">
        <w:rPr>
          <w:sz w:val="28"/>
          <w:szCs w:val="28"/>
          <w:shd w:val="clear" w:color="auto" w:fill="FFFFFF"/>
          <w:lang w:val="en-US"/>
        </w:rPr>
        <w:t>et</w:t>
      </w:r>
      <w:r w:rsidRPr="0089238F">
        <w:rPr>
          <w:sz w:val="28"/>
          <w:szCs w:val="28"/>
          <w:shd w:val="clear" w:color="auto" w:fill="FFFFFF"/>
          <w:lang w:val="uk-UA"/>
        </w:rPr>
        <w:t xml:space="preserve"> </w:t>
      </w:r>
      <w:r w:rsidRPr="0089238F">
        <w:rPr>
          <w:sz w:val="28"/>
          <w:szCs w:val="28"/>
          <w:shd w:val="clear" w:color="auto" w:fill="FFFFFF"/>
          <w:lang w:val="en-US"/>
        </w:rPr>
        <w:t>al</w:t>
      </w:r>
      <w:r w:rsidRPr="0089238F">
        <w:rPr>
          <w:sz w:val="28"/>
          <w:szCs w:val="28"/>
          <w:shd w:val="clear" w:color="auto" w:fill="FFFFFF"/>
          <w:lang w:val="uk-UA"/>
        </w:rPr>
        <w:t>., 1982)</w:t>
      </w:r>
      <w:r>
        <w:rPr>
          <w:sz w:val="28"/>
          <w:szCs w:val="28"/>
          <w:lang w:val="uk-UA"/>
        </w:rPr>
        <w:t xml:space="preserve"> [40, 101</w:t>
      </w:r>
      <w:r w:rsidRPr="00EC3DD8">
        <w:rPr>
          <w:sz w:val="28"/>
          <w:szCs w:val="28"/>
          <w:lang w:val="uk-UA"/>
        </w:rPr>
        <w:t>]</w:t>
      </w:r>
      <w:r w:rsidRPr="00EC3DD8">
        <w:rPr>
          <w:sz w:val="28"/>
          <w:szCs w:val="28"/>
          <w:shd w:val="clear" w:color="auto" w:fill="FFFFFF"/>
          <w:lang w:val="uk-UA"/>
        </w:rPr>
        <w:t>. За рекомендаціями</w:t>
      </w:r>
      <w:r>
        <w:rPr>
          <w:sz w:val="28"/>
          <w:szCs w:val="28"/>
          <w:shd w:val="clear" w:color="auto" w:fill="FFFFFF"/>
          <w:lang w:val="uk-UA"/>
        </w:rPr>
        <w:t xml:space="preserve"> </w:t>
      </w:r>
      <w:r w:rsidRPr="00EC3DD8">
        <w:rPr>
          <w:sz w:val="28"/>
          <w:szCs w:val="28"/>
          <w:shd w:val="clear" w:color="auto" w:fill="FFFFFF"/>
          <w:lang w:val="uk-UA"/>
        </w:rPr>
        <w:t>В.</w:t>
      </w:r>
      <w:r>
        <w:rPr>
          <w:sz w:val="28"/>
          <w:szCs w:val="28"/>
          <w:shd w:val="clear" w:color="auto" w:fill="FFFFFF"/>
          <w:lang w:val="uk-UA"/>
        </w:rPr>
        <w:t> </w:t>
      </w:r>
      <w:r w:rsidRPr="00EC3DD8">
        <w:rPr>
          <w:sz w:val="28"/>
          <w:szCs w:val="28"/>
          <w:shd w:val="clear" w:color="auto" w:fill="FFFFFF"/>
          <w:lang w:val="uk-UA"/>
        </w:rPr>
        <w:t>Ф.</w:t>
      </w:r>
      <w:r>
        <w:rPr>
          <w:sz w:val="28"/>
          <w:szCs w:val="28"/>
          <w:shd w:val="clear" w:color="auto" w:fill="FFFFFF"/>
          <w:lang w:val="uk-UA"/>
        </w:rPr>
        <w:t> </w:t>
      </w:r>
      <w:r w:rsidRPr="00EC3DD8">
        <w:rPr>
          <w:sz w:val="28"/>
          <w:szCs w:val="28"/>
          <w:shd w:val="clear" w:color="auto" w:fill="FFFFFF"/>
          <w:lang w:val="uk-UA"/>
        </w:rPr>
        <w:t>Куцевляк, Ю.</w:t>
      </w:r>
      <w:r>
        <w:rPr>
          <w:sz w:val="28"/>
          <w:szCs w:val="28"/>
          <w:shd w:val="clear" w:color="auto" w:fill="FFFFFF"/>
          <w:lang w:val="uk-UA"/>
        </w:rPr>
        <w:t> </w:t>
      </w:r>
      <w:r w:rsidRPr="00EC3DD8">
        <w:rPr>
          <w:sz w:val="28"/>
          <w:szCs w:val="28"/>
          <w:shd w:val="clear" w:color="auto" w:fill="FFFFFF"/>
          <w:lang w:val="uk-UA"/>
        </w:rPr>
        <w:t>В.</w:t>
      </w:r>
      <w:r>
        <w:rPr>
          <w:sz w:val="28"/>
          <w:szCs w:val="28"/>
          <w:shd w:val="clear" w:color="auto" w:fill="FFFFFF"/>
          <w:lang w:val="uk-UA"/>
        </w:rPr>
        <w:t> </w:t>
      </w:r>
      <w:r w:rsidRPr="00EC3DD8">
        <w:rPr>
          <w:sz w:val="28"/>
          <w:szCs w:val="28"/>
          <w:shd w:val="clear" w:color="auto" w:fill="FFFFFF"/>
          <w:lang w:val="uk-UA"/>
        </w:rPr>
        <w:t>Лахтіної (2002)</w:t>
      </w:r>
      <w:r w:rsidRPr="00EC3DD8">
        <w:rPr>
          <w:sz w:val="28"/>
          <w:szCs w:val="28"/>
          <w:lang w:val="uk-UA"/>
        </w:rPr>
        <w:t xml:space="preserve"> [</w:t>
      </w:r>
      <w:r>
        <w:rPr>
          <w:sz w:val="28"/>
          <w:szCs w:val="28"/>
          <w:lang w:val="uk-UA"/>
        </w:rPr>
        <w:t>40</w:t>
      </w:r>
      <w:r w:rsidRPr="00EC3DD8">
        <w:rPr>
          <w:sz w:val="28"/>
          <w:szCs w:val="28"/>
          <w:lang w:val="uk-UA"/>
        </w:rPr>
        <w:t>]</w:t>
      </w:r>
      <w:r w:rsidRPr="00EC3DD8">
        <w:rPr>
          <w:sz w:val="28"/>
          <w:szCs w:val="28"/>
          <w:shd w:val="clear" w:color="auto" w:fill="FFFFFF"/>
          <w:lang w:val="uk-UA"/>
        </w:rPr>
        <w:t>,</w:t>
      </w:r>
      <w:r>
        <w:rPr>
          <w:sz w:val="28"/>
          <w:szCs w:val="28"/>
          <w:shd w:val="clear" w:color="auto" w:fill="FFFFFF"/>
          <w:lang w:val="uk-UA"/>
        </w:rPr>
        <w:t xml:space="preserve"> </w:t>
      </w:r>
      <w:r w:rsidRPr="00EC3DD8">
        <w:rPr>
          <w:sz w:val="28"/>
          <w:szCs w:val="28"/>
          <w:shd w:val="clear" w:color="auto" w:fill="FFFFFF"/>
          <w:lang w:val="uk-UA"/>
        </w:rPr>
        <w:t xml:space="preserve">проводили </w:t>
      </w:r>
      <w:r w:rsidRPr="00EC3DD8">
        <w:rPr>
          <w:sz w:val="28"/>
          <w:szCs w:val="28"/>
          <w:shd w:val="clear" w:color="auto" w:fill="FFFFFF"/>
          <w:lang w:val="uk-UA"/>
        </w:rPr>
        <w:lastRenderedPageBreak/>
        <w:t>огляд</w:t>
      </w:r>
      <w:r>
        <w:rPr>
          <w:sz w:val="28"/>
          <w:szCs w:val="28"/>
          <w:shd w:val="clear" w:color="auto" w:fill="FFFFFF"/>
          <w:lang w:val="uk-UA"/>
        </w:rPr>
        <w:t xml:space="preserve"> </w:t>
      </w:r>
      <w:r w:rsidRPr="00EC3DD8">
        <w:rPr>
          <w:sz w:val="28"/>
          <w:szCs w:val="28"/>
          <w:shd w:val="clear" w:color="auto" w:fill="FFFFFF"/>
          <w:lang w:val="uk-UA"/>
        </w:rPr>
        <w:t>16, 11, 26, 36, 31 та 46 зубів; з метою уникнення помилкового сприйняття заглиблених зубоясенних кишень як пародонтальних кишень, дітям до 15</w:t>
      </w:r>
      <w:r>
        <w:rPr>
          <w:sz w:val="28"/>
          <w:szCs w:val="28"/>
          <w:shd w:val="clear" w:color="auto" w:fill="FFFFFF"/>
          <w:lang w:val="uk-UA"/>
        </w:rPr>
        <w:t> </w:t>
      </w:r>
      <w:r w:rsidRPr="00EC3DD8">
        <w:rPr>
          <w:sz w:val="28"/>
          <w:szCs w:val="28"/>
          <w:shd w:val="clear" w:color="auto" w:fill="FFFFFF"/>
          <w:lang w:val="uk-UA"/>
        </w:rPr>
        <w:t xml:space="preserve">років реєстрацію кишень взагалі не проводили, враховували тільки кровоточивість та наявність каменю під час зондування. </w:t>
      </w:r>
    </w:p>
    <w:p w:rsidR="00534FB5" w:rsidRPr="00155663" w:rsidRDefault="00534FB5" w:rsidP="00534FB5">
      <w:pPr>
        <w:pStyle w:val="af7"/>
        <w:spacing w:before="0" w:beforeAutospacing="0" w:after="0" w:afterAutospacing="0" w:line="360" w:lineRule="auto"/>
        <w:jc w:val="both"/>
        <w:rPr>
          <w:i/>
          <w:sz w:val="28"/>
          <w:szCs w:val="28"/>
          <w:shd w:val="clear" w:color="auto" w:fill="FFFFFF"/>
          <w:lang w:val="uk-UA"/>
        </w:rPr>
      </w:pPr>
    </w:p>
    <w:p w:rsidR="00534FB5" w:rsidRPr="00EC3DD8" w:rsidRDefault="00534FB5" w:rsidP="00534FB5">
      <w:pPr>
        <w:pStyle w:val="af7"/>
        <w:spacing w:before="0" w:beforeAutospacing="0" w:after="0" w:afterAutospacing="0" w:line="360" w:lineRule="auto"/>
        <w:ind w:firstLine="709"/>
        <w:contextualSpacing/>
        <w:jc w:val="both"/>
        <w:rPr>
          <w:b/>
          <w:sz w:val="28"/>
          <w:szCs w:val="28"/>
          <w:lang w:val="uk-UA"/>
        </w:rPr>
      </w:pPr>
      <w:r w:rsidRPr="00EC3DD8">
        <w:rPr>
          <w:b/>
          <w:sz w:val="28"/>
          <w:szCs w:val="28"/>
          <w:lang w:val="uk-UA"/>
        </w:rPr>
        <w:t>2.3. Характеристика л</w:t>
      </w:r>
      <w:r>
        <w:rPr>
          <w:b/>
          <w:sz w:val="28"/>
          <w:szCs w:val="28"/>
          <w:lang w:val="uk-UA"/>
        </w:rPr>
        <w:t>абораторних методів дослідження</w:t>
      </w:r>
    </w:p>
    <w:p w:rsidR="00534FB5" w:rsidRPr="00EC3DD8" w:rsidRDefault="00534FB5" w:rsidP="00534FB5">
      <w:pPr>
        <w:pStyle w:val="af7"/>
        <w:spacing w:before="0" w:beforeAutospacing="0" w:after="0" w:afterAutospacing="0" w:line="360" w:lineRule="auto"/>
        <w:ind w:firstLine="709"/>
        <w:contextualSpacing/>
        <w:jc w:val="both"/>
        <w:rPr>
          <w:b/>
          <w:sz w:val="28"/>
          <w:szCs w:val="28"/>
          <w:lang w:val="uk-UA"/>
        </w:rPr>
      </w:pPr>
      <w:r w:rsidRPr="00EC3DD8">
        <w:rPr>
          <w:b/>
          <w:sz w:val="28"/>
          <w:szCs w:val="28"/>
          <w:lang w:val="uk-UA"/>
        </w:rPr>
        <w:t xml:space="preserve">2.3.1. Біохімічні та імунологічні методи дослідження ротової рідини </w:t>
      </w:r>
    </w:p>
    <w:p w:rsidR="00534FB5" w:rsidRPr="00A94469" w:rsidRDefault="00534FB5" w:rsidP="00534FB5">
      <w:pPr>
        <w:pStyle w:val="af7"/>
        <w:spacing w:before="0" w:beforeAutospacing="0" w:after="0" w:afterAutospacing="0" w:line="360" w:lineRule="auto"/>
        <w:ind w:firstLine="709"/>
        <w:contextualSpacing/>
        <w:jc w:val="both"/>
        <w:rPr>
          <w:spacing w:val="-8"/>
          <w:sz w:val="28"/>
          <w:szCs w:val="28"/>
          <w:lang w:val="uk-UA"/>
        </w:rPr>
      </w:pPr>
      <w:r w:rsidRPr="00A94469">
        <w:rPr>
          <w:spacing w:val="-8"/>
          <w:sz w:val="28"/>
          <w:szCs w:val="28"/>
          <w:lang w:val="uk-UA"/>
        </w:rPr>
        <w:t>Вивчення функціональних властивостей ротової рідини включало: визначення швидкості слиновиділення, визначення водневого показника (</w:t>
      </w:r>
      <w:r w:rsidRPr="00A94469">
        <w:rPr>
          <w:bCs/>
          <w:color w:val="000000"/>
          <w:spacing w:val="-8"/>
          <w:sz w:val="28"/>
          <w:szCs w:val="28"/>
          <w:shd w:val="clear" w:color="auto" w:fill="FFFFFF"/>
          <w:lang w:val="uk-UA"/>
        </w:rPr>
        <w:t>pH</w:t>
      </w:r>
      <w:r w:rsidRPr="00A94469">
        <w:rPr>
          <w:spacing w:val="-8"/>
          <w:sz w:val="28"/>
          <w:szCs w:val="28"/>
          <w:lang w:val="uk-UA"/>
        </w:rPr>
        <w:t>) ротової рідини,</w:t>
      </w:r>
      <w:r w:rsidRPr="00A94469">
        <w:rPr>
          <w:spacing w:val="-8"/>
          <w:sz w:val="28"/>
          <w:szCs w:val="28"/>
          <w:lang w:val="uk-UA" w:eastAsia="uk-UA"/>
        </w:rPr>
        <w:t xml:space="preserve"> визначення усереднених показників довірливого інтервалу коливань величини </w:t>
      </w:r>
      <w:r w:rsidRPr="00A94469">
        <w:rPr>
          <w:bCs/>
          <w:color w:val="000000"/>
          <w:spacing w:val="-8"/>
          <w:sz w:val="28"/>
          <w:szCs w:val="28"/>
          <w:shd w:val="clear" w:color="auto" w:fill="FFFFFF"/>
          <w:lang w:val="uk-UA"/>
        </w:rPr>
        <w:t>pH</w:t>
      </w:r>
      <w:r w:rsidRPr="00A94469">
        <w:rPr>
          <w:spacing w:val="-8"/>
          <w:sz w:val="28"/>
          <w:szCs w:val="28"/>
          <w:lang w:val="uk-UA" w:eastAsia="uk-UA"/>
        </w:rPr>
        <w:t xml:space="preserve"> ротової рідини </w:t>
      </w:r>
      <w:r w:rsidRPr="00A94469">
        <w:rPr>
          <w:spacing w:val="-8"/>
          <w:sz w:val="28"/>
          <w:szCs w:val="28"/>
          <w:lang w:val="uk-UA"/>
        </w:rPr>
        <w:t>(∆рН) [50].</w:t>
      </w:r>
    </w:p>
    <w:p w:rsidR="00534FB5" w:rsidRPr="00A94469" w:rsidRDefault="00534FB5" w:rsidP="00534FB5">
      <w:pPr>
        <w:pStyle w:val="11"/>
        <w:ind w:left="0" w:firstLine="709"/>
        <w:jc w:val="both"/>
        <w:rPr>
          <w:spacing w:val="-8"/>
          <w:shd w:val="clear" w:color="auto" w:fill="FFFFFF"/>
        </w:rPr>
      </w:pPr>
      <w:r w:rsidRPr="00A94469">
        <w:rPr>
          <w:spacing w:val="-8"/>
          <w:shd w:val="clear" w:color="auto" w:fill="FFFFFF"/>
        </w:rPr>
        <w:t>Для розрахунку швидкості слиновиділення (ШС) було використано методику Л. Сазама (1971) в модифікації Е.</w:t>
      </w:r>
      <w:r w:rsidRPr="00A94469">
        <w:rPr>
          <w:spacing w:val="-8"/>
          <w:shd w:val="clear" w:color="auto" w:fill="FFFFFF"/>
          <w:lang w:val="en-US"/>
        </w:rPr>
        <w:t> </w:t>
      </w:r>
      <w:r w:rsidRPr="00A94469">
        <w:rPr>
          <w:spacing w:val="-8"/>
          <w:shd w:val="clear" w:color="auto" w:fill="FFFFFF"/>
        </w:rPr>
        <w:t xml:space="preserve">В. Боровського (1980) </w:t>
      </w:r>
      <w:r w:rsidRPr="00A94469">
        <w:rPr>
          <w:spacing w:val="-8"/>
        </w:rPr>
        <w:t>[10]</w:t>
      </w:r>
      <w:r w:rsidRPr="00A94469">
        <w:rPr>
          <w:spacing w:val="-8"/>
          <w:shd w:val="clear" w:color="auto" w:fill="FFFFFF"/>
        </w:rPr>
        <w:t xml:space="preserve">. Забір ротової рідини проводили в стані спокою натщесерце або через півтори-дві години після їжі. Для забору ротової рідини використовували градуйовані пробірки, калібровані з точністю до 0,1 мл, та лійки. Збір ротової рідини проводили протягом 5 хв, при вираженому зниженні секреції час забору подовжували час до 15 хв. ШС виражали обсягом виділеної ротової рідини за одиницю часу (мл/хв) [10]. </w:t>
      </w:r>
    </w:p>
    <w:p w:rsidR="00534FB5" w:rsidRPr="00A94469" w:rsidRDefault="00534FB5" w:rsidP="00534FB5">
      <w:pPr>
        <w:pStyle w:val="11"/>
        <w:ind w:left="0" w:firstLine="709"/>
        <w:jc w:val="both"/>
        <w:rPr>
          <w:spacing w:val="-8"/>
        </w:rPr>
      </w:pPr>
      <w:r w:rsidRPr="00A94469">
        <w:rPr>
          <w:noProof/>
          <w:spacing w:val="-8"/>
          <w:shd w:val="clear" w:color="auto" w:fill="FFFFFF"/>
          <w:lang w:eastAsia="uk-UA"/>
        </w:rPr>
        <w:t xml:space="preserve">Для визначення </w:t>
      </w:r>
      <w:r w:rsidRPr="00A94469">
        <w:rPr>
          <w:bCs/>
          <w:color w:val="000000"/>
          <w:spacing w:val="-8"/>
          <w:shd w:val="clear" w:color="auto" w:fill="FFFFFF"/>
        </w:rPr>
        <w:t>pH</w:t>
      </w:r>
      <w:r w:rsidRPr="00A94469">
        <w:rPr>
          <w:spacing w:val="-8"/>
        </w:rPr>
        <w:t xml:space="preserve"> ротової рідини використовували потенціометричний метод. Цей метод забезпечив високу точність отриманих результатів. Для цього було використано </w:t>
      </w:r>
      <w:r w:rsidRPr="00A94469">
        <w:rPr>
          <w:spacing w:val="-8"/>
          <w:lang w:val="en-US"/>
        </w:rPr>
        <w:t>pH</w:t>
      </w:r>
      <w:r w:rsidRPr="00A94469">
        <w:rPr>
          <w:spacing w:val="-8"/>
        </w:rPr>
        <w:t xml:space="preserve">-метр мілівольтметр </w:t>
      </w:r>
      <w:r w:rsidRPr="00A94469">
        <w:rPr>
          <w:spacing w:val="-8"/>
          <w:lang w:val="en-US"/>
        </w:rPr>
        <w:t>pH</w:t>
      </w:r>
      <w:r w:rsidRPr="00A94469">
        <w:rPr>
          <w:spacing w:val="-8"/>
        </w:rPr>
        <w:t xml:space="preserve">-510 зі скляним електродом. Вимірювання проводили після калібрування скляного електрода в буферних розчинах. Визначення </w:t>
      </w:r>
      <w:r w:rsidRPr="00A94469">
        <w:rPr>
          <w:bCs/>
          <w:color w:val="000000"/>
          <w:spacing w:val="-8"/>
          <w:shd w:val="clear" w:color="auto" w:fill="FFFFFF"/>
        </w:rPr>
        <w:t>pH проводили безпосередньо</w:t>
      </w:r>
      <w:r w:rsidRPr="00A94469">
        <w:rPr>
          <w:spacing w:val="-8"/>
          <w:lang w:eastAsia="uk-UA"/>
        </w:rPr>
        <w:t xml:space="preserve"> після проведення забору ротової рідини </w:t>
      </w:r>
      <w:r w:rsidRPr="00A94469">
        <w:rPr>
          <w:spacing w:val="-8"/>
          <w:shd w:val="clear" w:color="auto" w:fill="FFFFFF"/>
        </w:rPr>
        <w:t>[32]</w:t>
      </w:r>
      <w:r w:rsidRPr="00A94469">
        <w:rPr>
          <w:spacing w:val="-8"/>
          <w:lang w:eastAsia="uk-UA"/>
        </w:rPr>
        <w:t xml:space="preserve">. Забір ротової рідини проводили зранку натщесерце до проведення ранкової гігієни порожнини рота </w:t>
      </w:r>
      <w:r w:rsidRPr="00A94469">
        <w:rPr>
          <w:spacing w:val="-8"/>
          <w:shd w:val="clear" w:color="auto" w:fill="FFFFFF"/>
        </w:rPr>
        <w:t>[47]</w:t>
      </w:r>
      <w:r w:rsidRPr="00A94469">
        <w:rPr>
          <w:spacing w:val="-8"/>
          <w:lang w:eastAsia="uk-UA"/>
        </w:rPr>
        <w:t xml:space="preserve">. Дітям пропонували провести ополіскування порожнини рота дистильованою водою і розпочати спльовування ротової рідини в пробірку. </w:t>
      </w:r>
      <w:r w:rsidRPr="00A94469">
        <w:rPr>
          <w:spacing w:val="-8"/>
        </w:rPr>
        <w:t xml:space="preserve">У кожної дитини було проведено відбір трьох проб ротової рідини з інтервалом 5 хв </w:t>
      </w:r>
      <w:r w:rsidRPr="00A94469">
        <w:rPr>
          <w:spacing w:val="-8"/>
          <w:shd w:val="clear" w:color="auto" w:fill="FFFFFF"/>
        </w:rPr>
        <w:t>[32]</w:t>
      </w:r>
      <w:r w:rsidRPr="00A94469">
        <w:rPr>
          <w:spacing w:val="-8"/>
        </w:rPr>
        <w:t>.</w:t>
      </w:r>
    </w:p>
    <w:p w:rsidR="00534FB5" w:rsidRPr="00A94469" w:rsidRDefault="00534FB5" w:rsidP="00534FB5">
      <w:pPr>
        <w:pStyle w:val="11"/>
        <w:ind w:left="0" w:firstLine="709"/>
        <w:jc w:val="both"/>
        <w:rPr>
          <w:spacing w:val="-8"/>
        </w:rPr>
      </w:pPr>
      <w:r w:rsidRPr="00A94469">
        <w:rPr>
          <w:spacing w:val="-8"/>
        </w:rPr>
        <w:t xml:space="preserve">Для експрес-оцінки карієсогенної ситуації порожнини рота було </w:t>
      </w:r>
      <w:r w:rsidRPr="00A94469">
        <w:rPr>
          <w:spacing w:val="-8"/>
        </w:rPr>
        <w:lastRenderedPageBreak/>
        <w:t xml:space="preserve">використано модифікований pH-тест ротової рідини </w:t>
      </w:r>
      <w:r w:rsidRPr="00A94469">
        <w:rPr>
          <w:spacing w:val="-8"/>
          <w:shd w:val="clear" w:color="auto" w:fill="FFFFFF"/>
        </w:rPr>
        <w:t>[25]</w:t>
      </w:r>
      <w:r w:rsidRPr="00A94469">
        <w:rPr>
          <w:spacing w:val="-8"/>
          <w:lang w:eastAsia="uk-UA"/>
        </w:rPr>
        <w:t>. За одержаними трьома значеннями pH</w:t>
      </w:r>
      <w:r w:rsidRPr="00A94469">
        <w:rPr>
          <w:spacing w:val="-8"/>
          <w:vertAlign w:val="subscript"/>
          <w:lang w:eastAsia="uk-UA"/>
        </w:rPr>
        <w:t xml:space="preserve">i </w:t>
      </w:r>
      <w:r w:rsidRPr="00A94469">
        <w:rPr>
          <w:spacing w:val="-8"/>
          <w:lang w:eastAsia="uk-UA"/>
        </w:rPr>
        <w:t xml:space="preserve">проведено розрахунок середньоарифметичного значення </w:t>
      </w:r>
      <w:r w:rsidRPr="00A94469">
        <w:rPr>
          <w:spacing w:val="-8"/>
        </w:rPr>
        <w:t>pH (pH</w:t>
      </w:r>
      <w:r w:rsidRPr="00A94469">
        <w:rPr>
          <w:spacing w:val="-8"/>
          <w:vertAlign w:val="subscript"/>
        </w:rPr>
        <w:t>ср</w:t>
      </w:r>
      <w:r w:rsidRPr="00A94469">
        <w:rPr>
          <w:spacing w:val="-8"/>
        </w:rPr>
        <w:t xml:space="preserve">) за формулою: </w:t>
      </w:r>
    </w:p>
    <w:p w:rsidR="00534FB5" w:rsidRDefault="00534FB5" w:rsidP="00534FB5">
      <w:pPr>
        <w:pStyle w:val="11"/>
        <w:ind w:left="0" w:firstLine="709"/>
      </w:pPr>
      <w:r>
        <w:rPr>
          <w:lang w:val="ru-RU"/>
        </w:rPr>
        <w:t xml:space="preserve">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cp</m:t>
            </m:r>
          </m:sub>
        </m:sSub>
        <m:r>
          <w:rPr>
            <w:rFonts w:ascii="Cambria Math"/>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hAnsi="Cambria Math"/>
                    <w:lang w:val="en-US"/>
                  </w:rPr>
                  <m:t>n</m:t>
                </m:r>
              </m:sup>
              <m:e>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e>
            </m:nary>
          </m:num>
          <m:den>
            <m:r>
              <w:rPr>
                <w:rFonts w:ascii="Cambria Math"/>
              </w:rPr>
              <m:t>3</m:t>
            </m:r>
          </m:den>
        </m:f>
      </m:oMath>
      <w:r w:rsidR="008270D1">
        <w:t>,</w:t>
      </w:r>
      <w:r w:rsidRPr="00EC3DD8">
        <w:tab/>
      </w:r>
      <w:r>
        <w:rPr>
          <w:lang w:val="ru-RU"/>
        </w:rPr>
        <w:t xml:space="preserve">          </w:t>
      </w:r>
      <w:r w:rsidRPr="00EC3DD8">
        <w:tab/>
      </w:r>
      <w:r w:rsidRPr="00EC3DD8">
        <w:tab/>
      </w:r>
      <w:r w:rsidRPr="00EC3DD8">
        <w:tab/>
        <w:t>(2.3.1.)</w:t>
      </w:r>
      <w:r>
        <w:t>,</w:t>
      </w:r>
    </w:p>
    <w:p w:rsidR="00534FB5" w:rsidRPr="00EC3DD8" w:rsidRDefault="00534FB5" w:rsidP="00534FB5">
      <w:pPr>
        <w:pStyle w:val="11"/>
        <w:ind w:left="0" w:firstLine="709"/>
      </w:pPr>
    </w:p>
    <w:p w:rsidR="00534FB5" w:rsidRPr="00A94469" w:rsidRDefault="00534FB5" w:rsidP="00A94469">
      <w:pPr>
        <w:pStyle w:val="11"/>
        <w:ind w:left="0" w:firstLine="709"/>
        <w:jc w:val="both"/>
        <w:rPr>
          <w:lang w:eastAsia="uk-UA"/>
        </w:rPr>
      </w:pPr>
      <w:r w:rsidRPr="00EC3DD8">
        <w:rPr>
          <w:lang w:eastAsia="uk-UA"/>
        </w:rPr>
        <w:t xml:space="preserve">та </w:t>
      </w:r>
      <w:r w:rsidRPr="0042348D">
        <w:rPr>
          <w:lang w:eastAsia="uk-UA"/>
        </w:rPr>
        <w:t>довірливого</w:t>
      </w:r>
      <w:r w:rsidRPr="00EC3DD8">
        <w:rPr>
          <w:lang w:eastAsia="uk-UA"/>
        </w:rPr>
        <w:t xml:space="preserve"> інтервалу відхилення для цих величин від середнього їх значення:</w:t>
      </w:r>
    </w:p>
    <w:p w:rsidR="00534FB5" w:rsidRDefault="00534FB5" w:rsidP="00534FB5">
      <w:pPr>
        <w:pStyle w:val="11"/>
        <w:ind w:left="0" w:firstLine="709"/>
      </w:pPr>
      <w:r>
        <w:t xml:space="preserve">      </w:t>
      </w:r>
      <m:oMath>
        <m:r>
          <w:rPr>
            <w:rFonts w:ascii="Cambria Math" w:hAnsi="Cambria Math"/>
          </w:rPr>
          <m:t>∆</m:t>
        </m:r>
        <m:r>
          <w:rPr>
            <w:rFonts w:ascii="Cambria Math" w:hAnsi="Cambria Math"/>
            <w:lang w:val="en-US"/>
          </w:rPr>
          <m:t>pH</m:t>
        </m:r>
        <m:r>
          <w:rPr>
            <w:rFonts w:ascii="Cambria Math"/>
          </w:rPr>
          <m:t>=</m:t>
        </m:r>
        <m:sSub>
          <m:sSubPr>
            <m:ctrlPr>
              <w:rPr>
                <w:rFonts w:ascii="Cambria Math" w:hAnsi="Cambria Math"/>
                <w:i/>
                <w:lang w:val="en-US"/>
              </w:rPr>
            </m:ctrlPr>
          </m:sSubPr>
          <m:e>
            <m:r>
              <w:rPr>
                <w:rFonts w:ascii="Cambria Math" w:hAnsi="Cambria Math"/>
                <w:lang w:val="en-US"/>
              </w:rPr>
              <m:t>t</m:t>
            </m:r>
          </m:e>
          <m:sub>
            <m:r>
              <w:rPr>
                <w:rFonts w:ascii="Cambria Math"/>
              </w:rPr>
              <m:t>3;0,95</m:t>
            </m:r>
          </m:sub>
        </m:sSub>
        <m:rad>
          <m:radPr>
            <m:degHide m:val="on"/>
            <m:ctrlPr>
              <w:rPr>
                <w:rFonts w:ascii="Cambria Math" w:hAnsi="Cambria Math"/>
                <w:i/>
                <w:lang w:val="en-US"/>
              </w:rPr>
            </m:ctrlPr>
          </m:radPr>
          <m:deg/>
          <m:e>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rPr>
                      <m:t>3</m:t>
                    </m:r>
                  </m:sup>
                  <m:e>
                    <m:sSup>
                      <m:sSupPr>
                        <m:ctrlPr>
                          <w:rPr>
                            <w:rFonts w:ascii="Cambria Math" w:hAnsi="Cambria Math"/>
                            <w:i/>
                            <w:lang w:val="en-US"/>
                          </w:rPr>
                        </m:ctrlPr>
                      </m:sSupPr>
                      <m:e>
                        <m:r>
                          <w:rPr>
                            <w:rFonts w:ascii="Cambria Math"/>
                          </w:rPr>
                          <m:t>(</m:t>
                        </m:r>
                        <m:r>
                          <w:rPr>
                            <w:rFonts w:ascii="Cambria Math" w:hAnsi="Cambria Math"/>
                          </w:rPr>
                          <m:t>∆</m:t>
                        </m:r>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r>
                          <w:rPr>
                            <w:rFonts w:ascii="Cambria Math"/>
                          </w:rPr>
                          <m:t>)</m:t>
                        </m:r>
                      </m:e>
                      <m:sup>
                        <m:r>
                          <w:rPr>
                            <w:rFonts w:ascii="Cambria Math"/>
                          </w:rPr>
                          <m:t>2</m:t>
                        </m:r>
                      </m:sup>
                    </m:sSup>
                  </m:e>
                </m:nary>
              </m:num>
              <m:den>
                <m:r>
                  <w:rPr>
                    <w:rFonts w:ascii="Cambria Math"/>
                  </w:rPr>
                  <m:t>3(3</m:t>
                </m:r>
                <m:r>
                  <w:rPr>
                    <w:rFonts w:ascii="Cambria Math" w:hAnsi="Cambria Math"/>
                  </w:rPr>
                  <m:t>-</m:t>
                </m:r>
                <m:r>
                  <w:rPr>
                    <w:rFonts w:ascii="Cambria Math"/>
                  </w:rPr>
                  <m:t>1)</m:t>
                </m:r>
              </m:den>
            </m:f>
          </m:e>
        </m:rad>
      </m:oMath>
      <w:r w:rsidRPr="00EC3DD8">
        <w:t xml:space="preserve">, </w:t>
      </w:r>
      <w:r w:rsidRPr="00EC3DD8">
        <w:tab/>
      </w:r>
      <w:r>
        <w:t xml:space="preserve">            </w:t>
      </w:r>
      <w:r w:rsidRPr="00EC3DD8">
        <w:tab/>
        <w:t>(2.3.2)</w:t>
      </w:r>
      <w:r>
        <w:t>,</w:t>
      </w:r>
    </w:p>
    <w:p w:rsidR="00534FB5" w:rsidRPr="00A94469" w:rsidRDefault="00534FB5" w:rsidP="00534FB5">
      <w:pPr>
        <w:pStyle w:val="11"/>
        <w:ind w:left="0" w:firstLine="709"/>
        <w:rPr>
          <w:sz w:val="22"/>
          <w:lang w:eastAsia="uk-UA"/>
        </w:rPr>
      </w:pPr>
    </w:p>
    <w:p w:rsidR="00534FB5" w:rsidRPr="00A94469" w:rsidRDefault="00534FB5" w:rsidP="00534FB5">
      <w:pPr>
        <w:pStyle w:val="11"/>
        <w:ind w:left="0" w:firstLine="709"/>
        <w:jc w:val="both"/>
        <w:rPr>
          <w:spacing w:val="-6"/>
        </w:rPr>
      </w:pPr>
      <w:r w:rsidRPr="00A94469">
        <w:rPr>
          <w:spacing w:val="-6"/>
        </w:rPr>
        <w:t>де t</w:t>
      </w:r>
      <w:r w:rsidRPr="00A94469">
        <w:rPr>
          <w:spacing w:val="-6"/>
          <w:vertAlign w:val="subscript"/>
        </w:rPr>
        <w:t xml:space="preserve">3;0,95 </w:t>
      </w:r>
      <w:r w:rsidRPr="00A94469">
        <w:rPr>
          <w:spacing w:val="-6"/>
        </w:rPr>
        <w:t xml:space="preserve">– коефіцієнт Стьюдента для 3 вимірів і 0,95 довірливої вірогідності; </w:t>
      </w:r>
    </w:p>
    <w:p w:rsidR="00534FB5" w:rsidRPr="00A94469" w:rsidRDefault="00534FB5" w:rsidP="00534FB5">
      <w:pPr>
        <w:pStyle w:val="11"/>
        <w:ind w:left="0" w:firstLine="709"/>
        <w:jc w:val="both"/>
        <w:rPr>
          <w:spacing w:val="-6"/>
        </w:rPr>
      </w:pPr>
      <w:r w:rsidRPr="00A94469">
        <w:rPr>
          <w:spacing w:val="-6"/>
          <w:lang w:eastAsia="uk-UA"/>
        </w:rPr>
        <w:t>∆pH</w:t>
      </w:r>
      <w:r w:rsidRPr="00A94469">
        <w:rPr>
          <w:spacing w:val="-6"/>
          <w:vertAlign w:val="subscript"/>
          <w:lang w:eastAsia="uk-UA"/>
        </w:rPr>
        <w:t xml:space="preserve">i </w:t>
      </w:r>
      <w:r w:rsidRPr="00A94469">
        <w:rPr>
          <w:spacing w:val="-6"/>
          <w:lang w:eastAsia="uk-UA"/>
        </w:rPr>
        <w:t>– відхилення значень pH</w:t>
      </w:r>
      <w:r w:rsidRPr="00A94469">
        <w:rPr>
          <w:spacing w:val="-6"/>
          <w:vertAlign w:val="subscript"/>
          <w:lang w:eastAsia="uk-UA"/>
        </w:rPr>
        <w:t xml:space="preserve">i </w:t>
      </w:r>
      <w:r w:rsidRPr="00A94469">
        <w:rPr>
          <w:spacing w:val="-6"/>
          <w:lang w:eastAsia="uk-UA"/>
        </w:rPr>
        <w:t>від середньоарифметичного,</w:t>
      </w:r>
      <w:r w:rsidRPr="00A94469">
        <w:rPr>
          <w:spacing w:val="-6"/>
          <w:vertAlign w:val="subscript"/>
          <w:lang w:eastAsia="uk-UA"/>
        </w:rPr>
        <w:t xml:space="preserve"> </w:t>
      </w:r>
      <w:r w:rsidRPr="00A94469">
        <w:rPr>
          <w:spacing w:val="-6"/>
          <w:lang w:eastAsia="uk-UA"/>
        </w:rPr>
        <w:t>тобто pH</w:t>
      </w:r>
      <w:r w:rsidRPr="00A94469">
        <w:rPr>
          <w:spacing w:val="-6"/>
          <w:vertAlign w:val="subscript"/>
          <w:lang w:eastAsia="uk-UA"/>
        </w:rPr>
        <w:t xml:space="preserve">i </w:t>
      </w:r>
      <w:r w:rsidRPr="00A94469">
        <w:rPr>
          <w:spacing w:val="-6"/>
          <w:lang w:eastAsia="uk-UA"/>
        </w:rPr>
        <w:t xml:space="preserve">- </w:t>
      </w:r>
      <w:r w:rsidRPr="00A94469">
        <w:rPr>
          <w:spacing w:val="-6"/>
        </w:rPr>
        <w:t>pH</w:t>
      </w:r>
      <w:r w:rsidRPr="00A94469">
        <w:rPr>
          <w:spacing w:val="-6"/>
          <w:vertAlign w:val="subscript"/>
        </w:rPr>
        <w:t>ср</w:t>
      </w:r>
      <w:r w:rsidRPr="00A94469">
        <w:rPr>
          <w:spacing w:val="-6"/>
        </w:rPr>
        <w:t xml:space="preserve">; </w:t>
      </w:r>
    </w:p>
    <w:p w:rsidR="003E67A2" w:rsidRPr="00823C00" w:rsidRDefault="00823C00" w:rsidP="00823C00">
      <w:pPr>
        <w:pStyle w:val="11"/>
        <w:ind w:left="0" w:firstLine="709"/>
        <w:jc w:val="both"/>
        <w:rPr>
          <w:spacing w:val="-6"/>
        </w:rPr>
      </w:pPr>
      <w:r>
        <w:rPr>
          <w:spacing w:val="-6"/>
        </w:rPr>
        <w:t>В</w:t>
      </w:r>
      <w:r w:rsidR="00534FB5" w:rsidRPr="00A94469">
        <w:rPr>
          <w:spacing w:val="-6"/>
        </w:rPr>
        <w:t xml:space="preserve">ідносний довірливий інтервал відхилення цієї величини </w:t>
      </w:r>
      <w:r w:rsidR="00534FB5" w:rsidRPr="00A94469">
        <w:rPr>
          <w:spacing w:val="-6"/>
          <w:lang w:eastAsia="uk-UA"/>
        </w:rPr>
        <w:t>∆</w:t>
      </w:r>
      <w:r w:rsidR="00534FB5" w:rsidRPr="00A94469">
        <w:rPr>
          <w:spacing w:val="-6"/>
        </w:rPr>
        <w:t>pH/pH</w:t>
      </w:r>
      <w:r w:rsidR="00534FB5" w:rsidRPr="00A94469">
        <w:rPr>
          <w:spacing w:val="-6"/>
          <w:vertAlign w:val="subscript"/>
        </w:rPr>
        <w:t>ср</w:t>
      </w:r>
      <w:r w:rsidR="006118A0">
        <w:rPr>
          <w:spacing w:val="-6"/>
        </w:rPr>
        <w:t>.</w:t>
      </w:r>
      <w:r>
        <w:rPr>
          <w:spacing w:val="-6"/>
        </w:rPr>
        <w:t xml:space="preserve"> </w:t>
      </w:r>
      <w:r w:rsidR="00534FB5" w:rsidRPr="00A94469">
        <w:rPr>
          <w:spacing w:val="-6"/>
        </w:rPr>
        <w:t>Отримані дані дозволили провести оцінку компенсаторних властивостей організму в порожнині рота (1/</w:t>
      </w:r>
      <w:r w:rsidR="00534FB5" w:rsidRPr="00A94469">
        <w:rPr>
          <w:spacing w:val="-6"/>
          <w:lang w:eastAsia="uk-UA"/>
        </w:rPr>
        <w:t>∆</w:t>
      </w:r>
      <w:r w:rsidR="00534FB5" w:rsidRPr="00A94469">
        <w:rPr>
          <w:spacing w:val="-6"/>
        </w:rPr>
        <w:t>pH) та оцінити вірогідність процесу демінералізації емалі зубів (</w:t>
      </w:r>
      <w:r w:rsidR="00534FB5" w:rsidRPr="00A94469">
        <w:rPr>
          <w:spacing w:val="-6"/>
          <w:lang w:eastAsia="uk-UA"/>
        </w:rPr>
        <w:t>∆</w:t>
      </w:r>
      <w:r w:rsidR="00534FB5" w:rsidRPr="00A94469">
        <w:rPr>
          <w:spacing w:val="-6"/>
        </w:rPr>
        <w:t>Ph/pH</w:t>
      </w:r>
      <w:r w:rsidR="00534FB5" w:rsidRPr="00A94469">
        <w:rPr>
          <w:spacing w:val="-6"/>
          <w:vertAlign w:val="subscript"/>
        </w:rPr>
        <w:t>ср</w:t>
      </w:r>
      <w:r w:rsidR="00534FB5" w:rsidRPr="00A94469">
        <w:rPr>
          <w:spacing w:val="-6"/>
        </w:rPr>
        <w:t>)</w:t>
      </w:r>
      <w:r w:rsidR="00534FB5" w:rsidRPr="00A94469">
        <w:rPr>
          <w:spacing w:val="-6"/>
          <w:shd w:val="clear" w:color="auto" w:fill="FFFFFF"/>
        </w:rPr>
        <w:t xml:space="preserve"> [25, 73].</w:t>
      </w:r>
    </w:p>
    <w:p w:rsidR="00534FB5" w:rsidRPr="00A94469" w:rsidRDefault="00534FB5" w:rsidP="00534FB5">
      <w:pPr>
        <w:pStyle w:val="11"/>
        <w:ind w:left="0" w:firstLine="709"/>
        <w:jc w:val="both"/>
        <w:rPr>
          <w:spacing w:val="-6"/>
          <w:shd w:val="clear" w:color="auto" w:fill="FFFFFF"/>
        </w:rPr>
      </w:pPr>
      <w:r w:rsidRPr="00A94469">
        <w:rPr>
          <w:spacing w:val="-6"/>
          <w:shd w:val="clear" w:color="auto" w:fill="FFFFFF"/>
        </w:rPr>
        <w:t xml:space="preserve">Для оцінки стану неспецифічної резистентності в ротовій порожнині досліджували стан </w:t>
      </w:r>
      <w:r w:rsidR="00CB78C0">
        <w:rPr>
          <w:spacing w:val="-6"/>
          <w:shd w:val="clear" w:color="auto" w:fill="FFFFFF"/>
        </w:rPr>
        <w:t>перекисн</w:t>
      </w:r>
      <w:r w:rsidRPr="00A94469">
        <w:rPr>
          <w:spacing w:val="-6"/>
          <w:shd w:val="clear" w:color="auto" w:fill="FFFFFF"/>
        </w:rPr>
        <w:t>ого окислення ліпідів (ПОЛ) та показники антиоксидантної системи (АОС). Інтенсивність процесів ПОЛ у ротовій рідині оцінювали за накопиченням вторинних продуктів ПОЛ – тіобарбітурактивних речовин (ТБК-активних продуктів), головним з яких є малоновий діальдегід (МДА). Стан АОС оцінювали за рівнем активності антиоксидантних ферментів – супероксиддисмутази (СОД) та каталази.</w:t>
      </w:r>
    </w:p>
    <w:p w:rsidR="00534FB5" w:rsidRDefault="00534FB5" w:rsidP="00534FB5">
      <w:pPr>
        <w:ind w:firstLine="708"/>
        <w:contextualSpacing/>
        <w:rPr>
          <w:spacing w:val="-6"/>
          <w:shd w:val="clear" w:color="auto" w:fill="FFFFFF"/>
        </w:rPr>
      </w:pPr>
      <w:r w:rsidRPr="00A94469">
        <w:rPr>
          <w:spacing w:val="-6"/>
        </w:rPr>
        <w:t>Про захисні сили тканин ротової порожнини судили за антиоксидантн</w:t>
      </w:r>
      <w:r w:rsidR="00306B2B" w:rsidRPr="00A94469">
        <w:rPr>
          <w:spacing w:val="-6"/>
        </w:rPr>
        <w:t>о-прооксидантним індексом (АПІ)</w:t>
      </w:r>
      <w:r w:rsidR="00A94469">
        <w:rPr>
          <w:spacing w:val="-6"/>
        </w:rPr>
        <w:t xml:space="preserve"> </w:t>
      </w:r>
      <w:r w:rsidR="00A94469" w:rsidRPr="00A94469">
        <w:rPr>
          <w:spacing w:val="-6"/>
          <w:shd w:val="clear" w:color="auto" w:fill="FFFFFF"/>
        </w:rPr>
        <w:t>[61, 96]</w:t>
      </w:r>
      <w:r w:rsidR="00306B2B" w:rsidRPr="00A94469">
        <w:rPr>
          <w:spacing w:val="-6"/>
        </w:rPr>
        <w:t xml:space="preserve">, який розраховували за </w:t>
      </w:r>
      <w:r w:rsidR="00A94469">
        <w:rPr>
          <w:spacing w:val="-6"/>
        </w:rPr>
        <w:t>формулою:</w:t>
      </w:r>
      <w:r w:rsidR="00306B2B" w:rsidRPr="00A94469">
        <w:rPr>
          <w:spacing w:val="-6"/>
        </w:rPr>
        <w:t xml:space="preserve"> </w:t>
      </w:r>
    </w:p>
    <w:p w:rsidR="00A94469" w:rsidRPr="00A94469" w:rsidRDefault="00A94469" w:rsidP="00534FB5">
      <w:pPr>
        <w:ind w:firstLine="708"/>
        <w:contextualSpacing/>
        <w:rPr>
          <w:spacing w:val="-6"/>
          <w:shd w:val="clear" w:color="auto" w:fill="FFFFFF"/>
        </w:rPr>
      </w:pPr>
    </w:p>
    <w:p w:rsidR="008270D1" w:rsidRDefault="008270D1" w:rsidP="008270D1">
      <w:pPr>
        <w:ind w:firstLine="708"/>
        <w:contextualSpacing/>
        <w:jc w:val="center"/>
      </w:pPr>
      <m:oMath>
        <m:r>
          <w:rPr>
            <w:rFonts w:ascii="Cambria Math" w:hAnsi="Cambria Math"/>
            <w:lang w:val="ru-RU"/>
          </w:rPr>
          <m:t>АПІ</m:t>
        </m:r>
        <m:r>
          <w:rPr>
            <w:rFonts w:ascii="Cambria Math"/>
          </w:rPr>
          <m:t>=</m:t>
        </m:r>
        <m:f>
          <m:fPr>
            <m:ctrlPr>
              <w:rPr>
                <w:rFonts w:ascii="Cambria Math" w:hAnsi="Cambria Math"/>
                <w:i/>
                <w:lang w:val="en-US"/>
              </w:rPr>
            </m:ctrlPr>
          </m:fPr>
          <m:num>
            <m:r>
              <w:rPr>
                <w:rFonts w:ascii="Cambria Math" w:hAnsi="Cambria Math"/>
                <w:lang w:val="ru-RU"/>
              </w:rPr>
              <m:t>Акаталази*100</m:t>
            </m:r>
          </m:num>
          <m:den>
            <m:r>
              <m:rPr>
                <m:sty m:val="p"/>
              </m:rPr>
              <w:rPr>
                <w:rFonts w:ascii="Cambria Math" w:hAnsi="Cambria Math"/>
                <w:smallCaps/>
                <w:vertAlign w:val="subscript"/>
              </w:rPr>
              <m:t>СМДА</m:t>
            </m:r>
          </m:den>
        </m:f>
      </m:oMath>
      <w:r>
        <w:t>,</w:t>
      </w:r>
      <w:r w:rsidRPr="00EC3DD8">
        <w:tab/>
      </w:r>
      <w:r>
        <w:rPr>
          <w:lang w:val="ru-RU"/>
        </w:rPr>
        <w:t xml:space="preserve">          </w:t>
      </w:r>
      <w:r w:rsidR="00A94469">
        <w:tab/>
      </w:r>
      <w:r w:rsidR="00A94469">
        <w:tab/>
      </w:r>
      <w:r w:rsidR="00A94469">
        <w:tab/>
        <w:t>(2.3.3</w:t>
      </w:r>
      <w:r w:rsidRPr="00EC3DD8">
        <w:t>.)</w:t>
      </w:r>
      <w:r>
        <w:t>,</w:t>
      </w:r>
    </w:p>
    <w:p w:rsidR="00A94469" w:rsidRDefault="00A94469" w:rsidP="008270D1">
      <w:pPr>
        <w:ind w:firstLine="708"/>
        <w:contextualSpacing/>
        <w:jc w:val="center"/>
      </w:pPr>
    </w:p>
    <w:p w:rsidR="008270D1" w:rsidRDefault="008270D1" w:rsidP="00A94469">
      <w:pPr>
        <w:pStyle w:val="11"/>
        <w:ind w:left="0"/>
        <w:jc w:val="both"/>
      </w:pPr>
      <w:r>
        <w:t>д</w:t>
      </w:r>
      <w:r w:rsidRPr="00EC3DD8">
        <w:t>е</w:t>
      </w:r>
      <w:r>
        <w:t xml:space="preserve"> А</w:t>
      </w:r>
      <w:r w:rsidRPr="008270D1">
        <w:rPr>
          <w:vertAlign w:val="subscript"/>
        </w:rPr>
        <w:t>каталази</w:t>
      </w:r>
      <w:r>
        <w:rPr>
          <w:vertAlign w:val="subscript"/>
        </w:rPr>
        <w:t xml:space="preserve"> </w:t>
      </w:r>
      <w:r w:rsidRPr="00EC3DD8">
        <w:t xml:space="preserve">– </w:t>
      </w:r>
      <w:r>
        <w:t xml:space="preserve">активность каталази, Смда </w:t>
      </w:r>
      <w:r w:rsidRPr="00EC3DD8">
        <w:t>–</w:t>
      </w:r>
      <w:r>
        <w:t xml:space="preserve"> вміст </w:t>
      </w:r>
      <w:r>
        <w:rPr>
          <w:shd w:val="clear" w:color="auto" w:fill="FFFFFF"/>
        </w:rPr>
        <w:t>малонового діальдегіду</w:t>
      </w:r>
      <w:r w:rsidR="00A94469">
        <w:rPr>
          <w:shd w:val="clear" w:color="auto" w:fill="FFFFFF"/>
        </w:rPr>
        <w:t>.</w:t>
      </w:r>
    </w:p>
    <w:p w:rsidR="00534FB5" w:rsidRPr="00EC3DD8" w:rsidRDefault="00534FB5" w:rsidP="00534FB5">
      <w:pPr>
        <w:pStyle w:val="11"/>
        <w:ind w:left="0" w:firstLine="709"/>
        <w:jc w:val="both"/>
        <w:rPr>
          <w:lang w:eastAsia="uk-UA"/>
        </w:rPr>
      </w:pPr>
      <w:r w:rsidRPr="00EC3DD8">
        <w:rPr>
          <w:shd w:val="clear" w:color="auto" w:fill="FFFFFF"/>
        </w:rPr>
        <w:lastRenderedPageBreak/>
        <w:t>Забір ротової рідини об</w:t>
      </w:r>
      <w:r>
        <w:rPr>
          <w:shd w:val="clear" w:color="auto" w:fill="FFFFFF"/>
        </w:rPr>
        <w:t>’</w:t>
      </w:r>
      <w:r w:rsidRPr="00EC3DD8">
        <w:rPr>
          <w:shd w:val="clear" w:color="auto" w:fill="FFFFFF"/>
        </w:rPr>
        <w:t>ємом 3,5</w:t>
      </w:r>
      <w:r>
        <w:rPr>
          <w:shd w:val="clear" w:color="auto" w:fill="FFFFFF"/>
        </w:rPr>
        <w:t> </w:t>
      </w:r>
      <w:r w:rsidRPr="00EC3DD8">
        <w:rPr>
          <w:shd w:val="clear" w:color="auto" w:fill="FFFFFF"/>
        </w:rPr>
        <w:t>мл робили в скляні хімічно чисті пробірки зранку натщесерце, до проведення гігієнічних процедур. Перед забором порожнину рота три рази ополіскували дистильованою водою. Отриману ротову рідин</w:t>
      </w:r>
      <w:r>
        <w:rPr>
          <w:shd w:val="clear" w:color="auto" w:fill="FFFFFF"/>
        </w:rPr>
        <w:t>у центрифугували протягом 20 хв. при 3000 об./хв.</w:t>
      </w:r>
      <w:r w:rsidRPr="00EC3DD8">
        <w:rPr>
          <w:shd w:val="clear" w:color="auto" w:fill="FFFFFF"/>
        </w:rPr>
        <w:t xml:space="preserve"> Надосадкову рідину відбирали у чисті пробірки, маркували та зберігали до проведення аналізів при температурі </w:t>
      </w:r>
      <w:r>
        <w:rPr>
          <w:shd w:val="clear" w:color="auto" w:fill="FFFFFF"/>
        </w:rPr>
        <w:t xml:space="preserve">– </w:t>
      </w:r>
      <w:r w:rsidRPr="00EC3DD8">
        <w:rPr>
          <w:shd w:val="clear" w:color="auto" w:fill="FFFFFF"/>
        </w:rPr>
        <w:t>20</w:t>
      </w:r>
      <w:r w:rsidRPr="00EC3DD8">
        <w:rPr>
          <w:shd w:val="clear" w:color="auto" w:fill="FFFFFF"/>
          <w:vertAlign w:val="superscript"/>
        </w:rPr>
        <w:t>о</w:t>
      </w:r>
      <w:r w:rsidRPr="00EC3DD8">
        <w:rPr>
          <w:shd w:val="clear" w:color="auto" w:fill="FFFFFF"/>
        </w:rPr>
        <w:t>С. Перед дослідженням ротову рідину розморожували при кімнатній температурі.</w:t>
      </w:r>
      <w:r>
        <w:rPr>
          <w:shd w:val="clear" w:color="auto" w:fill="FFFFFF"/>
        </w:rPr>
        <w:t xml:space="preserve"> </w:t>
      </w:r>
    </w:p>
    <w:p w:rsidR="00534FB5" w:rsidRPr="00EC3DD8" w:rsidRDefault="00534FB5" w:rsidP="00534FB5">
      <w:pPr>
        <w:pStyle w:val="11"/>
        <w:ind w:left="0" w:firstLine="709"/>
        <w:jc w:val="both"/>
        <w:rPr>
          <w:lang w:eastAsia="uk-UA"/>
        </w:rPr>
      </w:pPr>
      <w:r w:rsidRPr="00A94469">
        <w:t xml:space="preserve">Визначення рівня </w:t>
      </w:r>
      <w:r w:rsidRPr="00A94469">
        <w:rPr>
          <w:shd w:val="clear" w:color="auto" w:fill="FFFFFF"/>
        </w:rPr>
        <w:t xml:space="preserve">МДА проводили за методикою </w:t>
      </w:r>
      <w:r w:rsidRPr="00A94469">
        <w:t>M. Uchiyma та M. Michara (в моди</w:t>
      </w:r>
      <w:r>
        <w:t xml:space="preserve">фікації </w:t>
      </w:r>
      <w:r w:rsidRPr="00EC3DD8">
        <w:t>І.</w:t>
      </w:r>
      <w:r>
        <w:rPr>
          <w:lang w:val="en-US"/>
        </w:rPr>
        <w:t> </w:t>
      </w:r>
      <w:r>
        <w:t>А. </w:t>
      </w:r>
      <w:r w:rsidRPr="00EC3DD8">
        <w:t>Волчегорського</w:t>
      </w:r>
      <w:r>
        <w:t xml:space="preserve"> </w:t>
      </w:r>
      <w:r w:rsidRPr="00EC3DD8">
        <w:t xml:space="preserve">та співавторів) за тестом з тіобарбітуровою кислотою </w:t>
      </w:r>
      <w:r w:rsidRPr="00EC3DD8">
        <w:rPr>
          <w:shd w:val="clear" w:color="auto" w:fill="FFFFFF"/>
        </w:rPr>
        <w:t>[</w:t>
      </w:r>
      <w:r>
        <w:rPr>
          <w:shd w:val="clear" w:color="auto" w:fill="FFFFFF"/>
        </w:rPr>
        <w:t>56</w:t>
      </w:r>
      <w:r w:rsidRPr="00EC3DD8">
        <w:rPr>
          <w:shd w:val="clear" w:color="auto" w:fill="FFFFFF"/>
        </w:rPr>
        <w:t>]</w:t>
      </w:r>
      <w:r w:rsidRPr="00EC3DD8">
        <w:t>. Вміст МДА в ротовій рідині виражали в мікромолях на літр (мкмоль/л).</w:t>
      </w:r>
      <w:r w:rsidRPr="00EC3DD8">
        <w:rPr>
          <w:color w:val="000000"/>
        </w:rPr>
        <w:t xml:space="preserve"> </w:t>
      </w:r>
    </w:p>
    <w:p w:rsidR="00534FB5" w:rsidRPr="000718C0" w:rsidRDefault="00534FB5" w:rsidP="00534FB5">
      <w:pPr>
        <w:ind w:firstLine="709"/>
        <w:contextualSpacing/>
        <w:rPr>
          <w:spacing w:val="-8"/>
        </w:rPr>
      </w:pPr>
      <w:r w:rsidRPr="000718C0">
        <w:rPr>
          <w:spacing w:val="-8"/>
        </w:rPr>
        <w:t>Активність каталази визначали методом</w:t>
      </w:r>
      <w:r w:rsidRPr="000718C0">
        <w:rPr>
          <w:color w:val="000000"/>
          <w:spacing w:val="-8"/>
        </w:rPr>
        <w:t xml:space="preserve"> В.</w:t>
      </w:r>
      <w:r w:rsidRPr="000718C0">
        <w:rPr>
          <w:color w:val="000000"/>
          <w:spacing w:val="-8"/>
          <w:lang w:val="en-US"/>
        </w:rPr>
        <w:t> </w:t>
      </w:r>
      <w:r w:rsidR="000718C0" w:rsidRPr="000718C0">
        <w:rPr>
          <w:color w:val="000000"/>
          <w:spacing w:val="-8"/>
        </w:rPr>
        <w:t>А. Барабой та співавторів </w:t>
      </w:r>
      <w:r w:rsidRPr="000718C0">
        <w:rPr>
          <w:color w:val="000000"/>
          <w:spacing w:val="-8"/>
        </w:rPr>
        <w:t>(1991)</w:t>
      </w:r>
      <w:r w:rsidRPr="000718C0">
        <w:rPr>
          <w:spacing w:val="-8"/>
        </w:rPr>
        <w:t>, що ґрунтується на здатності перекису водню (H</w:t>
      </w:r>
      <w:r w:rsidRPr="000718C0">
        <w:rPr>
          <w:spacing w:val="-8"/>
          <w:vertAlign w:val="subscript"/>
        </w:rPr>
        <w:t>2</w:t>
      </w:r>
      <w:r w:rsidRPr="000718C0">
        <w:rPr>
          <w:spacing w:val="-8"/>
        </w:rPr>
        <w:t>O</w:t>
      </w:r>
      <w:r w:rsidRPr="000718C0">
        <w:rPr>
          <w:spacing w:val="-8"/>
          <w:vertAlign w:val="subscript"/>
        </w:rPr>
        <w:t>2</w:t>
      </w:r>
      <w:r w:rsidRPr="000718C0">
        <w:rPr>
          <w:spacing w:val="-8"/>
        </w:rPr>
        <w:t>) утворювати з солями молібдену стійкий забарвлений комплекс</w:t>
      </w:r>
      <w:r w:rsidRPr="000718C0">
        <w:rPr>
          <w:spacing w:val="-8"/>
          <w:shd w:val="clear" w:color="auto" w:fill="FFFFFF"/>
        </w:rPr>
        <w:t xml:space="preserve"> [4, 37]. </w:t>
      </w:r>
      <w:r w:rsidRPr="000718C0">
        <w:rPr>
          <w:spacing w:val="-8"/>
        </w:rPr>
        <w:t>Активність ферменту виражали в умовних одиницях (1 у.о.=1</w:t>
      </w:r>
      <w:r w:rsidRPr="000718C0">
        <w:rPr>
          <w:rStyle w:val="apple-converted-space"/>
          <w:color w:val="222222"/>
          <w:spacing w:val="-8"/>
          <w:shd w:val="clear" w:color="auto" w:fill="FFFFFF"/>
        </w:rPr>
        <w:t> </w:t>
      </w:r>
      <w:r w:rsidRPr="000718C0">
        <w:rPr>
          <w:rStyle w:val="a9"/>
          <w:bCs/>
          <w:i w:val="0"/>
          <w:color w:val="000000"/>
          <w:spacing w:val="-8"/>
          <w:shd w:val="clear" w:color="auto" w:fill="FFFFFF"/>
        </w:rPr>
        <w:t>мМ/хв./л</w:t>
      </w:r>
      <w:r w:rsidRPr="000718C0">
        <w:rPr>
          <w:spacing w:val="-8"/>
        </w:rPr>
        <w:t xml:space="preserve"> H</w:t>
      </w:r>
      <w:r w:rsidRPr="000718C0">
        <w:rPr>
          <w:spacing w:val="-8"/>
          <w:vertAlign w:val="subscript"/>
        </w:rPr>
        <w:t>2</w:t>
      </w:r>
      <w:r w:rsidRPr="000718C0">
        <w:rPr>
          <w:spacing w:val="-8"/>
        </w:rPr>
        <w:t>O</w:t>
      </w:r>
      <w:r w:rsidRPr="000718C0">
        <w:rPr>
          <w:spacing w:val="-8"/>
          <w:vertAlign w:val="subscript"/>
        </w:rPr>
        <w:t xml:space="preserve">2 </w:t>
      </w:r>
      <w:r w:rsidRPr="000718C0">
        <w:rPr>
          <w:spacing w:val="-8"/>
        </w:rPr>
        <w:t>ротової рідини).</w:t>
      </w:r>
    </w:p>
    <w:p w:rsidR="00534FB5" w:rsidRDefault="00534FB5" w:rsidP="00534FB5">
      <w:pPr>
        <w:ind w:firstLine="709"/>
        <w:contextualSpacing/>
      </w:pPr>
      <w:r w:rsidRPr="00EC3DD8">
        <w:t xml:space="preserve">Активність </w:t>
      </w:r>
      <w:r w:rsidRPr="00EC3DD8">
        <w:rPr>
          <w:shd w:val="clear" w:color="auto" w:fill="FFFFFF"/>
        </w:rPr>
        <w:t>супероксиддисмутаз</w:t>
      </w:r>
      <w:r>
        <w:rPr>
          <w:shd w:val="clear" w:color="auto" w:fill="FFFFFF"/>
        </w:rPr>
        <w:t xml:space="preserve"> </w:t>
      </w:r>
      <w:r w:rsidRPr="00EC3DD8">
        <w:rPr>
          <w:shd w:val="clear" w:color="auto" w:fill="FFFFFF"/>
        </w:rPr>
        <w:t>визначали</w:t>
      </w:r>
      <w:r>
        <w:rPr>
          <w:shd w:val="clear" w:color="auto" w:fill="FFFFFF"/>
        </w:rPr>
        <w:t xml:space="preserve"> </w:t>
      </w:r>
      <w:r w:rsidRPr="00EC3DD8">
        <w:rPr>
          <w:shd w:val="clear" w:color="auto" w:fill="FFFFFF"/>
        </w:rPr>
        <w:t>методом окислення кверцетину в модифікації В.</w:t>
      </w:r>
      <w:r>
        <w:rPr>
          <w:shd w:val="clear" w:color="auto" w:fill="FFFFFF"/>
          <w:lang w:val="en-US"/>
        </w:rPr>
        <w:t> </w:t>
      </w:r>
      <w:r>
        <w:rPr>
          <w:shd w:val="clear" w:color="auto" w:fill="FFFFFF"/>
        </w:rPr>
        <w:t>А. </w:t>
      </w:r>
      <w:r w:rsidRPr="00EC3DD8">
        <w:rPr>
          <w:shd w:val="clear" w:color="auto" w:fill="FFFFFF"/>
        </w:rPr>
        <w:t>Костюка</w:t>
      </w:r>
      <w:r w:rsidRPr="00623A6C">
        <w:rPr>
          <w:shd w:val="clear" w:color="auto" w:fill="FFFFFF"/>
        </w:rPr>
        <w:t xml:space="preserve"> </w:t>
      </w:r>
      <w:r w:rsidRPr="00EC3DD8">
        <w:rPr>
          <w:shd w:val="clear" w:color="auto" w:fill="FFFFFF"/>
        </w:rPr>
        <w:t>та співавторів (1990</w:t>
      </w:r>
      <w:r w:rsidRPr="00EC3DD8">
        <w:t xml:space="preserve">) </w:t>
      </w:r>
      <w:r w:rsidRPr="00EC3DD8">
        <w:rPr>
          <w:shd w:val="clear" w:color="auto" w:fill="FFFFFF"/>
        </w:rPr>
        <w:t>[</w:t>
      </w:r>
      <w:r>
        <w:rPr>
          <w:shd w:val="clear" w:color="auto" w:fill="FFFFFF"/>
        </w:rPr>
        <w:t>38</w:t>
      </w:r>
      <w:r w:rsidRPr="00EC3DD8">
        <w:rPr>
          <w:shd w:val="clear" w:color="auto" w:fill="FFFFFF"/>
        </w:rPr>
        <w:t>]</w:t>
      </w:r>
      <w:r>
        <w:rPr>
          <w:shd w:val="clear" w:color="auto" w:fill="FFFFFF"/>
        </w:rPr>
        <w:t xml:space="preserve">. </w:t>
      </w:r>
      <w:r w:rsidRPr="00DD011E">
        <w:rPr>
          <w:color w:val="000000"/>
        </w:rPr>
        <w:t>Активність фермент</w:t>
      </w:r>
      <w:r>
        <w:rPr>
          <w:color w:val="000000"/>
        </w:rPr>
        <w:t>ів</w:t>
      </w:r>
      <w:r w:rsidRPr="00DD011E">
        <w:rPr>
          <w:color w:val="000000"/>
        </w:rPr>
        <w:t xml:space="preserve"> виражали в у.о./л ротової рідини</w:t>
      </w:r>
      <w:r>
        <w:rPr>
          <w:color w:val="000000"/>
        </w:rPr>
        <w:t>.</w:t>
      </w:r>
    </w:p>
    <w:p w:rsidR="00534FB5" w:rsidRPr="00EC3DD8" w:rsidRDefault="00534FB5" w:rsidP="00534FB5">
      <w:pPr>
        <w:ind w:firstLine="709"/>
        <w:contextualSpacing/>
        <w:rPr>
          <w:shd w:val="clear" w:color="auto" w:fill="FFFFFF"/>
        </w:rPr>
      </w:pPr>
      <w:r>
        <w:t>О</w:t>
      </w:r>
      <w:r w:rsidRPr="00EC3DD8">
        <w:t>ц</w:t>
      </w:r>
      <w:r>
        <w:t>інку</w:t>
      </w:r>
      <w:r w:rsidRPr="00EC3DD8">
        <w:t xml:space="preserve"> стану місцевого імунітету порожнини рота </w:t>
      </w:r>
      <w:r>
        <w:t>проводили за</w:t>
      </w:r>
      <w:r w:rsidRPr="00EC3DD8">
        <w:t xml:space="preserve"> фак</w:t>
      </w:r>
      <w:r>
        <w:t>торами</w:t>
      </w:r>
      <w:r w:rsidRPr="00EC3DD8">
        <w:t xml:space="preserve"> специфічної</w:t>
      </w:r>
      <w:r>
        <w:t xml:space="preserve"> (</w:t>
      </w:r>
      <w:r w:rsidRPr="00EC3DD8">
        <w:rPr>
          <w:shd w:val="clear" w:color="auto" w:fill="FFFFFF"/>
        </w:rPr>
        <w:t>вмістом</w:t>
      </w:r>
      <w:r>
        <w:rPr>
          <w:shd w:val="clear" w:color="auto" w:fill="FFFFFF"/>
        </w:rPr>
        <w:t xml:space="preserve"> </w:t>
      </w:r>
      <w:r w:rsidRPr="001E7C90">
        <w:rPr>
          <w:rStyle w:val="a9"/>
          <w:bCs/>
          <w:i w:val="0"/>
          <w:iCs w:val="0"/>
          <w:color w:val="000000"/>
        </w:rPr>
        <w:t>sIgA</w:t>
      </w:r>
      <w:r w:rsidRPr="00EC3DD8">
        <w:rPr>
          <w:shd w:val="clear" w:color="auto" w:fill="FFFFFF"/>
        </w:rPr>
        <w:t xml:space="preserve"> </w:t>
      </w:r>
      <w:r>
        <w:rPr>
          <w:shd w:val="clear" w:color="auto" w:fill="FFFFFF"/>
        </w:rPr>
        <w:t>в ротовій рідині</w:t>
      </w:r>
      <w:r>
        <w:t>)</w:t>
      </w:r>
      <w:r w:rsidRPr="00EC3DD8">
        <w:t xml:space="preserve"> та неспецифічної резистентності</w:t>
      </w:r>
      <w:r>
        <w:t xml:space="preserve"> (</w:t>
      </w:r>
      <w:r w:rsidRPr="00EC3DD8">
        <w:rPr>
          <w:shd w:val="clear" w:color="auto" w:fill="FFFFFF"/>
        </w:rPr>
        <w:t>активність лізоциму ротової рідини</w:t>
      </w:r>
      <w:r>
        <w:t>)</w:t>
      </w:r>
      <w:r w:rsidRPr="00EC3DD8">
        <w:t xml:space="preserve">. </w:t>
      </w:r>
    </w:p>
    <w:p w:rsidR="00534FB5" w:rsidRPr="00EC3DD8" w:rsidRDefault="00534FB5" w:rsidP="00534FB5">
      <w:pPr>
        <w:ind w:firstLine="709"/>
        <w:contextualSpacing/>
        <w:rPr>
          <w:shd w:val="clear" w:color="auto" w:fill="FFFFFF"/>
        </w:rPr>
      </w:pPr>
      <w:r w:rsidRPr="00EC3DD8">
        <w:rPr>
          <w:lang w:eastAsia="uk-UA"/>
        </w:rPr>
        <w:t xml:space="preserve">Рівень </w:t>
      </w:r>
      <w:r w:rsidRPr="001E7C90">
        <w:rPr>
          <w:rStyle w:val="a9"/>
          <w:bCs/>
          <w:i w:val="0"/>
          <w:iCs w:val="0"/>
          <w:color w:val="000000"/>
        </w:rPr>
        <w:t>sIgA</w:t>
      </w:r>
      <w:r w:rsidRPr="00EC3DD8">
        <w:rPr>
          <w:shd w:val="clear" w:color="auto" w:fill="FFFFFF"/>
        </w:rPr>
        <w:t xml:space="preserve"> визначали на імуноферментному аналізаторі </w:t>
      </w:r>
      <w:r w:rsidRPr="00EC3DD8">
        <w:t>«Лаблайн-90» з використання комерційних наборів «Вектор-БЕСТ» (Рос</w:t>
      </w:r>
      <w:r>
        <w:t>і</w:t>
      </w:r>
      <w:r w:rsidRPr="00EC3DD8">
        <w:t>я) за методикою, що додавалас</w:t>
      </w:r>
      <w:r>
        <w:t>я</w:t>
      </w:r>
      <w:r w:rsidRPr="00EC3DD8">
        <w:t xml:space="preserve"> до набору.</w:t>
      </w:r>
      <w:r w:rsidRPr="00EC3DD8">
        <w:rPr>
          <w:lang w:eastAsia="uk-UA"/>
        </w:rPr>
        <w:t xml:space="preserve"> Рівень </w:t>
      </w:r>
      <w:r w:rsidRPr="001E7C90">
        <w:rPr>
          <w:rStyle w:val="a9"/>
          <w:bCs/>
          <w:i w:val="0"/>
          <w:iCs w:val="0"/>
          <w:color w:val="000000"/>
        </w:rPr>
        <w:t>sIgA</w:t>
      </w:r>
      <w:r w:rsidRPr="00EC3DD8">
        <w:rPr>
          <w:shd w:val="clear" w:color="auto" w:fill="FFFFFF"/>
        </w:rPr>
        <w:t xml:space="preserve"> виражали в мг/л.</w:t>
      </w:r>
    </w:p>
    <w:p w:rsidR="00534FB5" w:rsidRPr="00EC3DD8" w:rsidRDefault="00534FB5" w:rsidP="00534FB5">
      <w:pPr>
        <w:ind w:firstLine="709"/>
        <w:contextualSpacing/>
        <w:rPr>
          <w:lang w:eastAsia="uk-UA"/>
        </w:rPr>
      </w:pPr>
      <w:r w:rsidRPr="00EC3DD8">
        <w:rPr>
          <w:lang w:eastAsia="uk-UA"/>
        </w:rPr>
        <w:t xml:space="preserve">Показником стану антимікробних систем порожнини рота може бути лізоцим, активність якого тісно корелює з рівнем як неспецифічних, так </w:t>
      </w:r>
      <w:r>
        <w:rPr>
          <w:lang w:eastAsia="uk-UA"/>
        </w:rPr>
        <w:t xml:space="preserve">і </w:t>
      </w:r>
      <w:r w:rsidRPr="00EC3DD8">
        <w:rPr>
          <w:lang w:eastAsia="uk-UA"/>
        </w:rPr>
        <w:t xml:space="preserve">специфічних антимікробних факторів макроорганізму </w:t>
      </w:r>
      <w:r w:rsidRPr="006C493E">
        <w:rPr>
          <w:lang w:eastAsia="uk-UA"/>
        </w:rPr>
        <w:t>[3, 46]</w:t>
      </w:r>
      <w:r w:rsidRPr="00EC3DD8">
        <w:rPr>
          <w:color w:val="000000"/>
          <w:shd w:val="clear" w:color="auto" w:fill="FFFFFF"/>
        </w:rPr>
        <w:t xml:space="preserve">. </w:t>
      </w:r>
      <w:r w:rsidRPr="00EC3DD8">
        <w:rPr>
          <w:lang w:eastAsia="uk-UA"/>
        </w:rPr>
        <w:t xml:space="preserve">Визначення активності лізоциму в ротовій рідині проводили віскозиметричним методом за методикою Маєра та Ганель в градієнті сахарози </w:t>
      </w:r>
      <w:r w:rsidRPr="00EC3DD8">
        <w:rPr>
          <w:shd w:val="clear" w:color="auto" w:fill="FFFFFF"/>
        </w:rPr>
        <w:t>[</w:t>
      </w:r>
      <w:r>
        <w:rPr>
          <w:shd w:val="clear" w:color="auto" w:fill="FFFFFF"/>
        </w:rPr>
        <w:t>75</w:t>
      </w:r>
      <w:r w:rsidRPr="00EC3DD8">
        <w:rPr>
          <w:shd w:val="clear" w:color="auto" w:fill="FFFFFF"/>
        </w:rPr>
        <w:t>]</w:t>
      </w:r>
      <w:r w:rsidRPr="00EC3DD8">
        <w:rPr>
          <w:lang w:eastAsia="uk-UA"/>
        </w:rPr>
        <w:t>.</w:t>
      </w:r>
      <w:r>
        <w:rPr>
          <w:lang w:eastAsia="uk-UA"/>
        </w:rPr>
        <w:t xml:space="preserve"> </w:t>
      </w:r>
      <w:r w:rsidRPr="00EC3DD8">
        <w:rPr>
          <w:lang w:eastAsia="uk-UA"/>
        </w:rPr>
        <w:t xml:space="preserve">Активність лізоциму </w:t>
      </w:r>
      <w:r w:rsidRPr="00EC3DD8">
        <w:rPr>
          <w:lang w:eastAsia="uk-UA"/>
        </w:rPr>
        <w:lastRenderedPageBreak/>
        <w:t xml:space="preserve">виражали в </w:t>
      </w:r>
      <w:r w:rsidRPr="00E13E97">
        <w:rPr>
          <w:spacing w:val="-20"/>
          <w:lang w:eastAsia="uk-UA"/>
        </w:rPr>
        <w:t>у.о./мл</w:t>
      </w:r>
      <w:r w:rsidRPr="00EC3DD8">
        <w:rPr>
          <w:lang w:eastAsia="uk-UA"/>
        </w:rPr>
        <w:t xml:space="preserve"> ро</w:t>
      </w:r>
      <w:r>
        <w:rPr>
          <w:lang w:eastAsia="uk-UA"/>
        </w:rPr>
        <w:t>тової рідини</w:t>
      </w:r>
      <w:r w:rsidRPr="00EC3DD8">
        <w:rPr>
          <w:lang w:eastAsia="uk-UA"/>
        </w:rPr>
        <w:t>.</w:t>
      </w:r>
    </w:p>
    <w:p w:rsidR="00534FB5" w:rsidRPr="00A94469" w:rsidRDefault="00534FB5" w:rsidP="00534FB5">
      <w:pPr>
        <w:ind w:firstLine="709"/>
        <w:contextualSpacing/>
        <w:rPr>
          <w:spacing w:val="-4"/>
          <w:shd w:val="clear" w:color="auto" w:fill="FFFFFF"/>
        </w:rPr>
      </w:pPr>
      <w:r w:rsidRPr="00A94469">
        <w:rPr>
          <w:spacing w:val="-4"/>
          <w:shd w:val="clear" w:color="auto" w:fill="FFFFFF"/>
        </w:rPr>
        <w:t xml:space="preserve">Уреаза – це фермент, який виробляється не соматичними клітинами, а бактеріями, більшість з яких </w:t>
      </w:r>
      <w:r w:rsidR="00BF3D98">
        <w:rPr>
          <w:spacing w:val="-4"/>
          <w:shd w:val="clear" w:color="auto" w:fill="FFFFFF"/>
        </w:rPr>
        <w:t>належать</w:t>
      </w:r>
      <w:r w:rsidR="00BF3D98" w:rsidRPr="00A94469">
        <w:rPr>
          <w:spacing w:val="-4"/>
          <w:shd w:val="clear" w:color="auto" w:fill="FFFFFF"/>
        </w:rPr>
        <w:t xml:space="preserve"> </w:t>
      </w:r>
      <w:r w:rsidRPr="00A94469">
        <w:rPr>
          <w:spacing w:val="-4"/>
          <w:shd w:val="clear" w:color="auto" w:fill="FFFFFF"/>
        </w:rPr>
        <w:t>до патогенних та умовно патогенних видів. Активність уреази залежить від чисельності мікробів порожнини рота. Порівнюючи активність уреази досліджуваного зразка з аналогічним показником у здорових людей, можна зробити висновок щодо підвищення чи, навпаки, зниження рівня мікробного обсіменіння порожнини рота [102].</w:t>
      </w:r>
    </w:p>
    <w:p w:rsidR="00534FB5" w:rsidRDefault="00534FB5" w:rsidP="00534FB5">
      <w:pPr>
        <w:ind w:firstLine="709"/>
        <w:contextualSpacing/>
        <w:rPr>
          <w:shd w:val="clear" w:color="auto" w:fill="FFFFFF"/>
        </w:rPr>
      </w:pPr>
      <w:r w:rsidRPr="00EC3DD8">
        <w:rPr>
          <w:shd w:val="clear" w:color="auto" w:fill="FFFFFF"/>
        </w:rPr>
        <w:t>Визначення активності уреази</w:t>
      </w:r>
      <w:r>
        <w:rPr>
          <w:shd w:val="clear" w:color="auto" w:fill="FFFFFF"/>
        </w:rPr>
        <w:t xml:space="preserve"> </w:t>
      </w:r>
      <w:r w:rsidRPr="00EC3DD8">
        <w:rPr>
          <w:shd w:val="clear" w:color="auto" w:fill="FFFFFF"/>
        </w:rPr>
        <w:t>здійснювали за методикою, що базується на здатності уреази розщеплювати сечовину з утворенням аміаку, який кількісно визначають за допомогою реактиву Несслера [</w:t>
      </w:r>
      <w:r>
        <w:rPr>
          <w:shd w:val="clear" w:color="auto" w:fill="FFFFFF"/>
          <w:lang w:val="ru-RU"/>
        </w:rPr>
        <w:t>102</w:t>
      </w:r>
      <w:r w:rsidRPr="005516FA">
        <w:rPr>
          <w:shd w:val="clear" w:color="auto" w:fill="FFFFFF"/>
          <w:lang w:val="ru-RU"/>
        </w:rPr>
        <w:t>].</w:t>
      </w:r>
    </w:p>
    <w:p w:rsidR="00534FB5" w:rsidRPr="00EC3DD8" w:rsidRDefault="00534FB5" w:rsidP="00534FB5">
      <w:pPr>
        <w:ind w:firstLine="709"/>
        <w:contextualSpacing/>
        <w:rPr>
          <w:lang w:eastAsia="uk-UA"/>
        </w:rPr>
      </w:pPr>
      <w:r w:rsidRPr="00EC3DD8">
        <w:rPr>
          <w:shd w:val="clear" w:color="auto" w:fill="FFFFFF"/>
        </w:rPr>
        <w:t xml:space="preserve">Порушення взаємодії антимікробних систем макроорганізму з мікроорганізмами порожнини рота носить назву дисбіозу </w:t>
      </w:r>
      <w:r w:rsidRPr="005516FA">
        <w:rPr>
          <w:shd w:val="clear" w:color="auto" w:fill="FFFFFF"/>
          <w:lang w:val="ru-RU"/>
        </w:rPr>
        <w:t>[102]</w:t>
      </w:r>
      <w:r>
        <w:rPr>
          <w:shd w:val="clear" w:color="auto" w:fill="FFFFFF"/>
        </w:rPr>
        <w:t xml:space="preserve">. Для оцінки ступеня </w:t>
      </w:r>
      <w:r w:rsidRPr="00EC3DD8">
        <w:rPr>
          <w:shd w:val="clear" w:color="auto" w:fill="FFFFFF"/>
        </w:rPr>
        <w:t>дисбіозу порожнини рота використовували ферментативний метод А.</w:t>
      </w:r>
      <w:r>
        <w:rPr>
          <w:shd w:val="clear" w:color="auto" w:fill="FFFFFF"/>
        </w:rPr>
        <w:t> </w:t>
      </w:r>
      <w:r w:rsidRPr="00EC3DD8">
        <w:rPr>
          <w:shd w:val="clear" w:color="auto" w:fill="FFFFFF"/>
        </w:rPr>
        <w:t>П.</w:t>
      </w:r>
      <w:r>
        <w:rPr>
          <w:shd w:val="clear" w:color="auto" w:fill="FFFFFF"/>
        </w:rPr>
        <w:t> </w:t>
      </w:r>
      <w:r w:rsidRPr="00EC3DD8">
        <w:rPr>
          <w:shd w:val="clear" w:color="auto" w:fill="FFFFFF"/>
        </w:rPr>
        <w:t>Левицького [</w:t>
      </w:r>
      <w:r>
        <w:rPr>
          <w:shd w:val="clear" w:color="auto" w:fill="FFFFFF"/>
          <w:lang w:val="ru-RU"/>
        </w:rPr>
        <w:t>102</w:t>
      </w:r>
      <w:r w:rsidRPr="00EC3DD8">
        <w:rPr>
          <w:shd w:val="clear" w:color="auto" w:fill="FFFFFF"/>
        </w:rPr>
        <w:t xml:space="preserve">]. </w:t>
      </w:r>
      <w:r w:rsidRPr="00EC3DD8">
        <w:rPr>
          <w:lang w:eastAsia="uk-UA"/>
        </w:rPr>
        <w:t>Індекс ступеня дисбіозу (СД) порожнини рота свідчить про кількість умовно патогенної мікрофлори у порожнині рота.</w:t>
      </w:r>
    </w:p>
    <w:p w:rsidR="00534FB5" w:rsidRDefault="00534FB5" w:rsidP="00534FB5">
      <w:pPr>
        <w:pStyle w:val="11"/>
        <w:jc w:val="both"/>
        <w:rPr>
          <w:shd w:val="clear" w:color="auto" w:fill="FFFFFF"/>
        </w:rPr>
      </w:pPr>
      <w:r w:rsidRPr="00EC3DD8">
        <w:rPr>
          <w:shd w:val="clear" w:color="auto" w:fill="FFFFFF"/>
        </w:rPr>
        <w:t xml:space="preserve">Розрахунок проводили за формулою: </w:t>
      </w:r>
    </w:p>
    <w:p w:rsidR="00534FB5" w:rsidRPr="00EC3DD8" w:rsidRDefault="00534FB5" w:rsidP="00534FB5">
      <w:pPr>
        <w:pStyle w:val="11"/>
        <w:jc w:val="both"/>
        <w:rPr>
          <w:shd w:val="clear" w:color="auto" w:fill="FFFFFF"/>
        </w:rPr>
      </w:pPr>
    </w:p>
    <w:p w:rsidR="00534FB5" w:rsidRPr="00EC3DD8" w:rsidRDefault="00534FB5" w:rsidP="000718C0">
      <w:pPr>
        <w:pStyle w:val="11"/>
        <w:rPr>
          <w:color w:val="00FF00"/>
          <w:shd w:val="clear" w:color="auto" w:fill="FFFFFF"/>
        </w:rPr>
      </w:pPr>
      <m:oMath>
        <m:r>
          <w:rPr>
            <w:rFonts w:ascii="Cambria Math" w:hAnsi="Cambria Math"/>
            <w:color w:val="000000"/>
            <w:shd w:val="clear" w:color="auto" w:fill="FFFFFF"/>
          </w:rPr>
          <m:t>СД =</m:t>
        </m:r>
        <m:f>
          <m:fPr>
            <m:ctrlPr>
              <w:rPr>
                <w:rFonts w:ascii="Cambria Math" w:hAnsi="Cambria Math"/>
                <w:i/>
                <w:color w:val="000000"/>
                <w:shd w:val="clear" w:color="auto" w:fill="FFFFFF"/>
              </w:rPr>
            </m:ctrlPr>
          </m:fPr>
          <m:num>
            <m:r>
              <w:rPr>
                <w:rFonts w:ascii="Cambria Math" w:hAnsi="Cambria Math"/>
                <w:color w:val="000000"/>
                <w:shd w:val="clear" w:color="auto" w:fill="FFFFFF"/>
              </w:rPr>
              <m:t>Увідн</m:t>
            </m:r>
          </m:num>
          <m:den>
            <m:r>
              <w:rPr>
                <w:rFonts w:ascii="Cambria Math" w:hAnsi="Cambria Math"/>
                <w:color w:val="000000"/>
                <w:shd w:val="clear" w:color="auto" w:fill="FFFFFF"/>
              </w:rPr>
              <m:t xml:space="preserve">Лвідн </m:t>
            </m:r>
          </m:den>
        </m:f>
        <m:r>
          <w:rPr>
            <w:rFonts w:ascii="Cambria Math" w:hAnsi="Cambria Math"/>
            <w:color w:val="000000"/>
            <w:shd w:val="clear" w:color="auto" w:fill="FFFFFF"/>
          </w:rPr>
          <m:t>,</m:t>
        </m:r>
      </m:oMath>
      <w:r>
        <w:rPr>
          <w:color w:val="000000"/>
          <w:shd w:val="clear" w:color="auto" w:fill="FFFFFF"/>
        </w:rPr>
        <w:t xml:space="preserve">                </w:t>
      </w:r>
      <w:r w:rsidR="000718C0">
        <w:rPr>
          <w:color w:val="000000"/>
          <w:shd w:val="clear" w:color="auto" w:fill="FFFFFF"/>
        </w:rPr>
        <w:t xml:space="preserve"> </w:t>
      </w:r>
      <w:r>
        <w:rPr>
          <w:color w:val="000000"/>
          <w:shd w:val="clear" w:color="auto" w:fill="FFFFFF"/>
        </w:rPr>
        <w:t xml:space="preserve">        </w:t>
      </w:r>
      <w:r w:rsidR="00A94469">
        <w:rPr>
          <w:shd w:val="clear" w:color="auto" w:fill="FFFFFF"/>
        </w:rPr>
        <w:t>(2.3.4</w:t>
      </w:r>
      <w:r w:rsidRPr="00EC3DD8">
        <w:rPr>
          <w:shd w:val="clear" w:color="auto" w:fill="FFFFFF"/>
        </w:rPr>
        <w:t>)</w:t>
      </w:r>
      <w:r>
        <w:rPr>
          <w:shd w:val="clear" w:color="auto" w:fill="FFFFFF"/>
        </w:rPr>
        <w:t>,</w:t>
      </w:r>
    </w:p>
    <w:p w:rsidR="00534FB5" w:rsidRPr="00EC3DD8" w:rsidRDefault="00534FB5" w:rsidP="00534FB5">
      <w:pPr>
        <w:pStyle w:val="11"/>
        <w:ind w:firstLine="709"/>
        <w:jc w:val="both"/>
        <w:rPr>
          <w:shd w:val="clear" w:color="auto" w:fill="FFFFFF"/>
        </w:rPr>
      </w:pPr>
    </w:p>
    <w:p w:rsidR="00534FB5" w:rsidRDefault="00534FB5" w:rsidP="00534FB5">
      <w:pPr>
        <w:ind w:firstLine="709"/>
        <w:contextualSpacing/>
        <w:rPr>
          <w:lang w:eastAsia="uk-UA"/>
        </w:rPr>
      </w:pPr>
      <w:r w:rsidRPr="00EC3DD8">
        <w:rPr>
          <w:lang w:eastAsia="uk-UA"/>
        </w:rPr>
        <w:t xml:space="preserve">де СД – ступінь дисбіозу, </w:t>
      </w:r>
    </w:p>
    <w:p w:rsidR="00534FB5" w:rsidRDefault="00534FB5" w:rsidP="00534FB5">
      <w:pPr>
        <w:ind w:firstLine="709"/>
        <w:contextualSpacing/>
        <w:rPr>
          <w:lang w:eastAsia="uk-UA"/>
        </w:rPr>
      </w:pPr>
      <w:r w:rsidRPr="00EC3DD8">
        <w:rPr>
          <w:lang w:eastAsia="uk-UA"/>
        </w:rPr>
        <w:t>У</w:t>
      </w:r>
      <w:r w:rsidR="00A94469">
        <w:rPr>
          <w:vertAlign w:val="subscript"/>
          <w:lang w:eastAsia="uk-UA"/>
        </w:rPr>
        <w:t>відн</w:t>
      </w:r>
      <w:r w:rsidRPr="00EC3DD8">
        <w:rPr>
          <w:lang w:eastAsia="uk-UA"/>
        </w:rPr>
        <w:t xml:space="preserve"> – відносна активність уреази, </w:t>
      </w:r>
    </w:p>
    <w:p w:rsidR="00534FB5" w:rsidRDefault="00534FB5" w:rsidP="00534FB5">
      <w:pPr>
        <w:ind w:firstLine="709"/>
        <w:contextualSpacing/>
        <w:rPr>
          <w:lang w:eastAsia="uk-UA"/>
        </w:rPr>
      </w:pPr>
      <w:r w:rsidRPr="00EC3DD8">
        <w:rPr>
          <w:lang w:eastAsia="uk-UA"/>
        </w:rPr>
        <w:t>Л</w:t>
      </w:r>
      <w:r w:rsidR="00A94469">
        <w:rPr>
          <w:vertAlign w:val="subscript"/>
          <w:lang w:eastAsia="uk-UA"/>
        </w:rPr>
        <w:t>відн</w:t>
      </w:r>
      <w:r w:rsidRPr="00EC3DD8">
        <w:rPr>
          <w:lang w:eastAsia="uk-UA"/>
        </w:rPr>
        <w:t xml:space="preserve"> – відносна активність лізоциму. </w:t>
      </w:r>
    </w:p>
    <w:p w:rsidR="00534FB5" w:rsidRDefault="00534FB5" w:rsidP="00534FB5">
      <w:pPr>
        <w:ind w:firstLine="709"/>
        <w:contextualSpacing/>
        <w:rPr>
          <w:lang w:eastAsia="uk-UA"/>
        </w:rPr>
      </w:pPr>
      <w:r w:rsidRPr="00EC3DD8">
        <w:rPr>
          <w:lang w:eastAsia="uk-UA"/>
        </w:rPr>
        <w:t>Розрахунок відносної активності уреази проводили за формулою:</w:t>
      </w:r>
    </w:p>
    <w:p w:rsidR="00A94469" w:rsidRPr="00EC3DD8" w:rsidRDefault="00A94469" w:rsidP="00534FB5">
      <w:pPr>
        <w:ind w:firstLine="709"/>
        <w:contextualSpacing/>
        <w:rPr>
          <w:lang w:eastAsia="uk-UA"/>
        </w:rPr>
      </w:pPr>
    </w:p>
    <w:p w:rsidR="00534FB5" w:rsidRDefault="000718C0" w:rsidP="000718C0">
      <w:pPr>
        <w:contextualSpacing/>
        <w:jc w:val="center"/>
        <w:rPr>
          <w:lang w:eastAsia="uk-UA"/>
        </w:rPr>
      </w:pPr>
      <w:r>
        <w:rPr>
          <w:lang w:eastAsia="uk-UA"/>
        </w:rPr>
        <w:t xml:space="preserve">        </w:t>
      </w:r>
      <m:oMath>
        <m:r>
          <m:rPr>
            <m:sty m:val="p"/>
          </m:rPr>
          <w:rPr>
            <w:rFonts w:ascii="Cambria Math" w:hAnsi="Cambria Math"/>
            <w:lang w:eastAsia="uk-UA"/>
          </w:rPr>
          <m:t>Увідн=</m:t>
        </m:r>
        <m:f>
          <m:fPr>
            <m:ctrlPr>
              <w:rPr>
                <w:rFonts w:ascii="Cambria Math" w:hAnsi="Cambria Math"/>
                <w:lang w:eastAsia="uk-UA"/>
              </w:rPr>
            </m:ctrlPr>
          </m:fPr>
          <m:num>
            <m:r>
              <m:rPr>
                <m:sty m:val="p"/>
              </m:rPr>
              <w:rPr>
                <w:rFonts w:ascii="Cambria Math" w:hAnsi="Cambria Math"/>
                <w:lang w:eastAsia="uk-UA"/>
              </w:rPr>
              <m:t>Уо</m:t>
            </m:r>
            <m:r>
              <m:rPr>
                <m:sty m:val="p"/>
              </m:rPr>
              <w:rPr>
                <w:rFonts w:ascii="Cambria Math"/>
                <w:lang w:eastAsia="uk-UA"/>
              </w:rPr>
              <m:t>г</m:t>
            </m:r>
          </m:num>
          <m:den>
            <m:r>
              <m:rPr>
                <m:sty m:val="p"/>
              </m:rPr>
              <w:rPr>
                <w:rFonts w:ascii="Cambria Math" w:hAnsi="Cambria Math"/>
                <w:lang w:eastAsia="uk-UA"/>
              </w:rPr>
              <m:t>Уконт</m:t>
            </m:r>
          </m:den>
        </m:f>
        <m:r>
          <m:rPr>
            <m:sty m:val="p"/>
          </m:rPr>
          <w:rPr>
            <w:rFonts w:ascii="Cambria Math" w:hAnsi="Cambria Math"/>
            <w:lang w:eastAsia="uk-UA"/>
          </w:rPr>
          <m:t>,</m:t>
        </m:r>
        <m:r>
          <w:rPr>
            <w:lang w:eastAsia="uk-UA"/>
          </w:rPr>
          <m:t xml:space="preserve"> </m:t>
        </m:r>
      </m:oMath>
      <w:r w:rsidR="00A94469">
        <w:tab/>
      </w:r>
      <w:r w:rsidR="00A94469">
        <w:tab/>
      </w:r>
      <w:r w:rsidR="00A94469">
        <w:rPr>
          <w:lang w:eastAsia="uk-UA"/>
        </w:rPr>
        <w:t xml:space="preserve"> (2.3.5</w:t>
      </w:r>
      <w:r w:rsidR="00534FB5" w:rsidRPr="00EC3DD8">
        <w:rPr>
          <w:lang w:eastAsia="uk-UA"/>
        </w:rPr>
        <w:t>)</w:t>
      </w:r>
      <w:r w:rsidR="00534FB5">
        <w:rPr>
          <w:lang w:eastAsia="uk-UA"/>
        </w:rPr>
        <w:t>,</w:t>
      </w:r>
    </w:p>
    <w:p w:rsidR="00A94469" w:rsidRPr="00EC3DD8" w:rsidRDefault="00A94469" w:rsidP="00534FB5">
      <w:pPr>
        <w:ind w:left="2123" w:firstLine="709"/>
        <w:contextualSpacing/>
        <w:rPr>
          <w:lang w:eastAsia="uk-UA"/>
        </w:rPr>
      </w:pPr>
    </w:p>
    <w:p w:rsidR="00534FB5" w:rsidRDefault="00534FB5" w:rsidP="00534FB5">
      <w:pPr>
        <w:ind w:firstLine="709"/>
        <w:contextualSpacing/>
        <w:rPr>
          <w:lang w:eastAsia="uk-UA"/>
        </w:rPr>
      </w:pPr>
      <w:r w:rsidRPr="00EC3DD8">
        <w:rPr>
          <w:lang w:eastAsia="uk-UA"/>
        </w:rPr>
        <w:t>де У</w:t>
      </w:r>
      <w:r w:rsidRPr="00EC3DD8">
        <w:rPr>
          <w:vertAlign w:val="subscript"/>
          <w:lang w:eastAsia="uk-UA"/>
        </w:rPr>
        <w:t>о</w:t>
      </w:r>
      <w:r w:rsidR="00A94469">
        <w:rPr>
          <w:vertAlign w:val="subscript"/>
          <w:lang w:eastAsia="uk-UA"/>
        </w:rPr>
        <w:t>г</w:t>
      </w:r>
      <w:r w:rsidRPr="00EC3DD8">
        <w:rPr>
          <w:lang w:eastAsia="uk-UA"/>
        </w:rPr>
        <w:t xml:space="preserve"> – активність уреази в основній групі обстежених, </w:t>
      </w:r>
    </w:p>
    <w:p w:rsidR="00534FB5" w:rsidRPr="00EC3DD8" w:rsidRDefault="00534FB5" w:rsidP="00534FB5">
      <w:pPr>
        <w:ind w:firstLine="709"/>
        <w:contextualSpacing/>
        <w:rPr>
          <w:lang w:eastAsia="uk-UA"/>
        </w:rPr>
      </w:pPr>
      <w:r w:rsidRPr="00EC3DD8">
        <w:rPr>
          <w:lang w:eastAsia="uk-UA"/>
        </w:rPr>
        <w:t>У</w:t>
      </w:r>
      <w:r w:rsidRPr="00EC3DD8">
        <w:rPr>
          <w:vertAlign w:val="subscript"/>
          <w:lang w:eastAsia="uk-UA"/>
        </w:rPr>
        <w:t>конт</w:t>
      </w:r>
      <w:r w:rsidRPr="00EC3DD8">
        <w:rPr>
          <w:lang w:eastAsia="uk-UA"/>
        </w:rPr>
        <w:t xml:space="preserve"> – активність уреа</w:t>
      </w:r>
      <w:r w:rsidR="00A94469">
        <w:rPr>
          <w:lang w:eastAsia="uk-UA"/>
        </w:rPr>
        <w:t>зи контрольної групи обстежених</w:t>
      </w:r>
      <w:r w:rsidRPr="00EC3DD8">
        <w:rPr>
          <w:lang w:eastAsia="uk-UA"/>
        </w:rPr>
        <w:t>.</w:t>
      </w:r>
    </w:p>
    <w:p w:rsidR="00534FB5" w:rsidRDefault="00534FB5" w:rsidP="00534FB5">
      <w:pPr>
        <w:ind w:firstLine="709"/>
        <w:contextualSpacing/>
        <w:rPr>
          <w:lang w:eastAsia="uk-UA"/>
        </w:rPr>
      </w:pPr>
      <w:r w:rsidRPr="00EC3DD8">
        <w:rPr>
          <w:lang w:eastAsia="uk-UA"/>
        </w:rPr>
        <w:lastRenderedPageBreak/>
        <w:t>Розрахунок відносної активності лізоциму проводили за формулою:</w:t>
      </w:r>
    </w:p>
    <w:p w:rsidR="00A94469" w:rsidRPr="00EC3DD8" w:rsidRDefault="00A94469" w:rsidP="00534FB5">
      <w:pPr>
        <w:ind w:firstLine="709"/>
        <w:contextualSpacing/>
        <w:rPr>
          <w:lang w:eastAsia="uk-UA"/>
        </w:rPr>
      </w:pPr>
    </w:p>
    <w:p w:rsidR="00534FB5" w:rsidRDefault="00A94469" w:rsidP="00534FB5">
      <w:pPr>
        <w:ind w:left="2123" w:firstLine="709"/>
        <w:contextualSpacing/>
        <w:rPr>
          <w:lang w:eastAsia="uk-UA"/>
        </w:rPr>
      </w:pPr>
      <m:oMath>
        <m:r>
          <w:rPr>
            <w:rFonts w:ascii="Cambria Math" w:hAnsi="Cambria Math"/>
            <w:lang w:eastAsia="uk-UA"/>
          </w:rPr>
          <m:t>Лвідн=</m:t>
        </m:r>
        <m:f>
          <m:fPr>
            <m:ctrlPr>
              <w:rPr>
                <w:rFonts w:ascii="Cambria Math" w:hAnsi="Cambria Math"/>
                <w:i/>
                <w:lang w:eastAsia="uk-UA"/>
              </w:rPr>
            </m:ctrlPr>
          </m:fPr>
          <m:num>
            <m:r>
              <w:rPr>
                <w:rFonts w:ascii="Cambria Math" w:hAnsi="Cambria Math"/>
                <w:lang w:eastAsia="uk-UA"/>
              </w:rPr>
              <m:t>Лог</m:t>
            </m:r>
          </m:num>
          <m:den>
            <m:r>
              <w:rPr>
                <w:rFonts w:ascii="Cambria Math" w:hAnsi="Cambria Math"/>
                <w:lang w:eastAsia="uk-UA"/>
              </w:rPr>
              <m:t>Лконт</m:t>
            </m:r>
          </m:den>
        </m:f>
        <m:r>
          <w:rPr>
            <w:rFonts w:ascii="Cambria Math" w:hAnsi="Cambria Math"/>
            <w:lang w:eastAsia="uk-UA"/>
          </w:rPr>
          <m:t xml:space="preserve">, </m:t>
        </m:r>
      </m:oMath>
      <w:r w:rsidR="00534FB5" w:rsidRPr="00A94469">
        <w:rPr>
          <w:i/>
        </w:rPr>
        <w:t xml:space="preserve"> </w:t>
      </w:r>
      <w:r w:rsidR="00534FB5">
        <w:t xml:space="preserve">                       </w:t>
      </w:r>
      <w:r>
        <w:rPr>
          <w:lang w:eastAsia="uk-UA"/>
        </w:rPr>
        <w:t>(2.3.6</w:t>
      </w:r>
      <w:r w:rsidR="00534FB5" w:rsidRPr="00EC3DD8">
        <w:rPr>
          <w:lang w:eastAsia="uk-UA"/>
        </w:rPr>
        <w:t>)</w:t>
      </w:r>
      <w:r w:rsidR="00534FB5">
        <w:rPr>
          <w:lang w:eastAsia="uk-UA"/>
        </w:rPr>
        <w:t>,</w:t>
      </w:r>
    </w:p>
    <w:p w:rsidR="00A94469" w:rsidRPr="00EC3DD8" w:rsidRDefault="00A94469" w:rsidP="00534FB5">
      <w:pPr>
        <w:ind w:left="2123" w:firstLine="709"/>
        <w:contextualSpacing/>
        <w:rPr>
          <w:lang w:eastAsia="uk-UA"/>
        </w:rPr>
      </w:pPr>
    </w:p>
    <w:p w:rsidR="00534FB5" w:rsidRDefault="00534FB5" w:rsidP="00534FB5">
      <w:pPr>
        <w:pStyle w:val="af7"/>
        <w:spacing w:before="0" w:beforeAutospacing="0" w:after="0" w:afterAutospacing="0" w:line="360" w:lineRule="auto"/>
        <w:ind w:firstLine="709"/>
        <w:contextualSpacing/>
        <w:jc w:val="both"/>
        <w:rPr>
          <w:sz w:val="28"/>
          <w:szCs w:val="28"/>
          <w:lang w:val="uk-UA" w:eastAsia="uk-UA"/>
        </w:rPr>
      </w:pPr>
      <w:r w:rsidRPr="00EC3DD8">
        <w:rPr>
          <w:sz w:val="28"/>
          <w:szCs w:val="28"/>
          <w:lang w:val="uk-UA" w:eastAsia="uk-UA"/>
        </w:rPr>
        <w:t>де Л</w:t>
      </w:r>
      <w:r w:rsidRPr="00EC3DD8">
        <w:rPr>
          <w:sz w:val="28"/>
          <w:szCs w:val="28"/>
          <w:vertAlign w:val="subscript"/>
          <w:lang w:val="uk-UA" w:eastAsia="uk-UA"/>
        </w:rPr>
        <w:t>о</w:t>
      </w:r>
      <w:r w:rsidR="00A94469">
        <w:rPr>
          <w:sz w:val="28"/>
          <w:szCs w:val="28"/>
          <w:vertAlign w:val="subscript"/>
          <w:lang w:val="uk-UA" w:eastAsia="uk-UA"/>
        </w:rPr>
        <w:t>г</w:t>
      </w:r>
      <w:r w:rsidRPr="00EC3DD8">
        <w:rPr>
          <w:sz w:val="28"/>
          <w:szCs w:val="28"/>
          <w:lang w:val="uk-UA" w:eastAsia="uk-UA"/>
        </w:rPr>
        <w:t xml:space="preserve"> – активність </w:t>
      </w:r>
      <w:r w:rsidR="00A94469">
        <w:rPr>
          <w:sz w:val="28"/>
          <w:szCs w:val="28"/>
          <w:lang w:val="uk-UA" w:eastAsia="uk-UA"/>
        </w:rPr>
        <w:t>лізоциму</w:t>
      </w:r>
      <w:r w:rsidRPr="00EC3DD8">
        <w:rPr>
          <w:sz w:val="28"/>
          <w:szCs w:val="28"/>
          <w:lang w:val="uk-UA" w:eastAsia="uk-UA"/>
        </w:rPr>
        <w:t xml:space="preserve"> в основній групі обстежених,</w:t>
      </w:r>
    </w:p>
    <w:p w:rsidR="00534FB5" w:rsidRPr="002D3821" w:rsidRDefault="00534FB5" w:rsidP="00534FB5">
      <w:pPr>
        <w:pStyle w:val="af7"/>
        <w:spacing w:before="0" w:beforeAutospacing="0" w:after="0" w:afterAutospacing="0" w:line="360" w:lineRule="auto"/>
        <w:ind w:firstLine="709"/>
        <w:contextualSpacing/>
        <w:jc w:val="both"/>
        <w:rPr>
          <w:color w:val="000000"/>
          <w:sz w:val="28"/>
          <w:szCs w:val="28"/>
          <w:shd w:val="clear" w:color="auto" w:fill="FFFFFF"/>
        </w:rPr>
      </w:pPr>
      <w:r w:rsidRPr="00EC3DD8">
        <w:rPr>
          <w:sz w:val="28"/>
          <w:szCs w:val="28"/>
          <w:lang w:val="uk-UA" w:eastAsia="uk-UA"/>
        </w:rPr>
        <w:t>Л</w:t>
      </w:r>
      <w:r w:rsidRPr="00EC3DD8">
        <w:rPr>
          <w:sz w:val="28"/>
          <w:szCs w:val="28"/>
          <w:vertAlign w:val="subscript"/>
          <w:lang w:val="uk-UA" w:eastAsia="uk-UA"/>
        </w:rPr>
        <w:t>конт</w:t>
      </w:r>
      <w:r w:rsidRPr="00EC3DD8">
        <w:rPr>
          <w:sz w:val="28"/>
          <w:szCs w:val="28"/>
          <w:lang w:val="uk-UA" w:eastAsia="uk-UA"/>
        </w:rPr>
        <w:t xml:space="preserve"> – активність </w:t>
      </w:r>
      <w:r w:rsidR="00A94469">
        <w:rPr>
          <w:sz w:val="28"/>
          <w:szCs w:val="28"/>
          <w:lang w:val="uk-UA" w:eastAsia="uk-UA"/>
        </w:rPr>
        <w:t>лізоциму</w:t>
      </w:r>
      <w:r w:rsidRPr="00EC3DD8">
        <w:rPr>
          <w:sz w:val="28"/>
          <w:szCs w:val="28"/>
          <w:lang w:val="uk-UA" w:eastAsia="uk-UA"/>
        </w:rPr>
        <w:t xml:space="preserve"> контрольної групи обстежених</w:t>
      </w:r>
      <w:r>
        <w:rPr>
          <w:sz w:val="28"/>
          <w:szCs w:val="28"/>
          <w:lang w:eastAsia="uk-UA"/>
        </w:rPr>
        <w:t xml:space="preserve"> [102</w:t>
      </w:r>
      <w:r w:rsidRPr="005516FA">
        <w:rPr>
          <w:color w:val="000000"/>
          <w:sz w:val="28"/>
          <w:szCs w:val="28"/>
          <w:shd w:val="clear" w:color="auto" w:fill="FFFFFF"/>
        </w:rPr>
        <w:t>].</w:t>
      </w:r>
    </w:p>
    <w:p w:rsidR="00534FB5" w:rsidRPr="00EC3DD8" w:rsidRDefault="00534FB5" w:rsidP="00534FB5">
      <w:pPr>
        <w:pStyle w:val="af7"/>
        <w:spacing w:before="0" w:beforeAutospacing="0" w:after="0" w:afterAutospacing="0" w:line="360" w:lineRule="auto"/>
        <w:ind w:firstLine="709"/>
        <w:contextualSpacing/>
        <w:jc w:val="both"/>
        <w:rPr>
          <w:b/>
          <w:sz w:val="28"/>
          <w:szCs w:val="28"/>
          <w:lang w:val="uk-UA"/>
        </w:rPr>
      </w:pPr>
      <w:r w:rsidRPr="00EC3DD8">
        <w:rPr>
          <w:b/>
          <w:sz w:val="28"/>
          <w:szCs w:val="28"/>
          <w:lang w:val="uk-UA"/>
        </w:rPr>
        <w:t>2.3.2. Мікробіологічне дослідження зубної бляшки</w:t>
      </w:r>
    </w:p>
    <w:p w:rsidR="00534FB5" w:rsidRPr="00B34F3F" w:rsidRDefault="00534FB5" w:rsidP="00534FB5">
      <w:pPr>
        <w:ind w:firstLine="709"/>
        <w:contextualSpacing/>
        <w:rPr>
          <w:spacing w:val="-4"/>
        </w:rPr>
      </w:pPr>
      <w:r w:rsidRPr="00B34F3F">
        <w:rPr>
          <w:spacing w:val="-4"/>
        </w:rPr>
        <w:t xml:space="preserve">Метою проведення мікробіологічного дослідження було </w:t>
      </w:r>
      <w:r w:rsidRPr="00B34F3F">
        <w:rPr>
          <w:spacing w:val="-4"/>
          <w:shd w:val="clear" w:color="auto" w:fill="FFFFFF"/>
        </w:rPr>
        <w:t>вивчення ступеня обсіменіння маргінальної частини ясен в обраного контингенту дітей.</w:t>
      </w:r>
    </w:p>
    <w:p w:rsidR="00534FB5" w:rsidRPr="00B34F3F" w:rsidRDefault="00534FB5" w:rsidP="00534FB5">
      <w:pPr>
        <w:ind w:firstLine="709"/>
        <w:contextualSpacing/>
        <w:rPr>
          <w:spacing w:val="-4"/>
        </w:rPr>
      </w:pPr>
      <w:r w:rsidRPr="00B34F3F">
        <w:rPr>
          <w:spacing w:val="-4"/>
        </w:rPr>
        <w:t xml:space="preserve">Об’єктом мікробіологічного дослідження була мікрофлора зубного нальоту пришийкової ділянки зубів у пацієнтів основної та контрольної груп. Для забору та транспортування матеріалу використовували транспортну систему з середовищем Стюарта (Meus s.r.l., Італія). Середовище Стюарта – це бідний на поживні речовини субстрат для збереження та транспортування широкого спектру патогенних мікроорганізмів. Матеріал у всіх пацієнтів забирали вранці натщесерце. Після ізоляції зубних рядів ватними валиками та висушування струменем повітря за допомогою тампона, вмонтованого в кришечку від транспортної системи, проводили забір зубного нальоту з пришийкових ділянок вестибулярних поверхонь молярів. Матеріал маркували, вказуючи час і дату, та протягом 2-х годин доставляли до лабораторії. </w:t>
      </w:r>
    </w:p>
    <w:p w:rsidR="00534FB5" w:rsidRPr="00B34F3F" w:rsidRDefault="00534FB5" w:rsidP="00534FB5">
      <w:pPr>
        <w:ind w:firstLine="709"/>
        <w:contextualSpacing/>
        <w:rPr>
          <w:color w:val="FF0000"/>
          <w:spacing w:val="-4"/>
          <w:sz w:val="18"/>
        </w:rPr>
      </w:pPr>
      <w:r w:rsidRPr="00B34F3F">
        <w:rPr>
          <w:spacing w:val="-4"/>
        </w:rPr>
        <w:t>Мікробіологічні дослідження, які включали визначення якісного та кількісного складу мікробіоценозу зубної бляшки, проводили згідно з чинними нормативними документами за загальноприйнятими методиками [64, 103]</w:t>
      </w:r>
      <w:r w:rsidRPr="00B34F3F">
        <w:rPr>
          <w:spacing w:val="-4"/>
          <w:lang w:val="ru-RU"/>
        </w:rPr>
        <w:t>.</w:t>
      </w:r>
      <w:r w:rsidRPr="00B34F3F">
        <w:rPr>
          <w:spacing w:val="-4"/>
        </w:rPr>
        <w:t xml:space="preserve"> </w:t>
      </w:r>
    </w:p>
    <w:p w:rsidR="00534FB5" w:rsidRPr="00B34F3F" w:rsidRDefault="00534FB5" w:rsidP="00534FB5">
      <w:pPr>
        <w:ind w:firstLine="708"/>
        <w:rPr>
          <w:spacing w:val="-4"/>
        </w:rPr>
      </w:pPr>
      <w:r w:rsidRPr="00B34F3F">
        <w:rPr>
          <w:spacing w:val="-4"/>
        </w:rPr>
        <w:t xml:space="preserve">Для вилучення аеробної та факультативно-анаеробної мікрофлори використовували метод послідовних десятикратних розведень із кількісним висівом матеріалу на поживні середовища. </w:t>
      </w:r>
    </w:p>
    <w:p w:rsidR="00534FB5" w:rsidRPr="00B34F3F" w:rsidRDefault="00534FB5" w:rsidP="00534FB5">
      <w:pPr>
        <w:ind w:firstLine="708"/>
        <w:rPr>
          <w:spacing w:val="-4"/>
        </w:rPr>
      </w:pPr>
      <w:r w:rsidRPr="00B34F3F">
        <w:rPr>
          <w:spacing w:val="-4"/>
        </w:rPr>
        <w:t xml:space="preserve">Посіви здійснювали на 5 % кров’яний агар, середовище Ендо, ентерококагар, жовтково-сольовий агар для вилучення аеробних та факультативно-анаеробних бактерій, середовище Сабуро – для </w:t>
      </w:r>
      <w:r w:rsidRPr="00B34F3F">
        <w:rPr>
          <w:spacing w:val="-4"/>
        </w:rPr>
        <w:lastRenderedPageBreak/>
        <w:t xml:space="preserve">дріжджеподібних та пліснявих грибів. Анаеробні бактерії вилучали шляхом висіву на агар Шедлера з ростовими добавками. </w:t>
      </w:r>
    </w:p>
    <w:p w:rsidR="00534FB5" w:rsidRPr="00B34F3F" w:rsidRDefault="00534FB5" w:rsidP="00534FB5">
      <w:pPr>
        <w:ind w:firstLine="708"/>
        <w:rPr>
          <w:spacing w:val="-4"/>
        </w:rPr>
      </w:pPr>
      <w:r w:rsidRPr="00B34F3F">
        <w:rPr>
          <w:spacing w:val="-4"/>
        </w:rPr>
        <w:t>Посіви інкубували при 37</w:t>
      </w:r>
      <w:r w:rsidR="00597E77" w:rsidRPr="00597E77">
        <w:rPr>
          <w:spacing w:val="-4"/>
        </w:rPr>
        <w:t>°</w:t>
      </w:r>
      <w:r w:rsidRPr="00B34F3F">
        <w:rPr>
          <w:spacing w:val="-4"/>
        </w:rPr>
        <w:t>С від 24 до 120 годин у аеробних або анаеробних умовах, залежно від групи мікроорганізмів, які досліджувалися. Анаеробні умови створювали за допомогою газогенеруючих пакетів у мікроанаеростаті.</w:t>
      </w:r>
    </w:p>
    <w:p w:rsidR="00534FB5" w:rsidRPr="00B34F3F" w:rsidRDefault="00534FB5" w:rsidP="00534FB5">
      <w:pPr>
        <w:ind w:firstLine="708"/>
        <w:rPr>
          <w:spacing w:val="-4"/>
        </w:rPr>
      </w:pPr>
      <w:r w:rsidRPr="00B34F3F">
        <w:rPr>
          <w:spacing w:val="-4"/>
        </w:rPr>
        <w:t>Ідентифікацію вилучених культур бактерій здійснювали за морфологічними, культуральними, біохімічними ознаками відповідно до нормативних документів</w:t>
      </w:r>
      <w:r w:rsidRPr="00B34F3F">
        <w:rPr>
          <w:color w:val="000000"/>
          <w:spacing w:val="-4"/>
        </w:rPr>
        <w:t xml:space="preserve"> [</w:t>
      </w:r>
      <w:r w:rsidRPr="00B34F3F">
        <w:rPr>
          <w:spacing w:val="-4"/>
          <w:shd w:val="clear" w:color="auto" w:fill="FFFFFF"/>
        </w:rPr>
        <w:t>64, 103]</w:t>
      </w:r>
      <w:r w:rsidRPr="00B34F3F">
        <w:rPr>
          <w:color w:val="000000"/>
          <w:spacing w:val="-4"/>
        </w:rPr>
        <w:t xml:space="preserve"> </w:t>
      </w:r>
      <w:r w:rsidRPr="00B34F3F">
        <w:rPr>
          <w:spacing w:val="-4"/>
        </w:rPr>
        <w:t xml:space="preserve">та згідно з «Визначником бактерій Берджі» </w:t>
      </w:r>
      <w:r w:rsidRPr="00B34F3F">
        <w:rPr>
          <w:spacing w:val="-4"/>
          <w:shd w:val="clear" w:color="auto" w:fill="FFFFFF"/>
        </w:rPr>
        <w:t>[67]</w:t>
      </w:r>
      <w:r w:rsidRPr="00B34F3F">
        <w:rPr>
          <w:spacing w:val="-4"/>
        </w:rPr>
        <w:t>. Ідентифікацію штамів грибів – за «Визначником патогенних і умовно патогенних грибів» (2001) за стандартними методиками.</w:t>
      </w:r>
    </w:p>
    <w:p w:rsidR="00534FB5" w:rsidRPr="00B34F3F" w:rsidRDefault="00534FB5" w:rsidP="00534FB5">
      <w:pPr>
        <w:ind w:firstLine="708"/>
        <w:rPr>
          <w:spacing w:val="-4"/>
        </w:rPr>
      </w:pPr>
      <w:r w:rsidRPr="00B34F3F">
        <w:rPr>
          <w:spacing w:val="-4"/>
        </w:rPr>
        <w:t xml:space="preserve">Кількість мікроорганізмів визначали шляхом підрахунку колонієутворюючих одиниць у </w:t>
      </w:r>
      <w:smartTag w:uri="urn:schemas-microsoft-com:office:smarttags" w:element="metricconverter">
        <w:smartTagPr>
          <w:attr w:name="ProductID" w:val="1 г"/>
        </w:smartTagPr>
        <w:r w:rsidRPr="00B34F3F">
          <w:rPr>
            <w:spacing w:val="-4"/>
          </w:rPr>
          <w:t>1 г</w:t>
        </w:r>
      </w:smartTag>
      <w:r w:rsidRPr="00B34F3F">
        <w:rPr>
          <w:spacing w:val="-4"/>
        </w:rPr>
        <w:t xml:space="preserve"> матеріалу та виражали у десяткових логарифмах (</w:t>
      </w:r>
      <w:r w:rsidRPr="00B34F3F">
        <w:rPr>
          <w:spacing w:val="-4"/>
          <w:lang w:val="en-US"/>
        </w:rPr>
        <w:t>lg</w:t>
      </w:r>
      <w:r w:rsidRPr="00B34F3F">
        <w:rPr>
          <w:spacing w:val="-4"/>
        </w:rPr>
        <w:t xml:space="preserve"> КУО / г). </w:t>
      </w:r>
    </w:p>
    <w:p w:rsidR="00534FB5" w:rsidRPr="00EC3DD8" w:rsidRDefault="00534FB5" w:rsidP="00534FB5">
      <w:pPr>
        <w:pStyle w:val="11"/>
        <w:ind w:left="0" w:firstLine="709"/>
        <w:jc w:val="both"/>
        <w:rPr>
          <w:b/>
        </w:rPr>
      </w:pPr>
      <w:r w:rsidRPr="00EC3DD8">
        <w:rPr>
          <w:b/>
        </w:rPr>
        <w:t>2.3.3. Вивчення психоемоційного статусу</w:t>
      </w:r>
    </w:p>
    <w:p w:rsidR="00534FB5" w:rsidRPr="00393CDF" w:rsidRDefault="00534FB5" w:rsidP="00534FB5">
      <w:pPr>
        <w:pStyle w:val="af1"/>
        <w:spacing w:after="0"/>
        <w:ind w:left="0" w:firstLine="709"/>
        <w:contextualSpacing/>
        <w:jc w:val="both"/>
        <w:rPr>
          <w:spacing w:val="-6"/>
        </w:rPr>
      </w:pPr>
      <w:r w:rsidRPr="00393CDF">
        <w:rPr>
          <w:spacing w:val="-6"/>
        </w:rPr>
        <w:t xml:space="preserve">Психодіагностика є одним з основних видів діяльності психологічної служби в системі освіти України і полягає в психологічному обстеженні дітей і підлітків, їхніх груп та колективів, моніторингу змісту й умов індивідуального розвитку, визначенні причин, що ускладнюють розвиток та навчання дітей та учнівської молоді. </w:t>
      </w:r>
      <w:r w:rsidRPr="00393CDF">
        <w:rPr>
          <w:spacing w:val="-6"/>
          <w:shd w:val="clear" w:color="auto" w:fill="FFFFFF"/>
        </w:rPr>
        <w:t>Психологічна служба системи освіти діє відповідно до</w:t>
      </w:r>
      <w:r w:rsidRPr="00393CDF">
        <w:rPr>
          <w:spacing w:val="-6"/>
        </w:rPr>
        <w:t xml:space="preserve"> </w:t>
      </w:r>
      <w:r w:rsidRPr="00393CDF">
        <w:rPr>
          <w:snapToGrid w:val="0"/>
          <w:spacing w:val="-6"/>
        </w:rPr>
        <w:t xml:space="preserve">наказу Міністерства освіти і науки України </w:t>
      </w:r>
      <w:r w:rsidRPr="00393CDF">
        <w:rPr>
          <w:spacing w:val="-6"/>
        </w:rPr>
        <w:t>«Про затвердження Положення про експертизу психологічного і соціологічного інструментарію, що застосовується в навчальних закладах Міністерства освіти і науки України»</w:t>
      </w:r>
      <w:r w:rsidRPr="00393CDF">
        <w:rPr>
          <w:snapToGrid w:val="0"/>
          <w:spacing w:val="-6"/>
        </w:rPr>
        <w:t xml:space="preserve"> від 2</w:t>
      </w:r>
      <w:r w:rsidRPr="00393CDF">
        <w:rPr>
          <w:spacing w:val="-6"/>
        </w:rPr>
        <w:t>0.04.01</w:t>
      </w:r>
      <w:bookmarkStart w:id="3" w:name="наказ_330"/>
      <w:r w:rsidRPr="00393CDF">
        <w:rPr>
          <w:spacing w:val="-6"/>
        </w:rPr>
        <w:t>. № 330</w:t>
      </w:r>
      <w:bookmarkEnd w:id="3"/>
      <w:r w:rsidRPr="00393CDF">
        <w:rPr>
          <w:spacing w:val="-6"/>
        </w:rPr>
        <w:t xml:space="preserve">, </w:t>
      </w:r>
      <w:r w:rsidRPr="00393CDF">
        <w:rPr>
          <w:bCs/>
          <w:spacing w:val="-6"/>
          <w:bdr w:val="none" w:sz="0" w:space="0" w:color="auto" w:frame="1"/>
        </w:rPr>
        <w:t>наказу</w:t>
      </w:r>
      <w:r w:rsidRPr="00393CDF">
        <w:rPr>
          <w:spacing w:val="-6"/>
        </w:rPr>
        <w:t xml:space="preserve"> </w:t>
      </w:r>
      <w:bookmarkStart w:id="4" w:name="o5"/>
      <w:bookmarkEnd w:id="4"/>
      <w:r w:rsidRPr="00393CDF">
        <w:rPr>
          <w:spacing w:val="-6"/>
        </w:rPr>
        <w:t>«</w:t>
      </w:r>
      <w:r w:rsidRPr="00393CDF">
        <w:rPr>
          <w:bCs/>
          <w:spacing w:val="-6"/>
          <w:bdr w:val="none" w:sz="0" w:space="0" w:color="auto" w:frame="1"/>
        </w:rPr>
        <w:t>Про внесення змін до Положення про психологічну службу системи освіти України»</w:t>
      </w:r>
      <w:r w:rsidRPr="00393CDF">
        <w:rPr>
          <w:spacing w:val="-6"/>
        </w:rPr>
        <w:t xml:space="preserve"> від</w:t>
      </w:r>
      <w:bookmarkStart w:id="5" w:name="o3"/>
      <w:bookmarkEnd w:id="5"/>
      <w:r w:rsidRPr="00393CDF">
        <w:rPr>
          <w:bCs/>
          <w:spacing w:val="-6"/>
          <w:bdr w:val="none" w:sz="0" w:space="0" w:color="auto" w:frame="1"/>
        </w:rPr>
        <w:t xml:space="preserve"> </w:t>
      </w:r>
      <w:r w:rsidRPr="00393CDF">
        <w:rPr>
          <w:spacing w:val="-6"/>
        </w:rPr>
        <w:t xml:space="preserve">02.07.2009 </w:t>
      </w:r>
      <w:r w:rsidRPr="00393CDF">
        <w:rPr>
          <w:bCs/>
          <w:spacing w:val="-6"/>
          <w:bdr w:val="none" w:sz="0" w:space="0" w:color="auto" w:frame="1"/>
        </w:rPr>
        <w:t>№ </w:t>
      </w:r>
      <w:r w:rsidRPr="00393CDF">
        <w:rPr>
          <w:spacing w:val="-6"/>
        </w:rPr>
        <w:t>616</w:t>
      </w:r>
      <w:r w:rsidRPr="00393CDF">
        <w:rPr>
          <w:bCs/>
          <w:spacing w:val="-6"/>
          <w:bdr w:val="none" w:sz="0" w:space="0" w:color="auto" w:frame="1"/>
        </w:rPr>
        <w:t>,</w:t>
      </w:r>
      <w:r w:rsidRPr="00393CDF">
        <w:rPr>
          <w:spacing w:val="-6"/>
        </w:rPr>
        <w:t xml:space="preserve"> </w:t>
      </w:r>
      <w:r w:rsidRPr="00393CDF">
        <w:rPr>
          <w:spacing w:val="-6"/>
          <w:shd w:val="clear" w:color="auto" w:fill="FFFFFF"/>
        </w:rPr>
        <w:t xml:space="preserve">наказу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 864 від 28.12.2006, листа </w:t>
      </w:r>
      <w:r w:rsidRPr="00393CDF">
        <w:rPr>
          <w:snapToGrid w:val="0"/>
          <w:spacing w:val="-6"/>
        </w:rPr>
        <w:t>Міністерства освіти і науки України</w:t>
      </w:r>
      <w:r w:rsidRPr="00393CDF">
        <w:rPr>
          <w:spacing w:val="-6"/>
          <w:shd w:val="clear" w:color="auto" w:fill="FFFFFF"/>
        </w:rPr>
        <w:t xml:space="preserve"> «Щодо планування діяльності, ведення документації і звітності усіх ланок психологічної служби </w:t>
      </w:r>
      <w:r w:rsidRPr="00393CDF">
        <w:rPr>
          <w:spacing w:val="-6"/>
          <w:shd w:val="clear" w:color="auto" w:fill="FFFFFF"/>
        </w:rPr>
        <w:lastRenderedPageBreak/>
        <w:t>системи освіти» № 1/9-352 від 27.08.2000 та інших нормативно-правових документів.</w:t>
      </w:r>
      <w:r w:rsidRPr="00393CDF">
        <w:rPr>
          <w:spacing w:val="-6"/>
        </w:rPr>
        <w:t xml:space="preserve"> </w:t>
      </w:r>
    </w:p>
    <w:p w:rsidR="00534FB5" w:rsidRPr="00393CDF" w:rsidRDefault="00534FB5" w:rsidP="00534FB5">
      <w:pPr>
        <w:pStyle w:val="af1"/>
        <w:spacing w:after="0"/>
        <w:ind w:left="0" w:firstLine="709"/>
        <w:contextualSpacing/>
        <w:jc w:val="both"/>
        <w:rPr>
          <w:spacing w:val="-6"/>
        </w:rPr>
      </w:pPr>
      <w:r w:rsidRPr="00393CDF">
        <w:rPr>
          <w:spacing w:val="-6"/>
        </w:rPr>
        <w:t xml:space="preserve">За сприяння співробітників </w:t>
      </w:r>
      <w:r w:rsidRPr="00393CDF">
        <w:rPr>
          <w:bCs/>
          <w:spacing w:val="-6"/>
        </w:rPr>
        <w:t xml:space="preserve">кафедри </w:t>
      </w:r>
      <w:r w:rsidRPr="00393CDF">
        <w:rPr>
          <w:color w:val="000000"/>
          <w:spacing w:val="-6"/>
          <w:lang w:eastAsia="uk-UA"/>
        </w:rPr>
        <w:t>психіатрії, наркології та медичної психології</w:t>
      </w:r>
      <w:r w:rsidRPr="00393CDF">
        <w:rPr>
          <w:bCs/>
          <w:spacing w:val="-6"/>
        </w:rPr>
        <w:t xml:space="preserve"> ХНМУ та психологічної служби інтернату, де навчалися діти з вродженою глухотою,</w:t>
      </w:r>
      <w:r w:rsidRPr="00393CDF">
        <w:rPr>
          <w:spacing w:val="-6"/>
        </w:rPr>
        <w:t xml:space="preserve"> було вивчено та проаналізовано медичну документацію, протоколи обстежень та індивідуальні картки психоемоційного статусу дітей, які навчалися в Харківському обласному спеціальному загальноосвітньому навчально-виховному комплексі (дошкільному навчальному закладі – школі-інтернаті) для дітей з вадами слуху</w:t>
      </w:r>
      <w:r w:rsidR="00393CDF" w:rsidRPr="00393CDF">
        <w:rPr>
          <w:spacing w:val="-6"/>
        </w:rPr>
        <w:t>.</w:t>
      </w:r>
      <w:r w:rsidRPr="00393CDF">
        <w:rPr>
          <w:spacing w:val="-6"/>
        </w:rPr>
        <w:t xml:space="preserve"> </w:t>
      </w:r>
    </w:p>
    <w:p w:rsidR="00534FB5" w:rsidRPr="00393CDF" w:rsidRDefault="00393CDF" w:rsidP="00393CDF">
      <w:pPr>
        <w:pStyle w:val="af1"/>
        <w:spacing w:after="0"/>
        <w:ind w:left="0" w:firstLine="709"/>
        <w:contextualSpacing/>
        <w:jc w:val="both"/>
        <w:rPr>
          <w:rStyle w:val="apple-converted-space"/>
          <w:spacing w:val="-6"/>
          <w:shd w:val="clear" w:color="auto" w:fill="FFFFFF"/>
        </w:rPr>
      </w:pPr>
      <w:r w:rsidRPr="00393CDF">
        <w:rPr>
          <w:spacing w:val="-6"/>
        </w:rPr>
        <w:t>У</w:t>
      </w:r>
      <w:r>
        <w:rPr>
          <w:spacing w:val="-6"/>
        </w:rPr>
        <w:t xml:space="preserve"> межах діяльності психологічної</w:t>
      </w:r>
      <w:r w:rsidR="00534FB5" w:rsidRPr="00393CDF">
        <w:rPr>
          <w:spacing w:val="-6"/>
        </w:rPr>
        <w:t xml:space="preserve"> служб</w:t>
      </w:r>
      <w:r>
        <w:rPr>
          <w:spacing w:val="-6"/>
        </w:rPr>
        <w:t xml:space="preserve">и інтернату </w:t>
      </w:r>
      <w:r w:rsidR="00534FB5" w:rsidRPr="00393CDF">
        <w:rPr>
          <w:spacing w:val="-6"/>
        </w:rPr>
        <w:t xml:space="preserve"> за період 2009–2010 навчального року </w:t>
      </w:r>
      <w:r w:rsidR="00534FB5" w:rsidRPr="00393CDF">
        <w:rPr>
          <w:spacing w:val="-6"/>
          <w:shd w:val="clear" w:color="auto" w:fill="FFFFFF"/>
        </w:rPr>
        <w:t xml:space="preserve">було проведено дослідження психоемоційної сфери </w:t>
      </w:r>
      <w:r>
        <w:rPr>
          <w:spacing w:val="-6"/>
          <w:shd w:val="clear" w:color="auto" w:fill="FFFFFF"/>
        </w:rPr>
        <w:t xml:space="preserve">70 </w:t>
      </w:r>
      <w:r w:rsidRPr="00393CDF">
        <w:rPr>
          <w:spacing w:val="-6"/>
          <w:shd w:val="clear" w:color="auto" w:fill="FFFFFF"/>
        </w:rPr>
        <w:t>ДВГ віком 7-15 років</w:t>
      </w:r>
      <w:r w:rsidR="00534FB5" w:rsidRPr="00393CDF">
        <w:rPr>
          <w:spacing w:val="-6"/>
          <w:shd w:val="clear" w:color="auto" w:fill="FFFFFF"/>
        </w:rPr>
        <w:t xml:space="preserve"> за допомогою методики Філіпса, тесту дитячої апперцепції (Children Apperception Test) та проективної методики «Дім, дерево, людина».</w:t>
      </w:r>
    </w:p>
    <w:p w:rsidR="00534FB5" w:rsidRPr="00393CDF" w:rsidRDefault="00534FB5" w:rsidP="00534FB5">
      <w:pPr>
        <w:pStyle w:val="af1"/>
        <w:spacing w:after="0"/>
        <w:ind w:left="0" w:firstLine="709"/>
        <w:contextualSpacing/>
        <w:jc w:val="both"/>
        <w:rPr>
          <w:color w:val="000000"/>
          <w:spacing w:val="-6"/>
          <w:shd w:val="clear" w:color="auto" w:fill="FFFFFF"/>
        </w:rPr>
      </w:pPr>
      <w:r w:rsidRPr="00393CDF">
        <w:rPr>
          <w:rStyle w:val="apple-converted-space"/>
          <w:color w:val="000000"/>
          <w:spacing w:val="-6"/>
          <w:shd w:val="clear" w:color="auto" w:fill="FFFFFF"/>
        </w:rPr>
        <w:t xml:space="preserve">Аналіз </w:t>
      </w:r>
      <w:r w:rsidRPr="00393CDF">
        <w:rPr>
          <w:spacing w:val="-6"/>
          <w:shd w:val="clear" w:color="auto" w:fill="FFFFFF"/>
        </w:rPr>
        <w:t>отриманих даних проведено за наступними факторами:</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«Загальна тривожність у школі» характеризує загальний емоційний стан дитини, пов’язаний з різними формами її включення в життя школи;</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«Переживання соціального стресу» дозволяє діагностувати емоційний стан дитини, на тлі якого розвиваються її соціальні контакти (насамперед, з однолітками);</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«Фрустрація потреби в досягненні успіху» вказує на несприятливе психічне тло, що не дозволяє дитині розвивати свої потреби успіху, досягнення високого результату і т.д.;</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«Страх самовираження» відображає негативні емоційні переживання ситуацій, пов’язаних із необхідністю розкриття, пред’явлення себе іншим, демонстрації можливостей;</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«Страх ситуації перевірки знань» виявляє негативні емоції і переживання тривоги в ситуаціях перевірки (особливо – публічної) знань, досягнень, можливостей;</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xml:space="preserve">– «Страх не відповідати очікуванням навколишніх» діагностує рівень </w:t>
      </w:r>
      <w:r w:rsidRPr="00393CDF">
        <w:rPr>
          <w:spacing w:val="-6"/>
          <w:shd w:val="clear" w:color="auto" w:fill="FFFFFF"/>
        </w:rPr>
        <w:lastRenderedPageBreak/>
        <w:t>орієнтації на значимість інших в оцінці своїх результатів, вчинків і думок, тривога з приводу оцінок тощо;</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xml:space="preserve">– «Низька фізіологічна опірність стресу» висвітлює особливості психофізіологічної організації, що знижують пристосовність дитини до ситуацій стресогенного характеру, які підвищують імовірність неадекватного, деструктивного реагування на тривожний фактор середовища; </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shd w:val="clear" w:color="auto" w:fill="FFFFFF"/>
        </w:rPr>
        <w:t>– «Проблеми і страхи у відносинах із учителями» вказує на загальне негативне емоційне тло відносин з дорослими в школі, що знижує успішність навчання дитини, тощо.</w:t>
      </w:r>
    </w:p>
    <w:p w:rsidR="00534FB5" w:rsidRPr="00393CDF" w:rsidRDefault="00534FB5" w:rsidP="00534FB5">
      <w:pPr>
        <w:pStyle w:val="af1"/>
        <w:spacing w:after="0"/>
        <w:ind w:left="0" w:firstLine="709"/>
        <w:contextualSpacing/>
        <w:jc w:val="both"/>
        <w:rPr>
          <w:spacing w:val="-6"/>
          <w:shd w:val="clear" w:color="auto" w:fill="FFFFFF"/>
        </w:rPr>
      </w:pPr>
      <w:r w:rsidRPr="00393CDF">
        <w:rPr>
          <w:spacing w:val="-6"/>
        </w:rPr>
        <w:t>Аналіз наявості функціональних нервово-психічних розладів, викликаних дією гострих швидкоплинних та тривалих хронічних психічних факторів (психогенних непсихотичних психічних розладів), проводився під час вивчення медичних карток дітей.</w:t>
      </w:r>
    </w:p>
    <w:p w:rsidR="00534FB5" w:rsidRDefault="00534FB5" w:rsidP="00534FB5">
      <w:pPr>
        <w:ind w:firstLine="709"/>
        <w:contextualSpacing/>
        <w:rPr>
          <w:b/>
        </w:rPr>
      </w:pPr>
      <w:r w:rsidRPr="00EC3DD8">
        <w:rPr>
          <w:b/>
        </w:rPr>
        <w:t>2.3.4</w:t>
      </w:r>
      <w:r>
        <w:rPr>
          <w:b/>
        </w:rPr>
        <w:t>.</w:t>
      </w:r>
      <w:r w:rsidRPr="00EC3DD8">
        <w:rPr>
          <w:b/>
        </w:rPr>
        <w:t xml:space="preserve"> Запропонована схема лікування і профілактики</w:t>
      </w:r>
    </w:p>
    <w:p w:rsidR="00534FB5" w:rsidRDefault="00534FB5" w:rsidP="00534FB5">
      <w:pPr>
        <w:ind w:firstLine="709"/>
        <w:contextualSpacing/>
      </w:pPr>
      <w:r w:rsidRPr="00A51567">
        <w:t>На сучасному етапі розвитку стоматології профілактика як система державних, соціальних</w:t>
      </w:r>
      <w:r>
        <w:t>,</w:t>
      </w:r>
      <w:r w:rsidRPr="00A51567">
        <w:t xml:space="preserve"> гігієнічних та медичних заходів </w:t>
      </w:r>
      <w:r>
        <w:t xml:space="preserve">насамперед </w:t>
      </w:r>
      <w:r w:rsidRPr="00A51567">
        <w:t>повинна впливати на макроорганізм з метою загального оздоровлення, пров</w:t>
      </w:r>
      <w:r>
        <w:t>о</w:t>
      </w:r>
      <w:r w:rsidRPr="00A51567">
        <w:t>ди</w:t>
      </w:r>
      <w:r>
        <w:t xml:space="preserve">ти заходи для зниження дії негативних факторів, а </w:t>
      </w:r>
      <w:r w:rsidRPr="00A51567">
        <w:t>та</w:t>
      </w:r>
      <w:r>
        <w:t>кож</w:t>
      </w:r>
      <w:r w:rsidRPr="00A51567">
        <w:t xml:space="preserve"> підсилювати</w:t>
      </w:r>
      <w:r>
        <w:t xml:space="preserve"> </w:t>
      </w:r>
      <w:r w:rsidRPr="00A51567">
        <w:t>резисте</w:t>
      </w:r>
      <w:r>
        <w:t xml:space="preserve">нтність органів порожнини рота </w:t>
      </w:r>
      <w:r w:rsidRPr="00A51567">
        <w:t>до патогенних впливів</w:t>
      </w:r>
      <w:r>
        <w:t xml:space="preserve"> </w:t>
      </w:r>
      <w:r w:rsidRPr="006D74C7">
        <w:rPr>
          <w:lang w:val="ru-RU"/>
        </w:rPr>
        <w:t>[</w:t>
      </w:r>
      <w:r>
        <w:rPr>
          <w:lang w:val="ru-RU"/>
        </w:rPr>
        <w:t>78,</w:t>
      </w:r>
      <w:r w:rsidRPr="006D74C7">
        <w:rPr>
          <w:lang w:val="ru-RU"/>
        </w:rPr>
        <w:t xml:space="preserve"> 97]</w:t>
      </w:r>
      <w:r w:rsidRPr="00A51567">
        <w:t xml:space="preserve">. Використання численних антибактеріальних препаратів з метою профілактики основних стоматологічних захворювань не дало очікуваного результату, </w:t>
      </w:r>
      <w:r>
        <w:t>пошир</w:t>
      </w:r>
      <w:r w:rsidRPr="00A51567">
        <w:t>еність стоматологічних захворювань не знизилас</w:t>
      </w:r>
      <w:r>
        <w:t>я</w:t>
      </w:r>
      <w:r w:rsidRPr="00A51567">
        <w:t xml:space="preserve">. Виходом </w:t>
      </w:r>
      <w:r>
        <w:t>із</w:t>
      </w:r>
      <w:r w:rsidRPr="00A51567">
        <w:t xml:space="preserve"> </w:t>
      </w:r>
      <w:r>
        <w:t>тако</w:t>
      </w:r>
      <w:r w:rsidRPr="00A51567">
        <w:t>ї ситуації є звернення стоматології у бік заходів підвищення неспецифічн</w:t>
      </w:r>
      <w:r>
        <w:t xml:space="preserve">ого та специфічного імунітету. </w:t>
      </w:r>
      <w:r w:rsidRPr="00A51567">
        <w:t>Вирішення поставлено</w:t>
      </w:r>
      <w:r>
        <w:t>го</w:t>
      </w:r>
      <w:r w:rsidRPr="00A51567">
        <w:t xml:space="preserve"> за</w:t>
      </w:r>
      <w:r>
        <w:t>в</w:t>
      </w:r>
      <w:r w:rsidRPr="00A51567">
        <w:t>да</w:t>
      </w:r>
      <w:r>
        <w:t>ння</w:t>
      </w:r>
      <w:r w:rsidRPr="00A51567">
        <w:t xml:space="preserve"> можливе шляхом використання адаптогенів рослинного походження в поєднанні зі спектром</w:t>
      </w:r>
      <w:r>
        <w:t xml:space="preserve"> препаратів специфічної терапії.</w:t>
      </w:r>
    </w:p>
    <w:p w:rsidR="00534FB5" w:rsidRDefault="00534FB5" w:rsidP="00534FB5">
      <w:pPr>
        <w:ind w:firstLine="709"/>
        <w:contextualSpacing/>
        <w:rPr>
          <w:b/>
        </w:rPr>
      </w:pPr>
      <w:r w:rsidRPr="00A51567">
        <w:t>У</w:t>
      </w:r>
      <w:r>
        <w:t xml:space="preserve"> </w:t>
      </w:r>
      <w:r w:rsidRPr="00A51567">
        <w:t xml:space="preserve">своєму пошуку ми зупинили наш вибір на адаптогенних препаратах рослинного походження, а саме </w:t>
      </w:r>
      <w:r>
        <w:t xml:space="preserve">на </w:t>
      </w:r>
      <w:r w:rsidRPr="00A51567">
        <w:t>екстракті пар</w:t>
      </w:r>
      <w:r>
        <w:t>остків пшениці</w:t>
      </w:r>
      <w:r w:rsidRPr="00A51567">
        <w:t xml:space="preserve">. </w:t>
      </w:r>
      <w:r>
        <w:t>Це</w:t>
      </w:r>
      <w:r w:rsidRPr="00A51567">
        <w:t xml:space="preserve">й біологічно активний комплекс за рахунок вмісту вільних амінокислот, </w:t>
      </w:r>
      <w:r w:rsidRPr="00A51567">
        <w:lastRenderedPageBreak/>
        <w:t>біофлавоноїдів та інших біологічно активних речовин виявляє високу ефект</w:t>
      </w:r>
      <w:r>
        <w:t>и</w:t>
      </w:r>
      <w:r w:rsidRPr="00A51567">
        <w:t>вність при профілактиці та лікуванні основних стоматологічних захворювань. Дія препарату ґрунтується</w:t>
      </w:r>
      <w:r>
        <w:t xml:space="preserve"> </w:t>
      </w:r>
      <w:r w:rsidRPr="00A51567">
        <w:t>на активації ядерно-цитоплазматичних відносин у клітинах, знятті «клітинного стресу», підвищенні ефективності адаптаційних реакцій</w:t>
      </w:r>
      <w:r>
        <w:t xml:space="preserve"> </w:t>
      </w:r>
      <w:r w:rsidRPr="00A51567">
        <w:t>і</w:t>
      </w:r>
      <w:r>
        <w:t>,</w:t>
      </w:r>
      <w:r w:rsidRPr="00A51567">
        <w:t xml:space="preserve"> як результат, підвищенні неспецифічної резистентності</w:t>
      </w:r>
      <w:r>
        <w:t>,</w:t>
      </w:r>
      <w:r w:rsidRPr="00A51567">
        <w:t xml:space="preserve"> у тому числі в порожнині рот</w:t>
      </w:r>
      <w:r>
        <w:t>а</w:t>
      </w:r>
      <w:r w:rsidRPr="00A51567">
        <w:t xml:space="preserve">. </w:t>
      </w:r>
    </w:p>
    <w:p w:rsidR="00534FB5" w:rsidRPr="00EC3DD8" w:rsidRDefault="00534FB5" w:rsidP="001A2203">
      <w:pPr>
        <w:ind w:firstLine="709"/>
        <w:contextualSpacing/>
        <w:rPr>
          <w:b/>
        </w:rPr>
      </w:pPr>
      <w:r w:rsidRPr="00A51567">
        <w:t>У зв</w:t>
      </w:r>
      <w:r>
        <w:t>’</w:t>
      </w:r>
      <w:r w:rsidRPr="00A51567">
        <w:t xml:space="preserve">язку з високою </w:t>
      </w:r>
      <w:r>
        <w:t>пошир</w:t>
      </w:r>
      <w:r w:rsidRPr="00A51567">
        <w:t>еністю захворюв</w:t>
      </w:r>
      <w:r>
        <w:t>ань тканин пар</w:t>
      </w:r>
      <w:r w:rsidR="001A2203">
        <w:t>о</w:t>
      </w:r>
      <w:r>
        <w:t xml:space="preserve">донта у дітей </w:t>
      </w:r>
      <w:r w:rsidR="006C493E">
        <w:t>із вродженою</w:t>
      </w:r>
      <w:r w:rsidRPr="00A51567">
        <w:t xml:space="preserve"> глухотою, виникла необхідність включення до лікувально-профілакт</w:t>
      </w:r>
      <w:r>
        <w:t xml:space="preserve">ичного комплексу препарату етіологічної та </w:t>
      </w:r>
      <w:r w:rsidRPr="00A51567">
        <w:t>патогенетичної дії. Безумовно, у виникнен</w:t>
      </w:r>
      <w:r>
        <w:t>ні захворювань тканин пародонта</w:t>
      </w:r>
      <w:r w:rsidRPr="00A51567">
        <w:t xml:space="preserve"> безпосередню роль відіграють мікроорганізми, але їх патогенний ефект проявляється або за умови надмірного їх накопичення (досягнення обсягу «критичної маси»), або тоді, коли активність місцевих захисних сил знижена. До недостатності природної системи резистентності ротової порожнини призводить велика кількість факторів, які можна позначити як </w:t>
      </w:r>
      <w:r w:rsidRPr="00A51567">
        <w:rPr>
          <w:color w:val="000000"/>
        </w:rPr>
        <w:t xml:space="preserve">пускові механізми розвитку запального процесу в яснах. </w:t>
      </w:r>
      <w:r w:rsidRPr="00A51567">
        <w:t>Однак навіть усунувши або зменшивши вплив цих патогенних чинників, без стимуляції природних факторів захисту ротової порожнини</w:t>
      </w:r>
      <w:r>
        <w:t xml:space="preserve"> </w:t>
      </w:r>
      <w:r w:rsidRPr="00A51567">
        <w:t xml:space="preserve">стійкого позитивного ефекту, що полягає в нормалізації мікробного балансу в порожнині рота, досягти складно. </w:t>
      </w:r>
      <w:r w:rsidRPr="00A51567">
        <w:rPr>
          <w:color w:val="000000"/>
        </w:rPr>
        <w:t xml:space="preserve">Одним з основних регуляторів і факторів неспецифічного захисту </w:t>
      </w:r>
      <w:r w:rsidRPr="00A51567">
        <w:t>порожнини</w:t>
      </w:r>
      <w:r w:rsidRPr="00A51567">
        <w:rPr>
          <w:color w:val="000000"/>
        </w:rPr>
        <w:t xml:space="preserve"> рота,</w:t>
      </w:r>
      <w:r w:rsidRPr="00A51567">
        <w:t xml:space="preserve"> що</w:t>
      </w:r>
      <w:r w:rsidRPr="00A51567">
        <w:rPr>
          <w:color w:val="000000"/>
        </w:rPr>
        <w:t xml:space="preserve"> забезпечує підтримку мікробіоценозу, </w:t>
      </w:r>
      <w:r w:rsidRPr="00A51567">
        <w:t>є</w:t>
      </w:r>
      <w:r w:rsidRPr="00A51567">
        <w:rPr>
          <w:color w:val="000000"/>
        </w:rPr>
        <w:t xml:space="preserve"> фермент лізоцим,</w:t>
      </w:r>
      <w:r w:rsidRPr="00A51567">
        <w:t xml:space="preserve"> </w:t>
      </w:r>
      <w:r>
        <w:t>оскільки він</w:t>
      </w:r>
      <w:r w:rsidRPr="00A51567">
        <w:rPr>
          <w:color w:val="000000"/>
        </w:rPr>
        <w:t xml:space="preserve"> </w:t>
      </w:r>
      <w:r w:rsidRPr="00A51567">
        <w:t>має</w:t>
      </w:r>
      <w:r w:rsidRPr="00A51567">
        <w:rPr>
          <w:color w:val="000000"/>
        </w:rPr>
        <w:t xml:space="preserve"> антимікробну й </w:t>
      </w:r>
      <w:r w:rsidRPr="00A51567">
        <w:t>імуномоделюючу</w:t>
      </w:r>
      <w:r w:rsidRPr="00A51567">
        <w:rPr>
          <w:color w:val="000000"/>
        </w:rPr>
        <w:t xml:space="preserve"> дію. </w:t>
      </w:r>
      <w:r>
        <w:rPr>
          <w:color w:val="000000"/>
        </w:rPr>
        <w:t>Ми використали вітчизняний</w:t>
      </w:r>
      <w:r w:rsidRPr="00A51567">
        <w:rPr>
          <w:color w:val="000000"/>
        </w:rPr>
        <w:t xml:space="preserve"> зуб</w:t>
      </w:r>
      <w:r>
        <w:rPr>
          <w:color w:val="000000"/>
        </w:rPr>
        <w:t>ний</w:t>
      </w:r>
      <w:r w:rsidRPr="00A51567">
        <w:rPr>
          <w:color w:val="000000"/>
        </w:rPr>
        <w:t xml:space="preserve"> елікс</w:t>
      </w:r>
      <w:r>
        <w:rPr>
          <w:color w:val="000000"/>
        </w:rPr>
        <w:t>и</w:t>
      </w:r>
      <w:r w:rsidRPr="00A51567">
        <w:rPr>
          <w:color w:val="000000"/>
        </w:rPr>
        <w:t xml:space="preserve">р, який, крім лізоциму, </w:t>
      </w:r>
      <w:r w:rsidRPr="00A51567">
        <w:t>містить</w:t>
      </w:r>
      <w:r w:rsidRPr="00A51567">
        <w:rPr>
          <w:color w:val="000000"/>
        </w:rPr>
        <w:t xml:space="preserve"> катіонний детергент </w:t>
      </w:r>
      <w:r w:rsidRPr="00A51567">
        <w:t>цетавлон</w:t>
      </w:r>
      <w:r w:rsidRPr="00A51567">
        <w:rPr>
          <w:color w:val="000000"/>
        </w:rPr>
        <w:t xml:space="preserve"> (активатор лізоциму) і </w:t>
      </w:r>
      <w:r w:rsidRPr="00A51567">
        <w:t>овомукоїд</w:t>
      </w:r>
      <w:r w:rsidRPr="00A51567">
        <w:rPr>
          <w:color w:val="000000"/>
        </w:rPr>
        <w:t xml:space="preserve"> (стабілізатор лізоциму)</w:t>
      </w:r>
      <w:r>
        <w:rPr>
          <w:color w:val="000000"/>
        </w:rPr>
        <w:t>, що є</w:t>
      </w:r>
      <w:r w:rsidRPr="00A51567">
        <w:rPr>
          <w:color w:val="000000"/>
        </w:rPr>
        <w:t xml:space="preserve"> інгібітор</w:t>
      </w:r>
      <w:r>
        <w:rPr>
          <w:color w:val="000000"/>
        </w:rPr>
        <w:t>ом</w:t>
      </w:r>
      <w:r w:rsidRPr="00A51567">
        <w:rPr>
          <w:color w:val="000000"/>
        </w:rPr>
        <w:t xml:space="preserve"> </w:t>
      </w:r>
      <w:r w:rsidRPr="00A51567">
        <w:t>протеаз</w:t>
      </w:r>
      <w:r w:rsidRPr="00A51567">
        <w:rPr>
          <w:color w:val="000000"/>
        </w:rPr>
        <w:t xml:space="preserve"> </w:t>
      </w:r>
      <w:r>
        <w:rPr>
          <w:color w:val="000000"/>
        </w:rPr>
        <w:t>і</w:t>
      </w:r>
      <w:r w:rsidRPr="00A51567">
        <w:rPr>
          <w:color w:val="000000"/>
        </w:rPr>
        <w:t>з яєчного білка</w:t>
      </w:r>
      <w:r>
        <w:rPr>
          <w:color w:val="000000"/>
        </w:rPr>
        <w:t>.</w:t>
      </w:r>
      <w:r w:rsidRPr="00A51567">
        <w:rPr>
          <w:color w:val="000000"/>
        </w:rPr>
        <w:t xml:space="preserve"> </w:t>
      </w:r>
    </w:p>
    <w:p w:rsidR="00534FB5" w:rsidRPr="00EC3DD8" w:rsidRDefault="00534FB5" w:rsidP="001A2203">
      <w:pPr>
        <w:ind w:firstLine="709"/>
        <w:contextualSpacing/>
      </w:pPr>
      <w:r>
        <w:t>Таким чином, с</w:t>
      </w:r>
      <w:r w:rsidRPr="00EC3DD8">
        <w:t>хема лікувально-профілактичних заходів у обраного континге</w:t>
      </w:r>
      <w:r>
        <w:t>нту дітей полягала в наступному</w:t>
      </w:r>
      <w:r w:rsidRPr="00EC3DD8">
        <w:t xml:space="preserve">. </w:t>
      </w:r>
      <w:r>
        <w:t>Під час</w:t>
      </w:r>
      <w:r w:rsidRPr="00EC3DD8">
        <w:t xml:space="preserve"> перш</w:t>
      </w:r>
      <w:r>
        <w:t>ого</w:t>
      </w:r>
      <w:r w:rsidRPr="00EC3DD8">
        <w:t xml:space="preserve"> відвідування проводили н</w:t>
      </w:r>
      <w:r w:rsidRPr="00EC3DD8">
        <w:rPr>
          <w:lang w:eastAsia="uk-UA"/>
        </w:rPr>
        <w:t>авчання правил раціональної гігієни порожнини рота з контролем якості засвоєння навичок.</w:t>
      </w:r>
      <w:r w:rsidRPr="00EC3DD8">
        <w:t xml:space="preserve"> </w:t>
      </w:r>
      <w:r>
        <w:t>На</w:t>
      </w:r>
      <w:r w:rsidRPr="00EC3DD8">
        <w:t xml:space="preserve"> д</w:t>
      </w:r>
      <w:r w:rsidRPr="00EC3DD8">
        <w:rPr>
          <w:lang w:eastAsia="uk-UA"/>
        </w:rPr>
        <w:t>руг</w:t>
      </w:r>
      <w:r>
        <w:rPr>
          <w:lang w:eastAsia="uk-UA"/>
        </w:rPr>
        <w:t>ому</w:t>
      </w:r>
      <w:r w:rsidRPr="00EC3DD8">
        <w:rPr>
          <w:lang w:eastAsia="uk-UA"/>
        </w:rPr>
        <w:t xml:space="preserve"> відвідуванн</w:t>
      </w:r>
      <w:r>
        <w:rPr>
          <w:lang w:eastAsia="uk-UA"/>
        </w:rPr>
        <w:t>і</w:t>
      </w:r>
      <w:r w:rsidRPr="00EC3DD8">
        <w:rPr>
          <w:lang w:eastAsia="uk-UA"/>
        </w:rPr>
        <w:t xml:space="preserve"> проводили </w:t>
      </w:r>
      <w:r w:rsidRPr="00CA1CC6">
        <w:rPr>
          <w:spacing w:val="-6"/>
          <w:lang w:eastAsia="uk-UA"/>
        </w:rPr>
        <w:lastRenderedPageBreak/>
        <w:t>професійну гігієну порожнини рота (</w:t>
      </w:r>
      <w:r w:rsidRPr="00CA1CC6">
        <w:rPr>
          <w:spacing w:val="-6"/>
        </w:rPr>
        <w:t xml:space="preserve">видалення зубного каменю ручним та п’єзоелектричним способом після попередньої візуалізації зубних нашарувань шляхом їх забарвлення та з наступним </w:t>
      </w:r>
      <w:r w:rsidRPr="00CA1CC6">
        <w:rPr>
          <w:rStyle w:val="a9"/>
          <w:i w:val="0"/>
          <w:color w:val="000000"/>
          <w:spacing w:val="-6"/>
        </w:rPr>
        <w:t>поліруванням поверхонь зубів і пломб загальноприйнятими методами,</w:t>
      </w:r>
      <w:r w:rsidRPr="00CA1CC6">
        <w:rPr>
          <w:rStyle w:val="a9"/>
          <w:color w:val="000000"/>
          <w:spacing w:val="-6"/>
        </w:rPr>
        <w:t xml:space="preserve"> </w:t>
      </w:r>
      <w:r w:rsidRPr="00CA1CC6">
        <w:rPr>
          <w:spacing w:val="-6"/>
        </w:rPr>
        <w:t>покриттям зубів однокомпонентним фторвмісним лаком Ftoroplen (Латус, Харків; ТУ У 24.4-24274506-015:2007; Свідоцтво про державну реєстрацію № 14663/2015). Т</w:t>
      </w:r>
      <w:r w:rsidRPr="00CA1CC6">
        <w:rPr>
          <w:spacing w:val="-6"/>
          <w:lang w:eastAsia="uk-UA"/>
        </w:rPr>
        <w:t xml:space="preserve">ретє </w:t>
      </w:r>
      <w:r w:rsidR="00922B21" w:rsidRPr="00CA1CC6">
        <w:rPr>
          <w:spacing w:val="-6"/>
          <w:lang w:eastAsia="uk-UA"/>
        </w:rPr>
        <w:t>та всі наступні відвідування були присвячені</w:t>
      </w:r>
      <w:r w:rsidRPr="00CA1CC6">
        <w:rPr>
          <w:spacing w:val="-6"/>
          <w:lang w:eastAsia="uk-UA"/>
        </w:rPr>
        <w:t xml:space="preserve"> санації порожнини р</w:t>
      </w:r>
      <w:r w:rsidR="003B0C8E" w:rsidRPr="00CA1CC6">
        <w:rPr>
          <w:spacing w:val="-6"/>
          <w:lang w:eastAsia="uk-UA"/>
        </w:rPr>
        <w:t>ота й герметизації інтактних фіс</w:t>
      </w:r>
      <w:r w:rsidRPr="00CA1CC6">
        <w:rPr>
          <w:spacing w:val="-6"/>
          <w:lang w:eastAsia="uk-UA"/>
        </w:rPr>
        <w:t xml:space="preserve">ур постійних молярів та премолярів стоматологічним герметиком хімічного затвердіння </w:t>
      </w:r>
      <w:r w:rsidRPr="00CA1CC6">
        <w:rPr>
          <w:spacing w:val="-6"/>
        </w:rPr>
        <w:t>Dentalex-</w:t>
      </w:r>
      <w:smartTag w:uri="urn:schemas-microsoft-com:office:smarttags" w:element="metricconverter">
        <w:smartTagPr>
          <w:attr w:name="ProductID" w:val="21 F"/>
        </w:smartTagPr>
        <w:r w:rsidRPr="00CA1CC6">
          <w:rPr>
            <w:spacing w:val="-6"/>
          </w:rPr>
          <w:t>21 F</w:t>
        </w:r>
      </w:smartTag>
      <w:r w:rsidRPr="00CA1CC6">
        <w:rPr>
          <w:spacing w:val="-6"/>
        </w:rPr>
        <w:t xml:space="preserve"> (Латус, Харків; ТУ У 24.4-24274506-011-2004; Свідоцтво про державну реєстрацію № 14663/2015).</w:t>
      </w:r>
      <w:r w:rsidRPr="00EC3DD8">
        <w:t xml:space="preserve"> </w:t>
      </w:r>
    </w:p>
    <w:p w:rsidR="00534FB5" w:rsidRPr="001309DA" w:rsidRDefault="00534FB5" w:rsidP="001309DA">
      <w:pPr>
        <w:ind w:firstLine="567"/>
        <w:rPr>
          <w:spacing w:val="-20"/>
        </w:rPr>
      </w:pPr>
      <w:r>
        <w:rPr>
          <w:lang w:eastAsia="uk-UA"/>
        </w:rPr>
        <w:t>Далі дітям груп ОГ1а, ОГ2а,</w:t>
      </w:r>
      <w:r w:rsidR="00B278D7">
        <w:rPr>
          <w:lang w:eastAsia="uk-UA"/>
        </w:rPr>
        <w:t xml:space="preserve"> </w:t>
      </w:r>
      <w:r>
        <w:rPr>
          <w:lang w:eastAsia="uk-UA"/>
        </w:rPr>
        <w:t>ОГ3а</w:t>
      </w:r>
      <w:r w:rsidRPr="00EC3DD8">
        <w:rPr>
          <w:lang w:eastAsia="uk-UA"/>
        </w:rPr>
        <w:t xml:space="preserve"> було</w:t>
      </w:r>
      <w:r>
        <w:rPr>
          <w:lang w:eastAsia="uk-UA"/>
        </w:rPr>
        <w:t xml:space="preserve"> призначено традиційну схему лікувально-профілактичних заходів</w:t>
      </w:r>
      <w:r w:rsidR="001309DA">
        <w:rPr>
          <w:lang w:eastAsia="uk-UA"/>
        </w:rPr>
        <w:t xml:space="preserve"> </w:t>
      </w:r>
      <w:r w:rsidR="001309DA" w:rsidRPr="001309DA">
        <w:rPr>
          <w:spacing w:val="-20"/>
        </w:rPr>
        <w:t>(</w:t>
      </w:r>
      <w:r w:rsidR="001309DA" w:rsidRPr="001309DA">
        <w:t>протягом 30-ти днів з повторним використанням через 5 та 11 місяців)</w:t>
      </w:r>
      <w:r w:rsidRPr="001309DA">
        <w:rPr>
          <w:lang w:eastAsia="uk-UA"/>
        </w:rPr>
        <w:t>, яка включала</w:t>
      </w:r>
      <w:r w:rsidR="00A60596">
        <w:rPr>
          <w:lang w:eastAsia="uk-UA"/>
        </w:rPr>
        <w:t xml:space="preserve"> наступне.</w:t>
      </w:r>
    </w:p>
    <w:p w:rsidR="00534FB5" w:rsidRDefault="00534FB5" w:rsidP="00241AE3">
      <w:pPr>
        <w:numPr>
          <w:ilvl w:val="0"/>
          <w:numId w:val="6"/>
        </w:numPr>
        <w:ind w:left="0" w:firstLine="0"/>
        <w:contextualSpacing/>
        <w:rPr>
          <w:lang w:eastAsia="uk-UA"/>
        </w:rPr>
      </w:pPr>
      <w:r>
        <w:rPr>
          <w:bCs/>
          <w:lang w:eastAsia="uk-UA"/>
        </w:rPr>
        <w:t>Щ</w:t>
      </w:r>
      <w:r w:rsidRPr="00A15D71">
        <w:rPr>
          <w:bCs/>
          <w:lang w:eastAsia="uk-UA"/>
        </w:rPr>
        <w:t>оденний догляд за зубами</w:t>
      </w:r>
      <w:r w:rsidRPr="00A15D71">
        <w:rPr>
          <w:lang w:eastAsia="uk-UA"/>
        </w:rPr>
        <w:t xml:space="preserve">, </w:t>
      </w:r>
      <w:r>
        <w:rPr>
          <w:lang w:eastAsia="uk-UA"/>
        </w:rPr>
        <w:t>дворазове чищення</w:t>
      </w:r>
      <w:r w:rsidRPr="00A15D71">
        <w:rPr>
          <w:lang w:eastAsia="uk-UA"/>
        </w:rPr>
        <w:t xml:space="preserve"> зубів за допомогою мануальної зубної щітки (розмір </w:t>
      </w:r>
      <w:r>
        <w:rPr>
          <w:lang w:eastAsia="uk-UA"/>
        </w:rPr>
        <w:t>до</w:t>
      </w:r>
      <w:r w:rsidRPr="00A15D71">
        <w:rPr>
          <w:lang w:eastAsia="uk-UA"/>
        </w:rPr>
        <w:t>бира</w:t>
      </w:r>
      <w:r>
        <w:rPr>
          <w:lang w:eastAsia="uk-UA"/>
        </w:rPr>
        <w:t>вся</w:t>
      </w:r>
      <w:r w:rsidRPr="00A15D71">
        <w:rPr>
          <w:lang w:eastAsia="uk-UA"/>
        </w:rPr>
        <w:t xml:space="preserve"> </w:t>
      </w:r>
      <w:r>
        <w:rPr>
          <w:lang w:eastAsia="uk-UA"/>
        </w:rPr>
        <w:t>відповідно до віку</w:t>
      </w:r>
      <w:r w:rsidRPr="00A15D71">
        <w:rPr>
          <w:lang w:eastAsia="uk-UA"/>
        </w:rPr>
        <w:t xml:space="preserve">) та дитячої зубної пасти з амінофторидом (вміст </w:t>
      </w:r>
      <w:r>
        <w:rPr>
          <w:lang w:eastAsia="uk-UA"/>
        </w:rPr>
        <w:t>і</w:t>
      </w:r>
      <w:r w:rsidRPr="00A15D71">
        <w:rPr>
          <w:lang w:eastAsia="uk-UA"/>
        </w:rPr>
        <w:t>онів фтору 500</w:t>
      </w:r>
      <w:r>
        <w:rPr>
          <w:lang w:eastAsia="uk-UA"/>
        </w:rPr>
        <w:t> </w:t>
      </w:r>
      <w:r w:rsidRPr="00A15D71">
        <w:rPr>
          <w:lang w:eastAsia="uk-UA"/>
        </w:rPr>
        <w:t>млн−1) для дітей від 4</w:t>
      </w:r>
      <w:r>
        <w:rPr>
          <w:lang w:eastAsia="uk-UA"/>
        </w:rPr>
        <w:t>-х</w:t>
      </w:r>
      <w:r w:rsidRPr="00A15D71">
        <w:rPr>
          <w:lang w:eastAsia="uk-UA"/>
        </w:rPr>
        <w:t xml:space="preserve"> до 8</w:t>
      </w:r>
      <w:r>
        <w:rPr>
          <w:lang w:eastAsia="uk-UA"/>
        </w:rPr>
        <w:t>-ми</w:t>
      </w:r>
      <w:r w:rsidRPr="00A15D71">
        <w:rPr>
          <w:lang w:eastAsia="uk-UA"/>
        </w:rPr>
        <w:t xml:space="preserve"> років та дитячої зубної пасти з амінофторидом та фторидом натрію (вміст </w:t>
      </w:r>
      <w:r>
        <w:rPr>
          <w:lang w:eastAsia="uk-UA"/>
        </w:rPr>
        <w:t>і</w:t>
      </w:r>
      <w:r w:rsidRPr="00A15D71">
        <w:rPr>
          <w:lang w:eastAsia="uk-UA"/>
        </w:rPr>
        <w:t>онів фтору 1400</w:t>
      </w:r>
      <w:r>
        <w:rPr>
          <w:lang w:eastAsia="uk-UA"/>
        </w:rPr>
        <w:t> </w:t>
      </w:r>
      <w:r w:rsidRPr="00A15D71">
        <w:rPr>
          <w:lang w:eastAsia="uk-UA"/>
        </w:rPr>
        <w:t>млн−1) для дітей від 8</w:t>
      </w:r>
      <w:r>
        <w:rPr>
          <w:lang w:eastAsia="uk-UA"/>
        </w:rPr>
        <w:t>-ми</w:t>
      </w:r>
      <w:r w:rsidRPr="00A15D71">
        <w:rPr>
          <w:lang w:eastAsia="uk-UA"/>
        </w:rPr>
        <w:t xml:space="preserve"> років.</w:t>
      </w:r>
      <w:r>
        <w:rPr>
          <w:lang w:eastAsia="uk-UA"/>
        </w:rPr>
        <w:t xml:space="preserve"> </w:t>
      </w:r>
    </w:p>
    <w:p w:rsidR="00534FB5" w:rsidRPr="0013707C" w:rsidRDefault="00534FB5" w:rsidP="00241AE3">
      <w:pPr>
        <w:numPr>
          <w:ilvl w:val="0"/>
          <w:numId w:val="6"/>
        </w:numPr>
        <w:ind w:left="0" w:firstLine="0"/>
        <w:contextualSpacing/>
        <w:rPr>
          <w:spacing w:val="-4"/>
          <w:lang w:eastAsia="uk-UA"/>
        </w:rPr>
      </w:pPr>
      <w:r w:rsidRPr="0013707C">
        <w:rPr>
          <w:bCs/>
          <w:spacing w:val="-4"/>
          <w:lang w:eastAsia="uk-UA"/>
        </w:rPr>
        <w:t>Ополіскування порожнини рота</w:t>
      </w:r>
      <w:r w:rsidRPr="0013707C">
        <w:rPr>
          <w:spacing w:val="-4"/>
          <w:lang w:eastAsia="uk-UA"/>
        </w:rPr>
        <w:t xml:space="preserve"> після чищення зубів дитячим ополіскувачем для порожнини рота з екстрактом алое вера (без вмісту етилового спирту) для дітей від 3-х років та дитячим ополіскувачем для порожнини рота з амінофторидом та фторидом натрію для дітей від 8-ми років. </w:t>
      </w:r>
    </w:p>
    <w:p w:rsidR="00534FB5" w:rsidRDefault="00534FB5" w:rsidP="00241AE3">
      <w:pPr>
        <w:numPr>
          <w:ilvl w:val="0"/>
          <w:numId w:val="6"/>
        </w:numPr>
        <w:ind w:left="0" w:firstLine="0"/>
        <w:contextualSpacing/>
        <w:rPr>
          <w:lang w:eastAsia="uk-UA"/>
        </w:rPr>
      </w:pPr>
      <w:r w:rsidRPr="00A15D71">
        <w:rPr>
          <w:bCs/>
          <w:lang w:eastAsia="uk-UA"/>
        </w:rPr>
        <w:t>Розжовування</w:t>
      </w:r>
      <w:r w:rsidRPr="00A15D71">
        <w:rPr>
          <w:b/>
          <w:bCs/>
          <w:lang w:eastAsia="uk-UA"/>
        </w:rPr>
        <w:t xml:space="preserve"> </w:t>
      </w:r>
      <w:r w:rsidRPr="00A15D71">
        <w:rPr>
          <w:lang w:eastAsia="uk-UA"/>
        </w:rPr>
        <w:t>по 1</w:t>
      </w:r>
      <w:r>
        <w:rPr>
          <w:lang w:eastAsia="uk-UA"/>
        </w:rPr>
        <w:t>-й</w:t>
      </w:r>
      <w:r w:rsidRPr="00A15D71">
        <w:rPr>
          <w:lang w:eastAsia="uk-UA"/>
        </w:rPr>
        <w:t xml:space="preserve"> таблетці препарату, до складу якого входять вітаміни (С, B</w:t>
      </w:r>
      <w:r w:rsidRPr="00A15D71">
        <w:rPr>
          <w:vertAlign w:val="subscript"/>
          <w:lang w:eastAsia="uk-UA"/>
        </w:rPr>
        <w:t xml:space="preserve">6, </w:t>
      </w:r>
      <w:r w:rsidRPr="00A15D71">
        <w:rPr>
          <w:lang w:eastAsia="uk-UA"/>
        </w:rPr>
        <w:t>А, D</w:t>
      </w:r>
      <w:r w:rsidRPr="00A15D71">
        <w:rPr>
          <w:vertAlign w:val="subscript"/>
          <w:lang w:eastAsia="uk-UA"/>
        </w:rPr>
        <w:t>3</w:t>
      </w:r>
      <w:r w:rsidRPr="00A15D71">
        <w:rPr>
          <w:lang w:eastAsia="uk-UA"/>
        </w:rPr>
        <w:t>) в комбінації з мікроелементами (кальцій, фосфор) два рази на день після ї</w:t>
      </w:r>
      <w:r>
        <w:rPr>
          <w:lang w:eastAsia="uk-UA"/>
        </w:rPr>
        <w:t>ди</w:t>
      </w:r>
      <w:r w:rsidRPr="00A15D71">
        <w:rPr>
          <w:lang w:eastAsia="uk-UA"/>
        </w:rPr>
        <w:t xml:space="preserve">. </w:t>
      </w:r>
    </w:p>
    <w:p w:rsidR="00534FB5" w:rsidRPr="001309DA" w:rsidRDefault="00534FB5" w:rsidP="00D703E5">
      <w:pPr>
        <w:ind w:firstLine="567"/>
      </w:pPr>
      <w:r w:rsidRPr="001309DA">
        <w:t xml:space="preserve">Дітям із вродженою глухотою </w:t>
      </w:r>
      <w:r w:rsidRPr="001309DA">
        <w:rPr>
          <w:lang w:eastAsia="uk-UA"/>
        </w:rPr>
        <w:t xml:space="preserve">ОГ1б, ОГ2б, ОГ3б </w:t>
      </w:r>
      <w:r w:rsidRPr="001309DA">
        <w:t xml:space="preserve">з метою підвищення ефективності профілактики та лікування карієсу зубів і захворювань тканин пародонта призначено запропонований комплекс </w:t>
      </w:r>
      <w:r w:rsidR="00D703E5" w:rsidRPr="001309DA">
        <w:rPr>
          <w:bCs/>
          <w:color w:val="221122"/>
          <w:kern w:val="36"/>
          <w:lang w:eastAsia="uk-UA"/>
        </w:rPr>
        <w:t xml:space="preserve"> (патент на корисну модель </w:t>
      </w:r>
      <w:r w:rsidR="00D703E5" w:rsidRPr="001309DA">
        <w:rPr>
          <w:bCs/>
          <w:color w:val="221122"/>
          <w:kern w:val="36"/>
          <w:lang w:val="en-US" w:eastAsia="uk-UA"/>
        </w:rPr>
        <w:t>UA</w:t>
      </w:r>
      <w:r w:rsidR="00D703E5" w:rsidRPr="001309DA">
        <w:rPr>
          <w:bCs/>
          <w:color w:val="221122"/>
          <w:kern w:val="36"/>
          <w:lang w:eastAsia="uk-UA"/>
        </w:rPr>
        <w:t xml:space="preserve"> № </w:t>
      </w:r>
      <w:r w:rsidR="00D703E5" w:rsidRPr="001309DA">
        <w:t>90217</w:t>
      </w:r>
      <w:r w:rsidR="00D43CD6">
        <w:t xml:space="preserve"> від 12.05.2014</w:t>
      </w:r>
      <w:r w:rsidR="00D703E5" w:rsidRPr="001309DA">
        <w:rPr>
          <w:bCs/>
          <w:color w:val="221122"/>
          <w:kern w:val="36"/>
          <w:lang w:eastAsia="uk-UA"/>
        </w:rPr>
        <w:t>)</w:t>
      </w:r>
      <w:r w:rsidR="00D703E5" w:rsidRPr="001309DA">
        <w:t xml:space="preserve">  </w:t>
      </w:r>
      <w:r w:rsidRPr="001309DA">
        <w:t xml:space="preserve">(протягом 30-ти днів з повторним </w:t>
      </w:r>
      <w:r w:rsidRPr="001309DA">
        <w:lastRenderedPageBreak/>
        <w:t>використанням через 5 та 11 місяців), що включав:</w:t>
      </w:r>
    </w:p>
    <w:p w:rsidR="00534FB5" w:rsidRDefault="00534FB5" w:rsidP="00241AE3">
      <w:pPr>
        <w:numPr>
          <w:ilvl w:val="0"/>
          <w:numId w:val="5"/>
        </w:numPr>
        <w:ind w:left="0" w:firstLine="0"/>
      </w:pPr>
      <w:r>
        <w:rPr>
          <w:lang w:eastAsia="uk-UA"/>
        </w:rPr>
        <w:t>Д</w:t>
      </w:r>
      <w:r w:rsidRPr="00EC3DD8">
        <w:rPr>
          <w:lang w:eastAsia="uk-UA"/>
        </w:rPr>
        <w:t>воразов</w:t>
      </w:r>
      <w:r>
        <w:rPr>
          <w:lang w:eastAsia="uk-UA"/>
        </w:rPr>
        <w:t>е</w:t>
      </w:r>
      <w:r w:rsidRPr="00EC3DD8">
        <w:rPr>
          <w:lang w:eastAsia="uk-UA"/>
        </w:rPr>
        <w:t xml:space="preserve"> чи</w:t>
      </w:r>
      <w:r>
        <w:rPr>
          <w:lang w:eastAsia="uk-UA"/>
        </w:rPr>
        <w:t>щення</w:t>
      </w:r>
      <w:r w:rsidRPr="00EC3DD8">
        <w:rPr>
          <w:lang w:eastAsia="uk-UA"/>
        </w:rPr>
        <w:t xml:space="preserve"> зубів за допомогою мануальної з</w:t>
      </w:r>
      <w:r>
        <w:rPr>
          <w:lang w:eastAsia="uk-UA"/>
        </w:rPr>
        <w:t>убної щітки (розмір добирався</w:t>
      </w:r>
      <w:r w:rsidRPr="00EC3DD8">
        <w:rPr>
          <w:lang w:eastAsia="uk-UA"/>
        </w:rPr>
        <w:t xml:space="preserve"> </w:t>
      </w:r>
      <w:r>
        <w:rPr>
          <w:lang w:eastAsia="uk-UA"/>
        </w:rPr>
        <w:t>відповідно до</w:t>
      </w:r>
      <w:r w:rsidRPr="00EC3DD8">
        <w:rPr>
          <w:lang w:eastAsia="uk-UA"/>
        </w:rPr>
        <w:t xml:space="preserve"> вік</w:t>
      </w:r>
      <w:r>
        <w:rPr>
          <w:lang w:eastAsia="uk-UA"/>
        </w:rPr>
        <w:t>у</w:t>
      </w:r>
      <w:r w:rsidRPr="00EC3DD8">
        <w:rPr>
          <w:lang w:eastAsia="uk-UA"/>
        </w:rPr>
        <w:t>)</w:t>
      </w:r>
      <w:r>
        <w:rPr>
          <w:lang w:eastAsia="uk-UA"/>
        </w:rPr>
        <w:t>,</w:t>
      </w:r>
      <w:r>
        <w:t xml:space="preserve"> </w:t>
      </w:r>
      <w:r>
        <w:rPr>
          <w:lang w:eastAsia="uk-UA"/>
        </w:rPr>
        <w:t>щоденне</w:t>
      </w:r>
      <w:r w:rsidRPr="00281617">
        <w:rPr>
          <w:lang w:eastAsia="uk-UA"/>
        </w:rPr>
        <w:t xml:space="preserve"> </w:t>
      </w:r>
      <w:r>
        <w:rPr>
          <w:lang w:eastAsia="uk-UA"/>
        </w:rPr>
        <w:t xml:space="preserve">використання </w:t>
      </w:r>
      <w:r w:rsidRPr="00281617">
        <w:t>дитячої</w:t>
      </w:r>
      <w:r>
        <w:t xml:space="preserve"> зубної пасти з амінофторидом (у</w:t>
      </w:r>
      <w:r w:rsidRPr="00281617">
        <w:t xml:space="preserve">міст іонів фтору </w:t>
      </w:r>
      <w:r>
        <w:t> </w:t>
      </w:r>
      <w:r w:rsidRPr="00281617">
        <w:t>500</w:t>
      </w:r>
      <w:r>
        <w:t> </w:t>
      </w:r>
      <w:r w:rsidRPr="00281617">
        <w:t>млн−1) для дітей від 4</w:t>
      </w:r>
      <w:r>
        <w:t>-х</w:t>
      </w:r>
      <w:r w:rsidRPr="00281617">
        <w:t xml:space="preserve"> до </w:t>
      </w:r>
      <w:r w:rsidR="00D30B7B">
        <w:t xml:space="preserve">   </w:t>
      </w:r>
      <w:r w:rsidRPr="00281617">
        <w:t>8</w:t>
      </w:r>
      <w:r>
        <w:t>-ми</w:t>
      </w:r>
      <w:r w:rsidRPr="00281617">
        <w:t xml:space="preserve"> років та дитячої зубної пасти з амінофторидом та фторидом натрію (вміст іонів фтору 14</w:t>
      </w:r>
      <w:r>
        <w:t>00 млн−1) для дітей від 8-ми років.</w:t>
      </w:r>
    </w:p>
    <w:p w:rsidR="00534FB5" w:rsidRDefault="00534FB5" w:rsidP="00ED3810">
      <w:pPr>
        <w:numPr>
          <w:ilvl w:val="0"/>
          <w:numId w:val="5"/>
        </w:numPr>
        <w:ind w:left="0" w:firstLine="0"/>
      </w:pPr>
      <w:r>
        <w:rPr>
          <w:lang w:eastAsia="uk-UA"/>
        </w:rPr>
        <w:t>Р</w:t>
      </w:r>
      <w:r w:rsidRPr="00281617">
        <w:rPr>
          <w:lang w:eastAsia="uk-UA"/>
        </w:rPr>
        <w:t>озсмоктування</w:t>
      </w:r>
      <w:r w:rsidR="004941E5">
        <w:rPr>
          <w:lang w:eastAsia="uk-UA"/>
        </w:rPr>
        <w:t xml:space="preserve"> по 1-й таблетці 3 рази на добу після їжі</w:t>
      </w:r>
      <w:r w:rsidRPr="00281617">
        <w:rPr>
          <w:lang w:eastAsia="uk-UA"/>
        </w:rPr>
        <w:t xml:space="preserve"> комплексного препарату, до складу якого входить біоадаптоген біотрит, аскорбінова кислота, лецитин, натрій фтористий, </w:t>
      </w:r>
      <w:r w:rsidRPr="00281617">
        <w:t>солі</w:t>
      </w:r>
      <w:r>
        <w:t xml:space="preserve"> кальцію, цитрат, цетавлон, цукро</w:t>
      </w:r>
      <w:r w:rsidRPr="00281617">
        <w:t>замінник</w:t>
      </w:r>
      <w:r>
        <w:t xml:space="preserve"> </w:t>
      </w:r>
      <w:r w:rsidR="00ED3810">
        <w:t>(</w:t>
      </w:r>
      <w:r w:rsidR="00ED3810" w:rsidRPr="00ED3810">
        <w:rPr>
          <w:bCs/>
          <w:shd w:val="clear" w:color="auto" w:fill="FFFFFF"/>
        </w:rPr>
        <w:t xml:space="preserve">Санітарно-епідеміологічний висновок </w:t>
      </w:r>
      <w:r w:rsidR="00ED3810" w:rsidRPr="00ED3810">
        <w:rPr>
          <w:rStyle w:val="aff"/>
          <w:b w:val="0"/>
        </w:rPr>
        <w:t xml:space="preserve">№ 05.03.02-06/29307 від 30.04.2010 р., </w:t>
      </w:r>
      <w:r w:rsidR="00ED3810" w:rsidRPr="00ED3810">
        <w:t>ТУУ 013903778-45-97</w:t>
      </w:r>
      <w:r w:rsidR="00ED3810">
        <w:t>).</w:t>
      </w:r>
    </w:p>
    <w:p w:rsidR="00ED3810" w:rsidRDefault="00534FB5" w:rsidP="001309DA">
      <w:pPr>
        <w:numPr>
          <w:ilvl w:val="0"/>
          <w:numId w:val="5"/>
        </w:numPr>
        <w:ind w:left="0" w:firstLine="0"/>
      </w:pPr>
      <w:r>
        <w:rPr>
          <w:lang w:eastAsia="uk-UA"/>
        </w:rPr>
        <w:t>О</w:t>
      </w:r>
      <w:r w:rsidRPr="00281617">
        <w:rPr>
          <w:lang w:eastAsia="uk-UA"/>
        </w:rPr>
        <w:t>поліскування порожнини рота лікувально-профілактичним зубним еліксиром, до складу якого входять лізоцим, детергент ц</w:t>
      </w:r>
      <w:r w:rsidR="00EB6AE8">
        <w:rPr>
          <w:lang w:eastAsia="uk-UA"/>
        </w:rPr>
        <w:t>е</w:t>
      </w:r>
      <w:r w:rsidRPr="00281617">
        <w:rPr>
          <w:lang w:eastAsia="uk-UA"/>
        </w:rPr>
        <w:t>тавлон</w:t>
      </w:r>
      <w:r>
        <w:rPr>
          <w:lang w:eastAsia="uk-UA"/>
        </w:rPr>
        <w:t xml:space="preserve"> </w:t>
      </w:r>
      <w:r w:rsidRPr="00281617">
        <w:rPr>
          <w:lang w:eastAsia="uk-UA"/>
        </w:rPr>
        <w:t>та інгібітор пр</w:t>
      </w:r>
      <w:r w:rsidRPr="001B6ADB">
        <w:rPr>
          <w:lang w:eastAsia="uk-UA"/>
        </w:rPr>
        <w:t>отеаз овомукоїд</w:t>
      </w:r>
      <w:r w:rsidR="00BA7B70">
        <w:rPr>
          <w:lang w:eastAsia="uk-UA"/>
        </w:rPr>
        <w:t xml:space="preserve"> (</w:t>
      </w:r>
      <w:r w:rsidR="001309DA">
        <w:t>Д</w:t>
      </w:r>
      <w:r w:rsidR="001309DA" w:rsidRPr="00EC3DD8">
        <w:t>озвіл МОЗ України №</w:t>
      </w:r>
      <w:r w:rsidR="001309DA">
        <w:t> </w:t>
      </w:r>
      <w:r w:rsidR="004941E5">
        <w:t>05.03.02-04/29065 від </w:t>
      </w:r>
      <w:r w:rsidR="001309DA" w:rsidRPr="00EC3DD8">
        <w:t>04.07.2005</w:t>
      </w:r>
      <w:r w:rsidR="001309DA">
        <w:t xml:space="preserve"> р., </w:t>
      </w:r>
      <w:r w:rsidR="004941E5">
        <w:t>ТУ</w:t>
      </w:r>
      <w:r w:rsidR="001309DA">
        <w:t>У 24.5-13903778-37-2005</w:t>
      </w:r>
      <w:r w:rsidR="00BA7B70">
        <w:rPr>
          <w:lang w:eastAsia="uk-UA"/>
        </w:rPr>
        <w:t>)</w:t>
      </w:r>
      <w:r w:rsidRPr="001B6ADB">
        <w:t>.</w:t>
      </w:r>
      <w:r w:rsidR="004941E5">
        <w:t xml:space="preserve"> </w:t>
      </w:r>
      <w:r w:rsidR="00D703E5">
        <w:t>Е</w:t>
      </w:r>
      <w:r>
        <w:t>ліксир розводил</w:t>
      </w:r>
      <w:r w:rsidRPr="00EC3DD8">
        <w:t>и водопровідною водою із розрахунку 1</w:t>
      </w:r>
      <w:r>
        <w:t> </w:t>
      </w:r>
      <w:r w:rsidRPr="00EC3DD8">
        <w:t>чайна ложка еліксиру на ¼</w:t>
      </w:r>
      <w:r>
        <w:t> </w:t>
      </w:r>
      <w:r w:rsidRPr="00EC3DD8">
        <w:t>склянки води (1:10) з частотою</w:t>
      </w:r>
      <w:r>
        <w:t xml:space="preserve"> </w:t>
      </w:r>
      <w:r w:rsidRPr="00EC3DD8">
        <w:t>ополіскування протягом 60</w:t>
      </w:r>
      <w:r>
        <w:t>-ти</w:t>
      </w:r>
      <w:r w:rsidRPr="00EC3DD8">
        <w:t xml:space="preserve"> с</w:t>
      </w:r>
      <w:r w:rsidR="00BA7B70">
        <w:t>екунд 3 рази на добу</w:t>
      </w:r>
      <w:r w:rsidRPr="00EC3DD8">
        <w:t xml:space="preserve">. </w:t>
      </w:r>
    </w:p>
    <w:p w:rsidR="00534FB5" w:rsidRPr="00EC3DD8" w:rsidRDefault="00534FB5" w:rsidP="00534FB5">
      <w:pPr>
        <w:pStyle w:val="af1"/>
        <w:spacing w:after="0"/>
        <w:ind w:firstLine="709"/>
        <w:contextualSpacing/>
        <w:jc w:val="both"/>
        <w:rPr>
          <w:b/>
          <w:shd w:val="clear" w:color="auto" w:fill="FFFFFF"/>
        </w:rPr>
      </w:pPr>
      <w:r w:rsidRPr="00EC3DD8">
        <w:rPr>
          <w:b/>
          <w:shd w:val="clear" w:color="auto" w:fill="FFFFFF"/>
        </w:rPr>
        <w:t>2.3.5. Статистичні методи дослідження</w:t>
      </w:r>
    </w:p>
    <w:p w:rsidR="00534FB5" w:rsidRPr="00EC3DD8" w:rsidRDefault="00534FB5" w:rsidP="00534FB5">
      <w:pPr>
        <w:ind w:firstLine="709"/>
        <w:contextualSpacing/>
        <w:rPr>
          <w:rFonts w:eastAsia="TimesNewRomanPSMT"/>
        </w:rPr>
      </w:pPr>
      <w:r w:rsidRPr="00EC3DD8">
        <w:t xml:space="preserve">Статистичну обробку результатів досліджень проводили за допомогою пакету програм </w:t>
      </w:r>
      <w:r>
        <w:rPr>
          <w:rFonts w:eastAsia="TimesNewRomanPSMT"/>
        </w:rPr>
        <w:t>«Statisticа </w:t>
      </w:r>
      <w:r w:rsidRPr="00EC3DD8">
        <w:rPr>
          <w:rFonts w:eastAsia="TimesNewRomanPSMT"/>
        </w:rPr>
        <w:t>8.0». Розраховували середньоарифметичне значення кількісних показників, представлених у тексті у вигляді (М±</w:t>
      </w:r>
      <w:bookmarkStart w:id="6" w:name="OLE_LINK1"/>
      <w:r w:rsidRPr="00EC3DD8">
        <w:rPr>
          <w:rFonts w:eastAsia="TimesNewRomanPSMT"/>
        </w:rPr>
        <w:t>m</w:t>
      </w:r>
      <w:bookmarkEnd w:id="6"/>
      <w:r w:rsidRPr="00EC3DD8">
        <w:rPr>
          <w:rFonts w:eastAsia="TimesNewRomanPSMT"/>
        </w:rPr>
        <w:t xml:space="preserve">), де М – вибіркове середнє, m – похибка середнього. Результати опису якісних показників (частота вилучення) виражали у </w:t>
      </w:r>
      <w:r>
        <w:rPr>
          <w:rFonts w:eastAsia="TimesNewRomanPSMT"/>
        </w:rPr>
        <w:t>відсотков</w:t>
      </w:r>
      <w:r w:rsidRPr="00EC3DD8">
        <w:rPr>
          <w:rFonts w:eastAsia="TimesNewRomanPSMT"/>
        </w:rPr>
        <w:t xml:space="preserve">ому співвідношенні. У всіх процедурах статистичного аналізу розраховувався досягнутий рівень значимості (р), при цьому критичний рівень значимості у </w:t>
      </w:r>
      <w:r>
        <w:rPr>
          <w:rFonts w:eastAsia="TimesNewRomanPSMT"/>
        </w:rPr>
        <w:t>ць</w:t>
      </w:r>
      <w:r w:rsidRPr="00EC3DD8">
        <w:rPr>
          <w:rFonts w:eastAsia="TimesNewRomanPSMT"/>
        </w:rPr>
        <w:t xml:space="preserve">ому дослідженні приймався </w:t>
      </w:r>
      <w:r>
        <w:rPr>
          <w:rFonts w:eastAsia="TimesNewRomanPSMT"/>
        </w:rPr>
        <w:t xml:space="preserve">як </w:t>
      </w:r>
      <w:r w:rsidRPr="00EC3DD8">
        <w:rPr>
          <w:rFonts w:eastAsia="TimesNewRomanPSMT"/>
        </w:rPr>
        <w:t>рівни</w:t>
      </w:r>
      <w:r>
        <w:rPr>
          <w:rFonts w:eastAsia="TimesNewRomanPSMT"/>
        </w:rPr>
        <w:t>й </w:t>
      </w:r>
      <w:r w:rsidRPr="00EC3DD8">
        <w:rPr>
          <w:rFonts w:eastAsia="TimesNewRomanPSMT"/>
        </w:rPr>
        <w:t>0,05. Перевірку гіпотези про рівність генеральних середніх у двох групах, що порівнювалис</w:t>
      </w:r>
      <w:r>
        <w:rPr>
          <w:rFonts w:eastAsia="TimesNewRomanPSMT"/>
        </w:rPr>
        <w:t>я</w:t>
      </w:r>
      <w:r w:rsidRPr="00EC3DD8">
        <w:rPr>
          <w:rFonts w:eastAsia="TimesNewRomanPSMT"/>
        </w:rPr>
        <w:t>, проводили за допомогою непараметричного критерію Вілкоксона</w:t>
      </w:r>
      <w:r>
        <w:rPr>
          <w:rFonts w:eastAsia="TimesNewRomanPSMT"/>
        </w:rPr>
        <w:t>–</w:t>
      </w:r>
      <w:r w:rsidRPr="00EC3DD8">
        <w:rPr>
          <w:rFonts w:eastAsia="TimesNewRomanPSMT"/>
        </w:rPr>
        <w:t>Манна</w:t>
      </w:r>
      <w:r>
        <w:rPr>
          <w:rFonts w:eastAsia="TimesNewRomanPSMT"/>
        </w:rPr>
        <w:t>–В</w:t>
      </w:r>
      <w:r w:rsidRPr="00EC3DD8">
        <w:rPr>
          <w:rFonts w:eastAsia="TimesNewRomanPSMT"/>
        </w:rPr>
        <w:t xml:space="preserve">ітні для незалежних вибірок, </w:t>
      </w:r>
      <w:r>
        <w:rPr>
          <w:rFonts w:eastAsia="TimesNewRomanPSMT"/>
        </w:rPr>
        <w:t>відсотков</w:t>
      </w:r>
      <w:r w:rsidRPr="00EC3DD8">
        <w:rPr>
          <w:rFonts w:eastAsia="TimesNewRomanPSMT"/>
        </w:rPr>
        <w:t xml:space="preserve">і співвідношення – за допомогою критерію χ-квадрат. </w:t>
      </w:r>
    </w:p>
    <w:p w:rsidR="00534FB5" w:rsidRDefault="00534FB5" w:rsidP="00534FB5">
      <w:pPr>
        <w:jc w:val="center"/>
        <w:rPr>
          <w:b/>
        </w:rPr>
      </w:pPr>
      <w:r>
        <w:br w:type="page"/>
      </w:r>
      <w:r w:rsidRPr="00C42C64">
        <w:rPr>
          <w:b/>
        </w:rPr>
        <w:lastRenderedPageBreak/>
        <w:t>РОЗДІЛ 3</w:t>
      </w:r>
    </w:p>
    <w:p w:rsidR="00534FB5" w:rsidRDefault="00534FB5" w:rsidP="00534FB5">
      <w:pPr>
        <w:jc w:val="center"/>
        <w:rPr>
          <w:b/>
        </w:rPr>
      </w:pPr>
      <w:r>
        <w:rPr>
          <w:b/>
        </w:rPr>
        <w:t xml:space="preserve">СТАН ТВЕРДИХ ТКАНИН ЗУБІВ І ПАРОДОНТА </w:t>
      </w:r>
    </w:p>
    <w:p w:rsidR="00534FB5" w:rsidRDefault="00534FB5" w:rsidP="00534FB5">
      <w:pPr>
        <w:jc w:val="center"/>
        <w:rPr>
          <w:b/>
        </w:rPr>
      </w:pPr>
      <w:r>
        <w:rPr>
          <w:b/>
        </w:rPr>
        <w:t>У ДІТЕЙ ІЗ В</w:t>
      </w:r>
      <w:r w:rsidRPr="00C42C64">
        <w:rPr>
          <w:b/>
        </w:rPr>
        <w:t xml:space="preserve">РОДЖЕНОЮ ГЛУХОТОЮ </w:t>
      </w:r>
    </w:p>
    <w:p w:rsidR="00534FB5" w:rsidRPr="00C57A23" w:rsidRDefault="00534FB5" w:rsidP="00534FB5">
      <w:pPr>
        <w:jc w:val="center"/>
        <w:rPr>
          <w:b/>
        </w:rPr>
      </w:pPr>
      <w:r w:rsidRPr="00C42C64">
        <w:rPr>
          <w:b/>
        </w:rPr>
        <w:t>ДО ПРОВЕДЕННЯ ЛІКУВАЛЬНО</w:t>
      </w:r>
      <w:r w:rsidRPr="00C42C64">
        <w:t xml:space="preserve">- </w:t>
      </w:r>
      <w:r w:rsidRPr="00C42C64">
        <w:rPr>
          <w:b/>
        </w:rPr>
        <w:t>ПРОФІЛАКТИЧНИХ ЗАХОДІВ</w:t>
      </w:r>
    </w:p>
    <w:p w:rsidR="00534FB5" w:rsidRPr="00C57A23" w:rsidRDefault="00534FB5" w:rsidP="00534FB5">
      <w:pPr>
        <w:jc w:val="center"/>
        <w:rPr>
          <w:b/>
        </w:rPr>
      </w:pPr>
    </w:p>
    <w:p w:rsidR="00534FB5" w:rsidRPr="0031607F" w:rsidRDefault="00534FB5" w:rsidP="00534FB5">
      <w:pPr>
        <w:ind w:firstLine="567"/>
      </w:pPr>
      <w:r w:rsidRPr="0031607F">
        <w:t>Однією з найбільш актуальних проблем в Україні є стан здоров</w:t>
      </w:r>
      <w:r>
        <w:t>’</w:t>
      </w:r>
      <w:r w:rsidRPr="0031607F">
        <w:t xml:space="preserve">я дитячого населення, а </w:t>
      </w:r>
      <w:r>
        <w:t>особливо</w:t>
      </w:r>
      <w:r w:rsidRPr="0031607F">
        <w:t xml:space="preserve"> стоматологічного здоров</w:t>
      </w:r>
      <w:r>
        <w:t>’</w:t>
      </w:r>
      <w:r w:rsidRPr="0031607F">
        <w:t>я</w:t>
      </w:r>
      <w:r>
        <w:t xml:space="preserve"> дітей</w:t>
      </w:r>
      <w:r w:rsidRPr="0031607F">
        <w:t>. Особливе занепокоєння викликають ді</w:t>
      </w:r>
      <w:r>
        <w:t>ти з вродженими вадами розвитку, зокрема, – з вродженою глухотою.</w:t>
      </w:r>
      <w:r w:rsidRPr="0031607F">
        <w:t xml:space="preserve"> </w:t>
      </w:r>
    </w:p>
    <w:p w:rsidR="00534FB5" w:rsidRPr="0031607F" w:rsidRDefault="00534FB5" w:rsidP="00534FB5">
      <w:pPr>
        <w:tabs>
          <w:tab w:val="left" w:pos="4253"/>
        </w:tabs>
        <w:ind w:firstLine="567"/>
      </w:pPr>
      <w:r>
        <w:t>У зв’язку з цим ми</w:t>
      </w:r>
      <w:r w:rsidRPr="0031607F">
        <w:t xml:space="preserve"> прове</w:t>
      </w:r>
      <w:r>
        <w:t>ли</w:t>
      </w:r>
      <w:r w:rsidRPr="0031607F">
        <w:t xml:space="preserve"> оцінку </w:t>
      </w:r>
      <w:r>
        <w:t xml:space="preserve">стану стоматологічного здоров’я в дітей </w:t>
      </w:r>
      <w:r w:rsidR="006C493E">
        <w:t>із вродженою</w:t>
      </w:r>
      <w:r>
        <w:t xml:space="preserve"> глухотою, порівнюючи отримані відомості з аналогічними показниками в</w:t>
      </w:r>
      <w:r w:rsidRPr="0031607F">
        <w:t xml:space="preserve"> дітей з нормальним слухом. </w:t>
      </w:r>
    </w:p>
    <w:p w:rsidR="00534FB5" w:rsidRPr="00EA5A41" w:rsidRDefault="00534FB5" w:rsidP="00534FB5">
      <w:pPr>
        <w:jc w:val="center"/>
        <w:rPr>
          <w:b/>
        </w:rPr>
      </w:pPr>
    </w:p>
    <w:p w:rsidR="00534FB5" w:rsidRDefault="00534FB5" w:rsidP="00534FB5">
      <w:pPr>
        <w:ind w:firstLine="567"/>
        <w:contextualSpacing/>
        <w:rPr>
          <w:b/>
        </w:rPr>
      </w:pPr>
      <w:r>
        <w:rPr>
          <w:b/>
        </w:rPr>
        <w:t>3.1</w:t>
      </w:r>
      <w:r w:rsidRPr="00EA5A41">
        <w:rPr>
          <w:b/>
        </w:rPr>
        <w:t>. Стан гі</w:t>
      </w:r>
      <w:r>
        <w:rPr>
          <w:b/>
        </w:rPr>
        <w:t xml:space="preserve">гієни порожнини рота у дітей </w:t>
      </w:r>
      <w:r w:rsidR="006C493E">
        <w:rPr>
          <w:b/>
        </w:rPr>
        <w:t>із вродженою</w:t>
      </w:r>
      <w:r w:rsidRPr="00EA5A41">
        <w:rPr>
          <w:b/>
        </w:rPr>
        <w:t xml:space="preserve"> глухотою</w:t>
      </w:r>
    </w:p>
    <w:p w:rsidR="00534FB5" w:rsidRDefault="00534FB5" w:rsidP="00534FB5">
      <w:pPr>
        <w:ind w:firstLine="567"/>
        <w:contextualSpacing/>
        <w:rPr>
          <w:b/>
        </w:rPr>
      </w:pPr>
    </w:p>
    <w:p w:rsidR="00534FB5" w:rsidRDefault="00534FB5" w:rsidP="00534FB5">
      <w:pPr>
        <w:ind w:firstLine="567"/>
        <w:contextualSpacing/>
      </w:pPr>
      <w:r w:rsidRPr="00D30B7B">
        <w:t xml:space="preserve">Стан гігієни порожнини рота у дітей основної та контрольної групи оцінювали за допомогою </w:t>
      </w:r>
      <w:r w:rsidR="004B1F33" w:rsidRPr="004B1F33">
        <w:t>індексів</w:t>
      </w:r>
      <w:r w:rsidR="00597E77" w:rsidRPr="004B1F33">
        <w:t xml:space="preserve"> першої (</w:t>
      </w:r>
      <w:r w:rsidR="004B1F33" w:rsidRPr="004B1F33">
        <w:t>гігієнічний індекс</w:t>
      </w:r>
      <w:r w:rsidR="00597E77" w:rsidRPr="004B1F33">
        <w:t xml:space="preserve"> (ГІ)</w:t>
      </w:r>
      <w:r w:rsidRPr="00D30B7B">
        <w:t xml:space="preserve"> (Федоров Ю. А., Волод</w:t>
      </w:r>
      <w:r w:rsidR="004B1F33">
        <w:t>кіна В. В., 1971) (табл. 3.1.1) та</w:t>
      </w:r>
      <w:r w:rsidRPr="00D30B7B">
        <w:rPr>
          <w:color w:val="000000"/>
          <w:bdr w:val="none" w:sz="0" w:space="0" w:color="auto" w:frame="1"/>
        </w:rPr>
        <w:t xml:space="preserve"> </w:t>
      </w:r>
      <w:r w:rsidR="004B1F33">
        <w:rPr>
          <w:color w:val="000000"/>
          <w:bdr w:val="none" w:sz="0" w:space="0" w:color="auto" w:frame="1"/>
        </w:rPr>
        <w:t xml:space="preserve">ГІ </w:t>
      </w:r>
      <w:r w:rsidRPr="00D30B7B">
        <w:rPr>
          <w:color w:val="000000"/>
          <w:bdr w:val="none" w:sz="0" w:space="0" w:color="auto" w:frame="1"/>
        </w:rPr>
        <w:t>Stallard (1969)</w:t>
      </w:r>
      <w:r w:rsidRPr="00D30B7B">
        <w:t xml:space="preserve"> (табл. 3.1.2)</w:t>
      </w:r>
      <w:r w:rsidRPr="00D30B7B">
        <w:rPr>
          <w:color w:val="000000"/>
          <w:bdr w:val="none" w:sz="0" w:space="0" w:color="auto" w:frame="1"/>
        </w:rPr>
        <w:t>)</w:t>
      </w:r>
      <w:r w:rsidRPr="00D30B7B">
        <w:t xml:space="preserve"> та другої груп (</w:t>
      </w:r>
      <w:r w:rsidR="004B1F33">
        <w:rPr>
          <w:color w:val="000000"/>
        </w:rPr>
        <w:t>ГІ</w:t>
      </w:r>
      <w:r w:rsidRPr="00D30B7B">
        <w:rPr>
          <w:color w:val="000000"/>
        </w:rPr>
        <w:t xml:space="preserve"> </w:t>
      </w:r>
      <w:r w:rsidRPr="00D30B7B">
        <w:t>J. Silness (1964) і H. Loe (1967) (табл. 3.1.3)).</w:t>
      </w:r>
      <w:r w:rsidRPr="00EA5A41">
        <w:t xml:space="preserve"> </w:t>
      </w:r>
    </w:p>
    <w:p w:rsidR="00534FB5" w:rsidRPr="00EA5A41" w:rsidRDefault="00534FB5" w:rsidP="00534FB5">
      <w:pPr>
        <w:tabs>
          <w:tab w:val="left" w:pos="4253"/>
        </w:tabs>
        <w:jc w:val="right"/>
        <w:rPr>
          <w:i/>
        </w:rPr>
      </w:pPr>
      <w:r>
        <w:rPr>
          <w:i/>
        </w:rPr>
        <w:t>Таблиця 3.1</w:t>
      </w:r>
      <w:r w:rsidRPr="00EA5A41">
        <w:rPr>
          <w:i/>
        </w:rPr>
        <w:t xml:space="preserve">.1 </w:t>
      </w:r>
    </w:p>
    <w:p w:rsidR="00534FB5" w:rsidRPr="00454BDC" w:rsidRDefault="00534FB5" w:rsidP="00534FB5">
      <w:pPr>
        <w:tabs>
          <w:tab w:val="left" w:pos="4253"/>
        </w:tabs>
        <w:jc w:val="center"/>
        <w:rPr>
          <w:spacing w:val="-4"/>
        </w:rPr>
      </w:pPr>
      <w:r w:rsidRPr="00454BDC">
        <w:rPr>
          <w:b/>
          <w:spacing w:val="-4"/>
        </w:rPr>
        <w:t>Показники</w:t>
      </w:r>
      <w:r>
        <w:rPr>
          <w:b/>
          <w:spacing w:val="-4"/>
        </w:rPr>
        <w:t xml:space="preserve"> </w:t>
      </w:r>
      <w:r w:rsidRPr="00454BDC">
        <w:rPr>
          <w:b/>
          <w:spacing w:val="-4"/>
        </w:rPr>
        <w:t>ІГ за Федоровим</w:t>
      </w:r>
      <w:r>
        <w:rPr>
          <w:b/>
          <w:spacing w:val="-4"/>
        </w:rPr>
        <w:t>–</w:t>
      </w:r>
      <w:r w:rsidRPr="00454BDC">
        <w:rPr>
          <w:b/>
          <w:spacing w:val="-4"/>
        </w:rPr>
        <w:t>Володкіною у дітей основної та контрольної груп до проведення лікувально-профілактичних заходів</w:t>
      </w:r>
      <w:r>
        <w:rPr>
          <w:b/>
          <w:spacing w:val="-4"/>
        </w:rPr>
        <w:t xml:space="preserve">, </w:t>
      </w:r>
      <w:r w:rsidRPr="00454BDC">
        <w:rPr>
          <w:b/>
          <w:spacing w:val="-4"/>
        </w:rPr>
        <w:t>(M±m)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
        <w:gridCol w:w="461"/>
        <w:gridCol w:w="1765"/>
        <w:gridCol w:w="890"/>
        <w:gridCol w:w="569"/>
        <w:gridCol w:w="1702"/>
        <w:gridCol w:w="992"/>
        <w:gridCol w:w="473"/>
        <w:gridCol w:w="1759"/>
      </w:tblGrid>
      <w:tr w:rsidR="00534FB5" w:rsidRPr="00EA5A41" w:rsidTr="00534FB5">
        <w:tc>
          <w:tcPr>
            <w:tcW w:w="502" w:type="pct"/>
          </w:tcPr>
          <w:p w:rsidR="00534FB5" w:rsidRPr="006E2BFE" w:rsidRDefault="00534FB5" w:rsidP="00534FB5">
            <w:pPr>
              <w:tabs>
                <w:tab w:val="left" w:pos="4253"/>
              </w:tabs>
              <w:spacing w:line="240" w:lineRule="atLeast"/>
              <w:contextualSpacing/>
              <w:jc w:val="center"/>
              <w:rPr>
                <w:spacing w:val="-20"/>
              </w:rPr>
            </w:pPr>
            <w:r w:rsidRPr="006E2BFE">
              <w:rPr>
                <w:spacing w:val="-20"/>
              </w:rPr>
              <w:t>Група</w:t>
            </w:r>
          </w:p>
        </w:tc>
        <w:tc>
          <w:tcPr>
            <w:tcW w:w="241" w:type="pct"/>
          </w:tcPr>
          <w:p w:rsidR="00534FB5" w:rsidRPr="006E2BFE" w:rsidRDefault="00534FB5" w:rsidP="00534FB5">
            <w:pPr>
              <w:tabs>
                <w:tab w:val="left" w:pos="4253"/>
              </w:tabs>
              <w:spacing w:line="240" w:lineRule="atLeast"/>
              <w:contextualSpacing/>
              <w:jc w:val="center"/>
              <w:rPr>
                <w:spacing w:val="-20"/>
              </w:rPr>
            </w:pPr>
            <w:r w:rsidRPr="006E2BFE">
              <w:rPr>
                <w:spacing w:val="-20"/>
              </w:rPr>
              <w:t>N</w:t>
            </w:r>
          </w:p>
        </w:tc>
        <w:tc>
          <w:tcPr>
            <w:tcW w:w="922" w:type="pct"/>
          </w:tcPr>
          <w:p w:rsidR="00534FB5" w:rsidRPr="006E2BFE" w:rsidRDefault="00534FB5" w:rsidP="00534FB5">
            <w:pPr>
              <w:tabs>
                <w:tab w:val="left" w:pos="4253"/>
              </w:tabs>
              <w:spacing w:line="240" w:lineRule="atLeast"/>
              <w:contextualSpacing/>
              <w:jc w:val="center"/>
              <w:rPr>
                <w:spacing w:val="-20"/>
              </w:rPr>
            </w:pPr>
            <w:r w:rsidRPr="006E2BFE">
              <w:rPr>
                <w:spacing w:val="-20"/>
              </w:rPr>
              <w:t>Індекс</w:t>
            </w:r>
          </w:p>
          <w:p w:rsidR="00534FB5" w:rsidRPr="006E2BFE" w:rsidRDefault="00534FB5" w:rsidP="00534FB5">
            <w:pPr>
              <w:tabs>
                <w:tab w:val="left" w:pos="4253"/>
              </w:tabs>
              <w:spacing w:line="240" w:lineRule="atLeast"/>
              <w:contextualSpacing/>
              <w:jc w:val="center"/>
              <w:rPr>
                <w:spacing w:val="-20"/>
              </w:rPr>
            </w:pPr>
            <w:r w:rsidRPr="006E2BFE">
              <w:rPr>
                <w:spacing w:val="-20"/>
              </w:rPr>
              <w:t>гігієни, M±m</w:t>
            </w:r>
          </w:p>
        </w:tc>
        <w:tc>
          <w:tcPr>
            <w:tcW w:w="465" w:type="pct"/>
            <w:tcBorders>
              <w:righ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Група</w:t>
            </w:r>
          </w:p>
        </w:tc>
        <w:tc>
          <w:tcPr>
            <w:tcW w:w="297" w:type="pct"/>
            <w:tcBorders>
              <w:lef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N</w:t>
            </w:r>
          </w:p>
        </w:tc>
        <w:tc>
          <w:tcPr>
            <w:tcW w:w="889"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Індекс</w:t>
            </w:r>
          </w:p>
          <w:p w:rsidR="00534FB5" w:rsidRPr="006E2BFE" w:rsidRDefault="00534FB5" w:rsidP="00534FB5">
            <w:pPr>
              <w:tabs>
                <w:tab w:val="left" w:pos="4253"/>
              </w:tabs>
              <w:spacing w:line="240" w:lineRule="atLeast"/>
              <w:contextualSpacing/>
              <w:jc w:val="center"/>
              <w:rPr>
                <w:spacing w:val="-20"/>
              </w:rPr>
            </w:pPr>
            <w:r w:rsidRPr="006E2BFE">
              <w:rPr>
                <w:spacing w:val="-20"/>
              </w:rPr>
              <w:t>гігієни, M±m</w:t>
            </w:r>
          </w:p>
        </w:tc>
        <w:tc>
          <w:tcPr>
            <w:tcW w:w="518"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Група</w:t>
            </w:r>
          </w:p>
        </w:tc>
        <w:tc>
          <w:tcPr>
            <w:tcW w:w="247"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N</w:t>
            </w:r>
          </w:p>
        </w:tc>
        <w:tc>
          <w:tcPr>
            <w:tcW w:w="920" w:type="pct"/>
            <w:tcBorders>
              <w:left w:val="single" w:sz="4" w:space="0" w:color="auto"/>
            </w:tcBorders>
          </w:tcPr>
          <w:p w:rsidR="00534FB5" w:rsidRPr="006E2BFE" w:rsidRDefault="00534FB5" w:rsidP="00534FB5">
            <w:pPr>
              <w:tabs>
                <w:tab w:val="left" w:pos="4253"/>
              </w:tabs>
              <w:spacing w:line="240" w:lineRule="atLeast"/>
              <w:contextualSpacing/>
              <w:jc w:val="center"/>
              <w:rPr>
                <w:spacing w:val="-20"/>
              </w:rPr>
            </w:pPr>
            <w:r w:rsidRPr="006E2BFE">
              <w:rPr>
                <w:spacing w:val="-20"/>
              </w:rPr>
              <w:t>Індекс</w:t>
            </w:r>
          </w:p>
          <w:p w:rsidR="00534FB5" w:rsidRPr="006E2BFE" w:rsidRDefault="00534FB5" w:rsidP="00534FB5">
            <w:pPr>
              <w:tabs>
                <w:tab w:val="left" w:pos="4253"/>
              </w:tabs>
              <w:spacing w:line="240" w:lineRule="atLeast"/>
              <w:contextualSpacing/>
              <w:jc w:val="center"/>
              <w:rPr>
                <w:spacing w:val="-20"/>
              </w:rPr>
            </w:pPr>
            <w:r w:rsidRPr="006E2BFE">
              <w:rPr>
                <w:spacing w:val="-20"/>
              </w:rPr>
              <w:t>гігієни, M±m</w:t>
            </w:r>
          </w:p>
        </w:tc>
      </w:tr>
      <w:tr w:rsidR="00534FB5" w:rsidRPr="00EA5A41" w:rsidTr="00534FB5">
        <w:tc>
          <w:tcPr>
            <w:tcW w:w="502" w:type="pct"/>
          </w:tcPr>
          <w:p w:rsidR="00534FB5" w:rsidRPr="006E2BFE" w:rsidRDefault="00534FB5" w:rsidP="00534FB5">
            <w:pPr>
              <w:tabs>
                <w:tab w:val="left" w:pos="4253"/>
              </w:tabs>
              <w:spacing w:line="240" w:lineRule="atLeast"/>
              <w:contextualSpacing/>
              <w:rPr>
                <w:spacing w:val="-20"/>
              </w:rPr>
            </w:pPr>
            <w:r w:rsidRPr="006E2BFE">
              <w:rPr>
                <w:spacing w:val="-20"/>
              </w:rPr>
              <w:t>КГ1</w:t>
            </w:r>
          </w:p>
        </w:tc>
        <w:tc>
          <w:tcPr>
            <w:tcW w:w="241" w:type="pct"/>
          </w:tcPr>
          <w:p w:rsidR="00534FB5" w:rsidRPr="006E2BFE" w:rsidRDefault="00534FB5" w:rsidP="00534FB5">
            <w:pPr>
              <w:tabs>
                <w:tab w:val="left" w:pos="4253"/>
              </w:tabs>
              <w:spacing w:line="240" w:lineRule="atLeast"/>
              <w:contextualSpacing/>
              <w:rPr>
                <w:spacing w:val="-20"/>
              </w:rPr>
            </w:pPr>
            <w:r w:rsidRPr="006E2BFE">
              <w:rPr>
                <w:spacing w:val="-20"/>
              </w:rPr>
              <w:t>10</w:t>
            </w:r>
          </w:p>
        </w:tc>
        <w:tc>
          <w:tcPr>
            <w:tcW w:w="922" w:type="pct"/>
          </w:tcPr>
          <w:p w:rsidR="00534FB5" w:rsidRPr="006E2BFE" w:rsidRDefault="00534FB5" w:rsidP="00534FB5">
            <w:pPr>
              <w:tabs>
                <w:tab w:val="left" w:pos="4253"/>
              </w:tabs>
              <w:spacing w:line="240" w:lineRule="atLeast"/>
              <w:ind w:left="-8"/>
              <w:contextualSpacing/>
              <w:rPr>
                <w:spacing w:val="-20"/>
              </w:rPr>
            </w:pPr>
            <w:r w:rsidRPr="006E2BFE">
              <w:rPr>
                <w:spacing w:val="-20"/>
              </w:rPr>
              <w:t>1,63±0,15***</w:t>
            </w:r>
          </w:p>
        </w:tc>
        <w:tc>
          <w:tcPr>
            <w:tcW w:w="465" w:type="pct"/>
            <w:tcBorders>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КГ2</w:t>
            </w:r>
          </w:p>
        </w:tc>
        <w:tc>
          <w:tcPr>
            <w:tcW w:w="297" w:type="pct"/>
            <w:tcBorders>
              <w:lef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10</w:t>
            </w:r>
          </w:p>
        </w:tc>
        <w:tc>
          <w:tcPr>
            <w:tcW w:w="889" w:type="pct"/>
            <w:tcBorders>
              <w:left w:val="single" w:sz="4" w:space="0" w:color="auto"/>
              <w:right w:val="single" w:sz="4" w:space="0" w:color="auto"/>
            </w:tcBorders>
          </w:tcPr>
          <w:p w:rsidR="00534FB5" w:rsidRPr="006E2BFE" w:rsidRDefault="00534FB5" w:rsidP="00534FB5">
            <w:pPr>
              <w:tabs>
                <w:tab w:val="left" w:pos="4253"/>
              </w:tabs>
              <w:spacing w:line="240" w:lineRule="atLeast"/>
              <w:ind w:left="-80"/>
              <w:contextualSpacing/>
              <w:rPr>
                <w:spacing w:val="-20"/>
              </w:rPr>
            </w:pPr>
            <w:r w:rsidRPr="006E2BFE">
              <w:rPr>
                <w:spacing w:val="-20"/>
              </w:rPr>
              <w:t>1,83±0,14***</w:t>
            </w:r>
          </w:p>
        </w:tc>
        <w:tc>
          <w:tcPr>
            <w:tcW w:w="518"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КГ3</w:t>
            </w:r>
          </w:p>
        </w:tc>
        <w:tc>
          <w:tcPr>
            <w:tcW w:w="247"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12</w:t>
            </w:r>
          </w:p>
        </w:tc>
        <w:tc>
          <w:tcPr>
            <w:tcW w:w="920" w:type="pct"/>
            <w:tcBorders>
              <w:left w:val="single" w:sz="4" w:space="0" w:color="auto"/>
            </w:tcBorders>
          </w:tcPr>
          <w:p w:rsidR="00534FB5" w:rsidRPr="006E2BFE" w:rsidRDefault="00534FB5" w:rsidP="00534FB5">
            <w:pPr>
              <w:tabs>
                <w:tab w:val="left" w:pos="4253"/>
              </w:tabs>
              <w:spacing w:line="240" w:lineRule="atLeast"/>
              <w:ind w:left="-10"/>
              <w:contextualSpacing/>
              <w:rPr>
                <w:spacing w:val="-20"/>
              </w:rPr>
            </w:pPr>
            <w:r w:rsidRPr="006E2BFE">
              <w:rPr>
                <w:spacing w:val="-20"/>
              </w:rPr>
              <w:t>1,72±0,10***</w:t>
            </w:r>
          </w:p>
        </w:tc>
      </w:tr>
      <w:tr w:rsidR="00534FB5" w:rsidRPr="00EA5A41" w:rsidTr="00534FB5">
        <w:trPr>
          <w:trHeight w:val="357"/>
        </w:trPr>
        <w:tc>
          <w:tcPr>
            <w:tcW w:w="502" w:type="pct"/>
          </w:tcPr>
          <w:p w:rsidR="00534FB5" w:rsidRPr="006E2BFE" w:rsidRDefault="00534FB5" w:rsidP="00534FB5">
            <w:pPr>
              <w:tabs>
                <w:tab w:val="left" w:pos="4253"/>
              </w:tabs>
              <w:spacing w:line="240" w:lineRule="atLeast"/>
              <w:contextualSpacing/>
              <w:rPr>
                <w:spacing w:val="-20"/>
              </w:rPr>
            </w:pPr>
            <w:r w:rsidRPr="006E2BFE">
              <w:rPr>
                <w:spacing w:val="-20"/>
              </w:rPr>
              <w:t>ОГ1</w:t>
            </w:r>
          </w:p>
        </w:tc>
        <w:tc>
          <w:tcPr>
            <w:tcW w:w="241" w:type="pct"/>
          </w:tcPr>
          <w:p w:rsidR="00534FB5" w:rsidRPr="006E2BFE" w:rsidRDefault="00534FB5" w:rsidP="00534FB5">
            <w:pPr>
              <w:tabs>
                <w:tab w:val="left" w:pos="4253"/>
              </w:tabs>
              <w:spacing w:line="240" w:lineRule="atLeast"/>
              <w:contextualSpacing/>
              <w:rPr>
                <w:spacing w:val="-20"/>
              </w:rPr>
            </w:pPr>
            <w:r w:rsidRPr="006E2BFE">
              <w:rPr>
                <w:spacing w:val="-20"/>
              </w:rPr>
              <w:t>23</w:t>
            </w:r>
          </w:p>
        </w:tc>
        <w:tc>
          <w:tcPr>
            <w:tcW w:w="922" w:type="pct"/>
          </w:tcPr>
          <w:p w:rsidR="00534FB5" w:rsidRPr="006E2BFE" w:rsidRDefault="00534FB5" w:rsidP="00534FB5">
            <w:pPr>
              <w:tabs>
                <w:tab w:val="left" w:pos="4253"/>
              </w:tabs>
              <w:spacing w:line="240" w:lineRule="atLeast"/>
              <w:ind w:left="-8"/>
              <w:contextualSpacing/>
              <w:rPr>
                <w:spacing w:val="-20"/>
              </w:rPr>
            </w:pPr>
            <w:r w:rsidRPr="006E2BFE">
              <w:rPr>
                <w:spacing w:val="-20"/>
              </w:rPr>
              <w:t>3,13±0,17***</w:t>
            </w:r>
          </w:p>
        </w:tc>
        <w:tc>
          <w:tcPr>
            <w:tcW w:w="465" w:type="pct"/>
            <w:tcBorders>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ОГ2</w:t>
            </w:r>
          </w:p>
        </w:tc>
        <w:tc>
          <w:tcPr>
            <w:tcW w:w="297" w:type="pct"/>
            <w:tcBorders>
              <w:lef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21</w:t>
            </w:r>
          </w:p>
        </w:tc>
        <w:tc>
          <w:tcPr>
            <w:tcW w:w="889" w:type="pct"/>
            <w:tcBorders>
              <w:left w:val="single" w:sz="4" w:space="0" w:color="auto"/>
              <w:right w:val="single" w:sz="4" w:space="0" w:color="auto"/>
            </w:tcBorders>
          </w:tcPr>
          <w:p w:rsidR="00534FB5" w:rsidRPr="006E2BFE" w:rsidRDefault="00534FB5" w:rsidP="00534FB5">
            <w:pPr>
              <w:tabs>
                <w:tab w:val="left" w:pos="4253"/>
              </w:tabs>
              <w:spacing w:line="240" w:lineRule="atLeast"/>
              <w:ind w:left="-80"/>
              <w:contextualSpacing/>
              <w:rPr>
                <w:spacing w:val="-20"/>
              </w:rPr>
            </w:pPr>
            <w:r w:rsidRPr="006E2BFE">
              <w:rPr>
                <w:spacing w:val="-20"/>
              </w:rPr>
              <w:t>2,66±0,13***</w:t>
            </w:r>
          </w:p>
        </w:tc>
        <w:tc>
          <w:tcPr>
            <w:tcW w:w="518"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ОГ3</w:t>
            </w:r>
          </w:p>
        </w:tc>
        <w:tc>
          <w:tcPr>
            <w:tcW w:w="247" w:type="pct"/>
            <w:tcBorders>
              <w:left w:val="single" w:sz="4" w:space="0" w:color="auto"/>
              <w:right w:val="single" w:sz="4" w:space="0" w:color="auto"/>
            </w:tcBorders>
          </w:tcPr>
          <w:p w:rsidR="00534FB5" w:rsidRPr="006E2BFE" w:rsidRDefault="00534FB5" w:rsidP="00534FB5">
            <w:pPr>
              <w:tabs>
                <w:tab w:val="left" w:pos="4253"/>
              </w:tabs>
              <w:spacing w:line="240" w:lineRule="atLeast"/>
              <w:contextualSpacing/>
              <w:rPr>
                <w:spacing w:val="-20"/>
              </w:rPr>
            </w:pPr>
            <w:r w:rsidRPr="006E2BFE">
              <w:rPr>
                <w:spacing w:val="-20"/>
              </w:rPr>
              <w:t>26</w:t>
            </w:r>
          </w:p>
        </w:tc>
        <w:tc>
          <w:tcPr>
            <w:tcW w:w="920" w:type="pct"/>
            <w:tcBorders>
              <w:left w:val="single" w:sz="4" w:space="0" w:color="auto"/>
            </w:tcBorders>
          </w:tcPr>
          <w:p w:rsidR="00534FB5" w:rsidRPr="006E2BFE" w:rsidRDefault="00534FB5" w:rsidP="00534FB5">
            <w:pPr>
              <w:tabs>
                <w:tab w:val="left" w:pos="4253"/>
              </w:tabs>
              <w:spacing w:line="240" w:lineRule="atLeast"/>
              <w:ind w:left="-10"/>
              <w:contextualSpacing/>
              <w:rPr>
                <w:spacing w:val="-20"/>
              </w:rPr>
            </w:pPr>
            <w:r w:rsidRPr="006E2BFE">
              <w:rPr>
                <w:spacing w:val="-20"/>
              </w:rPr>
              <w:t>2,64±0,13***</w:t>
            </w:r>
          </w:p>
        </w:tc>
      </w:tr>
    </w:tbl>
    <w:p w:rsidR="00534FB5" w:rsidRPr="00D30B7B" w:rsidRDefault="00534FB5" w:rsidP="00534FB5">
      <w:pPr>
        <w:tabs>
          <w:tab w:val="left" w:pos="4253"/>
        </w:tabs>
        <w:spacing w:line="240" w:lineRule="auto"/>
        <w:ind w:left="-142"/>
        <w:rPr>
          <w:sz w:val="16"/>
          <w:szCs w:val="20"/>
        </w:rPr>
      </w:pPr>
      <w:r w:rsidRPr="00D30B7B">
        <w:rPr>
          <w:sz w:val="22"/>
        </w:rPr>
        <w:t>Примітка. Р – показник вірогідних відмінностей результатів між КГ і ОГ (* – Р &gt; 0,05, ** – Р&lt;0,05, *** – Р&lt;0,01).</w:t>
      </w:r>
      <w:r w:rsidRPr="00D30B7B">
        <w:rPr>
          <w:sz w:val="16"/>
          <w:szCs w:val="20"/>
          <w:highlight w:val="green"/>
        </w:rPr>
        <w:t xml:space="preserve"> </w:t>
      </w:r>
    </w:p>
    <w:p w:rsidR="00534FB5" w:rsidRPr="00EA5A41" w:rsidRDefault="00534FB5" w:rsidP="00534FB5">
      <w:pPr>
        <w:ind w:firstLine="709"/>
        <w:contextualSpacing/>
      </w:pPr>
    </w:p>
    <w:p w:rsidR="00534FB5" w:rsidRPr="00D30B7B" w:rsidRDefault="004B1F33" w:rsidP="00534FB5">
      <w:pPr>
        <w:ind w:firstLine="709"/>
        <w:contextualSpacing/>
        <w:rPr>
          <w:spacing w:val="-10"/>
        </w:rPr>
      </w:pPr>
      <w:r>
        <w:rPr>
          <w:spacing w:val="-10"/>
        </w:rPr>
        <w:t>При порівнянні показників ГІ</w:t>
      </w:r>
      <w:r w:rsidR="00534FB5" w:rsidRPr="00D30B7B">
        <w:rPr>
          <w:spacing w:val="-10"/>
        </w:rPr>
        <w:t xml:space="preserve"> за Федоровим–Володкіною до проведення лікувально-профілактичних заходів у дітей основної та контрольної групи було </w:t>
      </w:r>
      <w:r w:rsidR="00534FB5" w:rsidRPr="00D30B7B">
        <w:rPr>
          <w:spacing w:val="-10"/>
        </w:rPr>
        <w:lastRenderedPageBreak/>
        <w:t>встановлено достовірну різницю між ними (Р&lt;0,01).</w:t>
      </w:r>
      <w:r w:rsidR="00D30B7B" w:rsidRPr="00D30B7B">
        <w:rPr>
          <w:spacing w:val="-10"/>
        </w:rPr>
        <w:t xml:space="preserve"> Діти КГ мали задовільний рівень гігієни (1,6-2,0 бали), а  ОГ</w:t>
      </w:r>
      <w:r w:rsidR="00A60596">
        <w:rPr>
          <w:spacing w:val="-10"/>
        </w:rPr>
        <w:t xml:space="preserve"> </w:t>
      </w:r>
      <w:r w:rsidR="00A60596">
        <w:rPr>
          <w:spacing w:val="-10"/>
        </w:rPr>
        <w:t>–</w:t>
      </w:r>
      <w:r w:rsidR="00A60596" w:rsidRPr="00D30B7B">
        <w:rPr>
          <w:spacing w:val="-10"/>
        </w:rPr>
        <w:t xml:space="preserve"> </w:t>
      </w:r>
      <w:r w:rsidR="00D30B7B" w:rsidRPr="00D30B7B">
        <w:rPr>
          <w:spacing w:val="-10"/>
        </w:rPr>
        <w:t xml:space="preserve">поганий рівень гігієни  (2,6-3,4 бали). </w:t>
      </w:r>
      <w:r w:rsidR="00534FB5" w:rsidRPr="00D30B7B">
        <w:rPr>
          <w:spacing w:val="-10"/>
        </w:rPr>
        <w:t xml:space="preserve"> У ДВГ першої вікової групи індекс гігієни в 1,9 раза, другої та третьої вікової групи – в 1,5 раза перевищував показник здорових дітей (табл. 3.1.1, рис. 3.1.1). </w:t>
      </w:r>
    </w:p>
    <w:p w:rsidR="00534FB5" w:rsidRDefault="00534FB5" w:rsidP="00534FB5">
      <w:pPr>
        <w:ind w:firstLine="709"/>
        <w:contextualSpacing/>
      </w:pPr>
    </w:p>
    <w:p w:rsidR="00534FB5" w:rsidRPr="00D30B7B" w:rsidRDefault="006C493E" w:rsidP="00534FB5">
      <w:pPr>
        <w:ind w:firstLine="709"/>
        <w:contextualSpacing/>
      </w:pPr>
      <w:r>
        <w:rPr>
          <w:noProof/>
          <w:lang w:val="ru-RU"/>
        </w:rPr>
        <w:drawing>
          <wp:inline distT="0" distB="0" distL="0" distR="0">
            <wp:extent cx="4849411" cy="2367890"/>
            <wp:effectExtent l="5409" t="5938" r="2930" b="7422"/>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4FB5" w:rsidRDefault="00534FB5" w:rsidP="00534FB5">
      <w:pPr>
        <w:tabs>
          <w:tab w:val="left" w:pos="4253"/>
        </w:tabs>
        <w:ind w:firstLine="709"/>
        <w:contextualSpacing/>
      </w:pPr>
      <w:r w:rsidRPr="00C57A23">
        <w:rPr>
          <w:noProof/>
          <w:lang w:eastAsia="uk-UA"/>
        </w:rPr>
        <w:t>Рис.</w:t>
      </w:r>
      <w:r>
        <w:rPr>
          <w:noProof/>
          <w:lang w:eastAsia="uk-UA"/>
        </w:rPr>
        <w:t> </w:t>
      </w:r>
      <w:r w:rsidRPr="00C57A23">
        <w:rPr>
          <w:noProof/>
          <w:lang w:eastAsia="uk-UA"/>
        </w:rPr>
        <w:t>3.1.1</w:t>
      </w:r>
      <w:r>
        <w:rPr>
          <w:noProof/>
          <w:lang w:eastAsia="uk-UA"/>
        </w:rPr>
        <w:t>.</w:t>
      </w:r>
      <w:r w:rsidRPr="00901D95">
        <w:rPr>
          <w:noProof/>
          <w:lang w:eastAsia="uk-UA"/>
        </w:rPr>
        <w:t xml:space="preserve"> </w:t>
      </w:r>
      <w:r>
        <w:t xml:space="preserve">Показники ІГ </w:t>
      </w:r>
      <w:r w:rsidRPr="00901D95">
        <w:t>Фед</w:t>
      </w:r>
      <w:r>
        <w:t>орова–Володкіної</w:t>
      </w:r>
      <w:r w:rsidRPr="00901D95">
        <w:t xml:space="preserve"> у дітей основної та контрольної груп до проведення лікувально-профілактичних заходів. </w:t>
      </w:r>
    </w:p>
    <w:p w:rsidR="00534FB5" w:rsidRDefault="00534FB5" w:rsidP="00534FB5">
      <w:pPr>
        <w:tabs>
          <w:tab w:val="left" w:pos="4253"/>
        </w:tabs>
        <w:ind w:firstLine="567"/>
        <w:contextualSpacing/>
      </w:pPr>
    </w:p>
    <w:p w:rsidR="00534FB5" w:rsidRPr="005032B9" w:rsidRDefault="00534FB5" w:rsidP="00534FB5">
      <w:pPr>
        <w:ind w:firstLine="709"/>
        <w:contextualSpacing/>
      </w:pPr>
      <w:r w:rsidRPr="00901D95">
        <w:t>Наступний показник, за допомогою якого оцінювали якість гігієни порожнини рота здорових</w:t>
      </w:r>
      <w:r>
        <w:t xml:space="preserve"> дітей</w:t>
      </w:r>
      <w:r w:rsidRPr="00901D95">
        <w:t xml:space="preserve"> та </w:t>
      </w:r>
      <w:r>
        <w:t>ДВГ</w:t>
      </w:r>
      <w:r w:rsidRPr="00901D95">
        <w:t xml:space="preserve"> до проведення лікувально-профілактичних за</w:t>
      </w:r>
      <w:r>
        <w:t>ходів</w:t>
      </w:r>
      <w:r w:rsidRPr="005032B9">
        <w:t>, був ІГ Stallаrd (табл. 3.1.2</w:t>
      </w:r>
      <w:r w:rsidRPr="005032B9">
        <w:rPr>
          <w:lang w:val="ru-RU"/>
        </w:rPr>
        <w:t>)</w:t>
      </w:r>
      <w:r w:rsidRPr="005032B9">
        <w:t xml:space="preserve">. </w:t>
      </w:r>
    </w:p>
    <w:p w:rsidR="00534FB5" w:rsidRPr="005032B9" w:rsidRDefault="00534FB5" w:rsidP="00534FB5">
      <w:pPr>
        <w:tabs>
          <w:tab w:val="left" w:pos="4253"/>
        </w:tabs>
        <w:contextualSpacing/>
        <w:jc w:val="right"/>
        <w:rPr>
          <w:i/>
        </w:rPr>
      </w:pPr>
      <w:r w:rsidRPr="005032B9">
        <w:rPr>
          <w:i/>
        </w:rPr>
        <w:t>Таблиця 3.1.2</w:t>
      </w:r>
    </w:p>
    <w:p w:rsidR="00534FB5" w:rsidRPr="00D80552" w:rsidRDefault="00534FB5" w:rsidP="00534FB5">
      <w:pPr>
        <w:tabs>
          <w:tab w:val="left" w:pos="4253"/>
        </w:tabs>
        <w:jc w:val="center"/>
        <w:rPr>
          <w:b/>
        </w:rPr>
      </w:pPr>
      <w:r w:rsidRPr="005032B9">
        <w:rPr>
          <w:b/>
        </w:rPr>
        <w:t>Показники ІГ за Stallаrd у дітей основної та контрольної груп до проведення лікувально-профілактичних заходів, (M±m)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3"/>
        <w:gridCol w:w="609"/>
        <w:gridCol w:w="1765"/>
        <w:gridCol w:w="888"/>
        <w:gridCol w:w="540"/>
        <w:gridCol w:w="1765"/>
        <w:gridCol w:w="815"/>
        <w:gridCol w:w="613"/>
        <w:gridCol w:w="1763"/>
      </w:tblGrid>
      <w:tr w:rsidR="00534FB5" w:rsidRPr="00D80552" w:rsidTr="00534FB5">
        <w:tc>
          <w:tcPr>
            <w:tcW w:w="425"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Група</w:t>
            </w:r>
          </w:p>
        </w:tc>
        <w:tc>
          <w:tcPr>
            <w:tcW w:w="318"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N</w:t>
            </w:r>
          </w:p>
        </w:tc>
        <w:tc>
          <w:tcPr>
            <w:tcW w:w="922"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 xml:space="preserve">Індекс гігієни, </w:t>
            </w:r>
            <w:r w:rsidRPr="008C4BAF">
              <w:rPr>
                <w:spacing w:val="-20"/>
                <w:lang w:val="en-US"/>
              </w:rPr>
              <w:t>M</w:t>
            </w:r>
            <w:r w:rsidRPr="008C4BAF">
              <w:rPr>
                <w:spacing w:val="-20"/>
              </w:rPr>
              <w:t>±</w:t>
            </w:r>
            <w:r w:rsidRPr="008C4BAF">
              <w:rPr>
                <w:spacing w:val="-20"/>
                <w:lang w:val="en-US"/>
              </w:rPr>
              <w:t>m</w:t>
            </w:r>
          </w:p>
        </w:tc>
        <w:tc>
          <w:tcPr>
            <w:tcW w:w="464" w:type="pct"/>
            <w:tcBorders>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Група</w:t>
            </w:r>
          </w:p>
        </w:tc>
        <w:tc>
          <w:tcPr>
            <w:tcW w:w="282"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N</w:t>
            </w:r>
          </w:p>
        </w:tc>
        <w:tc>
          <w:tcPr>
            <w:tcW w:w="922"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 xml:space="preserve">Індекс гігієни, </w:t>
            </w:r>
            <w:r w:rsidRPr="008C4BAF">
              <w:rPr>
                <w:spacing w:val="-20"/>
                <w:lang w:val="en-US"/>
              </w:rPr>
              <w:t>M</w:t>
            </w:r>
            <w:r w:rsidRPr="008C4BAF">
              <w:rPr>
                <w:spacing w:val="-20"/>
              </w:rPr>
              <w:t>±</w:t>
            </w:r>
            <w:r w:rsidRPr="008C4BAF">
              <w:rPr>
                <w:spacing w:val="-20"/>
                <w:lang w:val="en-US"/>
              </w:rPr>
              <w:t>m</w:t>
            </w:r>
          </w:p>
        </w:tc>
        <w:tc>
          <w:tcPr>
            <w:tcW w:w="426"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Група</w:t>
            </w:r>
          </w:p>
        </w:tc>
        <w:tc>
          <w:tcPr>
            <w:tcW w:w="320"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N</w:t>
            </w:r>
          </w:p>
        </w:tc>
        <w:tc>
          <w:tcPr>
            <w:tcW w:w="921"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 xml:space="preserve">Індекс гігієни, </w:t>
            </w:r>
            <w:r w:rsidRPr="008C4BAF">
              <w:rPr>
                <w:spacing w:val="-20"/>
                <w:lang w:val="en-US"/>
              </w:rPr>
              <w:t>M</w:t>
            </w:r>
            <w:r w:rsidRPr="008C4BAF">
              <w:rPr>
                <w:spacing w:val="-20"/>
              </w:rPr>
              <w:t>±</w:t>
            </w:r>
            <w:r w:rsidRPr="008C4BAF">
              <w:rPr>
                <w:spacing w:val="-20"/>
                <w:lang w:val="en-US"/>
              </w:rPr>
              <w:t>m</w:t>
            </w:r>
          </w:p>
        </w:tc>
      </w:tr>
      <w:tr w:rsidR="00534FB5" w:rsidRPr="00D80552" w:rsidTr="00534FB5">
        <w:tc>
          <w:tcPr>
            <w:tcW w:w="425"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КГ1</w:t>
            </w:r>
          </w:p>
        </w:tc>
        <w:tc>
          <w:tcPr>
            <w:tcW w:w="318"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10</w:t>
            </w:r>
          </w:p>
        </w:tc>
        <w:tc>
          <w:tcPr>
            <w:tcW w:w="922"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1,03±0,17***</w:t>
            </w:r>
          </w:p>
        </w:tc>
        <w:tc>
          <w:tcPr>
            <w:tcW w:w="464" w:type="pct"/>
            <w:tcBorders>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КГ2</w:t>
            </w:r>
          </w:p>
        </w:tc>
        <w:tc>
          <w:tcPr>
            <w:tcW w:w="282"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10</w:t>
            </w:r>
          </w:p>
        </w:tc>
        <w:tc>
          <w:tcPr>
            <w:tcW w:w="922"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1,22±0,17***</w:t>
            </w:r>
          </w:p>
        </w:tc>
        <w:tc>
          <w:tcPr>
            <w:tcW w:w="426"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КГ3</w:t>
            </w:r>
          </w:p>
        </w:tc>
        <w:tc>
          <w:tcPr>
            <w:tcW w:w="320"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12</w:t>
            </w:r>
          </w:p>
        </w:tc>
        <w:tc>
          <w:tcPr>
            <w:tcW w:w="921"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1,13±0,13***</w:t>
            </w:r>
          </w:p>
        </w:tc>
      </w:tr>
      <w:tr w:rsidR="00534FB5" w:rsidRPr="00D80552" w:rsidTr="00534FB5">
        <w:tc>
          <w:tcPr>
            <w:tcW w:w="425"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ОГ1</w:t>
            </w:r>
          </w:p>
        </w:tc>
        <w:tc>
          <w:tcPr>
            <w:tcW w:w="318"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23</w:t>
            </w:r>
          </w:p>
        </w:tc>
        <w:tc>
          <w:tcPr>
            <w:tcW w:w="922" w:type="pct"/>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2,18±0,11***</w:t>
            </w:r>
          </w:p>
        </w:tc>
        <w:tc>
          <w:tcPr>
            <w:tcW w:w="464" w:type="pct"/>
            <w:tcBorders>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ОГ2</w:t>
            </w:r>
          </w:p>
        </w:tc>
        <w:tc>
          <w:tcPr>
            <w:tcW w:w="282"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21</w:t>
            </w:r>
          </w:p>
        </w:tc>
        <w:tc>
          <w:tcPr>
            <w:tcW w:w="922"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1,89±0,09***</w:t>
            </w:r>
          </w:p>
        </w:tc>
        <w:tc>
          <w:tcPr>
            <w:tcW w:w="426"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ОГ3</w:t>
            </w:r>
          </w:p>
        </w:tc>
        <w:tc>
          <w:tcPr>
            <w:tcW w:w="320" w:type="pct"/>
            <w:tcBorders>
              <w:left w:val="single" w:sz="4" w:space="0" w:color="auto"/>
              <w:righ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26</w:t>
            </w:r>
          </w:p>
        </w:tc>
        <w:tc>
          <w:tcPr>
            <w:tcW w:w="921" w:type="pct"/>
            <w:tcBorders>
              <w:left w:val="single" w:sz="4" w:space="0" w:color="auto"/>
            </w:tcBorders>
          </w:tcPr>
          <w:p w:rsidR="00534FB5" w:rsidRPr="008C4BAF" w:rsidRDefault="00534FB5" w:rsidP="00534FB5">
            <w:pPr>
              <w:tabs>
                <w:tab w:val="left" w:pos="4253"/>
              </w:tabs>
              <w:spacing w:line="240" w:lineRule="atLeast"/>
              <w:ind w:right="-108"/>
              <w:contextualSpacing/>
              <w:jc w:val="center"/>
              <w:rPr>
                <w:spacing w:val="-20"/>
              </w:rPr>
            </w:pPr>
            <w:r w:rsidRPr="008C4BAF">
              <w:rPr>
                <w:spacing w:val="-20"/>
              </w:rPr>
              <w:t>1,96±0,11***</w:t>
            </w:r>
          </w:p>
        </w:tc>
      </w:tr>
    </w:tbl>
    <w:p w:rsidR="00534FB5" w:rsidRPr="005032B9" w:rsidRDefault="00534FB5" w:rsidP="00534FB5">
      <w:pPr>
        <w:tabs>
          <w:tab w:val="left" w:pos="4253"/>
        </w:tabs>
        <w:spacing w:line="240" w:lineRule="auto"/>
        <w:ind w:left="-142"/>
        <w:rPr>
          <w:sz w:val="16"/>
          <w:szCs w:val="20"/>
        </w:rPr>
      </w:pPr>
      <w:r w:rsidRPr="005032B9">
        <w:rPr>
          <w:sz w:val="22"/>
        </w:rPr>
        <w:t>Примітка. Р – показник вірогідних відмінностей результатів між КГ і ОГ (* – Р &gt; 0,05, ** – Р&lt;0,05, *** – Р&lt;0,01).</w:t>
      </w:r>
      <w:r w:rsidRPr="005032B9">
        <w:rPr>
          <w:sz w:val="16"/>
          <w:szCs w:val="20"/>
          <w:highlight w:val="green"/>
        </w:rPr>
        <w:t xml:space="preserve"> </w:t>
      </w:r>
    </w:p>
    <w:p w:rsidR="00534FB5" w:rsidRDefault="00534FB5" w:rsidP="00534FB5">
      <w:pPr>
        <w:tabs>
          <w:tab w:val="left" w:pos="4253"/>
        </w:tabs>
        <w:ind w:firstLine="567"/>
      </w:pPr>
    </w:p>
    <w:p w:rsidR="00534FB5" w:rsidRPr="00D80552" w:rsidRDefault="00534FB5" w:rsidP="00534FB5">
      <w:pPr>
        <w:tabs>
          <w:tab w:val="left" w:pos="4253"/>
        </w:tabs>
        <w:ind w:firstLine="567"/>
      </w:pPr>
      <w:r w:rsidRPr="005032B9">
        <w:t xml:space="preserve">В ОГ та КГ дітей була отримана достовірна (Р&lt;0,01) різниця між показниками. Так, у першій віковій групі ДВГ індекс був достовірно вищий у </w:t>
      </w:r>
      <w:r w:rsidRPr="005032B9">
        <w:lastRenderedPageBreak/>
        <w:t>2,1 раза (Р&lt;0,01), порівняно зі здоровими дітьми. Аналогічна картина спостерігалася в другій і третій вікових групах дітей з вадами слуху, де показники індексу гігієни Stallаrd перевищували показники здорових дітей у 1,6 раза та в 1,7 раза відповідно (Р&lt;0,01) (табл. 3.1.2, рис. 3.1.2).</w:t>
      </w:r>
      <w:r>
        <w:t xml:space="preserve"> </w:t>
      </w:r>
    </w:p>
    <w:p w:rsidR="00534FB5" w:rsidRDefault="00534FB5" w:rsidP="00534FB5">
      <w:pPr>
        <w:ind w:firstLine="709"/>
        <w:rPr>
          <w:noProof/>
        </w:rPr>
      </w:pPr>
    </w:p>
    <w:p w:rsidR="00534FB5" w:rsidRDefault="006C493E" w:rsidP="00534FB5">
      <w:pPr>
        <w:ind w:firstLine="709"/>
        <w:rPr>
          <w:noProof/>
        </w:rPr>
      </w:pPr>
      <w:r>
        <w:rPr>
          <w:noProof/>
          <w:lang w:val="ru-RU"/>
        </w:rPr>
        <w:drawing>
          <wp:inline distT="0" distB="0" distL="0" distR="0">
            <wp:extent cx="4844007" cy="2370292"/>
            <wp:effectExtent l="5997" t="5656" r="7746" b="5302"/>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4FB5" w:rsidRPr="005032B9" w:rsidRDefault="00534FB5" w:rsidP="00534FB5">
      <w:pPr>
        <w:ind w:firstLine="709"/>
        <w:rPr>
          <w:noProof/>
        </w:rPr>
      </w:pPr>
      <w:r w:rsidRPr="005032B9">
        <w:rPr>
          <w:noProof/>
          <w:lang w:eastAsia="uk-UA"/>
        </w:rPr>
        <w:t xml:space="preserve">Рис. 3.1.2. </w:t>
      </w:r>
      <w:r w:rsidRPr="005032B9">
        <w:t>Показники ІГ за Stallаrd</w:t>
      </w:r>
      <w:r w:rsidRPr="005032B9">
        <w:rPr>
          <w:b/>
        </w:rPr>
        <w:t xml:space="preserve"> </w:t>
      </w:r>
      <w:r w:rsidRPr="005032B9">
        <w:t xml:space="preserve">у дітей основної та контрольної груп до проведення лікувально-профілактичних заходів. </w:t>
      </w:r>
    </w:p>
    <w:p w:rsidR="00534FB5" w:rsidRPr="005032B9" w:rsidRDefault="00534FB5" w:rsidP="00534FB5">
      <w:pPr>
        <w:ind w:firstLine="709"/>
      </w:pPr>
    </w:p>
    <w:p w:rsidR="00534FB5" w:rsidRPr="005032B9" w:rsidRDefault="00534FB5" w:rsidP="00534FB5">
      <w:pPr>
        <w:ind w:firstLine="709"/>
      </w:pPr>
      <w:r w:rsidRPr="005032B9">
        <w:t xml:space="preserve">Оцінка якості гігієни порожнини рота дітей ОГ та КГ за допомогою </w:t>
      </w:r>
      <w:r w:rsidRPr="005032B9">
        <w:rPr>
          <w:color w:val="000000"/>
        </w:rPr>
        <w:t xml:space="preserve">ІГ </w:t>
      </w:r>
      <w:r w:rsidRPr="005032B9">
        <w:t xml:space="preserve">Silness і Loe виявила достовірну різницю між показниками (Р&lt;0,01) (табл. 3.1.3). </w:t>
      </w:r>
    </w:p>
    <w:p w:rsidR="00534FB5" w:rsidRPr="005032B9" w:rsidRDefault="00534FB5" w:rsidP="00534FB5">
      <w:pPr>
        <w:tabs>
          <w:tab w:val="left" w:pos="4253"/>
        </w:tabs>
        <w:jc w:val="right"/>
        <w:rPr>
          <w:i/>
        </w:rPr>
      </w:pPr>
      <w:r w:rsidRPr="005032B9">
        <w:rPr>
          <w:i/>
        </w:rPr>
        <w:t>Таблиця 3.1.3</w:t>
      </w:r>
    </w:p>
    <w:p w:rsidR="00534FB5" w:rsidRPr="002C3DC4" w:rsidRDefault="00534FB5" w:rsidP="00534FB5">
      <w:pPr>
        <w:tabs>
          <w:tab w:val="left" w:pos="4253"/>
        </w:tabs>
        <w:jc w:val="center"/>
        <w:rPr>
          <w:b/>
        </w:rPr>
      </w:pPr>
      <w:r w:rsidRPr="005032B9">
        <w:rPr>
          <w:b/>
        </w:rPr>
        <w:t xml:space="preserve">Показники </w:t>
      </w:r>
      <w:r w:rsidRPr="005032B9">
        <w:rPr>
          <w:b/>
          <w:color w:val="000000"/>
        </w:rPr>
        <w:t xml:space="preserve">ІГ </w:t>
      </w:r>
      <w:r w:rsidRPr="005032B9">
        <w:rPr>
          <w:b/>
        </w:rPr>
        <w:t>Silness і Loe у дітей основної та контрольної груп до проведення лікувально-профілактичних заходів, (M±m)</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568"/>
        <w:gridCol w:w="1701"/>
        <w:gridCol w:w="850"/>
        <w:gridCol w:w="566"/>
        <w:gridCol w:w="1701"/>
        <w:gridCol w:w="994"/>
        <w:gridCol w:w="568"/>
        <w:gridCol w:w="1780"/>
      </w:tblGrid>
      <w:tr w:rsidR="00534FB5" w:rsidRPr="00B55DAA" w:rsidTr="00534FB5">
        <w:tc>
          <w:tcPr>
            <w:tcW w:w="495" w:type="pct"/>
          </w:tcPr>
          <w:p w:rsidR="00534FB5" w:rsidRPr="008C4BAF" w:rsidRDefault="00534FB5" w:rsidP="00534FB5">
            <w:pPr>
              <w:tabs>
                <w:tab w:val="left" w:pos="4253"/>
              </w:tabs>
              <w:spacing w:line="240" w:lineRule="atLeast"/>
              <w:contextualSpacing/>
              <w:jc w:val="center"/>
              <w:rPr>
                <w:spacing w:val="-20"/>
              </w:rPr>
            </w:pPr>
            <w:r w:rsidRPr="008C4BAF">
              <w:rPr>
                <w:spacing w:val="-20"/>
              </w:rPr>
              <w:t>Група</w:t>
            </w:r>
          </w:p>
        </w:tc>
        <w:tc>
          <w:tcPr>
            <w:tcW w:w="293" w:type="pct"/>
          </w:tcPr>
          <w:p w:rsidR="00534FB5" w:rsidRPr="008C4BAF" w:rsidRDefault="00534FB5" w:rsidP="00534FB5">
            <w:pPr>
              <w:tabs>
                <w:tab w:val="left" w:pos="4253"/>
              </w:tabs>
              <w:spacing w:line="240" w:lineRule="atLeast"/>
              <w:contextualSpacing/>
              <w:jc w:val="center"/>
              <w:rPr>
                <w:spacing w:val="-20"/>
              </w:rPr>
            </w:pPr>
            <w:r w:rsidRPr="008C4BAF">
              <w:rPr>
                <w:spacing w:val="-20"/>
              </w:rPr>
              <w:t>N</w:t>
            </w:r>
          </w:p>
        </w:tc>
        <w:tc>
          <w:tcPr>
            <w:tcW w:w="878" w:type="pct"/>
          </w:tcPr>
          <w:p w:rsidR="00534FB5" w:rsidRPr="008C4BAF" w:rsidRDefault="00534FB5" w:rsidP="00534FB5">
            <w:pPr>
              <w:tabs>
                <w:tab w:val="left" w:pos="4253"/>
              </w:tabs>
              <w:spacing w:line="240" w:lineRule="atLeast"/>
              <w:ind w:left="-152"/>
              <w:contextualSpacing/>
              <w:jc w:val="center"/>
              <w:rPr>
                <w:spacing w:val="-20"/>
              </w:rPr>
            </w:pPr>
            <w:r w:rsidRPr="008C4BAF">
              <w:rPr>
                <w:spacing w:val="-20"/>
              </w:rPr>
              <w:t>Індекс</w:t>
            </w:r>
            <w:r w:rsidRPr="008C4BAF">
              <w:rPr>
                <w:spacing w:val="-20"/>
                <w:lang w:val="en-US"/>
              </w:rPr>
              <w:t xml:space="preserve"> </w:t>
            </w:r>
            <w:r w:rsidRPr="008C4BAF">
              <w:rPr>
                <w:spacing w:val="-20"/>
              </w:rPr>
              <w:t xml:space="preserve">гігієни, </w:t>
            </w:r>
            <w:r w:rsidRPr="008C4BAF">
              <w:rPr>
                <w:spacing w:val="-20"/>
                <w:lang w:val="en-US"/>
              </w:rPr>
              <w:t>M</w:t>
            </w:r>
            <w:r w:rsidRPr="008C4BAF">
              <w:rPr>
                <w:spacing w:val="-20"/>
              </w:rPr>
              <w:t>±</w:t>
            </w:r>
            <w:r w:rsidRPr="008C4BAF">
              <w:rPr>
                <w:spacing w:val="-20"/>
                <w:lang w:val="en-US"/>
              </w:rPr>
              <w:t>m</w:t>
            </w:r>
          </w:p>
        </w:tc>
        <w:tc>
          <w:tcPr>
            <w:tcW w:w="439" w:type="pct"/>
            <w:tcBorders>
              <w:right w:val="single" w:sz="4" w:space="0" w:color="auto"/>
            </w:tcBorders>
          </w:tcPr>
          <w:p w:rsidR="00534FB5" w:rsidRPr="008C4BAF" w:rsidRDefault="00534FB5" w:rsidP="00534FB5">
            <w:pPr>
              <w:tabs>
                <w:tab w:val="left" w:pos="4253"/>
              </w:tabs>
              <w:spacing w:line="240" w:lineRule="atLeast"/>
              <w:contextualSpacing/>
              <w:jc w:val="center"/>
              <w:rPr>
                <w:spacing w:val="-20"/>
              </w:rPr>
            </w:pPr>
            <w:r w:rsidRPr="008C4BAF">
              <w:rPr>
                <w:spacing w:val="-20"/>
              </w:rPr>
              <w:t>Група</w:t>
            </w:r>
          </w:p>
        </w:tc>
        <w:tc>
          <w:tcPr>
            <w:tcW w:w="292" w:type="pct"/>
            <w:tcBorders>
              <w:left w:val="single" w:sz="4" w:space="0" w:color="auto"/>
            </w:tcBorders>
          </w:tcPr>
          <w:p w:rsidR="00534FB5" w:rsidRPr="008C4BAF" w:rsidRDefault="00534FB5" w:rsidP="00534FB5">
            <w:pPr>
              <w:tabs>
                <w:tab w:val="left" w:pos="4253"/>
              </w:tabs>
              <w:spacing w:line="240" w:lineRule="atLeast"/>
              <w:contextualSpacing/>
              <w:jc w:val="center"/>
              <w:rPr>
                <w:spacing w:val="-20"/>
              </w:rPr>
            </w:pPr>
            <w:r w:rsidRPr="008C4BAF">
              <w:rPr>
                <w:spacing w:val="-20"/>
              </w:rPr>
              <w:t>N</w:t>
            </w:r>
          </w:p>
        </w:tc>
        <w:tc>
          <w:tcPr>
            <w:tcW w:w="878" w:type="pct"/>
            <w:tcBorders>
              <w:left w:val="single" w:sz="4" w:space="0" w:color="auto"/>
              <w:right w:val="single" w:sz="4" w:space="0" w:color="auto"/>
            </w:tcBorders>
          </w:tcPr>
          <w:p w:rsidR="00534FB5" w:rsidRPr="008C4BAF" w:rsidRDefault="00534FB5" w:rsidP="00534FB5">
            <w:pPr>
              <w:tabs>
                <w:tab w:val="left" w:pos="4253"/>
              </w:tabs>
              <w:spacing w:line="240" w:lineRule="atLeast"/>
              <w:ind w:left="-39"/>
              <w:contextualSpacing/>
              <w:jc w:val="center"/>
              <w:rPr>
                <w:spacing w:val="-20"/>
              </w:rPr>
            </w:pPr>
            <w:r w:rsidRPr="008C4BAF">
              <w:rPr>
                <w:spacing w:val="-20"/>
              </w:rPr>
              <w:t xml:space="preserve">Індекс гігієни, </w:t>
            </w:r>
            <w:r w:rsidRPr="008C4BAF">
              <w:rPr>
                <w:spacing w:val="-20"/>
                <w:lang w:val="en-US"/>
              </w:rPr>
              <w:t>M</w:t>
            </w:r>
            <w:r w:rsidRPr="008C4BAF">
              <w:rPr>
                <w:spacing w:val="-20"/>
              </w:rPr>
              <w:t>±</w:t>
            </w:r>
            <w:r w:rsidRPr="008C4BAF">
              <w:rPr>
                <w:spacing w:val="-20"/>
                <w:lang w:val="en-US"/>
              </w:rPr>
              <w:t>m</w:t>
            </w:r>
          </w:p>
        </w:tc>
        <w:tc>
          <w:tcPr>
            <w:tcW w:w="51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jc w:val="center"/>
              <w:rPr>
                <w:spacing w:val="-20"/>
              </w:rPr>
            </w:pPr>
            <w:r w:rsidRPr="008C4BAF">
              <w:rPr>
                <w:spacing w:val="-20"/>
              </w:rPr>
              <w:t>Група</w:t>
            </w:r>
          </w:p>
        </w:tc>
        <w:tc>
          <w:tcPr>
            <w:tcW w:w="29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jc w:val="center"/>
              <w:rPr>
                <w:spacing w:val="-20"/>
              </w:rPr>
            </w:pPr>
            <w:r w:rsidRPr="008C4BAF">
              <w:rPr>
                <w:spacing w:val="-20"/>
              </w:rPr>
              <w:t>N</w:t>
            </w:r>
          </w:p>
        </w:tc>
        <w:tc>
          <w:tcPr>
            <w:tcW w:w="919" w:type="pct"/>
            <w:tcBorders>
              <w:left w:val="single" w:sz="4" w:space="0" w:color="auto"/>
            </w:tcBorders>
          </w:tcPr>
          <w:p w:rsidR="00534FB5" w:rsidRPr="008C4BAF" w:rsidRDefault="00534FB5" w:rsidP="00534FB5">
            <w:pPr>
              <w:tabs>
                <w:tab w:val="left" w:pos="4253"/>
              </w:tabs>
              <w:spacing w:line="240" w:lineRule="atLeast"/>
              <w:contextualSpacing/>
              <w:jc w:val="center"/>
              <w:rPr>
                <w:spacing w:val="-20"/>
              </w:rPr>
            </w:pPr>
            <w:r w:rsidRPr="008C4BAF">
              <w:rPr>
                <w:spacing w:val="-20"/>
              </w:rPr>
              <w:t xml:space="preserve">Індекс гігієни, </w:t>
            </w:r>
            <w:r w:rsidRPr="008C4BAF">
              <w:rPr>
                <w:spacing w:val="-20"/>
                <w:lang w:val="en-US"/>
              </w:rPr>
              <w:t>M</w:t>
            </w:r>
            <w:r w:rsidRPr="008C4BAF">
              <w:rPr>
                <w:spacing w:val="-20"/>
              </w:rPr>
              <w:t>±</w:t>
            </w:r>
            <w:r w:rsidRPr="008C4BAF">
              <w:rPr>
                <w:spacing w:val="-20"/>
                <w:lang w:val="en-US"/>
              </w:rPr>
              <w:t>m</w:t>
            </w:r>
          </w:p>
        </w:tc>
      </w:tr>
      <w:tr w:rsidR="00534FB5" w:rsidRPr="00B55DAA" w:rsidTr="00534FB5">
        <w:tc>
          <w:tcPr>
            <w:tcW w:w="495" w:type="pct"/>
          </w:tcPr>
          <w:p w:rsidR="00534FB5" w:rsidRPr="008C4BAF" w:rsidRDefault="00534FB5" w:rsidP="00534FB5">
            <w:pPr>
              <w:tabs>
                <w:tab w:val="left" w:pos="4253"/>
              </w:tabs>
              <w:spacing w:line="240" w:lineRule="atLeast"/>
              <w:contextualSpacing/>
              <w:rPr>
                <w:spacing w:val="-20"/>
              </w:rPr>
            </w:pPr>
            <w:r w:rsidRPr="008C4BAF">
              <w:rPr>
                <w:spacing w:val="-20"/>
              </w:rPr>
              <w:t>КГ1</w:t>
            </w:r>
          </w:p>
        </w:tc>
        <w:tc>
          <w:tcPr>
            <w:tcW w:w="293" w:type="pct"/>
          </w:tcPr>
          <w:p w:rsidR="00534FB5" w:rsidRPr="008C4BAF" w:rsidRDefault="00534FB5" w:rsidP="00534FB5">
            <w:pPr>
              <w:tabs>
                <w:tab w:val="left" w:pos="4253"/>
              </w:tabs>
              <w:spacing w:line="240" w:lineRule="atLeast"/>
              <w:contextualSpacing/>
              <w:rPr>
                <w:spacing w:val="-20"/>
              </w:rPr>
            </w:pPr>
            <w:r w:rsidRPr="008C4BAF">
              <w:rPr>
                <w:spacing w:val="-20"/>
              </w:rPr>
              <w:t>10</w:t>
            </w:r>
          </w:p>
        </w:tc>
        <w:tc>
          <w:tcPr>
            <w:tcW w:w="878" w:type="pct"/>
          </w:tcPr>
          <w:p w:rsidR="00534FB5" w:rsidRPr="008C4BAF" w:rsidRDefault="00534FB5" w:rsidP="00534FB5">
            <w:pPr>
              <w:tabs>
                <w:tab w:val="left" w:pos="4253"/>
              </w:tabs>
              <w:spacing w:line="240" w:lineRule="atLeast"/>
              <w:contextualSpacing/>
              <w:rPr>
                <w:spacing w:val="-20"/>
              </w:rPr>
            </w:pPr>
            <w:r w:rsidRPr="008C4BAF">
              <w:rPr>
                <w:spacing w:val="-20"/>
              </w:rPr>
              <w:t>1,12±0,18***</w:t>
            </w:r>
          </w:p>
        </w:tc>
        <w:tc>
          <w:tcPr>
            <w:tcW w:w="439" w:type="pct"/>
            <w:tcBorders>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КГ2</w:t>
            </w:r>
          </w:p>
        </w:tc>
        <w:tc>
          <w:tcPr>
            <w:tcW w:w="292" w:type="pct"/>
            <w:tcBorders>
              <w:lef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10</w:t>
            </w:r>
          </w:p>
        </w:tc>
        <w:tc>
          <w:tcPr>
            <w:tcW w:w="878"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1,36±0,19***</w:t>
            </w:r>
          </w:p>
        </w:tc>
        <w:tc>
          <w:tcPr>
            <w:tcW w:w="51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КГ3</w:t>
            </w:r>
          </w:p>
        </w:tc>
        <w:tc>
          <w:tcPr>
            <w:tcW w:w="29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12</w:t>
            </w:r>
          </w:p>
        </w:tc>
        <w:tc>
          <w:tcPr>
            <w:tcW w:w="919" w:type="pct"/>
            <w:tcBorders>
              <w:lef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1,17±0,13***</w:t>
            </w:r>
          </w:p>
        </w:tc>
      </w:tr>
      <w:tr w:rsidR="00534FB5" w:rsidRPr="00B55DAA" w:rsidTr="00534FB5">
        <w:tc>
          <w:tcPr>
            <w:tcW w:w="495" w:type="pct"/>
          </w:tcPr>
          <w:p w:rsidR="00534FB5" w:rsidRPr="008C4BAF" w:rsidRDefault="00534FB5" w:rsidP="00534FB5">
            <w:pPr>
              <w:tabs>
                <w:tab w:val="left" w:pos="4253"/>
              </w:tabs>
              <w:spacing w:line="240" w:lineRule="atLeast"/>
              <w:contextualSpacing/>
              <w:rPr>
                <w:spacing w:val="-20"/>
              </w:rPr>
            </w:pPr>
            <w:r w:rsidRPr="008C4BAF">
              <w:rPr>
                <w:spacing w:val="-20"/>
              </w:rPr>
              <w:t>ОГ1</w:t>
            </w:r>
          </w:p>
        </w:tc>
        <w:tc>
          <w:tcPr>
            <w:tcW w:w="293" w:type="pct"/>
          </w:tcPr>
          <w:p w:rsidR="00534FB5" w:rsidRPr="008C4BAF" w:rsidRDefault="00534FB5" w:rsidP="00534FB5">
            <w:pPr>
              <w:tabs>
                <w:tab w:val="left" w:pos="4253"/>
              </w:tabs>
              <w:spacing w:line="240" w:lineRule="atLeast"/>
              <w:contextualSpacing/>
              <w:rPr>
                <w:spacing w:val="-20"/>
              </w:rPr>
            </w:pPr>
            <w:r w:rsidRPr="008C4BAF">
              <w:rPr>
                <w:spacing w:val="-20"/>
              </w:rPr>
              <w:t>23</w:t>
            </w:r>
          </w:p>
        </w:tc>
        <w:tc>
          <w:tcPr>
            <w:tcW w:w="878" w:type="pct"/>
          </w:tcPr>
          <w:p w:rsidR="00534FB5" w:rsidRPr="008C4BAF" w:rsidRDefault="00534FB5" w:rsidP="00534FB5">
            <w:pPr>
              <w:tabs>
                <w:tab w:val="left" w:pos="4253"/>
              </w:tabs>
              <w:spacing w:line="240" w:lineRule="atLeast"/>
              <w:contextualSpacing/>
              <w:rPr>
                <w:spacing w:val="-20"/>
              </w:rPr>
            </w:pPr>
            <w:r w:rsidRPr="008C4BAF">
              <w:rPr>
                <w:spacing w:val="-20"/>
              </w:rPr>
              <w:t>2,26±0,11***</w:t>
            </w:r>
          </w:p>
        </w:tc>
        <w:tc>
          <w:tcPr>
            <w:tcW w:w="439" w:type="pct"/>
            <w:tcBorders>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ОГ2</w:t>
            </w:r>
          </w:p>
        </w:tc>
        <w:tc>
          <w:tcPr>
            <w:tcW w:w="292" w:type="pct"/>
            <w:tcBorders>
              <w:lef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21</w:t>
            </w:r>
          </w:p>
        </w:tc>
        <w:tc>
          <w:tcPr>
            <w:tcW w:w="878"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1,95±0,09***</w:t>
            </w:r>
          </w:p>
        </w:tc>
        <w:tc>
          <w:tcPr>
            <w:tcW w:w="51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ОГ3</w:t>
            </w:r>
          </w:p>
        </w:tc>
        <w:tc>
          <w:tcPr>
            <w:tcW w:w="293" w:type="pct"/>
            <w:tcBorders>
              <w:left w:val="single" w:sz="4" w:space="0" w:color="auto"/>
              <w:righ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26</w:t>
            </w:r>
          </w:p>
        </w:tc>
        <w:tc>
          <w:tcPr>
            <w:tcW w:w="919" w:type="pct"/>
            <w:tcBorders>
              <w:left w:val="single" w:sz="4" w:space="0" w:color="auto"/>
            </w:tcBorders>
          </w:tcPr>
          <w:p w:rsidR="00534FB5" w:rsidRPr="008C4BAF" w:rsidRDefault="00534FB5" w:rsidP="00534FB5">
            <w:pPr>
              <w:tabs>
                <w:tab w:val="left" w:pos="4253"/>
              </w:tabs>
              <w:spacing w:line="240" w:lineRule="atLeast"/>
              <w:contextualSpacing/>
              <w:rPr>
                <w:spacing w:val="-20"/>
              </w:rPr>
            </w:pPr>
            <w:r w:rsidRPr="008C4BAF">
              <w:rPr>
                <w:spacing w:val="-20"/>
              </w:rPr>
              <w:t>2,01±0,11***</w:t>
            </w:r>
          </w:p>
        </w:tc>
      </w:tr>
    </w:tbl>
    <w:p w:rsidR="00534FB5" w:rsidRPr="005032B9" w:rsidRDefault="00534FB5" w:rsidP="00534FB5">
      <w:pPr>
        <w:tabs>
          <w:tab w:val="left" w:pos="4253"/>
        </w:tabs>
        <w:spacing w:line="240" w:lineRule="auto"/>
        <w:ind w:left="-142"/>
        <w:rPr>
          <w:sz w:val="16"/>
          <w:szCs w:val="20"/>
        </w:rPr>
      </w:pPr>
      <w:r w:rsidRPr="005032B9">
        <w:rPr>
          <w:sz w:val="22"/>
        </w:rPr>
        <w:t>Примітка. Р</w:t>
      </w:r>
      <w:r w:rsidRPr="005032B9">
        <w:rPr>
          <w:sz w:val="22"/>
          <w:vertAlign w:val="subscript"/>
        </w:rPr>
        <w:t xml:space="preserve"> </w:t>
      </w:r>
      <w:r w:rsidRPr="005032B9">
        <w:rPr>
          <w:sz w:val="22"/>
        </w:rPr>
        <w:t>– показник вірогідних відмінностей результатів між КГ і ОГ (* – Р &gt; 0,05, ** – Р&lt;0,05, *** – Р&lt;0,01).</w:t>
      </w:r>
      <w:r w:rsidRPr="005032B9">
        <w:rPr>
          <w:sz w:val="16"/>
          <w:szCs w:val="20"/>
          <w:highlight w:val="green"/>
        </w:rPr>
        <w:t xml:space="preserve"> </w:t>
      </w:r>
    </w:p>
    <w:p w:rsidR="00534FB5" w:rsidRDefault="00534FB5" w:rsidP="00534FB5">
      <w:pPr>
        <w:ind w:firstLine="709"/>
      </w:pPr>
    </w:p>
    <w:p w:rsidR="00534FB5" w:rsidRDefault="00534FB5" w:rsidP="00534FB5">
      <w:pPr>
        <w:ind w:firstLine="709"/>
      </w:pPr>
      <w:r w:rsidRPr="0062027C">
        <w:t>Так у 7-8</w:t>
      </w:r>
      <w:r>
        <w:t>-</w:t>
      </w:r>
      <w:r w:rsidRPr="0062027C">
        <w:t xml:space="preserve">річних </w:t>
      </w:r>
      <w:r>
        <w:t>ДВГ</w:t>
      </w:r>
      <w:r w:rsidRPr="0062027C">
        <w:t xml:space="preserve"> цей показник с</w:t>
      </w:r>
      <w:r>
        <w:t>танови</w:t>
      </w:r>
      <w:r w:rsidRPr="0062027C">
        <w:t>в 2,26±0,11</w:t>
      </w:r>
      <w:r>
        <w:t> бала</w:t>
      </w:r>
      <w:r w:rsidRPr="0062027C">
        <w:t>, що в 2</w:t>
      </w:r>
      <w:r>
        <w:t> </w:t>
      </w:r>
      <w:r w:rsidRPr="0062027C">
        <w:t>рази перевищує показник здорових дітей відповідної вікової групи (</w:t>
      </w:r>
      <w:r w:rsidRPr="00714E0C">
        <w:t>Р</w:t>
      </w:r>
      <w:r>
        <w:t>&lt;</w:t>
      </w:r>
      <w:r w:rsidRPr="00714E0C">
        <w:t>0,01</w:t>
      </w:r>
      <w:r w:rsidRPr="0062027C">
        <w:t xml:space="preserve">). </w:t>
      </w:r>
      <w:r w:rsidRPr="0062027C">
        <w:lastRenderedPageBreak/>
        <w:t xml:space="preserve">У </w:t>
      </w:r>
      <w:r>
        <w:t xml:space="preserve">ДВГ </w:t>
      </w:r>
      <w:r w:rsidRPr="0062027C">
        <w:t xml:space="preserve">11-12 років цей показник </w:t>
      </w:r>
      <w:r>
        <w:t>був</w:t>
      </w:r>
      <w:r w:rsidRPr="0062027C">
        <w:t xml:space="preserve"> на рівні 1,95±0,09</w:t>
      </w:r>
      <w:r>
        <w:t> бала</w:t>
      </w:r>
      <w:r w:rsidRPr="0062027C">
        <w:t xml:space="preserve">, перевищуючи показник дітей </w:t>
      </w:r>
      <w:r>
        <w:t>і</w:t>
      </w:r>
      <w:r w:rsidRPr="0062027C">
        <w:t>з нормаль</w:t>
      </w:r>
      <w:r>
        <w:t>ним слухом у 1,4 раза (</w:t>
      </w:r>
      <w:r w:rsidRPr="00B55DAA">
        <w:t>Р</w:t>
      </w:r>
      <w:r>
        <w:t>&lt;</w:t>
      </w:r>
      <w:r w:rsidRPr="00B55DAA">
        <w:t>0,01</w:t>
      </w:r>
      <w:r>
        <w:t xml:space="preserve">). </w:t>
      </w:r>
      <w:r w:rsidRPr="0062027C">
        <w:t>Діти 14-15 років основної групи мали індекс гігієни 2,01±0,11</w:t>
      </w:r>
      <w:r>
        <w:t> бала, тобто в 1,7 раза</w:t>
      </w:r>
      <w:r w:rsidRPr="0062027C">
        <w:t xml:space="preserve"> більш</w:t>
      </w:r>
      <w:r>
        <w:t>ий,</w:t>
      </w:r>
      <w:r w:rsidRPr="0062027C">
        <w:t xml:space="preserve"> порівняно </w:t>
      </w:r>
      <w:r>
        <w:t>з показником КГ дітей (</w:t>
      </w:r>
      <w:r w:rsidRPr="00B55DAA">
        <w:t>Р</w:t>
      </w:r>
      <w:r>
        <w:t>&lt;</w:t>
      </w:r>
      <w:r w:rsidRPr="00B55DAA">
        <w:t>0,01</w:t>
      </w:r>
      <w:r>
        <w:t>) (табл. 3.1</w:t>
      </w:r>
      <w:r w:rsidRPr="0062027C">
        <w:t>.3</w:t>
      </w:r>
      <w:r>
        <w:t>, рис. 3.1.3</w:t>
      </w:r>
      <w:r w:rsidRPr="0062027C">
        <w:t>).</w:t>
      </w:r>
    </w:p>
    <w:p w:rsidR="00534FB5" w:rsidRDefault="00534FB5" w:rsidP="00534FB5">
      <w:pPr>
        <w:rPr>
          <w:noProof/>
        </w:rPr>
      </w:pPr>
    </w:p>
    <w:p w:rsidR="00534FB5" w:rsidRPr="00BA0770" w:rsidRDefault="006C493E" w:rsidP="00534FB5">
      <w:pPr>
        <w:ind w:firstLine="709"/>
        <w:rPr>
          <w:noProof/>
        </w:rPr>
      </w:pPr>
      <w:r>
        <w:rPr>
          <w:noProof/>
          <w:lang w:val="ru-RU"/>
        </w:rPr>
        <w:drawing>
          <wp:inline distT="0" distB="0" distL="0" distR="0">
            <wp:extent cx="4844007" cy="2367041"/>
            <wp:effectExtent l="5997" t="5983" r="7746" b="8226"/>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4FB5" w:rsidRPr="005032B9" w:rsidRDefault="00534FB5" w:rsidP="00534FB5">
      <w:pPr>
        <w:ind w:firstLine="567"/>
        <w:contextualSpacing/>
      </w:pPr>
      <w:r>
        <w:rPr>
          <w:noProof/>
          <w:lang w:eastAsia="uk-UA"/>
        </w:rPr>
        <w:t>Рис. 3.1</w:t>
      </w:r>
      <w:r w:rsidRPr="00BA0770">
        <w:rPr>
          <w:noProof/>
          <w:lang w:eastAsia="uk-UA"/>
        </w:rPr>
        <w:t>.3</w:t>
      </w:r>
      <w:r>
        <w:rPr>
          <w:noProof/>
          <w:lang w:eastAsia="uk-UA"/>
        </w:rPr>
        <w:t>.</w:t>
      </w:r>
      <w:r w:rsidRPr="00BA0770">
        <w:t xml:space="preserve"> Показники </w:t>
      </w:r>
      <w:r w:rsidRPr="005032B9">
        <w:rPr>
          <w:color w:val="000000"/>
        </w:rPr>
        <w:t>ІГ</w:t>
      </w:r>
      <w:r w:rsidRPr="005032B9">
        <w:t xml:space="preserve"> Silness і Loe у дітей основної та контрольної груп до проведення лікувально-профілактичних заходів.</w:t>
      </w:r>
    </w:p>
    <w:p w:rsidR="00534FB5" w:rsidRPr="005032B9" w:rsidRDefault="00534FB5" w:rsidP="00534FB5">
      <w:pPr>
        <w:ind w:firstLine="567"/>
        <w:contextualSpacing/>
      </w:pPr>
    </w:p>
    <w:p w:rsidR="00534FB5" w:rsidRPr="005032B9" w:rsidRDefault="00534FB5" w:rsidP="00534FB5">
      <w:pPr>
        <w:ind w:firstLine="567"/>
        <w:contextualSpacing/>
      </w:pPr>
      <w:r w:rsidRPr="005032B9">
        <w:t xml:space="preserve">Таким чином, можна зазначити, що гігієна порожнини рота у ДВГ є достовірно гіршою, порівняно з дітьми, які мають нормальний слух. </w:t>
      </w:r>
    </w:p>
    <w:p w:rsidR="00534FB5" w:rsidRDefault="00534FB5" w:rsidP="00534FB5">
      <w:pPr>
        <w:ind w:firstLine="567"/>
        <w:contextualSpacing/>
      </w:pPr>
      <w:r w:rsidRPr="005032B9">
        <w:t>Також аналіз оцінки рівня гігієни переконливо свідчить, що показники ІГ за Федоровим–Володкіною,</w:t>
      </w:r>
      <w:r w:rsidRPr="005032B9">
        <w:rPr>
          <w:color w:val="000000"/>
          <w:bdr w:val="none" w:sz="0" w:space="0" w:color="auto" w:frame="1"/>
        </w:rPr>
        <w:t xml:space="preserve"> за Stallard </w:t>
      </w:r>
      <w:r w:rsidRPr="005032B9">
        <w:t>та Silness і Loe</w:t>
      </w:r>
      <w:r>
        <w:t xml:space="preserve"> </w:t>
      </w:r>
      <w:r w:rsidRPr="00BA0770">
        <w:t>не мають тенденці</w:t>
      </w:r>
      <w:r>
        <w:t>ї</w:t>
      </w:r>
      <w:r w:rsidRPr="00BA0770">
        <w:t xml:space="preserve"> до підвищення у віковому аспекті, а навпаки</w:t>
      </w:r>
      <w:r>
        <w:t>,</w:t>
      </w:r>
      <w:r w:rsidRPr="00BA0770">
        <w:t xml:space="preserve"> простежується їх зниження та стабілізація. Цей факт пояснюється підвищенням</w:t>
      </w:r>
      <w:r>
        <w:t xml:space="preserve"> із віком</w:t>
      </w:r>
      <w:r w:rsidRPr="00BA0770">
        <w:t xml:space="preserve"> рівня освіченості </w:t>
      </w:r>
      <w:r>
        <w:t>й</w:t>
      </w:r>
      <w:r w:rsidRPr="00BA0770">
        <w:t xml:space="preserve"> свідомості дітей. </w:t>
      </w:r>
    </w:p>
    <w:p w:rsidR="00534FB5" w:rsidRPr="00BA0770" w:rsidRDefault="00534FB5" w:rsidP="00534FB5">
      <w:pPr>
        <w:ind w:firstLine="567"/>
        <w:contextualSpacing/>
      </w:pPr>
    </w:p>
    <w:p w:rsidR="00534FB5" w:rsidRPr="0031607F" w:rsidRDefault="00534FB5" w:rsidP="00534FB5">
      <w:pPr>
        <w:ind w:firstLine="567"/>
        <w:contextualSpacing/>
      </w:pPr>
      <w:r w:rsidRPr="0031607F">
        <w:rPr>
          <w:b/>
        </w:rPr>
        <w:t>3.</w:t>
      </w:r>
      <w:r>
        <w:rPr>
          <w:b/>
        </w:rPr>
        <w:t xml:space="preserve">2. </w:t>
      </w:r>
      <w:r w:rsidRPr="0031607F">
        <w:rPr>
          <w:b/>
        </w:rPr>
        <w:t xml:space="preserve">Стан </w:t>
      </w:r>
      <w:r>
        <w:rPr>
          <w:b/>
        </w:rPr>
        <w:t xml:space="preserve">твердих тканин зубів у дітей </w:t>
      </w:r>
      <w:r w:rsidR="006C493E">
        <w:rPr>
          <w:b/>
        </w:rPr>
        <w:t>із вродженою</w:t>
      </w:r>
      <w:r w:rsidRPr="0031607F">
        <w:rPr>
          <w:b/>
        </w:rPr>
        <w:t xml:space="preserve"> глухотою</w:t>
      </w:r>
    </w:p>
    <w:p w:rsidR="00534FB5" w:rsidRPr="0031607F" w:rsidRDefault="00534FB5" w:rsidP="00534FB5">
      <w:pPr>
        <w:ind w:firstLine="567"/>
        <w:contextualSpacing/>
      </w:pPr>
    </w:p>
    <w:p w:rsidR="00534FB5" w:rsidRPr="0031607F" w:rsidRDefault="00534FB5" w:rsidP="00534FB5">
      <w:pPr>
        <w:tabs>
          <w:tab w:val="left" w:pos="4253"/>
        </w:tabs>
        <w:ind w:firstLine="567"/>
      </w:pPr>
      <w:r w:rsidRPr="0031607F">
        <w:t xml:space="preserve">У </w:t>
      </w:r>
      <w:r>
        <w:t>ДВГ</w:t>
      </w:r>
      <w:r w:rsidRPr="0031607F">
        <w:t xml:space="preserve"> </w:t>
      </w:r>
      <w:r>
        <w:t>7-15 років</w:t>
      </w:r>
      <w:r w:rsidRPr="0031607F">
        <w:t xml:space="preserve"> </w:t>
      </w:r>
      <w:r>
        <w:t>поширеність</w:t>
      </w:r>
      <w:r w:rsidRPr="0031607F">
        <w:t xml:space="preserve"> карієсу</w:t>
      </w:r>
      <w:r>
        <w:t xml:space="preserve"> була</w:t>
      </w:r>
      <w:r w:rsidRPr="0031607F">
        <w:t xml:space="preserve"> дещо вищ</w:t>
      </w:r>
      <w:r>
        <w:t>ою,</w:t>
      </w:r>
      <w:r w:rsidRPr="0031607F">
        <w:t xml:space="preserve"> порівнян</w:t>
      </w:r>
      <w:r>
        <w:t>о</w:t>
      </w:r>
      <w:r w:rsidRPr="0031607F">
        <w:t xml:space="preserve"> з показниками </w:t>
      </w:r>
      <w:r w:rsidRPr="00940D91">
        <w:t>ДНС</w:t>
      </w:r>
      <w:r w:rsidRPr="0031607F">
        <w:t>. Однак достові</w:t>
      </w:r>
      <w:r>
        <w:t xml:space="preserve">рної різниці між показниками ОГ </w:t>
      </w:r>
      <w:r w:rsidRPr="0031607F">
        <w:t>та КГ дітей</w:t>
      </w:r>
      <w:r>
        <w:t xml:space="preserve"> </w:t>
      </w:r>
      <w:r w:rsidRPr="0031607F">
        <w:t>всіх вікових груп виявлено не було (Р&gt;0,05) (</w:t>
      </w:r>
      <w:r w:rsidRPr="0031607F">
        <w:rPr>
          <w:color w:val="000000"/>
        </w:rPr>
        <w:t>табл.</w:t>
      </w:r>
      <w:r>
        <w:rPr>
          <w:color w:val="000000"/>
        </w:rPr>
        <w:t> </w:t>
      </w:r>
      <w:r>
        <w:t>3.2</w:t>
      </w:r>
      <w:r w:rsidRPr="0031607F">
        <w:t>.1</w:t>
      </w:r>
      <w:r>
        <w:t xml:space="preserve">, </w:t>
      </w:r>
      <w:r>
        <w:rPr>
          <w:noProof/>
        </w:rPr>
        <w:t>рис. </w:t>
      </w:r>
      <w:r>
        <w:rPr>
          <w:noProof/>
          <w:lang w:eastAsia="uk-UA"/>
        </w:rPr>
        <w:t>3.2.1</w:t>
      </w:r>
      <w:r w:rsidRPr="0031607F">
        <w:t>).</w:t>
      </w:r>
    </w:p>
    <w:p w:rsidR="00534FB5" w:rsidRPr="006174B4" w:rsidRDefault="00534FB5" w:rsidP="00534FB5">
      <w:pPr>
        <w:tabs>
          <w:tab w:val="left" w:pos="4253"/>
        </w:tabs>
        <w:jc w:val="right"/>
        <w:rPr>
          <w:i/>
        </w:rPr>
      </w:pPr>
      <w:r>
        <w:rPr>
          <w:i/>
        </w:rPr>
        <w:lastRenderedPageBreak/>
        <w:t>Таблиця 3.2</w:t>
      </w:r>
      <w:r w:rsidRPr="006174B4">
        <w:rPr>
          <w:i/>
        </w:rPr>
        <w:t>.1</w:t>
      </w:r>
    </w:p>
    <w:p w:rsidR="00534FB5" w:rsidRPr="006174B4" w:rsidRDefault="00534FB5" w:rsidP="00534FB5">
      <w:pPr>
        <w:tabs>
          <w:tab w:val="left" w:pos="4253"/>
        </w:tabs>
        <w:jc w:val="center"/>
        <w:rPr>
          <w:b/>
        </w:rPr>
      </w:pPr>
      <w:r>
        <w:rPr>
          <w:b/>
          <w:color w:val="000000"/>
        </w:rPr>
        <w:t>Поширеність</w:t>
      </w:r>
      <w:r w:rsidRPr="006174B4">
        <w:rPr>
          <w:b/>
          <w:color w:val="000000"/>
        </w:rPr>
        <w:t xml:space="preserve"> карієсу </w:t>
      </w:r>
      <w:r w:rsidRPr="006174B4">
        <w:rPr>
          <w:b/>
        </w:rPr>
        <w:t>зубів у дітей основної та контрольної груп до проведення лікувально-профілактичних заходів</w:t>
      </w:r>
      <w:r w:rsidRPr="00AE5179">
        <w:rPr>
          <w:b/>
        </w:rPr>
        <w:t>, (</w:t>
      </w:r>
      <w:r w:rsidRPr="00AE5179">
        <w:rPr>
          <w:b/>
          <w:lang w:val="en-US"/>
        </w:rPr>
        <w:t>M</w:t>
      </w:r>
      <w:r w:rsidRPr="00AE5179">
        <w:rPr>
          <w:b/>
        </w:rPr>
        <w:t>±</w:t>
      </w:r>
      <w:r w:rsidRPr="00AE5179">
        <w:rPr>
          <w:b/>
          <w:lang w:val="en-US"/>
        </w:rPr>
        <w:t>m</w:t>
      </w:r>
      <w:r w:rsidRPr="00AE5179">
        <w:rPr>
          <w:b/>
        </w:rPr>
        <w:t>)</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
        <w:gridCol w:w="496"/>
        <w:gridCol w:w="1860"/>
        <w:gridCol w:w="932"/>
        <w:gridCol w:w="496"/>
        <w:gridCol w:w="1860"/>
        <w:gridCol w:w="932"/>
        <w:gridCol w:w="496"/>
        <w:gridCol w:w="1860"/>
      </w:tblGrid>
      <w:tr w:rsidR="00534FB5" w:rsidRPr="001E7C90" w:rsidTr="00534FB5">
        <w:tc>
          <w:tcPr>
            <w:tcW w:w="472" w:type="pct"/>
          </w:tcPr>
          <w:p w:rsidR="00534FB5" w:rsidRPr="00FC6DFB" w:rsidRDefault="00534FB5" w:rsidP="005032B9">
            <w:pPr>
              <w:tabs>
                <w:tab w:val="left" w:pos="4253"/>
              </w:tabs>
              <w:spacing w:line="240" w:lineRule="atLeast"/>
              <w:contextualSpacing/>
              <w:jc w:val="center"/>
            </w:pPr>
            <w:r w:rsidRPr="00FC6DFB">
              <w:t>Група</w:t>
            </w:r>
          </w:p>
        </w:tc>
        <w:tc>
          <w:tcPr>
            <w:tcW w:w="251" w:type="pct"/>
          </w:tcPr>
          <w:p w:rsidR="00534FB5" w:rsidRPr="00FC6DFB" w:rsidRDefault="00534FB5" w:rsidP="005032B9">
            <w:pPr>
              <w:tabs>
                <w:tab w:val="left" w:pos="4253"/>
              </w:tabs>
              <w:spacing w:line="240" w:lineRule="atLeast"/>
              <w:contextualSpacing/>
              <w:jc w:val="center"/>
            </w:pPr>
            <w:r w:rsidRPr="00FC6DFB">
              <w:t>N</w:t>
            </w:r>
          </w:p>
        </w:tc>
        <w:tc>
          <w:tcPr>
            <w:tcW w:w="943" w:type="pct"/>
          </w:tcPr>
          <w:p w:rsidR="00534FB5" w:rsidRPr="005032B9" w:rsidRDefault="00534FB5" w:rsidP="005032B9">
            <w:pPr>
              <w:tabs>
                <w:tab w:val="left" w:pos="4253"/>
              </w:tabs>
              <w:spacing w:line="240" w:lineRule="atLeast"/>
              <w:contextualSpacing/>
              <w:jc w:val="center"/>
            </w:pPr>
            <w:r w:rsidRPr="00FC6DFB">
              <w:t>Поширеність</w:t>
            </w:r>
            <w:r w:rsidRPr="00FC6DFB">
              <w:rPr>
                <w:lang w:val="en-US"/>
              </w:rPr>
              <w:t xml:space="preserve">, </w:t>
            </w:r>
            <w:r w:rsidR="005032B9">
              <w:t>%</w:t>
            </w:r>
          </w:p>
        </w:tc>
        <w:tc>
          <w:tcPr>
            <w:tcW w:w="472" w:type="pct"/>
            <w:tcBorders>
              <w:right w:val="single" w:sz="4" w:space="0" w:color="auto"/>
            </w:tcBorders>
          </w:tcPr>
          <w:p w:rsidR="00534FB5" w:rsidRPr="00FC6DFB" w:rsidRDefault="00534FB5" w:rsidP="005032B9">
            <w:pPr>
              <w:tabs>
                <w:tab w:val="left" w:pos="4253"/>
              </w:tabs>
              <w:spacing w:line="240" w:lineRule="atLeast"/>
              <w:contextualSpacing/>
              <w:jc w:val="center"/>
            </w:pPr>
            <w:r w:rsidRPr="00FC6DFB">
              <w:t>Група</w:t>
            </w:r>
          </w:p>
        </w:tc>
        <w:tc>
          <w:tcPr>
            <w:tcW w:w="251" w:type="pct"/>
            <w:tcBorders>
              <w:left w:val="single" w:sz="4" w:space="0" w:color="auto"/>
            </w:tcBorders>
          </w:tcPr>
          <w:p w:rsidR="00534FB5" w:rsidRPr="00FC6DFB" w:rsidRDefault="00534FB5" w:rsidP="005032B9">
            <w:pPr>
              <w:tabs>
                <w:tab w:val="left" w:pos="4253"/>
              </w:tabs>
              <w:spacing w:line="240" w:lineRule="atLeast"/>
              <w:contextualSpacing/>
              <w:jc w:val="center"/>
            </w:pPr>
            <w:r w:rsidRPr="00FC6DFB">
              <w:t>N</w:t>
            </w:r>
          </w:p>
        </w:tc>
        <w:tc>
          <w:tcPr>
            <w:tcW w:w="943"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rPr>
                <w:lang w:val="en-US"/>
              </w:rPr>
            </w:pPr>
            <w:r w:rsidRPr="00FC6DFB">
              <w:t>Поширеність,</w:t>
            </w:r>
            <w:r w:rsidRPr="00FC6DFB">
              <w:rPr>
                <w:lang w:val="en-US"/>
              </w:rPr>
              <w:t xml:space="preserve"> </w:t>
            </w:r>
            <w:r w:rsidR="005032B9">
              <w:t>%</w:t>
            </w:r>
          </w:p>
        </w:tc>
        <w:tc>
          <w:tcPr>
            <w:tcW w:w="472"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Група</w:t>
            </w:r>
          </w:p>
        </w:tc>
        <w:tc>
          <w:tcPr>
            <w:tcW w:w="251"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N</w:t>
            </w:r>
          </w:p>
        </w:tc>
        <w:tc>
          <w:tcPr>
            <w:tcW w:w="943" w:type="pct"/>
            <w:tcBorders>
              <w:left w:val="single" w:sz="4" w:space="0" w:color="auto"/>
            </w:tcBorders>
          </w:tcPr>
          <w:p w:rsidR="00534FB5" w:rsidRPr="00FC6DFB" w:rsidRDefault="00534FB5" w:rsidP="005032B9">
            <w:pPr>
              <w:tabs>
                <w:tab w:val="left" w:pos="4253"/>
              </w:tabs>
              <w:spacing w:line="240" w:lineRule="atLeast"/>
              <w:contextualSpacing/>
              <w:jc w:val="center"/>
            </w:pPr>
            <w:r w:rsidRPr="00FC6DFB">
              <w:t xml:space="preserve">Поширеність, </w:t>
            </w:r>
            <w:r w:rsidR="005032B9">
              <w:t>%</w:t>
            </w:r>
          </w:p>
        </w:tc>
      </w:tr>
      <w:tr w:rsidR="00534FB5" w:rsidRPr="001E7C90" w:rsidTr="00534FB5">
        <w:tc>
          <w:tcPr>
            <w:tcW w:w="472" w:type="pct"/>
          </w:tcPr>
          <w:p w:rsidR="00534FB5" w:rsidRPr="00FC6DFB" w:rsidRDefault="00534FB5" w:rsidP="005032B9">
            <w:pPr>
              <w:tabs>
                <w:tab w:val="left" w:pos="4253"/>
              </w:tabs>
              <w:spacing w:line="240" w:lineRule="atLeast"/>
              <w:contextualSpacing/>
              <w:jc w:val="center"/>
            </w:pPr>
            <w:r w:rsidRPr="00FC6DFB">
              <w:t>КГ1</w:t>
            </w:r>
          </w:p>
        </w:tc>
        <w:tc>
          <w:tcPr>
            <w:tcW w:w="251" w:type="pct"/>
          </w:tcPr>
          <w:p w:rsidR="00534FB5" w:rsidRPr="00FC6DFB" w:rsidRDefault="00534FB5" w:rsidP="005032B9">
            <w:pPr>
              <w:tabs>
                <w:tab w:val="left" w:pos="4253"/>
              </w:tabs>
              <w:spacing w:line="240" w:lineRule="atLeast"/>
              <w:contextualSpacing/>
              <w:jc w:val="center"/>
            </w:pPr>
            <w:r w:rsidRPr="00FC6DFB">
              <w:t>10</w:t>
            </w:r>
          </w:p>
        </w:tc>
        <w:tc>
          <w:tcPr>
            <w:tcW w:w="943" w:type="pct"/>
          </w:tcPr>
          <w:p w:rsidR="00534FB5" w:rsidRPr="00FC6DFB" w:rsidRDefault="00534FB5" w:rsidP="005032B9">
            <w:pPr>
              <w:tabs>
                <w:tab w:val="left" w:pos="4253"/>
              </w:tabs>
              <w:spacing w:line="240" w:lineRule="atLeast"/>
              <w:contextualSpacing/>
              <w:jc w:val="center"/>
            </w:pPr>
            <w:r w:rsidRPr="00FC6DFB">
              <w:t>80</w:t>
            </w:r>
          </w:p>
        </w:tc>
        <w:tc>
          <w:tcPr>
            <w:tcW w:w="472" w:type="pct"/>
            <w:tcBorders>
              <w:right w:val="single" w:sz="4" w:space="0" w:color="auto"/>
            </w:tcBorders>
          </w:tcPr>
          <w:p w:rsidR="00534FB5" w:rsidRPr="00FC6DFB" w:rsidRDefault="00534FB5" w:rsidP="005032B9">
            <w:pPr>
              <w:tabs>
                <w:tab w:val="left" w:pos="4253"/>
              </w:tabs>
              <w:spacing w:line="240" w:lineRule="atLeast"/>
              <w:contextualSpacing/>
              <w:jc w:val="center"/>
            </w:pPr>
            <w:r w:rsidRPr="00FC6DFB">
              <w:t>КГ2</w:t>
            </w:r>
          </w:p>
        </w:tc>
        <w:tc>
          <w:tcPr>
            <w:tcW w:w="251" w:type="pct"/>
            <w:tcBorders>
              <w:left w:val="single" w:sz="4" w:space="0" w:color="auto"/>
            </w:tcBorders>
          </w:tcPr>
          <w:p w:rsidR="00534FB5" w:rsidRPr="00FC6DFB" w:rsidRDefault="00534FB5" w:rsidP="005032B9">
            <w:pPr>
              <w:tabs>
                <w:tab w:val="left" w:pos="4253"/>
              </w:tabs>
              <w:spacing w:line="240" w:lineRule="atLeast"/>
              <w:contextualSpacing/>
              <w:jc w:val="center"/>
            </w:pPr>
            <w:r w:rsidRPr="00FC6DFB">
              <w:t>10</w:t>
            </w:r>
          </w:p>
        </w:tc>
        <w:tc>
          <w:tcPr>
            <w:tcW w:w="943" w:type="pct"/>
            <w:tcBorders>
              <w:left w:val="single" w:sz="4" w:space="0" w:color="auto"/>
              <w:right w:val="single" w:sz="4" w:space="0" w:color="auto"/>
            </w:tcBorders>
          </w:tcPr>
          <w:p w:rsidR="00534FB5" w:rsidRPr="00FC6DFB" w:rsidRDefault="005032B9" w:rsidP="005032B9">
            <w:pPr>
              <w:tabs>
                <w:tab w:val="left" w:pos="4253"/>
              </w:tabs>
              <w:spacing w:line="240" w:lineRule="atLeast"/>
              <w:contextualSpacing/>
              <w:jc w:val="center"/>
            </w:pPr>
            <w:r>
              <w:t>70</w:t>
            </w:r>
          </w:p>
        </w:tc>
        <w:tc>
          <w:tcPr>
            <w:tcW w:w="472"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КГ3</w:t>
            </w:r>
          </w:p>
        </w:tc>
        <w:tc>
          <w:tcPr>
            <w:tcW w:w="251"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12</w:t>
            </w:r>
          </w:p>
        </w:tc>
        <w:tc>
          <w:tcPr>
            <w:tcW w:w="943" w:type="pct"/>
            <w:tcBorders>
              <w:left w:val="single" w:sz="4" w:space="0" w:color="auto"/>
            </w:tcBorders>
          </w:tcPr>
          <w:p w:rsidR="00534FB5" w:rsidRPr="00FC6DFB" w:rsidRDefault="005032B9" w:rsidP="005032B9">
            <w:pPr>
              <w:tabs>
                <w:tab w:val="left" w:pos="4253"/>
              </w:tabs>
              <w:spacing w:line="240" w:lineRule="atLeast"/>
              <w:contextualSpacing/>
              <w:jc w:val="center"/>
            </w:pPr>
            <w:r>
              <w:t>75</w:t>
            </w:r>
          </w:p>
        </w:tc>
      </w:tr>
      <w:tr w:rsidR="00534FB5" w:rsidRPr="001E7C90" w:rsidTr="00534FB5">
        <w:tc>
          <w:tcPr>
            <w:tcW w:w="472" w:type="pct"/>
          </w:tcPr>
          <w:p w:rsidR="00534FB5" w:rsidRPr="00FC6DFB" w:rsidRDefault="00534FB5" w:rsidP="005032B9">
            <w:pPr>
              <w:tabs>
                <w:tab w:val="left" w:pos="4253"/>
              </w:tabs>
              <w:spacing w:line="240" w:lineRule="atLeast"/>
              <w:contextualSpacing/>
              <w:jc w:val="center"/>
            </w:pPr>
            <w:r w:rsidRPr="00FC6DFB">
              <w:t>ОГ1</w:t>
            </w:r>
          </w:p>
        </w:tc>
        <w:tc>
          <w:tcPr>
            <w:tcW w:w="251" w:type="pct"/>
          </w:tcPr>
          <w:p w:rsidR="00534FB5" w:rsidRPr="00FC6DFB" w:rsidRDefault="00534FB5" w:rsidP="005032B9">
            <w:pPr>
              <w:tabs>
                <w:tab w:val="left" w:pos="4253"/>
              </w:tabs>
              <w:spacing w:line="240" w:lineRule="atLeast"/>
              <w:contextualSpacing/>
              <w:jc w:val="center"/>
            </w:pPr>
            <w:r w:rsidRPr="00FC6DFB">
              <w:t>23</w:t>
            </w:r>
          </w:p>
        </w:tc>
        <w:tc>
          <w:tcPr>
            <w:tcW w:w="943" w:type="pct"/>
          </w:tcPr>
          <w:p w:rsidR="00534FB5" w:rsidRPr="00FC6DFB" w:rsidRDefault="005032B9" w:rsidP="005032B9">
            <w:pPr>
              <w:tabs>
                <w:tab w:val="left" w:pos="4253"/>
              </w:tabs>
              <w:spacing w:line="240" w:lineRule="atLeast"/>
              <w:contextualSpacing/>
              <w:jc w:val="center"/>
            </w:pPr>
            <w:r>
              <w:t>83</w:t>
            </w:r>
          </w:p>
        </w:tc>
        <w:tc>
          <w:tcPr>
            <w:tcW w:w="472" w:type="pct"/>
            <w:tcBorders>
              <w:right w:val="single" w:sz="4" w:space="0" w:color="auto"/>
            </w:tcBorders>
          </w:tcPr>
          <w:p w:rsidR="00534FB5" w:rsidRPr="00FC6DFB" w:rsidRDefault="00534FB5" w:rsidP="005032B9">
            <w:pPr>
              <w:tabs>
                <w:tab w:val="left" w:pos="4253"/>
              </w:tabs>
              <w:spacing w:line="240" w:lineRule="atLeast"/>
              <w:contextualSpacing/>
              <w:jc w:val="center"/>
            </w:pPr>
            <w:r w:rsidRPr="00FC6DFB">
              <w:t>ОГ2</w:t>
            </w:r>
          </w:p>
        </w:tc>
        <w:tc>
          <w:tcPr>
            <w:tcW w:w="251" w:type="pct"/>
            <w:tcBorders>
              <w:left w:val="single" w:sz="4" w:space="0" w:color="auto"/>
            </w:tcBorders>
          </w:tcPr>
          <w:p w:rsidR="00534FB5" w:rsidRPr="00FC6DFB" w:rsidRDefault="00534FB5" w:rsidP="005032B9">
            <w:pPr>
              <w:tabs>
                <w:tab w:val="left" w:pos="4253"/>
              </w:tabs>
              <w:spacing w:line="240" w:lineRule="atLeast"/>
              <w:contextualSpacing/>
              <w:jc w:val="center"/>
            </w:pPr>
            <w:r w:rsidRPr="00FC6DFB">
              <w:t>21</w:t>
            </w:r>
          </w:p>
        </w:tc>
        <w:tc>
          <w:tcPr>
            <w:tcW w:w="943" w:type="pct"/>
            <w:tcBorders>
              <w:left w:val="single" w:sz="4" w:space="0" w:color="auto"/>
              <w:right w:val="single" w:sz="4" w:space="0" w:color="auto"/>
            </w:tcBorders>
          </w:tcPr>
          <w:p w:rsidR="00534FB5" w:rsidRPr="00FC6DFB" w:rsidRDefault="005032B9" w:rsidP="005032B9">
            <w:pPr>
              <w:tabs>
                <w:tab w:val="left" w:pos="4253"/>
              </w:tabs>
              <w:spacing w:line="240" w:lineRule="atLeast"/>
              <w:contextualSpacing/>
              <w:jc w:val="center"/>
            </w:pPr>
            <w:r>
              <w:t>81</w:t>
            </w:r>
          </w:p>
        </w:tc>
        <w:tc>
          <w:tcPr>
            <w:tcW w:w="472"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ОГ3</w:t>
            </w:r>
          </w:p>
        </w:tc>
        <w:tc>
          <w:tcPr>
            <w:tcW w:w="251" w:type="pct"/>
            <w:tcBorders>
              <w:left w:val="single" w:sz="4" w:space="0" w:color="auto"/>
              <w:right w:val="single" w:sz="4" w:space="0" w:color="auto"/>
            </w:tcBorders>
          </w:tcPr>
          <w:p w:rsidR="00534FB5" w:rsidRPr="00FC6DFB" w:rsidRDefault="00534FB5" w:rsidP="005032B9">
            <w:pPr>
              <w:tabs>
                <w:tab w:val="left" w:pos="4253"/>
              </w:tabs>
              <w:spacing w:line="240" w:lineRule="atLeast"/>
              <w:contextualSpacing/>
              <w:jc w:val="center"/>
            </w:pPr>
            <w:r w:rsidRPr="00FC6DFB">
              <w:t>26</w:t>
            </w:r>
          </w:p>
        </w:tc>
        <w:tc>
          <w:tcPr>
            <w:tcW w:w="943" w:type="pct"/>
            <w:tcBorders>
              <w:left w:val="single" w:sz="4" w:space="0" w:color="auto"/>
            </w:tcBorders>
          </w:tcPr>
          <w:p w:rsidR="00534FB5" w:rsidRPr="00FC6DFB" w:rsidRDefault="005032B9" w:rsidP="005032B9">
            <w:pPr>
              <w:tabs>
                <w:tab w:val="left" w:pos="4253"/>
              </w:tabs>
              <w:spacing w:line="240" w:lineRule="atLeast"/>
              <w:contextualSpacing/>
              <w:jc w:val="center"/>
            </w:pPr>
            <w:r>
              <w:t>85</w:t>
            </w:r>
          </w:p>
        </w:tc>
      </w:tr>
    </w:tbl>
    <w:p w:rsidR="00534FB5" w:rsidRDefault="00534FB5" w:rsidP="00534FB5">
      <w:pPr>
        <w:rPr>
          <w:sz w:val="24"/>
        </w:rPr>
      </w:pPr>
    </w:p>
    <w:p w:rsidR="005032B9" w:rsidRDefault="005032B9" w:rsidP="00534FB5">
      <w:pPr>
        <w:rPr>
          <w:noProof/>
        </w:rPr>
      </w:pPr>
    </w:p>
    <w:p w:rsidR="00534FB5" w:rsidRDefault="006C493E" w:rsidP="00534FB5">
      <w:pPr>
        <w:ind w:firstLine="709"/>
        <w:rPr>
          <w:noProof/>
        </w:rPr>
      </w:pPr>
      <w:r>
        <w:rPr>
          <w:noProof/>
          <w:lang w:val="ru-RU"/>
        </w:rPr>
        <w:drawing>
          <wp:inline distT="0" distB="0" distL="0" distR="0">
            <wp:extent cx="4834522" cy="2371354"/>
            <wp:effectExtent l="19050" t="0" r="23228"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4FB5" w:rsidRDefault="00534FB5" w:rsidP="00534FB5">
      <w:pPr>
        <w:ind w:firstLine="709"/>
      </w:pPr>
      <w:r>
        <w:rPr>
          <w:noProof/>
        </w:rPr>
        <w:t>Рис. </w:t>
      </w:r>
      <w:r w:rsidRPr="00BD47E6">
        <w:rPr>
          <w:noProof/>
          <w:lang w:eastAsia="uk-UA"/>
        </w:rPr>
        <w:t>3.2.1.</w:t>
      </w:r>
      <w:r>
        <w:rPr>
          <w:noProof/>
          <w:lang w:eastAsia="uk-UA"/>
        </w:rPr>
        <w:t xml:space="preserve"> </w:t>
      </w:r>
      <w:r w:rsidRPr="00BD47E6">
        <w:t>Показники</w:t>
      </w:r>
      <w:r>
        <w:t xml:space="preserve"> </w:t>
      </w:r>
      <w:r w:rsidRPr="00BD47E6">
        <w:rPr>
          <w:color w:val="000000"/>
        </w:rPr>
        <w:t xml:space="preserve">поширеності карієсу </w:t>
      </w:r>
      <w:r w:rsidRPr="00BD47E6">
        <w:t>зубів у дітей основної та контрольної груп до проведення лікувально-профілактичних заходів.</w:t>
      </w:r>
      <w:r>
        <w:rPr>
          <w:highlight w:val="green"/>
        </w:rPr>
        <w:t xml:space="preserve"> </w:t>
      </w:r>
    </w:p>
    <w:p w:rsidR="00534FB5" w:rsidRDefault="00534FB5" w:rsidP="00534FB5">
      <w:pPr>
        <w:ind w:firstLine="709"/>
        <w:rPr>
          <w:noProof/>
        </w:rPr>
      </w:pPr>
    </w:p>
    <w:p w:rsidR="00534FB5" w:rsidRDefault="00534FB5" w:rsidP="00534FB5">
      <w:pPr>
        <w:ind w:firstLine="567"/>
        <w:contextualSpacing/>
      </w:pPr>
      <w:r>
        <w:t xml:space="preserve">Необхідно зауважити, що поширеність карієсу постійних зубів у трьох вікових групах ДВГ була значно вищою, порівняно з КГ дітей </w:t>
      </w:r>
      <w:r w:rsidRPr="0031607F">
        <w:t>(</w:t>
      </w:r>
      <w:r w:rsidRPr="0031607F">
        <w:rPr>
          <w:color w:val="000000"/>
        </w:rPr>
        <w:t>табл.</w:t>
      </w:r>
      <w:r>
        <w:rPr>
          <w:color w:val="000000"/>
        </w:rPr>
        <w:t> </w:t>
      </w:r>
      <w:r>
        <w:t>3.2.2</w:t>
      </w:r>
      <w:r w:rsidRPr="0031607F">
        <w:t>).</w:t>
      </w:r>
    </w:p>
    <w:p w:rsidR="00534FB5" w:rsidRPr="006174B4" w:rsidRDefault="00534FB5" w:rsidP="00534FB5">
      <w:pPr>
        <w:tabs>
          <w:tab w:val="left" w:pos="4253"/>
        </w:tabs>
        <w:jc w:val="right"/>
        <w:rPr>
          <w:i/>
        </w:rPr>
      </w:pPr>
      <w:r>
        <w:rPr>
          <w:i/>
        </w:rPr>
        <w:t>Таблиця 3.2.2</w:t>
      </w:r>
    </w:p>
    <w:p w:rsidR="00534FB5" w:rsidRPr="00D367BF" w:rsidRDefault="00534FB5" w:rsidP="00534FB5">
      <w:pPr>
        <w:tabs>
          <w:tab w:val="left" w:pos="4253"/>
        </w:tabs>
        <w:jc w:val="center"/>
        <w:rPr>
          <w:b/>
        </w:rPr>
      </w:pPr>
      <w:r>
        <w:rPr>
          <w:b/>
          <w:color w:val="000000"/>
        </w:rPr>
        <w:t>Поширеність</w:t>
      </w:r>
      <w:r w:rsidRPr="006174B4">
        <w:rPr>
          <w:b/>
          <w:color w:val="000000"/>
        </w:rPr>
        <w:t xml:space="preserve"> карієсу </w:t>
      </w:r>
      <w:r>
        <w:rPr>
          <w:b/>
          <w:color w:val="000000"/>
        </w:rPr>
        <w:t xml:space="preserve">постійних </w:t>
      </w:r>
      <w:r w:rsidRPr="006174B4">
        <w:rPr>
          <w:b/>
        </w:rPr>
        <w:t>зубів у дітей основної та контрольної груп до проведення лікувально-профілактичних заходів</w:t>
      </w:r>
      <w:r w:rsidRPr="00AE5179">
        <w:rPr>
          <w:b/>
        </w:rPr>
        <w:t>, (</w:t>
      </w:r>
      <w:r w:rsidRPr="00AE5179">
        <w:rPr>
          <w:b/>
          <w:lang w:val="en-US"/>
        </w:rPr>
        <w:t>M</w:t>
      </w:r>
      <w:r w:rsidRPr="00AE5179">
        <w:rPr>
          <w:b/>
        </w:rPr>
        <w:t>±</w:t>
      </w:r>
      <w:r w:rsidRPr="00AE5179">
        <w:rPr>
          <w:b/>
          <w:lang w:val="en-US"/>
        </w:rPr>
        <w:t>m</w:t>
      </w:r>
      <w:r w:rsidRPr="00AE5179">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498"/>
        <w:gridCol w:w="1840"/>
        <w:gridCol w:w="861"/>
        <w:gridCol w:w="478"/>
        <w:gridCol w:w="1840"/>
        <w:gridCol w:w="861"/>
        <w:gridCol w:w="468"/>
        <w:gridCol w:w="1840"/>
      </w:tblGrid>
      <w:tr w:rsidR="00534FB5" w:rsidRPr="0069513A" w:rsidTr="00534FB5">
        <w:tc>
          <w:tcPr>
            <w:tcW w:w="991" w:type="dxa"/>
          </w:tcPr>
          <w:p w:rsidR="00534FB5" w:rsidRPr="00D367BF" w:rsidRDefault="00534FB5" w:rsidP="005032B9">
            <w:pPr>
              <w:tabs>
                <w:tab w:val="left" w:pos="4253"/>
              </w:tabs>
              <w:spacing w:line="240" w:lineRule="auto"/>
              <w:jc w:val="center"/>
              <w:rPr>
                <w:spacing w:val="-20"/>
              </w:rPr>
            </w:pPr>
            <w:r w:rsidRPr="00D367BF">
              <w:rPr>
                <w:spacing w:val="-20"/>
              </w:rPr>
              <w:t>Група</w:t>
            </w:r>
          </w:p>
        </w:tc>
        <w:tc>
          <w:tcPr>
            <w:tcW w:w="581" w:type="dxa"/>
          </w:tcPr>
          <w:p w:rsidR="00534FB5" w:rsidRPr="00D367BF" w:rsidRDefault="00534FB5" w:rsidP="005032B9">
            <w:pPr>
              <w:tabs>
                <w:tab w:val="left" w:pos="4253"/>
              </w:tabs>
              <w:spacing w:line="240" w:lineRule="auto"/>
              <w:jc w:val="center"/>
              <w:rPr>
                <w:spacing w:val="-20"/>
              </w:rPr>
            </w:pPr>
            <w:r w:rsidRPr="00D367BF">
              <w:rPr>
                <w:spacing w:val="-20"/>
              </w:rPr>
              <w:t>N</w:t>
            </w:r>
          </w:p>
        </w:tc>
        <w:tc>
          <w:tcPr>
            <w:tcW w:w="1737" w:type="dxa"/>
          </w:tcPr>
          <w:p w:rsidR="00534FB5" w:rsidRPr="005032B9" w:rsidRDefault="005032B9" w:rsidP="005032B9">
            <w:pPr>
              <w:tabs>
                <w:tab w:val="left" w:pos="4253"/>
              </w:tabs>
              <w:spacing w:line="240" w:lineRule="auto"/>
              <w:jc w:val="center"/>
              <w:rPr>
                <w:spacing w:val="-20"/>
              </w:rPr>
            </w:pPr>
            <w:r w:rsidRPr="005032B9">
              <w:rPr>
                <w:color w:val="000000"/>
              </w:rPr>
              <w:t>Поширеність</w:t>
            </w:r>
            <w:r w:rsidRPr="005032B9">
              <w:rPr>
                <w:spacing w:val="-20"/>
              </w:rPr>
              <w:t>, %</w:t>
            </w:r>
          </w:p>
        </w:tc>
        <w:tc>
          <w:tcPr>
            <w:tcW w:w="919" w:type="dxa"/>
            <w:tcBorders>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Група</w:t>
            </w:r>
          </w:p>
        </w:tc>
        <w:tc>
          <w:tcPr>
            <w:tcW w:w="521" w:type="dxa"/>
            <w:tcBorders>
              <w:lef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N</w:t>
            </w:r>
          </w:p>
        </w:tc>
        <w:tc>
          <w:tcPr>
            <w:tcW w:w="1706" w:type="dxa"/>
            <w:tcBorders>
              <w:left w:val="single" w:sz="4" w:space="0" w:color="auto"/>
              <w:right w:val="single" w:sz="4" w:space="0" w:color="auto"/>
            </w:tcBorders>
          </w:tcPr>
          <w:p w:rsidR="00534FB5" w:rsidRPr="00D367BF" w:rsidRDefault="005032B9" w:rsidP="005032B9">
            <w:pPr>
              <w:tabs>
                <w:tab w:val="left" w:pos="4253"/>
              </w:tabs>
              <w:spacing w:line="240" w:lineRule="auto"/>
              <w:jc w:val="center"/>
              <w:rPr>
                <w:spacing w:val="-20"/>
              </w:rPr>
            </w:pPr>
            <w:r w:rsidRPr="005032B9">
              <w:rPr>
                <w:color w:val="000000"/>
              </w:rPr>
              <w:t>Поширеність</w:t>
            </w:r>
            <w:r w:rsidRPr="005032B9">
              <w:rPr>
                <w:spacing w:val="-20"/>
              </w:rPr>
              <w:t>, %</w:t>
            </w:r>
          </w:p>
        </w:tc>
        <w:tc>
          <w:tcPr>
            <w:tcW w:w="919"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Група</w:t>
            </w:r>
          </w:p>
        </w:tc>
        <w:tc>
          <w:tcPr>
            <w:tcW w:w="491"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N</w:t>
            </w:r>
          </w:p>
        </w:tc>
        <w:tc>
          <w:tcPr>
            <w:tcW w:w="1706" w:type="dxa"/>
            <w:tcBorders>
              <w:left w:val="single" w:sz="4" w:space="0" w:color="auto"/>
            </w:tcBorders>
          </w:tcPr>
          <w:p w:rsidR="00534FB5" w:rsidRPr="00D367BF" w:rsidRDefault="005032B9" w:rsidP="005032B9">
            <w:pPr>
              <w:tabs>
                <w:tab w:val="left" w:pos="4253"/>
              </w:tabs>
              <w:spacing w:line="240" w:lineRule="auto"/>
              <w:jc w:val="center"/>
              <w:rPr>
                <w:spacing w:val="-20"/>
              </w:rPr>
            </w:pPr>
            <w:r w:rsidRPr="005032B9">
              <w:rPr>
                <w:color w:val="000000"/>
              </w:rPr>
              <w:t>Поширеність</w:t>
            </w:r>
            <w:r w:rsidRPr="005032B9">
              <w:rPr>
                <w:spacing w:val="-20"/>
              </w:rPr>
              <w:t>, %</w:t>
            </w:r>
          </w:p>
        </w:tc>
      </w:tr>
      <w:tr w:rsidR="00534FB5" w:rsidRPr="0069513A" w:rsidTr="00534FB5">
        <w:tc>
          <w:tcPr>
            <w:tcW w:w="991" w:type="dxa"/>
          </w:tcPr>
          <w:p w:rsidR="00534FB5" w:rsidRPr="00D367BF" w:rsidRDefault="00534FB5" w:rsidP="005032B9">
            <w:pPr>
              <w:tabs>
                <w:tab w:val="left" w:pos="4253"/>
              </w:tabs>
              <w:spacing w:line="240" w:lineRule="auto"/>
              <w:jc w:val="center"/>
              <w:rPr>
                <w:spacing w:val="-20"/>
              </w:rPr>
            </w:pPr>
            <w:r w:rsidRPr="00D367BF">
              <w:rPr>
                <w:spacing w:val="-20"/>
              </w:rPr>
              <w:t>КГ1</w:t>
            </w:r>
          </w:p>
        </w:tc>
        <w:tc>
          <w:tcPr>
            <w:tcW w:w="581" w:type="dxa"/>
          </w:tcPr>
          <w:p w:rsidR="00534FB5" w:rsidRPr="00D367BF" w:rsidRDefault="00534FB5" w:rsidP="005032B9">
            <w:pPr>
              <w:tabs>
                <w:tab w:val="left" w:pos="4253"/>
              </w:tabs>
              <w:spacing w:line="240" w:lineRule="auto"/>
              <w:jc w:val="center"/>
              <w:rPr>
                <w:spacing w:val="-20"/>
              </w:rPr>
            </w:pPr>
            <w:r w:rsidRPr="00D367BF">
              <w:rPr>
                <w:spacing w:val="-20"/>
              </w:rPr>
              <w:t>10</w:t>
            </w:r>
          </w:p>
        </w:tc>
        <w:tc>
          <w:tcPr>
            <w:tcW w:w="1737" w:type="dxa"/>
          </w:tcPr>
          <w:p w:rsidR="00534FB5" w:rsidRPr="00D367BF" w:rsidRDefault="005032B9" w:rsidP="005032B9">
            <w:pPr>
              <w:tabs>
                <w:tab w:val="left" w:pos="4253"/>
              </w:tabs>
              <w:spacing w:line="240" w:lineRule="auto"/>
              <w:jc w:val="center"/>
              <w:rPr>
                <w:spacing w:val="-20"/>
              </w:rPr>
            </w:pPr>
            <w:r>
              <w:rPr>
                <w:spacing w:val="-20"/>
              </w:rPr>
              <w:t>30</w:t>
            </w:r>
          </w:p>
        </w:tc>
        <w:tc>
          <w:tcPr>
            <w:tcW w:w="919" w:type="dxa"/>
            <w:tcBorders>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КГ2</w:t>
            </w:r>
          </w:p>
        </w:tc>
        <w:tc>
          <w:tcPr>
            <w:tcW w:w="521" w:type="dxa"/>
            <w:tcBorders>
              <w:lef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10</w:t>
            </w:r>
          </w:p>
        </w:tc>
        <w:tc>
          <w:tcPr>
            <w:tcW w:w="1706"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60</w:t>
            </w:r>
          </w:p>
        </w:tc>
        <w:tc>
          <w:tcPr>
            <w:tcW w:w="919"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КГ3</w:t>
            </w:r>
          </w:p>
        </w:tc>
        <w:tc>
          <w:tcPr>
            <w:tcW w:w="491"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12</w:t>
            </w:r>
          </w:p>
        </w:tc>
        <w:tc>
          <w:tcPr>
            <w:tcW w:w="1706" w:type="dxa"/>
            <w:tcBorders>
              <w:lef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75</w:t>
            </w:r>
          </w:p>
        </w:tc>
      </w:tr>
      <w:tr w:rsidR="00534FB5" w:rsidRPr="0069513A" w:rsidTr="00534FB5">
        <w:tc>
          <w:tcPr>
            <w:tcW w:w="991" w:type="dxa"/>
          </w:tcPr>
          <w:p w:rsidR="00534FB5" w:rsidRPr="00D367BF" w:rsidRDefault="00534FB5" w:rsidP="005032B9">
            <w:pPr>
              <w:tabs>
                <w:tab w:val="left" w:pos="4253"/>
              </w:tabs>
              <w:spacing w:line="240" w:lineRule="auto"/>
              <w:jc w:val="center"/>
              <w:rPr>
                <w:spacing w:val="-20"/>
              </w:rPr>
            </w:pPr>
            <w:r w:rsidRPr="00D367BF">
              <w:rPr>
                <w:spacing w:val="-20"/>
              </w:rPr>
              <w:t>ОГ1</w:t>
            </w:r>
          </w:p>
        </w:tc>
        <w:tc>
          <w:tcPr>
            <w:tcW w:w="581" w:type="dxa"/>
          </w:tcPr>
          <w:p w:rsidR="00534FB5" w:rsidRPr="00D367BF" w:rsidRDefault="00534FB5" w:rsidP="005032B9">
            <w:pPr>
              <w:tabs>
                <w:tab w:val="left" w:pos="4253"/>
              </w:tabs>
              <w:spacing w:line="240" w:lineRule="auto"/>
              <w:jc w:val="center"/>
              <w:rPr>
                <w:spacing w:val="-20"/>
              </w:rPr>
            </w:pPr>
            <w:r w:rsidRPr="00D367BF">
              <w:rPr>
                <w:spacing w:val="-20"/>
              </w:rPr>
              <w:t>23</w:t>
            </w:r>
          </w:p>
        </w:tc>
        <w:tc>
          <w:tcPr>
            <w:tcW w:w="1737" w:type="dxa"/>
          </w:tcPr>
          <w:p w:rsidR="00534FB5" w:rsidRPr="00D367BF" w:rsidRDefault="00534FB5" w:rsidP="005032B9">
            <w:pPr>
              <w:tabs>
                <w:tab w:val="left" w:pos="4253"/>
              </w:tabs>
              <w:spacing w:line="240" w:lineRule="auto"/>
              <w:jc w:val="center"/>
              <w:rPr>
                <w:spacing w:val="-20"/>
              </w:rPr>
            </w:pPr>
            <w:r w:rsidRPr="00D367BF">
              <w:rPr>
                <w:spacing w:val="-20"/>
              </w:rPr>
              <w:t>65</w:t>
            </w:r>
          </w:p>
        </w:tc>
        <w:tc>
          <w:tcPr>
            <w:tcW w:w="919" w:type="dxa"/>
            <w:tcBorders>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ОГ2</w:t>
            </w:r>
          </w:p>
        </w:tc>
        <w:tc>
          <w:tcPr>
            <w:tcW w:w="521" w:type="dxa"/>
            <w:tcBorders>
              <w:lef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21</w:t>
            </w:r>
          </w:p>
        </w:tc>
        <w:tc>
          <w:tcPr>
            <w:tcW w:w="1706"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71</w:t>
            </w:r>
          </w:p>
        </w:tc>
        <w:tc>
          <w:tcPr>
            <w:tcW w:w="919"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ОГ3</w:t>
            </w:r>
          </w:p>
        </w:tc>
        <w:tc>
          <w:tcPr>
            <w:tcW w:w="491" w:type="dxa"/>
            <w:tcBorders>
              <w:left w:val="single" w:sz="4" w:space="0" w:color="auto"/>
              <w:righ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26</w:t>
            </w:r>
          </w:p>
        </w:tc>
        <w:tc>
          <w:tcPr>
            <w:tcW w:w="1706" w:type="dxa"/>
            <w:tcBorders>
              <w:left w:val="single" w:sz="4" w:space="0" w:color="auto"/>
            </w:tcBorders>
          </w:tcPr>
          <w:p w:rsidR="00534FB5" w:rsidRPr="00D367BF" w:rsidRDefault="00534FB5" w:rsidP="005032B9">
            <w:pPr>
              <w:tabs>
                <w:tab w:val="left" w:pos="4253"/>
              </w:tabs>
              <w:spacing w:line="240" w:lineRule="auto"/>
              <w:jc w:val="center"/>
              <w:rPr>
                <w:spacing w:val="-20"/>
              </w:rPr>
            </w:pPr>
            <w:r w:rsidRPr="00D367BF">
              <w:rPr>
                <w:spacing w:val="-20"/>
              </w:rPr>
              <w:t>85</w:t>
            </w:r>
          </w:p>
        </w:tc>
      </w:tr>
    </w:tbl>
    <w:p w:rsidR="00534FB5" w:rsidRDefault="00534FB5" w:rsidP="00534FB5">
      <w:pPr>
        <w:tabs>
          <w:tab w:val="left" w:pos="4253"/>
        </w:tabs>
        <w:spacing w:line="240" w:lineRule="auto"/>
        <w:ind w:left="-142"/>
        <w:rPr>
          <w:sz w:val="24"/>
        </w:rPr>
      </w:pPr>
    </w:p>
    <w:p w:rsidR="005032B9" w:rsidRPr="00BE080D" w:rsidRDefault="005032B9" w:rsidP="00534FB5">
      <w:pPr>
        <w:tabs>
          <w:tab w:val="left" w:pos="4253"/>
        </w:tabs>
        <w:spacing w:line="240" w:lineRule="auto"/>
        <w:ind w:left="-142"/>
        <w:rPr>
          <w:sz w:val="18"/>
          <w:szCs w:val="20"/>
        </w:rPr>
      </w:pPr>
    </w:p>
    <w:p w:rsidR="00534FB5" w:rsidRDefault="00534FB5" w:rsidP="00534FB5">
      <w:pPr>
        <w:ind w:firstLine="567"/>
        <w:contextualSpacing/>
      </w:pPr>
      <w:r>
        <w:t xml:space="preserve">Так, у 7-8-річних ДВГ поширеність карієсу постійних зубів була в 2,2 раза вищою, порівняно зі здоровими однолітками. В другій та третій </w:t>
      </w:r>
      <w:r>
        <w:lastRenderedPageBreak/>
        <w:t>вікових групах ДВГ цей показник був дещо нижчий, але все одно перевищував значення КГ на 18 % та 13 % відповідно (табл. 3.2.2, рис. 3.2.2</w:t>
      </w:r>
      <w:r w:rsidRPr="0062027C">
        <w:t>).</w:t>
      </w:r>
    </w:p>
    <w:p w:rsidR="00534FB5" w:rsidRDefault="00534FB5" w:rsidP="00534FB5">
      <w:pPr>
        <w:tabs>
          <w:tab w:val="left" w:pos="4253"/>
        </w:tabs>
      </w:pPr>
    </w:p>
    <w:p w:rsidR="00534FB5" w:rsidRDefault="006C493E" w:rsidP="00534FB5">
      <w:pPr>
        <w:ind w:firstLine="709"/>
        <w:rPr>
          <w:noProof/>
        </w:rPr>
      </w:pPr>
      <w:r>
        <w:rPr>
          <w:noProof/>
          <w:lang w:val="ru-RU"/>
        </w:rPr>
        <w:drawing>
          <wp:inline distT="0" distB="0" distL="0" distR="0">
            <wp:extent cx="4846096" cy="2370225"/>
            <wp:effectExtent l="19050" t="0" r="11654"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4FB5" w:rsidRDefault="00534FB5" w:rsidP="00534FB5">
      <w:pPr>
        <w:ind w:firstLine="567"/>
        <w:rPr>
          <w:noProof/>
        </w:rPr>
      </w:pPr>
      <w:r>
        <w:rPr>
          <w:noProof/>
        </w:rPr>
        <w:t>Рис. </w:t>
      </w:r>
      <w:r>
        <w:rPr>
          <w:noProof/>
          <w:lang w:eastAsia="uk-UA"/>
        </w:rPr>
        <w:t>3.2.2</w:t>
      </w:r>
      <w:r w:rsidRPr="00BD47E6">
        <w:rPr>
          <w:noProof/>
          <w:lang w:eastAsia="uk-UA"/>
        </w:rPr>
        <w:t>.</w:t>
      </w:r>
      <w:r>
        <w:rPr>
          <w:noProof/>
          <w:lang w:eastAsia="uk-UA"/>
        </w:rPr>
        <w:t xml:space="preserve"> </w:t>
      </w:r>
      <w:r w:rsidRPr="00BD47E6">
        <w:t>Показники</w:t>
      </w:r>
      <w:r>
        <w:t xml:space="preserve"> </w:t>
      </w:r>
      <w:r w:rsidRPr="00BD47E6">
        <w:rPr>
          <w:color w:val="000000"/>
        </w:rPr>
        <w:t xml:space="preserve">поширеності карієсу </w:t>
      </w:r>
      <w:r>
        <w:rPr>
          <w:color w:val="000000"/>
        </w:rPr>
        <w:t xml:space="preserve">постійних </w:t>
      </w:r>
      <w:r w:rsidRPr="00BD47E6">
        <w:t xml:space="preserve">зубів у дітей </w:t>
      </w:r>
      <w:r>
        <w:t>обох груп</w:t>
      </w:r>
      <w:r w:rsidRPr="00BD47E6">
        <w:t xml:space="preserve"> до проведення лікувально-профілактичних заходів.</w:t>
      </w:r>
      <w:r>
        <w:rPr>
          <w:highlight w:val="green"/>
        </w:rPr>
        <w:t xml:space="preserve"> </w:t>
      </w:r>
    </w:p>
    <w:p w:rsidR="00534FB5" w:rsidRDefault="00534FB5" w:rsidP="00534FB5">
      <w:pPr>
        <w:ind w:firstLine="567"/>
        <w:contextualSpacing/>
      </w:pPr>
    </w:p>
    <w:p w:rsidR="00534FB5" w:rsidRDefault="00534FB5" w:rsidP="00534FB5">
      <w:pPr>
        <w:ind w:firstLine="567"/>
        <w:contextualSpacing/>
      </w:pPr>
      <w:r>
        <w:t>У</w:t>
      </w:r>
      <w:r w:rsidRPr="00F25CE0">
        <w:t xml:space="preserve"> </w:t>
      </w:r>
      <w:r>
        <w:t>дітей з вродженою глухотою</w:t>
      </w:r>
      <w:r w:rsidRPr="00F25CE0">
        <w:t xml:space="preserve"> не простежувалас</w:t>
      </w:r>
      <w:r>
        <w:t>я</w:t>
      </w:r>
      <w:r w:rsidRPr="00F25CE0">
        <w:t xml:space="preserve"> залежність локалізації каріозних порожнин від віку обстежуваних дітей. </w:t>
      </w:r>
    </w:p>
    <w:p w:rsidR="00534FB5" w:rsidRPr="007D7B7A" w:rsidRDefault="00534FB5" w:rsidP="00534FB5">
      <w:pPr>
        <w:ind w:firstLine="567"/>
        <w:contextualSpacing/>
        <w:rPr>
          <w:lang w:val="ru-RU"/>
        </w:rPr>
      </w:pPr>
      <w:r w:rsidRPr="00BD47E6">
        <w:t xml:space="preserve">Розподіл каріозних порожнин за локалізацією каріозного процесу в </w:t>
      </w:r>
      <w:r>
        <w:t>ДВГ наведено на рис. 3.2.3., 3.2.4., 3.2.5</w:t>
      </w:r>
      <w:r w:rsidRPr="00BD47E6">
        <w:t>.</w:t>
      </w:r>
      <w:r>
        <w:t xml:space="preserve"> </w:t>
      </w:r>
    </w:p>
    <w:p w:rsidR="00534FB5" w:rsidRPr="007D7B7A" w:rsidRDefault="006C493E" w:rsidP="00534FB5">
      <w:pPr>
        <w:spacing w:line="240" w:lineRule="auto"/>
        <w:contextualSpacing/>
        <w:jc w:val="center"/>
        <w:rPr>
          <w:lang w:val="en-US"/>
        </w:rPr>
      </w:pPr>
      <w:r>
        <w:rPr>
          <w:noProof/>
          <w:lang w:val="ru-RU"/>
        </w:rPr>
        <w:drawing>
          <wp:inline distT="0" distB="0" distL="0" distR="0">
            <wp:extent cx="3819525" cy="21812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4FB5" w:rsidRDefault="00534FB5" w:rsidP="00534FB5">
      <w:pPr>
        <w:ind w:firstLine="567"/>
      </w:pPr>
      <w:r>
        <w:t>Рис. </w:t>
      </w:r>
      <w:r>
        <w:rPr>
          <w:noProof/>
          <w:lang w:eastAsia="uk-UA"/>
        </w:rPr>
        <w:t>3.2.3</w:t>
      </w:r>
      <w:r w:rsidRPr="002C3F06">
        <w:rPr>
          <w:noProof/>
          <w:lang w:eastAsia="uk-UA"/>
        </w:rPr>
        <w:t>.</w:t>
      </w:r>
      <w:r w:rsidRPr="002C3F06">
        <w:t xml:space="preserve"> Розподіл каріозних порожнин за локалізацією каріозного процесу </w:t>
      </w:r>
      <w:r>
        <w:t>в</w:t>
      </w:r>
      <w:r w:rsidRPr="002C3F06">
        <w:t xml:space="preserve"> дітей 7-8 років </w:t>
      </w:r>
      <w:r>
        <w:t>і</w:t>
      </w:r>
      <w:r w:rsidRPr="002C3F06">
        <w:t>з вродженою глухотою (класи за Блеком).</w:t>
      </w:r>
      <w:r>
        <w:t xml:space="preserve"> </w:t>
      </w:r>
    </w:p>
    <w:p w:rsidR="00534FB5" w:rsidRDefault="006C493E" w:rsidP="00534FB5">
      <w:pPr>
        <w:jc w:val="center"/>
      </w:pPr>
      <w:r>
        <w:rPr>
          <w:noProof/>
          <w:lang w:val="ru-RU"/>
        </w:rPr>
        <w:lastRenderedPageBreak/>
        <w:drawing>
          <wp:inline distT="0" distB="0" distL="0" distR="0">
            <wp:extent cx="3819525" cy="218122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4FB5" w:rsidRDefault="00534FB5" w:rsidP="00534FB5">
      <w:pPr>
        <w:ind w:firstLine="567"/>
        <w:rPr>
          <w:lang w:val="en-US"/>
        </w:rPr>
      </w:pPr>
      <w:r>
        <w:t>Рис. 3.2.4.</w:t>
      </w:r>
      <w:r w:rsidRPr="002C3F06">
        <w:t xml:space="preserve"> Розподіл каріозних порожнин за локалізацією каріозного процесу </w:t>
      </w:r>
      <w:r>
        <w:t>в</w:t>
      </w:r>
      <w:r w:rsidRPr="002C3F06">
        <w:t xml:space="preserve"> дітей 11-12 років </w:t>
      </w:r>
      <w:r>
        <w:t>і</w:t>
      </w:r>
      <w:r w:rsidRPr="002C3F06">
        <w:t>з вродженою глухотою (класи за Блеком</w:t>
      </w:r>
      <w:r>
        <w:t>)</w:t>
      </w:r>
      <w:r w:rsidRPr="001E7C90">
        <w:t>.</w:t>
      </w:r>
    </w:p>
    <w:p w:rsidR="00534FB5" w:rsidRPr="00DF5860" w:rsidRDefault="00534FB5" w:rsidP="00534FB5">
      <w:pPr>
        <w:ind w:firstLine="567"/>
        <w:rPr>
          <w:sz w:val="20"/>
          <w:lang w:val="en-US"/>
        </w:rPr>
      </w:pPr>
    </w:p>
    <w:p w:rsidR="00534FB5" w:rsidRPr="007D7B7A" w:rsidRDefault="006C493E" w:rsidP="00534FB5">
      <w:pPr>
        <w:jc w:val="center"/>
        <w:rPr>
          <w:lang w:val="en-US"/>
        </w:rPr>
      </w:pPr>
      <w:r>
        <w:rPr>
          <w:noProof/>
          <w:lang w:val="ru-RU"/>
        </w:rPr>
        <w:drawing>
          <wp:inline distT="0" distB="0" distL="0" distR="0">
            <wp:extent cx="3819525" cy="218122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4FB5" w:rsidRDefault="00534FB5" w:rsidP="00534FB5">
      <w:pPr>
        <w:ind w:firstLine="567"/>
      </w:pPr>
      <w:r>
        <w:t xml:space="preserve">Рис. 3.2.5. </w:t>
      </w:r>
      <w:r w:rsidRPr="002C3F06">
        <w:t>Розподіл каріозних поро</w:t>
      </w:r>
      <w:r>
        <w:t xml:space="preserve">жнин за локалізацією каріозного </w:t>
      </w:r>
      <w:r w:rsidRPr="002C3F06">
        <w:t xml:space="preserve">процесу </w:t>
      </w:r>
      <w:r>
        <w:t>в</w:t>
      </w:r>
      <w:r w:rsidRPr="002C3F06">
        <w:t xml:space="preserve"> дітей 14-15 років </w:t>
      </w:r>
      <w:r>
        <w:t>і</w:t>
      </w:r>
      <w:r w:rsidRPr="002C3F06">
        <w:t>з вродженою глухотою (класи за Блеком).</w:t>
      </w:r>
      <w:r>
        <w:t xml:space="preserve"> </w:t>
      </w:r>
    </w:p>
    <w:p w:rsidR="00534FB5" w:rsidRPr="00DF5860" w:rsidRDefault="00534FB5" w:rsidP="00534FB5">
      <w:pPr>
        <w:rPr>
          <w:sz w:val="22"/>
        </w:rPr>
      </w:pPr>
    </w:p>
    <w:p w:rsidR="00534FB5" w:rsidRPr="002C3F06" w:rsidRDefault="00534FB5" w:rsidP="00534FB5">
      <w:pPr>
        <w:ind w:firstLine="567"/>
        <w:contextualSpacing/>
      </w:pPr>
      <w:r w:rsidRPr="00F25CE0">
        <w:t>Каріозній процес</w:t>
      </w:r>
      <w:r>
        <w:t xml:space="preserve"> у всіх вікових групах </w:t>
      </w:r>
      <w:r w:rsidRPr="00DF5860">
        <w:t>ДВГ</w:t>
      </w:r>
      <w:r w:rsidRPr="00F25CE0">
        <w:t xml:space="preserve"> вражав здебільшого жувальні, контактні поверхні молярів та сліпі ямки різців, рідше контактні поверхні різців та іклів</w:t>
      </w:r>
      <w:r>
        <w:t>, а</w:t>
      </w:r>
      <w:r w:rsidRPr="00F25CE0">
        <w:t xml:space="preserve"> та</w:t>
      </w:r>
      <w:r>
        <w:t>кож</w:t>
      </w:r>
      <w:r w:rsidRPr="00F25CE0">
        <w:t xml:space="preserve"> у </w:t>
      </w:r>
      <w:r>
        <w:t>незначній</w:t>
      </w:r>
      <w:r w:rsidRPr="00F25CE0">
        <w:t xml:space="preserve"> кількості </w:t>
      </w:r>
      <w:r>
        <w:t>виявлявся</w:t>
      </w:r>
      <w:r w:rsidRPr="00F25CE0">
        <w:t xml:space="preserve"> в </w:t>
      </w:r>
      <w:r>
        <w:t>ділянці</w:t>
      </w:r>
      <w:r w:rsidRPr="00F25CE0">
        <w:t xml:space="preserve"> шийки</w:t>
      </w:r>
      <w:r>
        <w:t xml:space="preserve"> </w:t>
      </w:r>
      <w:r w:rsidRPr="00F25CE0">
        <w:t>молярів.</w:t>
      </w:r>
    </w:p>
    <w:p w:rsidR="00534FB5" w:rsidRPr="00F25CE0" w:rsidRDefault="00534FB5" w:rsidP="00534FB5">
      <w:pPr>
        <w:tabs>
          <w:tab w:val="left" w:pos="4395"/>
        </w:tabs>
        <w:ind w:firstLine="567"/>
        <w:contextualSpacing/>
      </w:pPr>
      <w:r w:rsidRPr="00F25CE0">
        <w:t>Порівняльний аналіз локаліза</w:t>
      </w:r>
      <w:r>
        <w:t>ції каріозних порожнин у ДВГ</w:t>
      </w:r>
      <w:r w:rsidRPr="00F25CE0">
        <w:t xml:space="preserve"> та </w:t>
      </w:r>
      <w:r>
        <w:t>ДНС наведено в таблиці 3.2.3</w:t>
      </w:r>
      <w:r w:rsidRPr="00F25CE0">
        <w:t>.</w:t>
      </w:r>
      <w:r>
        <w:t xml:space="preserve"> У ДВГ </w:t>
      </w:r>
      <w:r w:rsidRPr="000F7F77">
        <w:t>каріозний процес у 2,7</w:t>
      </w:r>
      <w:r>
        <w:t> </w:t>
      </w:r>
      <w:r w:rsidRPr="000F7F77">
        <w:t>раз</w:t>
      </w:r>
      <w:r>
        <w:t>а</w:t>
      </w:r>
      <w:r w:rsidRPr="000F7F77">
        <w:t xml:space="preserve"> частіше вражав жувальну поверхню молярів та сліпі ямки різців, у 22</w:t>
      </w:r>
      <w:r>
        <w:t> </w:t>
      </w:r>
      <w:r w:rsidRPr="000F7F77">
        <w:t xml:space="preserve">рази частіше </w:t>
      </w:r>
      <w:r>
        <w:t>–</w:t>
      </w:r>
      <w:r w:rsidRPr="000F7F77">
        <w:t xml:space="preserve"> конта</w:t>
      </w:r>
      <w:r>
        <w:t xml:space="preserve">ктні поверхні різців та іклів, </w:t>
      </w:r>
      <w:r w:rsidRPr="000F7F77">
        <w:t xml:space="preserve">у 18 разів </w:t>
      </w:r>
      <w:r w:rsidRPr="00E023C3">
        <w:t xml:space="preserve">частіше локалізувався на контактних поверхнях </w:t>
      </w:r>
      <w:r>
        <w:t xml:space="preserve">і пришийковій ділянці молярів, </w:t>
      </w:r>
      <w:r w:rsidRPr="00E023C3">
        <w:t xml:space="preserve">порівняно з </w:t>
      </w:r>
      <w:r>
        <w:t>ДНС</w:t>
      </w:r>
      <w:r w:rsidRPr="00E023C3">
        <w:t xml:space="preserve">. У </w:t>
      </w:r>
      <w:r>
        <w:lastRenderedPageBreak/>
        <w:t>здорових дітей</w:t>
      </w:r>
      <w:r w:rsidRPr="00E023C3">
        <w:t xml:space="preserve"> </w:t>
      </w:r>
      <w:r>
        <w:t>не було виявлено випадків</w:t>
      </w:r>
      <w:r w:rsidRPr="00E023C3">
        <w:t xml:space="preserve"> карієсу зубів з локалізацією на контактній поверхні різців та іклів, </w:t>
      </w:r>
      <w:r>
        <w:t>а також пришийковій ділянці молярів.</w:t>
      </w:r>
    </w:p>
    <w:p w:rsidR="00534FB5" w:rsidRPr="00F25CE0" w:rsidRDefault="00534FB5" w:rsidP="00534FB5">
      <w:pPr>
        <w:tabs>
          <w:tab w:val="left" w:pos="4253"/>
        </w:tabs>
        <w:jc w:val="right"/>
        <w:rPr>
          <w:i/>
        </w:rPr>
      </w:pPr>
      <w:r w:rsidRPr="00F25CE0">
        <w:rPr>
          <w:i/>
        </w:rPr>
        <w:t>Т</w:t>
      </w:r>
      <w:r>
        <w:rPr>
          <w:i/>
        </w:rPr>
        <w:t>аблиця 3.2.3</w:t>
      </w:r>
    </w:p>
    <w:p w:rsidR="00534FB5" w:rsidRPr="00FE6AC0" w:rsidRDefault="00534FB5" w:rsidP="00534FB5">
      <w:pPr>
        <w:contextualSpacing/>
        <w:jc w:val="center"/>
        <w:rPr>
          <w:b/>
          <w:spacing w:val="-14"/>
        </w:rPr>
      </w:pPr>
      <w:r w:rsidRPr="00FE6AC0">
        <w:rPr>
          <w:b/>
          <w:spacing w:val="-14"/>
        </w:rPr>
        <w:t xml:space="preserve">Розподіл каріозних порожнин за локалізацією каріозного процесу </w:t>
      </w:r>
      <w:r>
        <w:rPr>
          <w:b/>
          <w:spacing w:val="-14"/>
        </w:rPr>
        <w:t>в</w:t>
      </w:r>
      <w:r w:rsidRPr="00FE6AC0">
        <w:rPr>
          <w:b/>
          <w:spacing w:val="-14"/>
        </w:rPr>
        <w:t xml:space="preserve"> </w:t>
      </w:r>
      <w:r w:rsidR="00D93EFF">
        <w:rPr>
          <w:b/>
          <w:spacing w:val="-14"/>
        </w:rPr>
        <w:t xml:space="preserve"> обстежених дітей</w:t>
      </w:r>
      <w:r w:rsidRPr="00FE6AC0">
        <w:rPr>
          <w:b/>
          <w:spacing w:val="-14"/>
        </w:rPr>
        <w:t xml:space="preserve"> до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5"/>
        <w:gridCol w:w="3187"/>
      </w:tblGrid>
      <w:tr w:rsidR="00534FB5" w:rsidRPr="001E7C90" w:rsidTr="00534FB5">
        <w:tc>
          <w:tcPr>
            <w:tcW w:w="1666" w:type="pct"/>
            <w:vMerge w:val="restart"/>
          </w:tcPr>
          <w:p w:rsidR="00534FB5" w:rsidRPr="00F25CE0" w:rsidRDefault="00534FB5" w:rsidP="00723969">
            <w:pPr>
              <w:spacing w:line="240" w:lineRule="atLeast"/>
              <w:contextualSpacing/>
              <w:jc w:val="center"/>
            </w:pPr>
            <w:r w:rsidRPr="00F25CE0">
              <w:t>Класи каріозних порожнин за Блеком</w:t>
            </w:r>
          </w:p>
        </w:tc>
        <w:tc>
          <w:tcPr>
            <w:tcW w:w="3334" w:type="pct"/>
            <w:gridSpan w:val="2"/>
          </w:tcPr>
          <w:p w:rsidR="00534FB5" w:rsidRPr="00F25CE0" w:rsidRDefault="00723969" w:rsidP="00534FB5">
            <w:pPr>
              <w:spacing w:line="240" w:lineRule="atLeast"/>
              <w:contextualSpacing/>
              <w:jc w:val="center"/>
            </w:pPr>
            <w:r>
              <w:t>Діти</w:t>
            </w:r>
            <w:r w:rsidR="00D93EFF">
              <w:t>, що мають каріозні порожнини</w:t>
            </w:r>
            <w:r>
              <w:t xml:space="preserve"> (%)</w:t>
            </w:r>
            <w:r w:rsidR="00D93EFF">
              <w:t xml:space="preserve"> </w:t>
            </w:r>
          </w:p>
        </w:tc>
      </w:tr>
      <w:tr w:rsidR="00534FB5" w:rsidRPr="001E7C90" w:rsidTr="00534FB5">
        <w:trPr>
          <w:trHeight w:val="270"/>
        </w:trPr>
        <w:tc>
          <w:tcPr>
            <w:tcW w:w="1666" w:type="pct"/>
            <w:vMerge/>
          </w:tcPr>
          <w:p w:rsidR="00534FB5" w:rsidRPr="00F25CE0" w:rsidRDefault="00534FB5" w:rsidP="00534FB5">
            <w:pPr>
              <w:spacing w:line="240" w:lineRule="atLeast"/>
              <w:contextualSpacing/>
              <w:jc w:val="center"/>
            </w:pPr>
          </w:p>
        </w:tc>
        <w:tc>
          <w:tcPr>
            <w:tcW w:w="1669" w:type="pct"/>
            <w:tcBorders>
              <w:bottom w:val="single" w:sz="4" w:space="0" w:color="auto"/>
            </w:tcBorders>
          </w:tcPr>
          <w:p w:rsidR="00534FB5" w:rsidRPr="00F25CE0" w:rsidRDefault="00D93EFF" w:rsidP="008E3F81">
            <w:pPr>
              <w:spacing w:line="240" w:lineRule="atLeast"/>
              <w:contextualSpacing/>
              <w:jc w:val="center"/>
            </w:pPr>
            <w:r>
              <w:t>Глухі (</w:t>
            </w:r>
            <w:r>
              <w:rPr>
                <w:lang w:val="en-US"/>
              </w:rPr>
              <w:t>N=</w:t>
            </w:r>
            <w:r>
              <w:t>99)</w:t>
            </w:r>
          </w:p>
        </w:tc>
        <w:tc>
          <w:tcPr>
            <w:tcW w:w="1665" w:type="pct"/>
            <w:tcBorders>
              <w:bottom w:val="single" w:sz="4" w:space="0" w:color="auto"/>
            </w:tcBorders>
          </w:tcPr>
          <w:p w:rsidR="00534FB5" w:rsidRPr="00F25CE0" w:rsidRDefault="00D93EFF" w:rsidP="008E3F81">
            <w:pPr>
              <w:spacing w:line="240" w:lineRule="atLeast"/>
              <w:contextualSpacing/>
              <w:jc w:val="center"/>
            </w:pPr>
            <w:r>
              <w:t>Здорові (</w:t>
            </w:r>
            <w:r>
              <w:rPr>
                <w:lang w:val="en-US"/>
              </w:rPr>
              <w:t>N=</w:t>
            </w:r>
            <w:r>
              <w:t>43)</w:t>
            </w:r>
          </w:p>
        </w:tc>
      </w:tr>
      <w:tr w:rsidR="00723969" w:rsidRPr="001E7C90" w:rsidTr="00723969">
        <w:tc>
          <w:tcPr>
            <w:tcW w:w="1666" w:type="pct"/>
          </w:tcPr>
          <w:p w:rsidR="00723969" w:rsidRPr="00F25CE0" w:rsidRDefault="00723969" w:rsidP="00534FB5">
            <w:pPr>
              <w:spacing w:line="240" w:lineRule="atLeast"/>
              <w:contextualSpacing/>
              <w:jc w:val="center"/>
            </w:pPr>
            <w:r w:rsidRPr="00F25CE0">
              <w:t>І</w:t>
            </w:r>
          </w:p>
        </w:tc>
        <w:tc>
          <w:tcPr>
            <w:tcW w:w="1669" w:type="pct"/>
          </w:tcPr>
          <w:p w:rsidR="00723969" w:rsidRPr="00F25CE0" w:rsidRDefault="00723969" w:rsidP="00534FB5">
            <w:pPr>
              <w:spacing w:line="240" w:lineRule="atLeast"/>
              <w:contextualSpacing/>
              <w:jc w:val="center"/>
            </w:pPr>
            <w:r w:rsidRPr="00F25CE0">
              <w:t>79</w:t>
            </w:r>
          </w:p>
        </w:tc>
        <w:tc>
          <w:tcPr>
            <w:tcW w:w="1665" w:type="pct"/>
          </w:tcPr>
          <w:p w:rsidR="00723969" w:rsidRPr="00F25CE0" w:rsidRDefault="00723969" w:rsidP="00534FB5">
            <w:pPr>
              <w:spacing w:line="240" w:lineRule="atLeast"/>
              <w:contextualSpacing/>
              <w:jc w:val="center"/>
            </w:pPr>
            <w:r w:rsidRPr="00F25CE0">
              <w:t>29</w:t>
            </w:r>
          </w:p>
        </w:tc>
      </w:tr>
      <w:tr w:rsidR="00723969" w:rsidRPr="001E7C90" w:rsidTr="00723969">
        <w:tc>
          <w:tcPr>
            <w:tcW w:w="1666" w:type="pct"/>
          </w:tcPr>
          <w:p w:rsidR="00723969" w:rsidRPr="00F25CE0" w:rsidRDefault="00723969" w:rsidP="00534FB5">
            <w:pPr>
              <w:spacing w:line="240" w:lineRule="atLeast"/>
              <w:contextualSpacing/>
              <w:jc w:val="center"/>
            </w:pPr>
            <w:r w:rsidRPr="00F25CE0">
              <w:t>ІІ</w:t>
            </w:r>
          </w:p>
        </w:tc>
        <w:tc>
          <w:tcPr>
            <w:tcW w:w="1669" w:type="pct"/>
          </w:tcPr>
          <w:p w:rsidR="00723969" w:rsidRPr="00F25CE0" w:rsidRDefault="00723969" w:rsidP="00534FB5">
            <w:pPr>
              <w:spacing w:line="240" w:lineRule="atLeast"/>
              <w:contextualSpacing/>
              <w:jc w:val="center"/>
            </w:pPr>
            <w:r w:rsidRPr="00F25CE0">
              <w:t>36</w:t>
            </w:r>
          </w:p>
        </w:tc>
        <w:tc>
          <w:tcPr>
            <w:tcW w:w="1665" w:type="pct"/>
          </w:tcPr>
          <w:p w:rsidR="00723969" w:rsidRPr="00F25CE0" w:rsidRDefault="00723969" w:rsidP="00534FB5">
            <w:pPr>
              <w:spacing w:line="240" w:lineRule="atLeast"/>
              <w:contextualSpacing/>
              <w:jc w:val="center"/>
            </w:pPr>
            <w:r w:rsidRPr="00F25CE0">
              <w:t>2</w:t>
            </w:r>
          </w:p>
        </w:tc>
      </w:tr>
      <w:tr w:rsidR="00723969" w:rsidRPr="001E7C90" w:rsidTr="00723969">
        <w:tc>
          <w:tcPr>
            <w:tcW w:w="1666" w:type="pct"/>
          </w:tcPr>
          <w:p w:rsidR="00723969" w:rsidRPr="00F25CE0" w:rsidRDefault="00723969" w:rsidP="00534FB5">
            <w:pPr>
              <w:spacing w:line="240" w:lineRule="atLeast"/>
              <w:contextualSpacing/>
              <w:jc w:val="center"/>
            </w:pPr>
            <w:r w:rsidRPr="00F25CE0">
              <w:t>ІІІ</w:t>
            </w:r>
          </w:p>
        </w:tc>
        <w:tc>
          <w:tcPr>
            <w:tcW w:w="1669" w:type="pct"/>
          </w:tcPr>
          <w:p w:rsidR="00723969" w:rsidRPr="00F25CE0" w:rsidRDefault="00723969" w:rsidP="00534FB5">
            <w:pPr>
              <w:spacing w:line="240" w:lineRule="atLeast"/>
              <w:contextualSpacing/>
              <w:jc w:val="center"/>
            </w:pPr>
            <w:r w:rsidRPr="00F25CE0">
              <w:t>22</w:t>
            </w:r>
          </w:p>
        </w:tc>
        <w:tc>
          <w:tcPr>
            <w:tcW w:w="1665" w:type="pct"/>
          </w:tcPr>
          <w:p w:rsidR="00723969" w:rsidRPr="00F25CE0" w:rsidRDefault="00723969" w:rsidP="00534FB5">
            <w:pPr>
              <w:spacing w:line="240" w:lineRule="atLeast"/>
              <w:contextualSpacing/>
              <w:jc w:val="center"/>
            </w:pPr>
            <w:r w:rsidRPr="00F25CE0">
              <w:t>-</w:t>
            </w:r>
          </w:p>
        </w:tc>
      </w:tr>
      <w:tr w:rsidR="00723969" w:rsidRPr="001E7C90" w:rsidTr="00723969">
        <w:tc>
          <w:tcPr>
            <w:tcW w:w="1666" w:type="pct"/>
          </w:tcPr>
          <w:p w:rsidR="00723969" w:rsidRPr="00F25CE0" w:rsidRDefault="00723969" w:rsidP="00534FB5">
            <w:pPr>
              <w:spacing w:line="240" w:lineRule="atLeast"/>
              <w:contextualSpacing/>
              <w:jc w:val="center"/>
            </w:pPr>
            <w:r w:rsidRPr="00F25CE0">
              <w:t>ІV</w:t>
            </w:r>
          </w:p>
        </w:tc>
        <w:tc>
          <w:tcPr>
            <w:tcW w:w="1669" w:type="pct"/>
          </w:tcPr>
          <w:p w:rsidR="00723969" w:rsidRPr="00F25CE0" w:rsidRDefault="00723969" w:rsidP="00534FB5">
            <w:pPr>
              <w:spacing w:line="240" w:lineRule="atLeast"/>
              <w:contextualSpacing/>
              <w:jc w:val="center"/>
            </w:pPr>
            <w:r w:rsidRPr="00F25CE0">
              <w:t>-</w:t>
            </w:r>
          </w:p>
        </w:tc>
        <w:tc>
          <w:tcPr>
            <w:tcW w:w="1665" w:type="pct"/>
          </w:tcPr>
          <w:p w:rsidR="00723969" w:rsidRPr="00F25CE0" w:rsidRDefault="00723969" w:rsidP="00534FB5">
            <w:pPr>
              <w:spacing w:line="240" w:lineRule="atLeast"/>
              <w:contextualSpacing/>
              <w:jc w:val="center"/>
            </w:pPr>
            <w:r w:rsidRPr="00F25CE0">
              <w:t>-</w:t>
            </w:r>
          </w:p>
        </w:tc>
      </w:tr>
      <w:tr w:rsidR="00723969" w:rsidRPr="001E7C90" w:rsidTr="00723969">
        <w:tc>
          <w:tcPr>
            <w:tcW w:w="1666" w:type="pct"/>
          </w:tcPr>
          <w:p w:rsidR="00723969" w:rsidRPr="00F25CE0" w:rsidRDefault="00723969" w:rsidP="00534FB5">
            <w:pPr>
              <w:spacing w:line="240" w:lineRule="atLeast"/>
              <w:contextualSpacing/>
              <w:jc w:val="center"/>
            </w:pPr>
            <w:r w:rsidRPr="00F25CE0">
              <w:t>V</w:t>
            </w:r>
          </w:p>
        </w:tc>
        <w:tc>
          <w:tcPr>
            <w:tcW w:w="1669" w:type="pct"/>
          </w:tcPr>
          <w:p w:rsidR="00723969" w:rsidRPr="00F25CE0" w:rsidRDefault="00723969" w:rsidP="00534FB5">
            <w:pPr>
              <w:spacing w:line="240" w:lineRule="atLeast"/>
              <w:contextualSpacing/>
              <w:jc w:val="center"/>
            </w:pPr>
            <w:r w:rsidRPr="00F25CE0">
              <w:t>18</w:t>
            </w:r>
          </w:p>
        </w:tc>
        <w:tc>
          <w:tcPr>
            <w:tcW w:w="1665" w:type="pct"/>
          </w:tcPr>
          <w:p w:rsidR="00723969" w:rsidRPr="00F25CE0" w:rsidRDefault="00723969" w:rsidP="00534FB5">
            <w:pPr>
              <w:spacing w:line="240" w:lineRule="atLeast"/>
              <w:contextualSpacing/>
              <w:jc w:val="center"/>
            </w:pPr>
            <w:r w:rsidRPr="00F25CE0">
              <w:t>-</w:t>
            </w:r>
          </w:p>
        </w:tc>
      </w:tr>
    </w:tbl>
    <w:p w:rsidR="00534FB5" w:rsidRDefault="00534FB5" w:rsidP="00534FB5">
      <w:pPr>
        <w:tabs>
          <w:tab w:val="left" w:pos="4395"/>
        </w:tabs>
        <w:ind w:firstLine="567"/>
        <w:contextualSpacing/>
      </w:pPr>
    </w:p>
    <w:p w:rsidR="00534FB5" w:rsidRDefault="00534FB5" w:rsidP="00534FB5">
      <w:pPr>
        <w:ind w:firstLine="567"/>
        <w:contextualSpacing/>
      </w:pPr>
      <w:r w:rsidRPr="00E023C3">
        <w:t>Окрім локалізації, оцін</w:t>
      </w:r>
      <w:r>
        <w:t>ено</w:t>
      </w:r>
      <w:r w:rsidRPr="00E023C3">
        <w:t xml:space="preserve"> характер розподілу каріозни</w:t>
      </w:r>
      <w:r>
        <w:t>х порожнин за перебігом</w:t>
      </w:r>
      <w:r w:rsidRPr="00E023C3">
        <w:t xml:space="preserve"> каріозного процесу до проведення лікувально-профілактичних </w:t>
      </w:r>
      <w:r>
        <w:t>заходів у дітей ОГ (табл. 3.2.4</w:t>
      </w:r>
      <w:r w:rsidRPr="00E023C3">
        <w:t>).</w:t>
      </w:r>
      <w:r>
        <w:t xml:space="preserve"> </w:t>
      </w:r>
    </w:p>
    <w:p w:rsidR="00534FB5" w:rsidRDefault="00534FB5" w:rsidP="00534FB5">
      <w:pPr>
        <w:tabs>
          <w:tab w:val="left" w:pos="4395"/>
        </w:tabs>
        <w:ind w:firstLine="567"/>
        <w:contextualSpacing/>
        <w:jc w:val="right"/>
        <w:rPr>
          <w:i/>
        </w:rPr>
      </w:pPr>
      <w:r>
        <w:rPr>
          <w:i/>
        </w:rPr>
        <w:t>Таблиця 3.2.4</w:t>
      </w:r>
    </w:p>
    <w:p w:rsidR="00534FB5" w:rsidRPr="00AE5179" w:rsidRDefault="00534FB5" w:rsidP="00534FB5">
      <w:pPr>
        <w:contextualSpacing/>
        <w:jc w:val="center"/>
        <w:rPr>
          <w:b/>
        </w:rPr>
      </w:pPr>
      <w:r w:rsidRPr="002776F7">
        <w:rPr>
          <w:b/>
        </w:rPr>
        <w:t xml:space="preserve">Розподіл </w:t>
      </w:r>
      <w:r>
        <w:rPr>
          <w:b/>
        </w:rPr>
        <w:t>каріозних порожнин за перебігом</w:t>
      </w:r>
      <w:r w:rsidRPr="002776F7">
        <w:rPr>
          <w:b/>
        </w:rPr>
        <w:t xml:space="preserve"> каріозного процесу </w:t>
      </w:r>
      <w:r>
        <w:rPr>
          <w:b/>
        </w:rPr>
        <w:t>в</w:t>
      </w:r>
      <w:r w:rsidRPr="002776F7">
        <w:rPr>
          <w:b/>
        </w:rPr>
        <w:t xml:space="preserve"> діт</w:t>
      </w:r>
      <w:r>
        <w:rPr>
          <w:b/>
        </w:rPr>
        <w:t>ей порівнюваних груп</w:t>
      </w:r>
      <w:r w:rsidRPr="002776F7">
        <w:rPr>
          <w:b/>
        </w:rPr>
        <w:t xml:space="preserve"> до проведення лікувально-профілактичних заходів</w:t>
      </w:r>
    </w:p>
    <w:tbl>
      <w:tblPr>
        <w:tblW w:w="48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9"/>
        <w:gridCol w:w="1672"/>
        <w:gridCol w:w="1486"/>
        <w:gridCol w:w="1593"/>
        <w:gridCol w:w="1709"/>
      </w:tblGrid>
      <w:tr w:rsidR="00534FB5" w:rsidRPr="00974466" w:rsidTr="00534FB5">
        <w:trPr>
          <w:trHeight w:val="340"/>
        </w:trPr>
        <w:tc>
          <w:tcPr>
            <w:tcW w:w="1496" w:type="pct"/>
            <w:vMerge w:val="restart"/>
            <w:tcBorders>
              <w:right w:val="single" w:sz="4" w:space="0" w:color="auto"/>
            </w:tcBorders>
          </w:tcPr>
          <w:p w:rsidR="00534FB5" w:rsidRPr="009B2028" w:rsidRDefault="00534FB5" w:rsidP="00534FB5">
            <w:pPr>
              <w:spacing w:line="240" w:lineRule="atLeast"/>
              <w:contextualSpacing/>
              <w:jc w:val="center"/>
            </w:pPr>
            <w:r w:rsidRPr="009B2028">
              <w:t>Характер перебігу каріозного процесу</w:t>
            </w:r>
          </w:p>
        </w:tc>
        <w:tc>
          <w:tcPr>
            <w:tcW w:w="3504" w:type="pct"/>
            <w:gridSpan w:val="4"/>
            <w:tcBorders>
              <w:left w:val="single" w:sz="4" w:space="0" w:color="auto"/>
              <w:bottom w:val="single" w:sz="4" w:space="0" w:color="auto"/>
            </w:tcBorders>
          </w:tcPr>
          <w:p w:rsidR="00534FB5" w:rsidRPr="009B2028" w:rsidRDefault="006816E1" w:rsidP="00534FB5">
            <w:pPr>
              <w:spacing w:line="240" w:lineRule="atLeast"/>
              <w:contextualSpacing/>
              <w:jc w:val="center"/>
            </w:pPr>
            <w:r>
              <w:t>Діти, що мають каріозні порожнини (%, абс.)</w:t>
            </w:r>
          </w:p>
        </w:tc>
      </w:tr>
      <w:tr w:rsidR="00D93EFF" w:rsidRPr="00974466" w:rsidTr="00534FB5">
        <w:trPr>
          <w:trHeight w:val="340"/>
        </w:trPr>
        <w:tc>
          <w:tcPr>
            <w:tcW w:w="1496" w:type="pct"/>
            <w:vMerge/>
            <w:tcBorders>
              <w:right w:val="single" w:sz="4" w:space="0" w:color="auto"/>
            </w:tcBorders>
          </w:tcPr>
          <w:p w:rsidR="00D93EFF" w:rsidRPr="00974466" w:rsidRDefault="00D93EFF" w:rsidP="00534FB5">
            <w:pPr>
              <w:spacing w:line="240" w:lineRule="atLeast"/>
              <w:contextualSpacing/>
              <w:jc w:val="center"/>
            </w:pPr>
          </w:p>
        </w:tc>
        <w:tc>
          <w:tcPr>
            <w:tcW w:w="1713" w:type="pct"/>
            <w:gridSpan w:val="2"/>
            <w:tcBorders>
              <w:left w:val="single" w:sz="4" w:space="0" w:color="auto"/>
              <w:bottom w:val="single" w:sz="4" w:space="0" w:color="auto"/>
            </w:tcBorders>
          </w:tcPr>
          <w:p w:rsidR="00D93EFF" w:rsidRPr="00F25CE0" w:rsidRDefault="00D93EFF" w:rsidP="00723969">
            <w:pPr>
              <w:spacing w:line="240" w:lineRule="atLeast"/>
              <w:contextualSpacing/>
              <w:jc w:val="center"/>
            </w:pPr>
            <w:r>
              <w:t>Глухі (</w:t>
            </w:r>
            <w:r>
              <w:rPr>
                <w:lang w:val="en-US"/>
              </w:rPr>
              <w:t>N=</w:t>
            </w:r>
            <w:r>
              <w:t>99)</w:t>
            </w:r>
          </w:p>
        </w:tc>
        <w:tc>
          <w:tcPr>
            <w:tcW w:w="1791" w:type="pct"/>
            <w:gridSpan w:val="2"/>
            <w:tcBorders>
              <w:bottom w:val="single" w:sz="4" w:space="0" w:color="auto"/>
            </w:tcBorders>
          </w:tcPr>
          <w:p w:rsidR="00D93EFF" w:rsidRPr="00F25CE0" w:rsidRDefault="00D93EFF" w:rsidP="00723969">
            <w:pPr>
              <w:spacing w:line="240" w:lineRule="atLeast"/>
              <w:contextualSpacing/>
              <w:jc w:val="center"/>
            </w:pPr>
            <w:r>
              <w:t>Здорові (</w:t>
            </w:r>
            <w:r>
              <w:rPr>
                <w:lang w:val="en-US"/>
              </w:rPr>
              <w:t>N=</w:t>
            </w:r>
            <w:r>
              <w:t>43)</w:t>
            </w:r>
          </w:p>
        </w:tc>
      </w:tr>
      <w:tr w:rsidR="00534FB5" w:rsidRPr="00974466" w:rsidTr="00534FB5">
        <w:trPr>
          <w:trHeight w:val="264"/>
        </w:trPr>
        <w:tc>
          <w:tcPr>
            <w:tcW w:w="1496" w:type="pct"/>
            <w:vMerge/>
            <w:tcBorders>
              <w:right w:val="single" w:sz="4" w:space="0" w:color="auto"/>
            </w:tcBorders>
          </w:tcPr>
          <w:p w:rsidR="00534FB5" w:rsidRPr="00974466" w:rsidRDefault="00534FB5" w:rsidP="00534FB5">
            <w:pPr>
              <w:spacing w:line="240" w:lineRule="atLeast"/>
              <w:contextualSpacing/>
              <w:jc w:val="center"/>
            </w:pPr>
          </w:p>
        </w:tc>
        <w:tc>
          <w:tcPr>
            <w:tcW w:w="907" w:type="pct"/>
            <w:tcBorders>
              <w:top w:val="single" w:sz="4" w:space="0" w:color="auto"/>
              <w:left w:val="single" w:sz="4" w:space="0" w:color="auto"/>
              <w:right w:val="single" w:sz="4" w:space="0" w:color="auto"/>
            </w:tcBorders>
          </w:tcPr>
          <w:p w:rsidR="00534FB5" w:rsidRPr="00521B89" w:rsidRDefault="00534FB5" w:rsidP="00534FB5">
            <w:pPr>
              <w:spacing w:line="240" w:lineRule="atLeast"/>
              <w:contextualSpacing/>
              <w:jc w:val="center"/>
            </w:pPr>
            <w:r w:rsidRPr="00521B89">
              <w:t>%</w:t>
            </w:r>
          </w:p>
        </w:tc>
        <w:tc>
          <w:tcPr>
            <w:tcW w:w="806" w:type="pct"/>
            <w:tcBorders>
              <w:top w:val="single" w:sz="4" w:space="0" w:color="auto"/>
              <w:left w:val="single" w:sz="4" w:space="0" w:color="auto"/>
            </w:tcBorders>
          </w:tcPr>
          <w:p w:rsidR="00534FB5" w:rsidRPr="00521B89" w:rsidRDefault="00534FB5" w:rsidP="00534FB5">
            <w:pPr>
              <w:spacing w:line="240" w:lineRule="atLeast"/>
              <w:contextualSpacing/>
              <w:jc w:val="center"/>
            </w:pPr>
            <w:r w:rsidRPr="00521B89">
              <w:t>абс.</w:t>
            </w:r>
          </w:p>
        </w:tc>
        <w:tc>
          <w:tcPr>
            <w:tcW w:w="864" w:type="pct"/>
            <w:tcBorders>
              <w:top w:val="single" w:sz="4" w:space="0" w:color="auto"/>
              <w:right w:val="single" w:sz="4" w:space="0" w:color="auto"/>
            </w:tcBorders>
          </w:tcPr>
          <w:p w:rsidR="00534FB5" w:rsidRPr="00521B89" w:rsidRDefault="00534FB5" w:rsidP="00534FB5">
            <w:pPr>
              <w:spacing w:line="240" w:lineRule="atLeast"/>
              <w:contextualSpacing/>
              <w:jc w:val="center"/>
            </w:pPr>
            <w:r w:rsidRPr="00521B89">
              <w:t>%</w:t>
            </w:r>
          </w:p>
        </w:tc>
        <w:tc>
          <w:tcPr>
            <w:tcW w:w="927" w:type="pct"/>
            <w:tcBorders>
              <w:top w:val="single" w:sz="4" w:space="0" w:color="auto"/>
              <w:left w:val="single" w:sz="4" w:space="0" w:color="auto"/>
            </w:tcBorders>
          </w:tcPr>
          <w:p w:rsidR="00534FB5" w:rsidRPr="00521B89" w:rsidRDefault="00534FB5" w:rsidP="00534FB5">
            <w:pPr>
              <w:spacing w:line="240" w:lineRule="atLeast"/>
              <w:contextualSpacing/>
              <w:jc w:val="center"/>
            </w:pPr>
            <w:r w:rsidRPr="00521B89">
              <w:t>абс.</w:t>
            </w:r>
          </w:p>
        </w:tc>
      </w:tr>
      <w:tr w:rsidR="00534FB5" w:rsidRPr="00974466" w:rsidTr="00534FB5">
        <w:trPr>
          <w:trHeight w:val="340"/>
        </w:trPr>
        <w:tc>
          <w:tcPr>
            <w:tcW w:w="1496" w:type="pct"/>
            <w:tcBorders>
              <w:right w:val="single" w:sz="4" w:space="0" w:color="auto"/>
            </w:tcBorders>
          </w:tcPr>
          <w:p w:rsidR="00534FB5" w:rsidRPr="00521B89" w:rsidRDefault="00534FB5" w:rsidP="00534FB5">
            <w:pPr>
              <w:spacing w:line="240" w:lineRule="atLeast"/>
              <w:contextualSpacing/>
              <w:jc w:val="center"/>
            </w:pPr>
            <w:r w:rsidRPr="00521B89">
              <w:t>Гострий</w:t>
            </w:r>
          </w:p>
        </w:tc>
        <w:tc>
          <w:tcPr>
            <w:tcW w:w="907" w:type="pct"/>
            <w:tcBorders>
              <w:right w:val="single" w:sz="4" w:space="0" w:color="auto"/>
            </w:tcBorders>
          </w:tcPr>
          <w:p w:rsidR="00534FB5" w:rsidRPr="00521B89" w:rsidRDefault="00534FB5" w:rsidP="00534FB5">
            <w:pPr>
              <w:spacing w:line="240" w:lineRule="atLeast"/>
              <w:contextualSpacing/>
              <w:jc w:val="center"/>
            </w:pPr>
            <w:r w:rsidRPr="00521B89">
              <w:t>73</w:t>
            </w:r>
          </w:p>
        </w:tc>
        <w:tc>
          <w:tcPr>
            <w:tcW w:w="806" w:type="pct"/>
            <w:tcBorders>
              <w:left w:val="single" w:sz="4" w:space="0" w:color="auto"/>
            </w:tcBorders>
          </w:tcPr>
          <w:p w:rsidR="00534FB5" w:rsidRPr="00521B89" w:rsidRDefault="00534FB5" w:rsidP="00534FB5">
            <w:pPr>
              <w:spacing w:line="240" w:lineRule="atLeast"/>
              <w:contextualSpacing/>
              <w:jc w:val="center"/>
            </w:pPr>
            <w:r w:rsidRPr="00521B89">
              <w:t>72</w:t>
            </w:r>
          </w:p>
        </w:tc>
        <w:tc>
          <w:tcPr>
            <w:tcW w:w="864" w:type="pct"/>
            <w:tcBorders>
              <w:right w:val="single" w:sz="4" w:space="0" w:color="auto"/>
            </w:tcBorders>
          </w:tcPr>
          <w:p w:rsidR="00534FB5" w:rsidRPr="00521B89" w:rsidRDefault="00534FB5" w:rsidP="00534FB5">
            <w:pPr>
              <w:spacing w:line="240" w:lineRule="atLeast"/>
              <w:contextualSpacing/>
              <w:jc w:val="center"/>
            </w:pPr>
            <w:r w:rsidRPr="00521B89">
              <w:t>-</w:t>
            </w:r>
          </w:p>
        </w:tc>
        <w:tc>
          <w:tcPr>
            <w:tcW w:w="927" w:type="pct"/>
            <w:tcBorders>
              <w:left w:val="single" w:sz="4" w:space="0" w:color="auto"/>
            </w:tcBorders>
          </w:tcPr>
          <w:p w:rsidR="00534FB5" w:rsidRPr="00521B89" w:rsidRDefault="00534FB5" w:rsidP="00534FB5">
            <w:pPr>
              <w:spacing w:line="240" w:lineRule="atLeast"/>
              <w:contextualSpacing/>
              <w:jc w:val="center"/>
            </w:pPr>
            <w:r w:rsidRPr="00521B89">
              <w:t>-</w:t>
            </w:r>
          </w:p>
        </w:tc>
      </w:tr>
      <w:tr w:rsidR="00534FB5" w:rsidRPr="00974466" w:rsidTr="00534FB5">
        <w:trPr>
          <w:trHeight w:val="358"/>
        </w:trPr>
        <w:tc>
          <w:tcPr>
            <w:tcW w:w="1496" w:type="pct"/>
            <w:tcBorders>
              <w:right w:val="single" w:sz="4" w:space="0" w:color="auto"/>
            </w:tcBorders>
          </w:tcPr>
          <w:p w:rsidR="00534FB5" w:rsidRPr="00521B89" w:rsidRDefault="00534FB5" w:rsidP="00534FB5">
            <w:pPr>
              <w:spacing w:line="240" w:lineRule="atLeast"/>
              <w:contextualSpacing/>
              <w:jc w:val="center"/>
            </w:pPr>
            <w:r w:rsidRPr="00521B89">
              <w:t>Хронічний</w:t>
            </w:r>
          </w:p>
        </w:tc>
        <w:tc>
          <w:tcPr>
            <w:tcW w:w="907" w:type="pct"/>
            <w:tcBorders>
              <w:right w:val="single" w:sz="4" w:space="0" w:color="auto"/>
            </w:tcBorders>
          </w:tcPr>
          <w:p w:rsidR="00534FB5" w:rsidRPr="00521B89" w:rsidRDefault="00534FB5" w:rsidP="00534FB5">
            <w:pPr>
              <w:spacing w:line="240" w:lineRule="atLeast"/>
              <w:contextualSpacing/>
              <w:jc w:val="center"/>
            </w:pPr>
            <w:r w:rsidRPr="00521B89">
              <w:t>84</w:t>
            </w:r>
          </w:p>
        </w:tc>
        <w:tc>
          <w:tcPr>
            <w:tcW w:w="806" w:type="pct"/>
            <w:tcBorders>
              <w:left w:val="single" w:sz="4" w:space="0" w:color="auto"/>
            </w:tcBorders>
          </w:tcPr>
          <w:p w:rsidR="00534FB5" w:rsidRPr="00521B89" w:rsidRDefault="00534FB5" w:rsidP="00534FB5">
            <w:pPr>
              <w:spacing w:line="240" w:lineRule="atLeast"/>
              <w:contextualSpacing/>
              <w:jc w:val="center"/>
            </w:pPr>
            <w:r w:rsidRPr="00521B89">
              <w:t>83</w:t>
            </w:r>
          </w:p>
        </w:tc>
        <w:tc>
          <w:tcPr>
            <w:tcW w:w="864" w:type="pct"/>
            <w:tcBorders>
              <w:right w:val="single" w:sz="4" w:space="0" w:color="auto"/>
            </w:tcBorders>
          </w:tcPr>
          <w:p w:rsidR="00534FB5" w:rsidRPr="00521B89" w:rsidRDefault="00534FB5" w:rsidP="00534FB5">
            <w:pPr>
              <w:spacing w:line="240" w:lineRule="atLeast"/>
              <w:contextualSpacing/>
              <w:jc w:val="center"/>
            </w:pPr>
            <w:r w:rsidRPr="00521B89">
              <w:t>43</w:t>
            </w:r>
          </w:p>
        </w:tc>
        <w:tc>
          <w:tcPr>
            <w:tcW w:w="927" w:type="pct"/>
            <w:tcBorders>
              <w:left w:val="single" w:sz="4" w:space="0" w:color="auto"/>
            </w:tcBorders>
          </w:tcPr>
          <w:p w:rsidR="00534FB5" w:rsidRPr="00521B89" w:rsidRDefault="00534FB5" w:rsidP="00534FB5">
            <w:pPr>
              <w:spacing w:line="240" w:lineRule="atLeast"/>
              <w:contextualSpacing/>
              <w:jc w:val="center"/>
            </w:pPr>
            <w:r w:rsidRPr="00521B89">
              <w:t>14</w:t>
            </w:r>
          </w:p>
        </w:tc>
      </w:tr>
    </w:tbl>
    <w:p w:rsidR="00534FB5" w:rsidRDefault="00534FB5" w:rsidP="00534FB5">
      <w:pPr>
        <w:ind w:firstLine="567"/>
        <w:contextualSpacing/>
      </w:pPr>
    </w:p>
    <w:p w:rsidR="00534FB5" w:rsidRPr="008E3F81" w:rsidRDefault="00534FB5" w:rsidP="00534FB5">
      <w:pPr>
        <w:ind w:firstLine="567"/>
        <w:contextualSpacing/>
        <w:rPr>
          <w:spacing w:val="-6"/>
        </w:rPr>
      </w:pPr>
      <w:r w:rsidRPr="008E3F81">
        <w:rPr>
          <w:spacing w:val="-6"/>
        </w:rPr>
        <w:t xml:space="preserve">У дітей КГ з нормальним слухом не було виявлено жодного випадку гострого перебігу каріозного процесу, в той час як 73 % дітей </w:t>
      </w:r>
      <w:r w:rsidR="006C493E" w:rsidRPr="008E3F81">
        <w:rPr>
          <w:spacing w:val="-6"/>
        </w:rPr>
        <w:t>із вродженою</w:t>
      </w:r>
      <w:r w:rsidRPr="008E3F81">
        <w:rPr>
          <w:spacing w:val="-6"/>
        </w:rPr>
        <w:t xml:space="preserve"> глухотою мали гострий перебіг каріозного ураження зубів. </w:t>
      </w:r>
      <w:r w:rsidR="008E3F81" w:rsidRPr="008E3F81">
        <w:rPr>
          <w:spacing w:val="-6"/>
        </w:rPr>
        <w:t>У дітей ОГ осередків хронічного карієсу було виявлено майже в 2 рази більше</w:t>
      </w:r>
      <w:r w:rsidR="00A60596">
        <w:rPr>
          <w:spacing w:val="-6"/>
        </w:rPr>
        <w:t>,</w:t>
      </w:r>
      <w:r w:rsidR="008E3F81" w:rsidRPr="008E3F81">
        <w:rPr>
          <w:spacing w:val="-6"/>
        </w:rPr>
        <w:t xml:space="preserve"> порівняно з КГ.</w:t>
      </w:r>
    </w:p>
    <w:p w:rsidR="00534FB5" w:rsidRDefault="00534FB5" w:rsidP="003246BC">
      <w:pPr>
        <w:ind w:firstLine="567"/>
        <w:contextualSpacing/>
      </w:pPr>
      <w:r>
        <w:t>У таблиці 3.2.5</w:t>
      </w:r>
      <w:r w:rsidRPr="00243FFB">
        <w:t xml:space="preserve"> наведено дані щодо розподілу каріозних порожнин за </w:t>
      </w:r>
      <w:r>
        <w:t>перебігом</w:t>
      </w:r>
      <w:r w:rsidRPr="00243FFB">
        <w:t xml:space="preserve"> каріозного процесу </w:t>
      </w:r>
      <w:r>
        <w:t>в</w:t>
      </w:r>
      <w:r w:rsidRPr="00243FFB">
        <w:t xml:space="preserve"> дітей основної та контрольної груп до проведення лікувально-профілактичних заходів</w:t>
      </w:r>
      <w:r>
        <w:t>,</w:t>
      </w:r>
      <w:r w:rsidRPr="00243FFB">
        <w:t xml:space="preserve"> залежно від віку.</w:t>
      </w:r>
    </w:p>
    <w:p w:rsidR="00534FB5" w:rsidRPr="001A3987" w:rsidRDefault="00534FB5" w:rsidP="00534FB5">
      <w:pPr>
        <w:ind w:firstLine="567"/>
        <w:contextualSpacing/>
        <w:jc w:val="right"/>
        <w:rPr>
          <w:i/>
        </w:rPr>
      </w:pPr>
      <w:r>
        <w:rPr>
          <w:i/>
        </w:rPr>
        <w:lastRenderedPageBreak/>
        <w:t>Таблиця 3.2.5</w:t>
      </w:r>
    </w:p>
    <w:p w:rsidR="00534FB5" w:rsidRPr="002776F7" w:rsidRDefault="00534FB5" w:rsidP="00534FB5">
      <w:pPr>
        <w:ind w:firstLine="567"/>
        <w:contextualSpacing/>
        <w:jc w:val="center"/>
        <w:rPr>
          <w:b/>
        </w:rPr>
      </w:pPr>
      <w:r w:rsidRPr="002776F7">
        <w:rPr>
          <w:b/>
        </w:rPr>
        <w:t xml:space="preserve">Розподіл </w:t>
      </w:r>
      <w:r>
        <w:rPr>
          <w:b/>
        </w:rPr>
        <w:t>каріозних порожнин за перебігом</w:t>
      </w:r>
      <w:r w:rsidRPr="002776F7">
        <w:rPr>
          <w:b/>
        </w:rPr>
        <w:t xml:space="preserve"> каріозного процесу </w:t>
      </w:r>
      <w:r>
        <w:rPr>
          <w:b/>
        </w:rPr>
        <w:t>в</w:t>
      </w:r>
      <w:r w:rsidRPr="002776F7">
        <w:rPr>
          <w:b/>
        </w:rPr>
        <w:t xml:space="preserve"> дітей основної та контрольної груп до проведення лікувально-профілактичних заходів</w:t>
      </w:r>
      <w:r>
        <w:rPr>
          <w:b/>
        </w:rPr>
        <w:t>,</w:t>
      </w:r>
      <w:r w:rsidRPr="002776F7">
        <w:rPr>
          <w:b/>
        </w:rPr>
        <w:t xml:space="preserve"> залежно від віку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9"/>
        <w:gridCol w:w="936"/>
        <w:gridCol w:w="1070"/>
        <w:gridCol w:w="938"/>
        <w:gridCol w:w="1070"/>
        <w:gridCol w:w="936"/>
        <w:gridCol w:w="902"/>
      </w:tblGrid>
      <w:tr w:rsidR="00534FB5" w:rsidRPr="001E7C90" w:rsidTr="006816E1">
        <w:trPr>
          <w:trHeight w:val="476"/>
          <w:jc w:val="center"/>
        </w:trPr>
        <w:tc>
          <w:tcPr>
            <w:tcW w:w="1943" w:type="pct"/>
            <w:vMerge w:val="restart"/>
            <w:tcBorders>
              <w:right w:val="single" w:sz="4" w:space="0" w:color="auto"/>
            </w:tcBorders>
          </w:tcPr>
          <w:p w:rsidR="006816E1" w:rsidRDefault="006816E1" w:rsidP="00534FB5">
            <w:pPr>
              <w:pStyle w:val="11"/>
              <w:spacing w:line="240" w:lineRule="atLeast"/>
              <w:ind w:left="0"/>
            </w:pPr>
          </w:p>
          <w:p w:rsidR="00534FB5" w:rsidRPr="00B13679" w:rsidRDefault="00534FB5" w:rsidP="00534FB5">
            <w:pPr>
              <w:pStyle w:val="11"/>
              <w:spacing w:line="240" w:lineRule="atLeast"/>
              <w:ind w:left="0"/>
            </w:pPr>
            <w:r>
              <w:t>Перебіг</w:t>
            </w:r>
            <w:r w:rsidRPr="00B13679">
              <w:t xml:space="preserve"> каріозного процесу</w:t>
            </w:r>
          </w:p>
        </w:tc>
        <w:tc>
          <w:tcPr>
            <w:tcW w:w="3057" w:type="pct"/>
            <w:gridSpan w:val="6"/>
            <w:tcBorders>
              <w:left w:val="single" w:sz="4" w:space="0" w:color="auto"/>
            </w:tcBorders>
          </w:tcPr>
          <w:p w:rsidR="00534FB5" w:rsidRPr="00B13679" w:rsidRDefault="00534FB5" w:rsidP="006816E1">
            <w:pPr>
              <w:pStyle w:val="11"/>
              <w:spacing w:line="240" w:lineRule="atLeast"/>
            </w:pPr>
            <w:r w:rsidRPr="00B13679">
              <w:t>Діти з вродженою глухотою</w:t>
            </w:r>
            <w:r w:rsidR="008E3F81">
              <w:t>, N=70</w:t>
            </w:r>
          </w:p>
        </w:tc>
      </w:tr>
      <w:tr w:rsidR="00534FB5" w:rsidRPr="001E7C90" w:rsidTr="006816E1">
        <w:trPr>
          <w:trHeight w:val="311"/>
          <w:jc w:val="center"/>
        </w:trPr>
        <w:tc>
          <w:tcPr>
            <w:tcW w:w="1943" w:type="pct"/>
            <w:vMerge/>
            <w:tcBorders>
              <w:bottom w:val="single" w:sz="4" w:space="0" w:color="auto"/>
              <w:right w:val="single" w:sz="4" w:space="0" w:color="auto"/>
            </w:tcBorders>
          </w:tcPr>
          <w:p w:rsidR="00534FB5" w:rsidRPr="00B13679" w:rsidRDefault="00534FB5" w:rsidP="00534FB5">
            <w:pPr>
              <w:pStyle w:val="11"/>
              <w:spacing w:line="240" w:lineRule="atLeast"/>
              <w:ind w:left="0"/>
            </w:pPr>
          </w:p>
        </w:tc>
        <w:tc>
          <w:tcPr>
            <w:tcW w:w="1048" w:type="pct"/>
            <w:gridSpan w:val="2"/>
            <w:tcBorders>
              <w:left w:val="single" w:sz="4" w:space="0" w:color="auto"/>
            </w:tcBorders>
          </w:tcPr>
          <w:p w:rsidR="00534FB5" w:rsidRPr="003246BC" w:rsidRDefault="00534FB5" w:rsidP="00534FB5">
            <w:pPr>
              <w:pStyle w:val="11"/>
              <w:spacing w:line="240" w:lineRule="atLeast"/>
              <w:ind w:left="0"/>
              <w:rPr>
                <w:lang w:val="en-US"/>
              </w:rPr>
            </w:pPr>
            <w:r w:rsidRPr="00B13679">
              <w:t>ОГ1</w:t>
            </w:r>
            <w:r w:rsidR="003246BC">
              <w:rPr>
                <w:lang w:val="en-US"/>
              </w:rPr>
              <w:t>, N=23</w:t>
            </w:r>
          </w:p>
        </w:tc>
        <w:tc>
          <w:tcPr>
            <w:tcW w:w="1049" w:type="pct"/>
            <w:gridSpan w:val="2"/>
          </w:tcPr>
          <w:p w:rsidR="00534FB5" w:rsidRPr="003246BC" w:rsidRDefault="00534FB5" w:rsidP="00534FB5">
            <w:pPr>
              <w:pStyle w:val="11"/>
              <w:spacing w:line="240" w:lineRule="atLeast"/>
              <w:ind w:left="0"/>
              <w:rPr>
                <w:lang w:val="en-US"/>
              </w:rPr>
            </w:pPr>
            <w:r w:rsidRPr="00B13679">
              <w:t>ОГ2</w:t>
            </w:r>
            <w:r w:rsidR="003246BC">
              <w:rPr>
                <w:lang w:val="en-US"/>
              </w:rPr>
              <w:t>, N=21</w:t>
            </w:r>
          </w:p>
        </w:tc>
        <w:tc>
          <w:tcPr>
            <w:tcW w:w="960" w:type="pct"/>
            <w:gridSpan w:val="2"/>
          </w:tcPr>
          <w:p w:rsidR="00534FB5" w:rsidRPr="003246BC" w:rsidRDefault="00534FB5" w:rsidP="00534FB5">
            <w:pPr>
              <w:pStyle w:val="11"/>
              <w:spacing w:line="240" w:lineRule="atLeast"/>
              <w:ind w:left="0"/>
              <w:rPr>
                <w:lang w:val="en-US"/>
              </w:rPr>
            </w:pPr>
            <w:r w:rsidRPr="00B13679">
              <w:t>ОГ3</w:t>
            </w:r>
            <w:r w:rsidR="003246BC">
              <w:rPr>
                <w:lang w:val="en-US"/>
              </w:rPr>
              <w:t>, N=26</w:t>
            </w:r>
          </w:p>
        </w:tc>
      </w:tr>
      <w:tr w:rsidR="00534FB5" w:rsidRPr="001E7C90" w:rsidTr="006816E1">
        <w:trPr>
          <w:jc w:val="center"/>
        </w:trPr>
        <w:tc>
          <w:tcPr>
            <w:tcW w:w="1943" w:type="pct"/>
            <w:tcBorders>
              <w:top w:val="single" w:sz="4" w:space="0" w:color="auto"/>
              <w:right w:val="single" w:sz="4" w:space="0" w:color="auto"/>
            </w:tcBorders>
          </w:tcPr>
          <w:p w:rsidR="00534FB5" w:rsidRPr="00B13679" w:rsidRDefault="00534FB5" w:rsidP="00534FB5">
            <w:pPr>
              <w:pStyle w:val="11"/>
              <w:spacing w:line="240" w:lineRule="atLeast"/>
              <w:ind w:left="0"/>
            </w:pPr>
          </w:p>
        </w:tc>
        <w:tc>
          <w:tcPr>
            <w:tcW w:w="489" w:type="pct"/>
            <w:tcBorders>
              <w:left w:val="single" w:sz="4" w:space="0" w:color="auto"/>
            </w:tcBorders>
          </w:tcPr>
          <w:p w:rsidR="00534FB5" w:rsidRPr="00B13679" w:rsidRDefault="00534FB5" w:rsidP="00534FB5">
            <w:pPr>
              <w:spacing w:line="240" w:lineRule="atLeast"/>
              <w:contextualSpacing/>
              <w:jc w:val="center"/>
            </w:pPr>
            <w:r w:rsidRPr="00B13679">
              <w:t>%</w:t>
            </w:r>
          </w:p>
        </w:tc>
        <w:tc>
          <w:tcPr>
            <w:tcW w:w="559" w:type="pct"/>
          </w:tcPr>
          <w:p w:rsidR="00534FB5" w:rsidRPr="00B13679" w:rsidRDefault="00534FB5" w:rsidP="00534FB5">
            <w:pPr>
              <w:tabs>
                <w:tab w:val="center" w:pos="343"/>
              </w:tabs>
              <w:spacing w:line="240" w:lineRule="atLeast"/>
              <w:contextualSpacing/>
              <w:jc w:val="center"/>
            </w:pPr>
            <w:r w:rsidRPr="00B13679">
              <w:t>абс.</w:t>
            </w:r>
          </w:p>
        </w:tc>
        <w:tc>
          <w:tcPr>
            <w:tcW w:w="490" w:type="pct"/>
          </w:tcPr>
          <w:p w:rsidR="00534FB5" w:rsidRPr="00B13679" w:rsidRDefault="00534FB5" w:rsidP="00534FB5">
            <w:pPr>
              <w:tabs>
                <w:tab w:val="left" w:pos="405"/>
                <w:tab w:val="center" w:pos="698"/>
              </w:tabs>
              <w:spacing w:line="240" w:lineRule="atLeast"/>
              <w:contextualSpacing/>
              <w:jc w:val="center"/>
            </w:pPr>
            <w:r w:rsidRPr="00B13679">
              <w:t>%</w:t>
            </w:r>
          </w:p>
        </w:tc>
        <w:tc>
          <w:tcPr>
            <w:tcW w:w="559" w:type="pct"/>
          </w:tcPr>
          <w:p w:rsidR="00534FB5" w:rsidRPr="00B13679" w:rsidRDefault="00534FB5" w:rsidP="00534FB5">
            <w:pPr>
              <w:tabs>
                <w:tab w:val="left" w:pos="225"/>
                <w:tab w:val="center" w:pos="343"/>
                <w:tab w:val="center" w:pos="631"/>
              </w:tabs>
              <w:spacing w:line="240" w:lineRule="atLeast"/>
              <w:contextualSpacing/>
              <w:jc w:val="center"/>
            </w:pPr>
            <w:r w:rsidRPr="00B13679">
              <w:t>абс.</w:t>
            </w:r>
          </w:p>
        </w:tc>
        <w:tc>
          <w:tcPr>
            <w:tcW w:w="489" w:type="pct"/>
          </w:tcPr>
          <w:p w:rsidR="00534FB5" w:rsidRPr="00B13679" w:rsidRDefault="00534FB5" w:rsidP="00534FB5">
            <w:pPr>
              <w:tabs>
                <w:tab w:val="left" w:pos="345"/>
                <w:tab w:val="center" w:pos="641"/>
              </w:tabs>
              <w:spacing w:line="240" w:lineRule="atLeast"/>
              <w:contextualSpacing/>
              <w:jc w:val="center"/>
            </w:pPr>
            <w:r w:rsidRPr="00B13679">
              <w:t>%</w:t>
            </w:r>
          </w:p>
        </w:tc>
        <w:tc>
          <w:tcPr>
            <w:tcW w:w="471" w:type="pct"/>
          </w:tcPr>
          <w:p w:rsidR="00534FB5" w:rsidRPr="00B13679" w:rsidRDefault="00534FB5" w:rsidP="00534FB5">
            <w:pPr>
              <w:tabs>
                <w:tab w:val="left" w:pos="270"/>
                <w:tab w:val="center" w:pos="343"/>
                <w:tab w:val="center" w:pos="583"/>
              </w:tabs>
              <w:spacing w:line="240" w:lineRule="atLeast"/>
              <w:contextualSpacing/>
              <w:jc w:val="center"/>
            </w:pPr>
            <w:r w:rsidRPr="00B13679">
              <w:t>абс.</w:t>
            </w:r>
          </w:p>
        </w:tc>
      </w:tr>
      <w:tr w:rsidR="00534FB5" w:rsidRPr="001E7C90" w:rsidTr="006816E1">
        <w:trPr>
          <w:jc w:val="center"/>
        </w:trPr>
        <w:tc>
          <w:tcPr>
            <w:tcW w:w="1943" w:type="pct"/>
          </w:tcPr>
          <w:p w:rsidR="00534FB5" w:rsidRPr="00B13679" w:rsidRDefault="00534FB5" w:rsidP="00534FB5">
            <w:pPr>
              <w:spacing w:line="240" w:lineRule="atLeast"/>
              <w:contextualSpacing/>
              <w:jc w:val="center"/>
            </w:pPr>
            <w:r w:rsidRPr="00B13679">
              <w:t>Гострий</w:t>
            </w:r>
          </w:p>
        </w:tc>
        <w:tc>
          <w:tcPr>
            <w:tcW w:w="489" w:type="pct"/>
          </w:tcPr>
          <w:p w:rsidR="00534FB5" w:rsidRPr="00B13679" w:rsidRDefault="00534FB5" w:rsidP="00534FB5">
            <w:pPr>
              <w:pStyle w:val="11"/>
              <w:spacing w:line="240" w:lineRule="atLeast"/>
              <w:ind w:left="0"/>
            </w:pPr>
            <w:r w:rsidRPr="00B13679">
              <w:t>52</w:t>
            </w:r>
          </w:p>
        </w:tc>
        <w:tc>
          <w:tcPr>
            <w:tcW w:w="559" w:type="pct"/>
          </w:tcPr>
          <w:p w:rsidR="00534FB5" w:rsidRPr="00B13679" w:rsidRDefault="00534FB5" w:rsidP="00534FB5">
            <w:pPr>
              <w:pStyle w:val="11"/>
              <w:spacing w:line="240" w:lineRule="atLeast"/>
              <w:ind w:left="0"/>
            </w:pPr>
            <w:r w:rsidRPr="00B13679">
              <w:t>12</w:t>
            </w:r>
          </w:p>
        </w:tc>
        <w:tc>
          <w:tcPr>
            <w:tcW w:w="490" w:type="pct"/>
          </w:tcPr>
          <w:p w:rsidR="00534FB5" w:rsidRPr="00B13679" w:rsidRDefault="00534FB5" w:rsidP="00534FB5">
            <w:pPr>
              <w:pStyle w:val="11"/>
              <w:spacing w:line="240" w:lineRule="atLeast"/>
              <w:ind w:left="0"/>
            </w:pPr>
            <w:r w:rsidRPr="00B13679">
              <w:t>71</w:t>
            </w:r>
          </w:p>
        </w:tc>
        <w:tc>
          <w:tcPr>
            <w:tcW w:w="559" w:type="pct"/>
          </w:tcPr>
          <w:p w:rsidR="00534FB5" w:rsidRPr="00B13679" w:rsidRDefault="00534FB5" w:rsidP="00534FB5">
            <w:pPr>
              <w:pStyle w:val="11"/>
              <w:spacing w:line="240" w:lineRule="atLeast"/>
              <w:ind w:left="0"/>
            </w:pPr>
            <w:r w:rsidRPr="00B13679">
              <w:t>15</w:t>
            </w:r>
          </w:p>
        </w:tc>
        <w:tc>
          <w:tcPr>
            <w:tcW w:w="489" w:type="pct"/>
          </w:tcPr>
          <w:p w:rsidR="00534FB5" w:rsidRPr="00B13679" w:rsidRDefault="00534FB5" w:rsidP="00534FB5">
            <w:pPr>
              <w:spacing w:line="240" w:lineRule="atLeast"/>
              <w:contextualSpacing/>
              <w:jc w:val="center"/>
            </w:pPr>
            <w:r w:rsidRPr="00B13679">
              <w:t>62</w:t>
            </w:r>
          </w:p>
        </w:tc>
        <w:tc>
          <w:tcPr>
            <w:tcW w:w="471" w:type="pct"/>
          </w:tcPr>
          <w:p w:rsidR="00534FB5" w:rsidRPr="00B13679" w:rsidRDefault="00534FB5" w:rsidP="00534FB5">
            <w:pPr>
              <w:spacing w:line="240" w:lineRule="atLeast"/>
              <w:contextualSpacing/>
              <w:jc w:val="center"/>
            </w:pPr>
            <w:r w:rsidRPr="00B13679">
              <w:t>16</w:t>
            </w:r>
          </w:p>
        </w:tc>
      </w:tr>
      <w:tr w:rsidR="00534FB5" w:rsidRPr="001E7C90" w:rsidTr="006816E1">
        <w:trPr>
          <w:trHeight w:val="311"/>
          <w:jc w:val="center"/>
        </w:trPr>
        <w:tc>
          <w:tcPr>
            <w:tcW w:w="1943" w:type="pct"/>
            <w:tcBorders>
              <w:bottom w:val="single" w:sz="4" w:space="0" w:color="auto"/>
              <w:right w:val="single" w:sz="4" w:space="0" w:color="auto"/>
            </w:tcBorders>
          </w:tcPr>
          <w:p w:rsidR="00534FB5" w:rsidRPr="00B13679" w:rsidRDefault="00534FB5" w:rsidP="00534FB5">
            <w:pPr>
              <w:spacing w:line="240" w:lineRule="atLeast"/>
              <w:contextualSpacing/>
              <w:jc w:val="center"/>
            </w:pPr>
            <w:r w:rsidRPr="00B13679">
              <w:t>Хронічний</w:t>
            </w:r>
          </w:p>
        </w:tc>
        <w:tc>
          <w:tcPr>
            <w:tcW w:w="489" w:type="pct"/>
            <w:tcBorders>
              <w:left w:val="single" w:sz="4" w:space="0" w:color="auto"/>
              <w:bottom w:val="single" w:sz="4" w:space="0" w:color="auto"/>
            </w:tcBorders>
          </w:tcPr>
          <w:p w:rsidR="00534FB5" w:rsidRPr="00B13679" w:rsidRDefault="00534FB5" w:rsidP="00534FB5">
            <w:pPr>
              <w:pStyle w:val="11"/>
              <w:spacing w:line="240" w:lineRule="atLeast"/>
              <w:ind w:left="0"/>
            </w:pPr>
            <w:r w:rsidRPr="00B13679">
              <w:t>83</w:t>
            </w:r>
          </w:p>
        </w:tc>
        <w:tc>
          <w:tcPr>
            <w:tcW w:w="559" w:type="pct"/>
            <w:tcBorders>
              <w:bottom w:val="single" w:sz="4" w:space="0" w:color="auto"/>
            </w:tcBorders>
          </w:tcPr>
          <w:p w:rsidR="00534FB5" w:rsidRPr="00B13679" w:rsidRDefault="00534FB5" w:rsidP="00534FB5">
            <w:pPr>
              <w:pStyle w:val="11"/>
              <w:spacing w:line="240" w:lineRule="atLeast"/>
              <w:ind w:left="0"/>
            </w:pPr>
            <w:r w:rsidRPr="00B13679">
              <w:t>19</w:t>
            </w:r>
          </w:p>
        </w:tc>
        <w:tc>
          <w:tcPr>
            <w:tcW w:w="490" w:type="pct"/>
            <w:tcBorders>
              <w:bottom w:val="single" w:sz="4" w:space="0" w:color="auto"/>
            </w:tcBorders>
          </w:tcPr>
          <w:p w:rsidR="00534FB5" w:rsidRPr="00B13679" w:rsidRDefault="00534FB5" w:rsidP="00534FB5">
            <w:pPr>
              <w:pStyle w:val="11"/>
              <w:spacing w:line="240" w:lineRule="atLeast"/>
              <w:ind w:left="0"/>
            </w:pPr>
            <w:r w:rsidRPr="00B13679">
              <w:t>91</w:t>
            </w:r>
          </w:p>
        </w:tc>
        <w:tc>
          <w:tcPr>
            <w:tcW w:w="559" w:type="pct"/>
            <w:tcBorders>
              <w:bottom w:val="single" w:sz="4" w:space="0" w:color="auto"/>
            </w:tcBorders>
          </w:tcPr>
          <w:p w:rsidR="00534FB5" w:rsidRPr="00B13679" w:rsidRDefault="00534FB5" w:rsidP="00534FB5">
            <w:pPr>
              <w:pStyle w:val="11"/>
              <w:spacing w:line="240" w:lineRule="atLeast"/>
              <w:ind w:left="0"/>
            </w:pPr>
            <w:r w:rsidRPr="00B13679">
              <w:t>19</w:t>
            </w:r>
          </w:p>
        </w:tc>
        <w:tc>
          <w:tcPr>
            <w:tcW w:w="489" w:type="pct"/>
            <w:tcBorders>
              <w:bottom w:val="single" w:sz="4" w:space="0" w:color="auto"/>
            </w:tcBorders>
          </w:tcPr>
          <w:p w:rsidR="00534FB5" w:rsidRPr="00B13679" w:rsidRDefault="00534FB5" w:rsidP="00534FB5">
            <w:pPr>
              <w:spacing w:line="240" w:lineRule="atLeast"/>
              <w:contextualSpacing/>
              <w:jc w:val="center"/>
            </w:pPr>
            <w:r w:rsidRPr="00B13679">
              <w:t>81</w:t>
            </w:r>
          </w:p>
        </w:tc>
        <w:tc>
          <w:tcPr>
            <w:tcW w:w="471" w:type="pct"/>
            <w:tcBorders>
              <w:bottom w:val="single" w:sz="4" w:space="0" w:color="auto"/>
              <w:right w:val="single" w:sz="4" w:space="0" w:color="auto"/>
            </w:tcBorders>
          </w:tcPr>
          <w:p w:rsidR="00534FB5" w:rsidRPr="00B13679" w:rsidRDefault="00534FB5" w:rsidP="00534FB5">
            <w:pPr>
              <w:spacing w:line="240" w:lineRule="atLeast"/>
              <w:contextualSpacing/>
              <w:jc w:val="center"/>
            </w:pPr>
            <w:r w:rsidRPr="00B13679">
              <w:t>21</w:t>
            </w:r>
          </w:p>
        </w:tc>
      </w:tr>
      <w:tr w:rsidR="006816E1" w:rsidRPr="001E7C90" w:rsidTr="006816E1">
        <w:trPr>
          <w:trHeight w:val="264"/>
          <w:jc w:val="center"/>
        </w:trPr>
        <w:tc>
          <w:tcPr>
            <w:tcW w:w="1943" w:type="pct"/>
            <w:vMerge w:val="restart"/>
            <w:tcBorders>
              <w:top w:val="nil"/>
              <w:left w:val="single" w:sz="4" w:space="0" w:color="auto"/>
              <w:right w:val="single" w:sz="4" w:space="0" w:color="auto"/>
            </w:tcBorders>
          </w:tcPr>
          <w:p w:rsidR="006816E1" w:rsidRDefault="006816E1" w:rsidP="00534FB5">
            <w:pPr>
              <w:pStyle w:val="11"/>
              <w:spacing w:line="240" w:lineRule="atLeast"/>
              <w:ind w:left="0"/>
            </w:pPr>
          </w:p>
          <w:p w:rsidR="006816E1" w:rsidRPr="003246BC" w:rsidRDefault="006816E1" w:rsidP="00534FB5">
            <w:pPr>
              <w:pStyle w:val="11"/>
              <w:spacing w:line="240" w:lineRule="atLeast"/>
              <w:ind w:left="0"/>
              <w:rPr>
                <w:lang w:val="ru-RU"/>
              </w:rPr>
            </w:pPr>
            <w:r>
              <w:t xml:space="preserve">Перебіг </w:t>
            </w:r>
            <w:r w:rsidRPr="00B13679">
              <w:t>каріозного процесу</w:t>
            </w:r>
          </w:p>
        </w:tc>
        <w:tc>
          <w:tcPr>
            <w:tcW w:w="3057" w:type="pct"/>
            <w:gridSpan w:val="6"/>
            <w:tcBorders>
              <w:top w:val="nil"/>
              <w:left w:val="single" w:sz="4" w:space="0" w:color="auto"/>
              <w:right w:val="single" w:sz="4" w:space="0" w:color="auto"/>
            </w:tcBorders>
          </w:tcPr>
          <w:p w:rsidR="006816E1" w:rsidRPr="003246BC" w:rsidRDefault="006816E1" w:rsidP="006816E1">
            <w:pPr>
              <w:pStyle w:val="11"/>
              <w:spacing w:line="240" w:lineRule="atLeast"/>
              <w:ind w:left="0"/>
              <w:rPr>
                <w:lang w:val="ru-RU"/>
              </w:rPr>
            </w:pPr>
            <w:r w:rsidRPr="001E7C90">
              <w:t>Діти без вад слуху</w:t>
            </w:r>
            <w:r w:rsidRPr="008E3F81">
              <w:rPr>
                <w:lang w:val="ru-RU"/>
              </w:rPr>
              <w:t xml:space="preserve">, </w:t>
            </w:r>
            <w:r>
              <w:rPr>
                <w:lang w:val="en-US"/>
              </w:rPr>
              <w:t>N</w:t>
            </w:r>
            <w:r w:rsidRPr="008E3F81">
              <w:rPr>
                <w:lang w:val="ru-RU"/>
              </w:rPr>
              <w:t>=</w:t>
            </w:r>
            <w:r w:rsidRPr="003246BC">
              <w:rPr>
                <w:lang w:val="ru-RU"/>
              </w:rPr>
              <w:t>32</w:t>
            </w:r>
          </w:p>
        </w:tc>
      </w:tr>
      <w:tr w:rsidR="006816E1" w:rsidRPr="001E7C90" w:rsidTr="006816E1">
        <w:trPr>
          <w:trHeight w:val="282"/>
          <w:jc w:val="center"/>
        </w:trPr>
        <w:tc>
          <w:tcPr>
            <w:tcW w:w="1943" w:type="pct"/>
            <w:vMerge/>
            <w:tcBorders>
              <w:left w:val="single" w:sz="4" w:space="0" w:color="auto"/>
              <w:right w:val="single" w:sz="4" w:space="0" w:color="auto"/>
            </w:tcBorders>
          </w:tcPr>
          <w:p w:rsidR="006816E1" w:rsidRPr="001E7C90" w:rsidRDefault="006816E1" w:rsidP="00534FB5">
            <w:pPr>
              <w:pStyle w:val="11"/>
              <w:spacing w:line="240" w:lineRule="atLeast"/>
              <w:ind w:left="0"/>
            </w:pPr>
          </w:p>
        </w:tc>
        <w:tc>
          <w:tcPr>
            <w:tcW w:w="1048" w:type="pct"/>
            <w:gridSpan w:val="2"/>
            <w:tcBorders>
              <w:left w:val="single" w:sz="4" w:space="0" w:color="auto"/>
              <w:right w:val="single" w:sz="4" w:space="0" w:color="auto"/>
            </w:tcBorders>
          </w:tcPr>
          <w:p w:rsidR="006816E1" w:rsidRPr="003246BC" w:rsidRDefault="006816E1" w:rsidP="00534FB5">
            <w:pPr>
              <w:pStyle w:val="11"/>
              <w:spacing w:line="240" w:lineRule="atLeast"/>
              <w:ind w:left="0"/>
              <w:rPr>
                <w:lang w:val="en-US"/>
              </w:rPr>
            </w:pPr>
            <w:r>
              <w:t>КГ1</w:t>
            </w:r>
            <w:r>
              <w:rPr>
                <w:lang w:val="en-US"/>
              </w:rPr>
              <w:t>, N=10</w:t>
            </w:r>
          </w:p>
        </w:tc>
        <w:tc>
          <w:tcPr>
            <w:tcW w:w="1049" w:type="pct"/>
            <w:gridSpan w:val="2"/>
            <w:tcBorders>
              <w:left w:val="single" w:sz="4" w:space="0" w:color="auto"/>
              <w:right w:val="single" w:sz="4" w:space="0" w:color="auto"/>
            </w:tcBorders>
          </w:tcPr>
          <w:p w:rsidR="006816E1" w:rsidRPr="003246BC" w:rsidRDefault="006816E1" w:rsidP="00534FB5">
            <w:pPr>
              <w:pStyle w:val="11"/>
              <w:spacing w:line="240" w:lineRule="atLeast"/>
              <w:ind w:left="0"/>
              <w:rPr>
                <w:lang w:val="en-US"/>
              </w:rPr>
            </w:pPr>
            <w:r>
              <w:t>КГ2</w:t>
            </w:r>
            <w:r>
              <w:rPr>
                <w:lang w:val="en-US"/>
              </w:rPr>
              <w:t>, N=10</w:t>
            </w:r>
          </w:p>
        </w:tc>
        <w:tc>
          <w:tcPr>
            <w:tcW w:w="960" w:type="pct"/>
            <w:gridSpan w:val="2"/>
            <w:tcBorders>
              <w:left w:val="single" w:sz="4" w:space="0" w:color="auto"/>
            </w:tcBorders>
          </w:tcPr>
          <w:p w:rsidR="006816E1" w:rsidRPr="003246BC" w:rsidRDefault="006816E1" w:rsidP="00534FB5">
            <w:pPr>
              <w:pStyle w:val="11"/>
              <w:spacing w:line="240" w:lineRule="atLeast"/>
              <w:ind w:left="0"/>
              <w:rPr>
                <w:lang w:val="en-US"/>
              </w:rPr>
            </w:pPr>
            <w:r>
              <w:t>КГ3</w:t>
            </w:r>
            <w:r>
              <w:rPr>
                <w:lang w:val="en-US"/>
              </w:rPr>
              <w:t>, N=12</w:t>
            </w:r>
          </w:p>
        </w:tc>
      </w:tr>
      <w:tr w:rsidR="00534FB5" w:rsidRPr="001E7C90" w:rsidTr="006816E1">
        <w:trPr>
          <w:jc w:val="center"/>
        </w:trPr>
        <w:tc>
          <w:tcPr>
            <w:tcW w:w="1943" w:type="pct"/>
          </w:tcPr>
          <w:p w:rsidR="00534FB5" w:rsidRPr="00B13679" w:rsidRDefault="00534FB5" w:rsidP="00534FB5">
            <w:pPr>
              <w:pStyle w:val="11"/>
              <w:spacing w:line="240" w:lineRule="atLeast"/>
              <w:ind w:left="0"/>
            </w:pPr>
          </w:p>
        </w:tc>
        <w:tc>
          <w:tcPr>
            <w:tcW w:w="489" w:type="pct"/>
          </w:tcPr>
          <w:p w:rsidR="00534FB5" w:rsidRPr="00B13679" w:rsidRDefault="00534FB5" w:rsidP="00534FB5">
            <w:pPr>
              <w:spacing w:line="240" w:lineRule="atLeast"/>
              <w:contextualSpacing/>
              <w:jc w:val="center"/>
            </w:pPr>
            <w:r w:rsidRPr="00B13679">
              <w:t>%</w:t>
            </w:r>
          </w:p>
        </w:tc>
        <w:tc>
          <w:tcPr>
            <w:tcW w:w="559" w:type="pct"/>
          </w:tcPr>
          <w:p w:rsidR="00534FB5" w:rsidRPr="00B13679" w:rsidRDefault="00534FB5" w:rsidP="00534FB5">
            <w:pPr>
              <w:tabs>
                <w:tab w:val="center" w:pos="343"/>
              </w:tabs>
              <w:spacing w:line="240" w:lineRule="atLeast"/>
              <w:contextualSpacing/>
              <w:jc w:val="center"/>
            </w:pPr>
            <w:r w:rsidRPr="00B13679">
              <w:t>абс.</w:t>
            </w:r>
          </w:p>
        </w:tc>
        <w:tc>
          <w:tcPr>
            <w:tcW w:w="490" w:type="pct"/>
          </w:tcPr>
          <w:p w:rsidR="00534FB5" w:rsidRPr="00B13679" w:rsidRDefault="00534FB5" w:rsidP="00534FB5">
            <w:pPr>
              <w:tabs>
                <w:tab w:val="left" w:pos="480"/>
                <w:tab w:val="center" w:pos="698"/>
              </w:tabs>
              <w:spacing w:line="240" w:lineRule="atLeast"/>
              <w:contextualSpacing/>
              <w:jc w:val="center"/>
            </w:pPr>
            <w:r w:rsidRPr="00B13679">
              <w:t>%</w:t>
            </w:r>
          </w:p>
        </w:tc>
        <w:tc>
          <w:tcPr>
            <w:tcW w:w="559" w:type="pct"/>
            <w:tcBorders>
              <w:right w:val="single" w:sz="4" w:space="0" w:color="auto"/>
            </w:tcBorders>
          </w:tcPr>
          <w:p w:rsidR="00534FB5" w:rsidRPr="00B13679" w:rsidRDefault="00534FB5" w:rsidP="00534FB5">
            <w:pPr>
              <w:tabs>
                <w:tab w:val="center" w:pos="343"/>
              </w:tabs>
              <w:spacing w:line="240" w:lineRule="atLeast"/>
              <w:contextualSpacing/>
              <w:jc w:val="center"/>
            </w:pPr>
            <w:r w:rsidRPr="00B13679">
              <w:t>абс.</w:t>
            </w:r>
          </w:p>
        </w:tc>
        <w:tc>
          <w:tcPr>
            <w:tcW w:w="489" w:type="pct"/>
            <w:tcBorders>
              <w:left w:val="single" w:sz="4" w:space="0" w:color="auto"/>
            </w:tcBorders>
          </w:tcPr>
          <w:p w:rsidR="00534FB5" w:rsidRPr="00B13679" w:rsidRDefault="00534FB5" w:rsidP="00534FB5">
            <w:pPr>
              <w:spacing w:line="240" w:lineRule="atLeast"/>
              <w:contextualSpacing/>
              <w:jc w:val="center"/>
            </w:pPr>
            <w:r w:rsidRPr="00B13679">
              <w:t>%</w:t>
            </w:r>
          </w:p>
        </w:tc>
        <w:tc>
          <w:tcPr>
            <w:tcW w:w="471" w:type="pct"/>
          </w:tcPr>
          <w:p w:rsidR="00534FB5" w:rsidRPr="00B13679" w:rsidRDefault="00534FB5" w:rsidP="00534FB5">
            <w:pPr>
              <w:tabs>
                <w:tab w:val="left" w:pos="330"/>
                <w:tab w:val="center" w:pos="583"/>
              </w:tabs>
              <w:spacing w:line="240" w:lineRule="atLeast"/>
              <w:contextualSpacing/>
              <w:jc w:val="center"/>
            </w:pPr>
            <w:r w:rsidRPr="00B13679">
              <w:t>абс.</w:t>
            </w:r>
          </w:p>
        </w:tc>
      </w:tr>
      <w:tr w:rsidR="00534FB5" w:rsidRPr="001E7C90" w:rsidTr="006816E1">
        <w:trPr>
          <w:jc w:val="center"/>
        </w:trPr>
        <w:tc>
          <w:tcPr>
            <w:tcW w:w="1943" w:type="pct"/>
          </w:tcPr>
          <w:p w:rsidR="00534FB5" w:rsidRPr="00B13679" w:rsidRDefault="00534FB5" w:rsidP="00534FB5">
            <w:pPr>
              <w:spacing w:line="240" w:lineRule="atLeast"/>
              <w:contextualSpacing/>
              <w:jc w:val="center"/>
            </w:pPr>
            <w:r w:rsidRPr="00B13679">
              <w:t>Гострий</w:t>
            </w:r>
          </w:p>
        </w:tc>
        <w:tc>
          <w:tcPr>
            <w:tcW w:w="489" w:type="pct"/>
          </w:tcPr>
          <w:p w:rsidR="00534FB5" w:rsidRPr="00B13679" w:rsidRDefault="00534FB5" w:rsidP="00534FB5">
            <w:pPr>
              <w:spacing w:line="240" w:lineRule="atLeast"/>
              <w:contextualSpacing/>
              <w:jc w:val="center"/>
            </w:pPr>
            <w:r w:rsidRPr="00B13679">
              <w:t>-</w:t>
            </w:r>
          </w:p>
        </w:tc>
        <w:tc>
          <w:tcPr>
            <w:tcW w:w="559" w:type="pct"/>
          </w:tcPr>
          <w:p w:rsidR="00534FB5" w:rsidRPr="00B13679" w:rsidRDefault="00534FB5" w:rsidP="00534FB5">
            <w:pPr>
              <w:tabs>
                <w:tab w:val="center" w:pos="343"/>
                <w:tab w:val="left" w:pos="390"/>
                <w:tab w:val="center" w:pos="573"/>
              </w:tabs>
              <w:spacing w:line="240" w:lineRule="atLeast"/>
              <w:contextualSpacing/>
              <w:jc w:val="center"/>
            </w:pPr>
            <w:r w:rsidRPr="00B13679">
              <w:t>-</w:t>
            </w:r>
          </w:p>
        </w:tc>
        <w:tc>
          <w:tcPr>
            <w:tcW w:w="490" w:type="pct"/>
          </w:tcPr>
          <w:p w:rsidR="00534FB5" w:rsidRPr="00B13679" w:rsidRDefault="00534FB5" w:rsidP="00534FB5">
            <w:pPr>
              <w:spacing w:line="240" w:lineRule="atLeast"/>
              <w:contextualSpacing/>
              <w:jc w:val="center"/>
            </w:pPr>
            <w:r w:rsidRPr="00B13679">
              <w:t>-</w:t>
            </w:r>
          </w:p>
        </w:tc>
        <w:tc>
          <w:tcPr>
            <w:tcW w:w="559" w:type="pct"/>
          </w:tcPr>
          <w:p w:rsidR="00534FB5" w:rsidRPr="00B13679" w:rsidRDefault="00534FB5" w:rsidP="00534FB5">
            <w:pPr>
              <w:tabs>
                <w:tab w:val="center" w:pos="343"/>
              </w:tabs>
              <w:spacing w:line="240" w:lineRule="atLeast"/>
              <w:contextualSpacing/>
              <w:jc w:val="center"/>
            </w:pPr>
            <w:r w:rsidRPr="00B13679">
              <w:t>-</w:t>
            </w:r>
          </w:p>
        </w:tc>
        <w:tc>
          <w:tcPr>
            <w:tcW w:w="489" w:type="pct"/>
          </w:tcPr>
          <w:p w:rsidR="00534FB5" w:rsidRPr="00B13679" w:rsidRDefault="00534FB5" w:rsidP="00534FB5">
            <w:pPr>
              <w:spacing w:line="240" w:lineRule="atLeast"/>
              <w:contextualSpacing/>
              <w:jc w:val="center"/>
            </w:pPr>
            <w:r w:rsidRPr="00B13679">
              <w:t>-</w:t>
            </w:r>
          </w:p>
        </w:tc>
        <w:tc>
          <w:tcPr>
            <w:tcW w:w="471" w:type="pct"/>
          </w:tcPr>
          <w:p w:rsidR="00534FB5" w:rsidRPr="00B13679" w:rsidRDefault="00534FB5" w:rsidP="00534FB5">
            <w:pPr>
              <w:tabs>
                <w:tab w:val="left" w:pos="360"/>
                <w:tab w:val="center" w:pos="583"/>
              </w:tabs>
              <w:spacing w:line="240" w:lineRule="atLeast"/>
              <w:contextualSpacing/>
              <w:jc w:val="center"/>
            </w:pPr>
            <w:r w:rsidRPr="00B13679">
              <w:t>-</w:t>
            </w:r>
          </w:p>
        </w:tc>
      </w:tr>
      <w:tr w:rsidR="00534FB5" w:rsidRPr="001E7C90" w:rsidTr="006816E1">
        <w:trPr>
          <w:jc w:val="center"/>
        </w:trPr>
        <w:tc>
          <w:tcPr>
            <w:tcW w:w="1943" w:type="pct"/>
          </w:tcPr>
          <w:p w:rsidR="00534FB5" w:rsidRPr="00B13679" w:rsidRDefault="00534FB5" w:rsidP="00534FB5">
            <w:pPr>
              <w:spacing w:line="240" w:lineRule="atLeast"/>
              <w:contextualSpacing/>
              <w:jc w:val="center"/>
            </w:pPr>
            <w:r w:rsidRPr="00B13679">
              <w:t>Хронічний</w:t>
            </w:r>
          </w:p>
        </w:tc>
        <w:tc>
          <w:tcPr>
            <w:tcW w:w="489" w:type="pct"/>
          </w:tcPr>
          <w:p w:rsidR="00534FB5" w:rsidRPr="00B13679" w:rsidRDefault="00534FB5" w:rsidP="00534FB5">
            <w:pPr>
              <w:pStyle w:val="11"/>
              <w:spacing w:line="240" w:lineRule="atLeast"/>
              <w:ind w:left="0"/>
            </w:pPr>
            <w:r w:rsidRPr="00B13679">
              <w:t>30</w:t>
            </w:r>
          </w:p>
        </w:tc>
        <w:tc>
          <w:tcPr>
            <w:tcW w:w="559" w:type="pct"/>
          </w:tcPr>
          <w:p w:rsidR="00534FB5" w:rsidRPr="00B13679" w:rsidRDefault="00534FB5" w:rsidP="00534FB5">
            <w:pPr>
              <w:pStyle w:val="11"/>
              <w:tabs>
                <w:tab w:val="center" w:pos="573"/>
              </w:tabs>
              <w:spacing w:line="240" w:lineRule="atLeast"/>
              <w:ind w:left="0"/>
            </w:pPr>
            <w:r w:rsidRPr="00B13679">
              <w:t>3</w:t>
            </w:r>
          </w:p>
        </w:tc>
        <w:tc>
          <w:tcPr>
            <w:tcW w:w="490" w:type="pct"/>
          </w:tcPr>
          <w:p w:rsidR="00534FB5" w:rsidRPr="00B13679" w:rsidRDefault="00534FB5" w:rsidP="00534FB5">
            <w:pPr>
              <w:pStyle w:val="11"/>
              <w:spacing w:line="240" w:lineRule="atLeast"/>
              <w:ind w:left="0"/>
            </w:pPr>
            <w:r w:rsidRPr="00B13679">
              <w:t>40</w:t>
            </w:r>
          </w:p>
        </w:tc>
        <w:tc>
          <w:tcPr>
            <w:tcW w:w="559" w:type="pct"/>
          </w:tcPr>
          <w:p w:rsidR="00534FB5" w:rsidRPr="00B13679" w:rsidRDefault="00534FB5" w:rsidP="00534FB5">
            <w:pPr>
              <w:pStyle w:val="11"/>
              <w:spacing w:line="240" w:lineRule="atLeast"/>
              <w:ind w:left="0"/>
            </w:pPr>
            <w:r w:rsidRPr="00B13679">
              <w:t>4</w:t>
            </w:r>
          </w:p>
        </w:tc>
        <w:tc>
          <w:tcPr>
            <w:tcW w:w="489" w:type="pct"/>
          </w:tcPr>
          <w:p w:rsidR="00534FB5" w:rsidRPr="00B13679" w:rsidRDefault="00534FB5" w:rsidP="00534FB5">
            <w:pPr>
              <w:pStyle w:val="11"/>
              <w:spacing w:line="240" w:lineRule="atLeast"/>
              <w:ind w:left="0"/>
            </w:pPr>
            <w:r w:rsidRPr="00B13679">
              <w:t>25</w:t>
            </w:r>
          </w:p>
        </w:tc>
        <w:tc>
          <w:tcPr>
            <w:tcW w:w="471" w:type="pct"/>
          </w:tcPr>
          <w:p w:rsidR="00534FB5" w:rsidRPr="00B13679" w:rsidRDefault="00534FB5" w:rsidP="00534FB5">
            <w:pPr>
              <w:pStyle w:val="11"/>
              <w:tabs>
                <w:tab w:val="left" w:pos="390"/>
                <w:tab w:val="center" w:pos="583"/>
              </w:tabs>
              <w:spacing w:line="240" w:lineRule="atLeast"/>
              <w:ind w:left="0"/>
            </w:pPr>
            <w:r w:rsidRPr="00B13679">
              <w:t>3</w:t>
            </w:r>
          </w:p>
        </w:tc>
      </w:tr>
    </w:tbl>
    <w:p w:rsidR="00534FB5" w:rsidRDefault="00534FB5" w:rsidP="00534FB5">
      <w:pPr>
        <w:ind w:firstLine="567"/>
        <w:contextualSpacing/>
      </w:pPr>
    </w:p>
    <w:p w:rsidR="00534FB5" w:rsidRPr="00C012DE" w:rsidRDefault="00534FB5" w:rsidP="00C012DE">
      <w:pPr>
        <w:ind w:firstLine="567"/>
        <w:contextualSpacing/>
      </w:pPr>
      <w:r w:rsidRPr="00C87193">
        <w:t xml:space="preserve">Аналізуючи дані таблиці 3.2.5 можна зробити висновок, що в </w:t>
      </w:r>
      <w:r w:rsidR="00C012DE">
        <w:t xml:space="preserve">               </w:t>
      </w:r>
      <w:r w:rsidRPr="00C87193">
        <w:t xml:space="preserve">11-12-річних дітей основної та контрольної груп поширеність як гострого, так і хронічного перебігу каріозного процесу зростала, порівнювано з </w:t>
      </w:r>
      <w:r w:rsidR="00C012DE">
        <w:t xml:space="preserve">           </w:t>
      </w:r>
      <w:r w:rsidRPr="00C87193">
        <w:t xml:space="preserve">7-8-річними дітьми, а до 14-15 років, навпаки, – знижувалася. Так, наприклад, у дітей </w:t>
      </w:r>
      <w:r w:rsidR="006C493E" w:rsidRPr="00C87193">
        <w:t>із вродженою</w:t>
      </w:r>
      <w:r w:rsidRPr="00C87193">
        <w:t xml:space="preserve"> глухотою помічено підвищення поширеності гострого перебігу каріозного процесу в 11-12-річному віці в 1,4 раза (Р&lt;0,05), порівняно з 7-8-річними дітьми. До 14-15 років цей показник знижувався в 1,2 раза (Р&lt;0,05).</w:t>
      </w:r>
      <w:r w:rsidR="00C87193" w:rsidRPr="00C87193">
        <w:t xml:space="preserve"> Зниження поширеності як гострого</w:t>
      </w:r>
      <w:r w:rsidR="00C012DE">
        <w:t>, так і хронічного</w:t>
      </w:r>
      <w:r w:rsidR="00C87193" w:rsidRPr="00C87193">
        <w:t xml:space="preserve"> перебігу каріозного процесу в 14-15 річному віці, </w:t>
      </w:r>
      <w:r w:rsidR="00A60596">
        <w:t>н</w:t>
      </w:r>
      <w:r w:rsidR="00A60596" w:rsidRPr="00C87193">
        <w:t>а наш</w:t>
      </w:r>
      <w:r w:rsidR="00A60596">
        <w:t>у</w:t>
      </w:r>
      <w:r w:rsidR="00A60596" w:rsidRPr="00C87193">
        <w:t xml:space="preserve"> думк</w:t>
      </w:r>
      <w:r w:rsidR="00A60596">
        <w:t>у</w:t>
      </w:r>
      <w:r w:rsidR="00C87193" w:rsidRPr="00C87193">
        <w:t>, пов’язане з фізіологічною зміною зубів.</w:t>
      </w:r>
      <w:r w:rsidR="00C012DE">
        <w:t xml:space="preserve"> </w:t>
      </w:r>
    </w:p>
    <w:p w:rsidR="00534FB5" w:rsidRDefault="00534FB5" w:rsidP="00534FB5">
      <w:pPr>
        <w:ind w:firstLine="567"/>
        <w:contextualSpacing/>
      </w:pPr>
      <w:r w:rsidRPr="00C012DE">
        <w:t>Наступним показником, який ми оцінювали, була глибина ураження каріозним процесом твердих тканин зубів у дітей основної і контрольної груп</w:t>
      </w:r>
      <w:r w:rsidR="00C012DE" w:rsidRPr="00C012DE">
        <w:t>.</w:t>
      </w:r>
      <w:r w:rsidRPr="00C012DE">
        <w:t xml:space="preserve"> </w:t>
      </w:r>
    </w:p>
    <w:p w:rsidR="00C012DE" w:rsidRDefault="00C012DE" w:rsidP="00C012DE">
      <w:pPr>
        <w:ind w:firstLine="567"/>
        <w:contextualSpacing/>
      </w:pPr>
      <w:r w:rsidRPr="004771C2">
        <w:t>Розподіл каріозних порожнин за глибиною ураження твер</w:t>
      </w:r>
      <w:r>
        <w:t xml:space="preserve">дих тканин зубів у дітей із вродженою глухотою та нормальним слухом </w:t>
      </w:r>
      <w:r w:rsidRPr="004771C2">
        <w:t xml:space="preserve">наведено в </w:t>
      </w:r>
      <w:r>
        <w:t>таблиці </w:t>
      </w:r>
      <w:r w:rsidRPr="004771C2">
        <w:t>3.2</w:t>
      </w:r>
      <w:r>
        <w:t xml:space="preserve">.6. </w:t>
      </w:r>
    </w:p>
    <w:p w:rsidR="00C012DE" w:rsidRPr="002837E5" w:rsidRDefault="00C012DE" w:rsidP="00C012DE">
      <w:pPr>
        <w:contextualSpacing/>
        <w:rPr>
          <w:spacing w:val="-10"/>
        </w:rPr>
      </w:pPr>
    </w:p>
    <w:p w:rsidR="00534FB5" w:rsidRPr="004771C2" w:rsidRDefault="00534FB5" w:rsidP="00534FB5">
      <w:pPr>
        <w:ind w:firstLine="567"/>
        <w:contextualSpacing/>
        <w:jc w:val="right"/>
        <w:rPr>
          <w:i/>
        </w:rPr>
      </w:pPr>
      <w:r w:rsidRPr="004771C2">
        <w:rPr>
          <w:i/>
        </w:rPr>
        <w:lastRenderedPageBreak/>
        <w:t>Т</w:t>
      </w:r>
      <w:r>
        <w:rPr>
          <w:i/>
        </w:rPr>
        <w:t>аблиця 3.2.6</w:t>
      </w:r>
    </w:p>
    <w:p w:rsidR="00534FB5" w:rsidRDefault="00534FB5" w:rsidP="00004D15">
      <w:pPr>
        <w:ind w:firstLine="567"/>
        <w:contextualSpacing/>
        <w:jc w:val="center"/>
        <w:rPr>
          <w:b/>
        </w:rPr>
      </w:pPr>
      <w:r w:rsidRPr="00C012DE">
        <w:rPr>
          <w:b/>
        </w:rPr>
        <w:t>Розподіл каріозних порожнин за глибиною ураження твердих тканин зубів у дітей основної та контрольної груп до проведення лікувально-профілактичних заходів</w:t>
      </w:r>
    </w:p>
    <w:p w:rsidR="00AA499D" w:rsidRPr="00C012DE" w:rsidRDefault="00AA499D" w:rsidP="002837E5">
      <w:pPr>
        <w:spacing w:line="240" w:lineRule="atLeast"/>
        <w:ind w:firstLine="567"/>
        <w:contextualSpacing/>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1734"/>
        <w:gridCol w:w="1461"/>
        <w:gridCol w:w="1568"/>
        <w:gridCol w:w="1619"/>
      </w:tblGrid>
      <w:tr w:rsidR="002837E5" w:rsidRPr="00C012DE" w:rsidTr="00534FB5">
        <w:trPr>
          <w:trHeight w:val="270"/>
        </w:trPr>
        <w:tc>
          <w:tcPr>
            <w:tcW w:w="1666" w:type="pct"/>
            <w:vMerge w:val="restart"/>
          </w:tcPr>
          <w:p w:rsidR="002837E5" w:rsidRDefault="002837E5" w:rsidP="00004D15">
            <w:pPr>
              <w:contextualSpacing/>
              <w:jc w:val="center"/>
            </w:pPr>
          </w:p>
          <w:p w:rsidR="006816E1" w:rsidRPr="00C012DE" w:rsidRDefault="006816E1" w:rsidP="00004D15">
            <w:pPr>
              <w:contextualSpacing/>
              <w:jc w:val="center"/>
            </w:pPr>
            <w:r>
              <w:t>Обстежені діти</w:t>
            </w:r>
          </w:p>
        </w:tc>
        <w:tc>
          <w:tcPr>
            <w:tcW w:w="1669" w:type="pct"/>
            <w:gridSpan w:val="2"/>
            <w:tcBorders>
              <w:bottom w:val="single" w:sz="4" w:space="0" w:color="auto"/>
            </w:tcBorders>
          </w:tcPr>
          <w:p w:rsidR="002837E5" w:rsidRPr="00C012DE" w:rsidRDefault="002837E5" w:rsidP="00004D15">
            <w:pPr>
              <w:contextualSpacing/>
              <w:jc w:val="center"/>
            </w:pPr>
            <w:r w:rsidRPr="00C012DE">
              <w:t>Глухі (</w:t>
            </w:r>
            <w:r w:rsidRPr="00C012DE">
              <w:rPr>
                <w:lang w:val="en-US"/>
              </w:rPr>
              <w:t>N=</w:t>
            </w:r>
            <w:r w:rsidRPr="00C012DE">
              <w:t>99)</w:t>
            </w:r>
          </w:p>
        </w:tc>
        <w:tc>
          <w:tcPr>
            <w:tcW w:w="1665" w:type="pct"/>
            <w:gridSpan w:val="2"/>
            <w:tcBorders>
              <w:bottom w:val="single" w:sz="4" w:space="0" w:color="auto"/>
            </w:tcBorders>
          </w:tcPr>
          <w:p w:rsidR="002837E5" w:rsidRPr="00C012DE" w:rsidRDefault="002837E5" w:rsidP="00004D15">
            <w:pPr>
              <w:contextualSpacing/>
              <w:jc w:val="center"/>
            </w:pPr>
            <w:r w:rsidRPr="00C012DE">
              <w:t>Здорові (</w:t>
            </w:r>
            <w:r w:rsidRPr="00C012DE">
              <w:rPr>
                <w:lang w:val="en-US"/>
              </w:rPr>
              <w:t>N=</w:t>
            </w:r>
            <w:r w:rsidRPr="00C012DE">
              <w:t>43)</w:t>
            </w:r>
          </w:p>
        </w:tc>
      </w:tr>
      <w:tr w:rsidR="00534FB5" w:rsidRPr="00C012DE" w:rsidTr="00534FB5">
        <w:trPr>
          <w:trHeight w:val="210"/>
        </w:trPr>
        <w:tc>
          <w:tcPr>
            <w:tcW w:w="1666" w:type="pct"/>
            <w:vMerge/>
          </w:tcPr>
          <w:p w:rsidR="00534FB5" w:rsidRPr="00C012DE" w:rsidRDefault="00534FB5" w:rsidP="00004D15">
            <w:pPr>
              <w:contextualSpacing/>
              <w:jc w:val="center"/>
            </w:pPr>
          </w:p>
        </w:tc>
        <w:tc>
          <w:tcPr>
            <w:tcW w:w="906" w:type="pct"/>
            <w:tcBorders>
              <w:top w:val="single" w:sz="4" w:space="0" w:color="auto"/>
              <w:right w:val="single" w:sz="4" w:space="0" w:color="auto"/>
            </w:tcBorders>
          </w:tcPr>
          <w:p w:rsidR="00534FB5" w:rsidRPr="00C012DE" w:rsidRDefault="00534FB5" w:rsidP="00004D15">
            <w:pPr>
              <w:contextualSpacing/>
              <w:jc w:val="center"/>
            </w:pPr>
            <w:r w:rsidRPr="00C012DE">
              <w:t>%</w:t>
            </w:r>
          </w:p>
        </w:tc>
        <w:tc>
          <w:tcPr>
            <w:tcW w:w="763" w:type="pct"/>
            <w:tcBorders>
              <w:top w:val="single" w:sz="4" w:space="0" w:color="auto"/>
              <w:left w:val="single" w:sz="4" w:space="0" w:color="auto"/>
            </w:tcBorders>
          </w:tcPr>
          <w:p w:rsidR="00534FB5" w:rsidRPr="00C012DE" w:rsidRDefault="00534FB5" w:rsidP="00004D15">
            <w:pPr>
              <w:contextualSpacing/>
              <w:jc w:val="center"/>
            </w:pPr>
            <w:r w:rsidRPr="00C012DE">
              <w:t>абс.</w:t>
            </w:r>
          </w:p>
        </w:tc>
        <w:tc>
          <w:tcPr>
            <w:tcW w:w="819" w:type="pct"/>
            <w:tcBorders>
              <w:top w:val="single" w:sz="4" w:space="0" w:color="auto"/>
              <w:right w:val="single" w:sz="4" w:space="0" w:color="auto"/>
            </w:tcBorders>
          </w:tcPr>
          <w:p w:rsidR="00534FB5" w:rsidRPr="00C012DE" w:rsidRDefault="00534FB5" w:rsidP="00004D15">
            <w:pPr>
              <w:contextualSpacing/>
              <w:jc w:val="center"/>
            </w:pPr>
            <w:r w:rsidRPr="00C012DE">
              <w:t>%</w:t>
            </w:r>
          </w:p>
        </w:tc>
        <w:tc>
          <w:tcPr>
            <w:tcW w:w="846" w:type="pct"/>
            <w:tcBorders>
              <w:top w:val="single" w:sz="4" w:space="0" w:color="auto"/>
              <w:left w:val="single" w:sz="4" w:space="0" w:color="auto"/>
            </w:tcBorders>
          </w:tcPr>
          <w:p w:rsidR="00534FB5" w:rsidRPr="00C012DE" w:rsidRDefault="00534FB5" w:rsidP="00004D15">
            <w:pPr>
              <w:contextualSpacing/>
              <w:jc w:val="center"/>
            </w:pPr>
            <w:r w:rsidRPr="00C012DE">
              <w:t>абс.</w:t>
            </w:r>
          </w:p>
        </w:tc>
      </w:tr>
      <w:tr w:rsidR="00534FB5" w:rsidRPr="00C012DE" w:rsidTr="00534FB5">
        <w:tc>
          <w:tcPr>
            <w:tcW w:w="1666" w:type="pct"/>
          </w:tcPr>
          <w:p w:rsidR="00534FB5" w:rsidRPr="006816E1" w:rsidRDefault="00534FB5" w:rsidP="006816E1">
            <w:pPr>
              <w:contextualSpacing/>
              <w:jc w:val="center"/>
              <w:rPr>
                <w:i/>
              </w:rPr>
            </w:pPr>
            <w:r w:rsidRPr="006816E1">
              <w:rPr>
                <w:i/>
              </w:rPr>
              <w:t>Неускладнений карієс</w:t>
            </w:r>
          </w:p>
        </w:tc>
        <w:tc>
          <w:tcPr>
            <w:tcW w:w="906" w:type="pct"/>
            <w:tcBorders>
              <w:right w:val="single" w:sz="4" w:space="0" w:color="auto"/>
            </w:tcBorders>
          </w:tcPr>
          <w:p w:rsidR="00534FB5" w:rsidRPr="00C012DE" w:rsidRDefault="00534FB5" w:rsidP="00004D15">
            <w:pPr>
              <w:contextualSpacing/>
              <w:jc w:val="center"/>
            </w:pPr>
            <w:r w:rsidRPr="00C012DE">
              <w:t>90</w:t>
            </w:r>
          </w:p>
        </w:tc>
        <w:tc>
          <w:tcPr>
            <w:tcW w:w="763" w:type="pct"/>
            <w:tcBorders>
              <w:left w:val="single" w:sz="4" w:space="0" w:color="auto"/>
            </w:tcBorders>
          </w:tcPr>
          <w:p w:rsidR="00534FB5" w:rsidRPr="00C012DE" w:rsidRDefault="00534FB5" w:rsidP="00004D15">
            <w:pPr>
              <w:contextualSpacing/>
              <w:jc w:val="center"/>
            </w:pPr>
            <w:r w:rsidRPr="00C012DE">
              <w:t>89</w:t>
            </w:r>
          </w:p>
        </w:tc>
        <w:tc>
          <w:tcPr>
            <w:tcW w:w="819" w:type="pct"/>
            <w:tcBorders>
              <w:right w:val="single" w:sz="4" w:space="0" w:color="auto"/>
            </w:tcBorders>
          </w:tcPr>
          <w:p w:rsidR="00534FB5" w:rsidRPr="00C012DE" w:rsidRDefault="00534FB5" w:rsidP="00004D15">
            <w:pPr>
              <w:contextualSpacing/>
              <w:jc w:val="center"/>
            </w:pPr>
            <w:r w:rsidRPr="00C012DE">
              <w:t>28</w:t>
            </w:r>
          </w:p>
        </w:tc>
        <w:tc>
          <w:tcPr>
            <w:tcW w:w="846" w:type="pct"/>
            <w:tcBorders>
              <w:left w:val="single" w:sz="4" w:space="0" w:color="auto"/>
            </w:tcBorders>
          </w:tcPr>
          <w:p w:rsidR="00534FB5" w:rsidRPr="00C012DE" w:rsidRDefault="00534FB5" w:rsidP="00004D15">
            <w:pPr>
              <w:contextualSpacing/>
              <w:jc w:val="center"/>
            </w:pPr>
            <w:r w:rsidRPr="00C012DE">
              <w:t>12</w:t>
            </w:r>
          </w:p>
        </w:tc>
      </w:tr>
      <w:tr w:rsidR="00534FB5" w:rsidRPr="00C012DE" w:rsidTr="00534FB5">
        <w:tc>
          <w:tcPr>
            <w:tcW w:w="1666" w:type="pct"/>
          </w:tcPr>
          <w:p w:rsidR="00534FB5" w:rsidRPr="00C012DE" w:rsidRDefault="00534FB5" w:rsidP="006816E1">
            <w:pPr>
              <w:contextualSpacing/>
              <w:jc w:val="center"/>
            </w:pPr>
            <w:r w:rsidRPr="00C012DE">
              <w:t>Початковий</w:t>
            </w:r>
          </w:p>
        </w:tc>
        <w:tc>
          <w:tcPr>
            <w:tcW w:w="906" w:type="pct"/>
            <w:tcBorders>
              <w:right w:val="single" w:sz="4" w:space="0" w:color="auto"/>
            </w:tcBorders>
          </w:tcPr>
          <w:p w:rsidR="00534FB5" w:rsidRPr="00C012DE" w:rsidRDefault="00534FB5" w:rsidP="00004D15">
            <w:pPr>
              <w:contextualSpacing/>
              <w:jc w:val="center"/>
            </w:pPr>
            <w:r w:rsidRPr="00C012DE">
              <w:t>63</w:t>
            </w:r>
          </w:p>
        </w:tc>
        <w:tc>
          <w:tcPr>
            <w:tcW w:w="763" w:type="pct"/>
            <w:tcBorders>
              <w:left w:val="single" w:sz="4" w:space="0" w:color="auto"/>
            </w:tcBorders>
          </w:tcPr>
          <w:p w:rsidR="00534FB5" w:rsidRPr="00C012DE" w:rsidRDefault="00534FB5" w:rsidP="00004D15">
            <w:pPr>
              <w:contextualSpacing/>
              <w:jc w:val="center"/>
            </w:pPr>
            <w:r w:rsidRPr="00C012DE">
              <w:t>62</w:t>
            </w:r>
          </w:p>
        </w:tc>
        <w:tc>
          <w:tcPr>
            <w:tcW w:w="819" w:type="pct"/>
            <w:tcBorders>
              <w:right w:val="single" w:sz="4" w:space="0" w:color="auto"/>
            </w:tcBorders>
          </w:tcPr>
          <w:p w:rsidR="00534FB5" w:rsidRPr="00C012DE" w:rsidRDefault="00534FB5" w:rsidP="00004D15">
            <w:pPr>
              <w:contextualSpacing/>
              <w:jc w:val="center"/>
            </w:pPr>
            <w:r w:rsidRPr="00C012DE">
              <w:t>-</w:t>
            </w:r>
          </w:p>
        </w:tc>
        <w:tc>
          <w:tcPr>
            <w:tcW w:w="846" w:type="pct"/>
            <w:tcBorders>
              <w:left w:val="single" w:sz="4" w:space="0" w:color="auto"/>
            </w:tcBorders>
          </w:tcPr>
          <w:p w:rsidR="00534FB5" w:rsidRPr="00C012DE" w:rsidRDefault="00534FB5" w:rsidP="00004D15">
            <w:pPr>
              <w:contextualSpacing/>
              <w:jc w:val="center"/>
            </w:pPr>
            <w:r w:rsidRPr="00C012DE">
              <w:t>-</w:t>
            </w:r>
          </w:p>
        </w:tc>
      </w:tr>
      <w:tr w:rsidR="00534FB5" w:rsidRPr="00C012DE" w:rsidTr="00534FB5">
        <w:tc>
          <w:tcPr>
            <w:tcW w:w="1666" w:type="pct"/>
          </w:tcPr>
          <w:p w:rsidR="00534FB5" w:rsidRPr="00C012DE" w:rsidRDefault="00534FB5" w:rsidP="006816E1">
            <w:pPr>
              <w:contextualSpacing/>
              <w:jc w:val="center"/>
            </w:pPr>
            <w:r w:rsidRPr="00C012DE">
              <w:t>Поверхневий</w:t>
            </w:r>
          </w:p>
        </w:tc>
        <w:tc>
          <w:tcPr>
            <w:tcW w:w="906" w:type="pct"/>
            <w:tcBorders>
              <w:right w:val="single" w:sz="4" w:space="0" w:color="auto"/>
            </w:tcBorders>
          </w:tcPr>
          <w:p w:rsidR="00534FB5" w:rsidRPr="00C012DE" w:rsidRDefault="00534FB5" w:rsidP="00004D15">
            <w:pPr>
              <w:contextualSpacing/>
              <w:jc w:val="center"/>
            </w:pPr>
            <w:r w:rsidRPr="00C012DE">
              <w:t>18</w:t>
            </w:r>
          </w:p>
        </w:tc>
        <w:tc>
          <w:tcPr>
            <w:tcW w:w="763" w:type="pct"/>
            <w:tcBorders>
              <w:left w:val="single" w:sz="4" w:space="0" w:color="auto"/>
            </w:tcBorders>
          </w:tcPr>
          <w:p w:rsidR="00534FB5" w:rsidRPr="00C012DE" w:rsidRDefault="00534FB5" w:rsidP="00004D15">
            <w:pPr>
              <w:contextualSpacing/>
              <w:jc w:val="center"/>
            </w:pPr>
            <w:r w:rsidRPr="00C012DE">
              <w:t>18</w:t>
            </w:r>
          </w:p>
        </w:tc>
        <w:tc>
          <w:tcPr>
            <w:tcW w:w="819" w:type="pct"/>
            <w:tcBorders>
              <w:right w:val="single" w:sz="4" w:space="0" w:color="auto"/>
            </w:tcBorders>
          </w:tcPr>
          <w:p w:rsidR="00534FB5" w:rsidRPr="00C012DE" w:rsidRDefault="00534FB5" w:rsidP="00004D15">
            <w:pPr>
              <w:contextualSpacing/>
              <w:jc w:val="center"/>
            </w:pPr>
            <w:r w:rsidRPr="00C012DE">
              <w:t>-</w:t>
            </w:r>
          </w:p>
        </w:tc>
        <w:tc>
          <w:tcPr>
            <w:tcW w:w="846" w:type="pct"/>
            <w:tcBorders>
              <w:left w:val="single" w:sz="4" w:space="0" w:color="auto"/>
            </w:tcBorders>
          </w:tcPr>
          <w:p w:rsidR="00534FB5" w:rsidRPr="00C012DE" w:rsidRDefault="00534FB5" w:rsidP="00004D15">
            <w:pPr>
              <w:contextualSpacing/>
              <w:jc w:val="center"/>
            </w:pPr>
            <w:r w:rsidRPr="00C012DE">
              <w:t>-</w:t>
            </w:r>
          </w:p>
        </w:tc>
      </w:tr>
      <w:tr w:rsidR="00534FB5" w:rsidRPr="00C012DE" w:rsidTr="00534FB5">
        <w:tc>
          <w:tcPr>
            <w:tcW w:w="1666" w:type="pct"/>
          </w:tcPr>
          <w:p w:rsidR="00534FB5" w:rsidRPr="00C012DE" w:rsidRDefault="00534FB5" w:rsidP="006816E1">
            <w:pPr>
              <w:contextualSpacing/>
              <w:jc w:val="center"/>
            </w:pPr>
            <w:r w:rsidRPr="00C012DE">
              <w:t>Середній</w:t>
            </w:r>
          </w:p>
        </w:tc>
        <w:tc>
          <w:tcPr>
            <w:tcW w:w="906" w:type="pct"/>
            <w:tcBorders>
              <w:right w:val="single" w:sz="4" w:space="0" w:color="auto"/>
            </w:tcBorders>
          </w:tcPr>
          <w:p w:rsidR="00534FB5" w:rsidRPr="00C012DE" w:rsidRDefault="00534FB5" w:rsidP="00004D15">
            <w:pPr>
              <w:contextualSpacing/>
              <w:jc w:val="center"/>
            </w:pPr>
            <w:r w:rsidRPr="00C012DE">
              <w:t>70</w:t>
            </w:r>
          </w:p>
        </w:tc>
        <w:tc>
          <w:tcPr>
            <w:tcW w:w="763" w:type="pct"/>
            <w:tcBorders>
              <w:left w:val="single" w:sz="4" w:space="0" w:color="auto"/>
            </w:tcBorders>
          </w:tcPr>
          <w:p w:rsidR="00534FB5" w:rsidRPr="00C012DE" w:rsidRDefault="00534FB5" w:rsidP="00004D15">
            <w:pPr>
              <w:contextualSpacing/>
              <w:jc w:val="center"/>
            </w:pPr>
            <w:r w:rsidRPr="00C012DE">
              <w:t>69</w:t>
            </w:r>
          </w:p>
        </w:tc>
        <w:tc>
          <w:tcPr>
            <w:tcW w:w="819" w:type="pct"/>
            <w:tcBorders>
              <w:right w:val="single" w:sz="4" w:space="0" w:color="auto"/>
            </w:tcBorders>
          </w:tcPr>
          <w:p w:rsidR="00534FB5" w:rsidRPr="00C012DE" w:rsidRDefault="00534FB5" w:rsidP="00004D15">
            <w:pPr>
              <w:contextualSpacing/>
              <w:jc w:val="center"/>
            </w:pPr>
            <w:r w:rsidRPr="00C012DE">
              <w:t>21</w:t>
            </w:r>
          </w:p>
        </w:tc>
        <w:tc>
          <w:tcPr>
            <w:tcW w:w="846" w:type="pct"/>
            <w:tcBorders>
              <w:left w:val="single" w:sz="4" w:space="0" w:color="auto"/>
            </w:tcBorders>
          </w:tcPr>
          <w:p w:rsidR="00534FB5" w:rsidRPr="00C012DE" w:rsidRDefault="00534FB5" w:rsidP="00004D15">
            <w:pPr>
              <w:contextualSpacing/>
              <w:jc w:val="center"/>
            </w:pPr>
            <w:r w:rsidRPr="00C012DE">
              <w:t>9</w:t>
            </w:r>
          </w:p>
        </w:tc>
      </w:tr>
      <w:tr w:rsidR="00534FB5" w:rsidRPr="00C012DE" w:rsidTr="00534FB5">
        <w:tc>
          <w:tcPr>
            <w:tcW w:w="1666" w:type="pct"/>
          </w:tcPr>
          <w:p w:rsidR="00534FB5" w:rsidRPr="00C012DE" w:rsidRDefault="00534FB5" w:rsidP="006816E1">
            <w:pPr>
              <w:contextualSpacing/>
              <w:jc w:val="center"/>
            </w:pPr>
            <w:r w:rsidRPr="00C012DE">
              <w:t>Глибокий</w:t>
            </w:r>
          </w:p>
        </w:tc>
        <w:tc>
          <w:tcPr>
            <w:tcW w:w="906" w:type="pct"/>
            <w:tcBorders>
              <w:right w:val="single" w:sz="4" w:space="0" w:color="auto"/>
            </w:tcBorders>
          </w:tcPr>
          <w:p w:rsidR="00534FB5" w:rsidRPr="00C012DE" w:rsidRDefault="00534FB5" w:rsidP="00004D15">
            <w:pPr>
              <w:contextualSpacing/>
              <w:jc w:val="center"/>
            </w:pPr>
            <w:r w:rsidRPr="00C012DE">
              <w:t>20</w:t>
            </w:r>
          </w:p>
        </w:tc>
        <w:tc>
          <w:tcPr>
            <w:tcW w:w="763" w:type="pct"/>
            <w:tcBorders>
              <w:left w:val="single" w:sz="4" w:space="0" w:color="auto"/>
            </w:tcBorders>
          </w:tcPr>
          <w:p w:rsidR="00534FB5" w:rsidRPr="00C012DE" w:rsidRDefault="00534FB5" w:rsidP="00004D15">
            <w:pPr>
              <w:contextualSpacing/>
              <w:jc w:val="center"/>
            </w:pPr>
            <w:r w:rsidRPr="00C012DE">
              <w:t>20</w:t>
            </w:r>
          </w:p>
        </w:tc>
        <w:tc>
          <w:tcPr>
            <w:tcW w:w="819" w:type="pct"/>
            <w:tcBorders>
              <w:right w:val="single" w:sz="4" w:space="0" w:color="auto"/>
            </w:tcBorders>
          </w:tcPr>
          <w:p w:rsidR="00534FB5" w:rsidRPr="00C012DE" w:rsidRDefault="00534FB5" w:rsidP="00004D15">
            <w:pPr>
              <w:contextualSpacing/>
              <w:jc w:val="center"/>
            </w:pPr>
            <w:r w:rsidRPr="00C012DE">
              <w:t>-</w:t>
            </w:r>
          </w:p>
        </w:tc>
        <w:tc>
          <w:tcPr>
            <w:tcW w:w="846" w:type="pct"/>
            <w:tcBorders>
              <w:left w:val="single" w:sz="4" w:space="0" w:color="auto"/>
            </w:tcBorders>
          </w:tcPr>
          <w:p w:rsidR="00534FB5" w:rsidRPr="00C012DE" w:rsidRDefault="00534FB5" w:rsidP="00004D15">
            <w:pPr>
              <w:contextualSpacing/>
              <w:jc w:val="center"/>
            </w:pPr>
            <w:r w:rsidRPr="00C012DE">
              <w:t>-</w:t>
            </w:r>
          </w:p>
        </w:tc>
      </w:tr>
      <w:tr w:rsidR="00534FB5" w:rsidRPr="00C012DE" w:rsidTr="00534FB5">
        <w:tc>
          <w:tcPr>
            <w:tcW w:w="1666" w:type="pct"/>
          </w:tcPr>
          <w:p w:rsidR="00534FB5" w:rsidRPr="006816E1" w:rsidRDefault="00534FB5" w:rsidP="006816E1">
            <w:pPr>
              <w:contextualSpacing/>
              <w:jc w:val="center"/>
              <w:rPr>
                <w:i/>
              </w:rPr>
            </w:pPr>
            <w:r w:rsidRPr="006816E1">
              <w:rPr>
                <w:i/>
              </w:rPr>
              <w:t>Ускладнений карієс</w:t>
            </w:r>
          </w:p>
        </w:tc>
        <w:tc>
          <w:tcPr>
            <w:tcW w:w="906" w:type="pct"/>
            <w:tcBorders>
              <w:right w:val="single" w:sz="4" w:space="0" w:color="auto"/>
            </w:tcBorders>
          </w:tcPr>
          <w:p w:rsidR="00534FB5" w:rsidRPr="00C012DE" w:rsidRDefault="00534FB5" w:rsidP="00004D15">
            <w:pPr>
              <w:contextualSpacing/>
              <w:jc w:val="center"/>
            </w:pPr>
            <w:r w:rsidRPr="00C012DE">
              <w:t>27</w:t>
            </w:r>
          </w:p>
        </w:tc>
        <w:tc>
          <w:tcPr>
            <w:tcW w:w="763" w:type="pct"/>
            <w:tcBorders>
              <w:left w:val="single" w:sz="4" w:space="0" w:color="auto"/>
            </w:tcBorders>
          </w:tcPr>
          <w:p w:rsidR="00534FB5" w:rsidRPr="00C012DE" w:rsidRDefault="00534FB5" w:rsidP="00004D15">
            <w:pPr>
              <w:contextualSpacing/>
              <w:jc w:val="center"/>
            </w:pPr>
            <w:r w:rsidRPr="00C012DE">
              <w:t>27</w:t>
            </w:r>
          </w:p>
        </w:tc>
        <w:tc>
          <w:tcPr>
            <w:tcW w:w="819" w:type="pct"/>
            <w:tcBorders>
              <w:right w:val="single" w:sz="4" w:space="0" w:color="auto"/>
            </w:tcBorders>
          </w:tcPr>
          <w:p w:rsidR="00534FB5" w:rsidRPr="00C012DE" w:rsidRDefault="00534FB5" w:rsidP="00004D15">
            <w:pPr>
              <w:contextualSpacing/>
              <w:jc w:val="center"/>
            </w:pPr>
            <w:r w:rsidRPr="00C012DE">
              <w:t>5</w:t>
            </w:r>
          </w:p>
        </w:tc>
        <w:tc>
          <w:tcPr>
            <w:tcW w:w="846" w:type="pct"/>
            <w:tcBorders>
              <w:left w:val="single" w:sz="4" w:space="0" w:color="auto"/>
            </w:tcBorders>
          </w:tcPr>
          <w:p w:rsidR="00534FB5" w:rsidRPr="00C012DE" w:rsidRDefault="00534FB5" w:rsidP="00004D15">
            <w:pPr>
              <w:contextualSpacing/>
              <w:jc w:val="center"/>
            </w:pPr>
            <w:r w:rsidRPr="00C012DE">
              <w:t>2</w:t>
            </w:r>
          </w:p>
        </w:tc>
      </w:tr>
    </w:tbl>
    <w:p w:rsidR="00534FB5" w:rsidRPr="002837E5" w:rsidRDefault="00534FB5" w:rsidP="002837E5">
      <w:pPr>
        <w:spacing w:line="240" w:lineRule="atLeast"/>
        <w:contextualSpacing/>
        <w:rPr>
          <w:spacing w:val="-10"/>
        </w:rPr>
      </w:pPr>
    </w:p>
    <w:p w:rsidR="00534FB5" w:rsidRPr="007715F8" w:rsidRDefault="00534FB5" w:rsidP="00534FB5">
      <w:pPr>
        <w:ind w:firstLine="567"/>
        <w:contextualSpacing/>
      </w:pPr>
      <w:r>
        <w:t xml:space="preserve">У ДВГ виявлено в 3,2 раза вищу поширеність неускладненого карієсу, порівняно з КГ дітей (див. табл. 3.2.6). </w:t>
      </w:r>
      <w:r w:rsidRPr="00714E0C">
        <w:t xml:space="preserve">У </w:t>
      </w:r>
      <w:r>
        <w:t>ДНС</w:t>
      </w:r>
      <w:r w:rsidRPr="00714E0C">
        <w:t xml:space="preserve"> не було</w:t>
      </w:r>
      <w:r w:rsidRPr="004771C2">
        <w:t xml:space="preserve"> </w:t>
      </w:r>
      <w:r w:rsidRPr="004771C2">
        <w:rPr>
          <w:spacing w:val="6"/>
        </w:rPr>
        <w:t>зафіксовано жодного випадку початкової, поверхневої та глибокої стадій</w:t>
      </w:r>
      <w:r w:rsidRPr="004771C2">
        <w:t xml:space="preserve"> </w:t>
      </w:r>
      <w:r w:rsidRPr="00AE5179">
        <w:rPr>
          <w:spacing w:val="-4"/>
        </w:rPr>
        <w:t>каріозного процесу</w:t>
      </w:r>
      <w:r>
        <w:rPr>
          <w:spacing w:val="-4"/>
        </w:rPr>
        <w:t>,</w:t>
      </w:r>
      <w:r w:rsidRPr="00AE5179">
        <w:rPr>
          <w:spacing w:val="-4"/>
        </w:rPr>
        <w:t xml:space="preserve"> </w:t>
      </w:r>
      <w:r>
        <w:rPr>
          <w:spacing w:val="-4"/>
        </w:rPr>
        <w:t>в</w:t>
      </w:r>
      <w:r w:rsidRPr="00AE5179">
        <w:rPr>
          <w:spacing w:val="-4"/>
        </w:rPr>
        <w:t xml:space="preserve"> той час як 63</w:t>
      </w:r>
      <w:r>
        <w:rPr>
          <w:spacing w:val="-4"/>
        </w:rPr>
        <w:t> %</w:t>
      </w:r>
      <w:r w:rsidRPr="00AE5179">
        <w:rPr>
          <w:spacing w:val="-4"/>
        </w:rPr>
        <w:t>,</w:t>
      </w:r>
      <w:r>
        <w:rPr>
          <w:spacing w:val="-4"/>
        </w:rPr>
        <w:t xml:space="preserve"> </w:t>
      </w:r>
      <w:r w:rsidRPr="00AE5179">
        <w:rPr>
          <w:spacing w:val="-4"/>
        </w:rPr>
        <w:t>18</w:t>
      </w:r>
      <w:r>
        <w:rPr>
          <w:spacing w:val="-4"/>
        </w:rPr>
        <w:t> %</w:t>
      </w:r>
      <w:r w:rsidRPr="00AE5179">
        <w:rPr>
          <w:spacing w:val="-4"/>
        </w:rPr>
        <w:t xml:space="preserve"> та 20</w:t>
      </w:r>
      <w:r>
        <w:rPr>
          <w:spacing w:val="-4"/>
        </w:rPr>
        <w:t> </w:t>
      </w:r>
      <w:r w:rsidRPr="00AE5179">
        <w:rPr>
          <w:spacing w:val="-4"/>
        </w:rPr>
        <w:t>% дітей ОГ мали каріозні ураження</w:t>
      </w:r>
      <w:r>
        <w:rPr>
          <w:spacing w:val="-4"/>
        </w:rPr>
        <w:t xml:space="preserve"> </w:t>
      </w:r>
      <w:r w:rsidRPr="004771C2">
        <w:t xml:space="preserve">відповідної глибини. Окрім того, у </w:t>
      </w:r>
      <w:r>
        <w:t>ДВГ в 5,4 раза</w:t>
      </w:r>
      <w:r w:rsidRPr="004771C2">
        <w:t xml:space="preserve"> частіше </w:t>
      </w:r>
      <w:r>
        <w:t>трапля</w:t>
      </w:r>
      <w:r w:rsidRPr="004771C2">
        <w:t>вся ускладнений пе</w:t>
      </w:r>
      <w:r>
        <w:t>ребіг каріозного ураження. Ускладнений карієс тимчасових зубів у ДВГ був представлений у формі хронічного гранулюючого періодонтиту. На момент обстеження у дітей не було виявлено норицевих ходів, були наявні лише сліди від нориць. Такий діагноз був підтверджений рентгенологічним дослідженням. Ускладнений карієс постійних зубів у дітей ОГ перебігав у формі хронічного фіброзного пульпіту. Крім того, х</w:t>
      </w:r>
      <w:r w:rsidRPr="004771C2">
        <w:t xml:space="preserve">арактерним для </w:t>
      </w:r>
      <w:r>
        <w:t>ДВГ</w:t>
      </w:r>
      <w:r w:rsidRPr="004771C2">
        <w:t xml:space="preserve"> бул</w:t>
      </w:r>
      <w:r>
        <w:t>а</w:t>
      </w:r>
      <w:r w:rsidRPr="004771C2">
        <w:t xml:space="preserve"> одночасна наявність порожнин різної глибини та ускладнених форм карієсу, кількох порожнин в одному зубі.</w:t>
      </w:r>
    </w:p>
    <w:p w:rsidR="00534FB5" w:rsidRPr="005C6301" w:rsidRDefault="00534FB5" w:rsidP="00534FB5">
      <w:pPr>
        <w:ind w:firstLine="709"/>
        <w:contextualSpacing/>
      </w:pPr>
      <w:r>
        <w:t>Також ми вважали за актуальне проаналізувати розподіл каріозних порожнин</w:t>
      </w:r>
      <w:r w:rsidRPr="00A47441">
        <w:t xml:space="preserve"> </w:t>
      </w:r>
      <w:r w:rsidRPr="004771C2">
        <w:t>за глибиною ураження</w:t>
      </w:r>
      <w:r>
        <w:t xml:space="preserve"> твердих тканин зубів у дітей </w:t>
      </w:r>
      <w:r w:rsidR="006C493E">
        <w:t>із вродженою</w:t>
      </w:r>
      <w:r w:rsidRPr="004771C2">
        <w:t xml:space="preserve"> </w:t>
      </w:r>
      <w:r w:rsidRPr="004771C2">
        <w:lastRenderedPageBreak/>
        <w:t>глухотою</w:t>
      </w:r>
      <w:r>
        <w:t>, залежно від віку (табл. 3.2.7</w:t>
      </w:r>
      <w:r w:rsidRPr="00EC114D">
        <w:t xml:space="preserve">). </w:t>
      </w:r>
    </w:p>
    <w:p w:rsidR="00534FB5" w:rsidRPr="00A47441" w:rsidRDefault="00534FB5" w:rsidP="00534FB5">
      <w:pPr>
        <w:contextualSpacing/>
        <w:jc w:val="right"/>
        <w:rPr>
          <w:i/>
        </w:rPr>
      </w:pPr>
      <w:r w:rsidRPr="00A47441">
        <w:rPr>
          <w:i/>
        </w:rPr>
        <w:t>Т</w:t>
      </w:r>
      <w:r>
        <w:rPr>
          <w:i/>
        </w:rPr>
        <w:t>аблиця 3.2.7</w:t>
      </w:r>
    </w:p>
    <w:p w:rsidR="00534FB5" w:rsidRPr="005C6301" w:rsidRDefault="00534FB5" w:rsidP="00534FB5">
      <w:pPr>
        <w:ind w:firstLine="567"/>
        <w:contextualSpacing/>
        <w:jc w:val="center"/>
        <w:rPr>
          <w:b/>
        </w:rPr>
      </w:pPr>
      <w:r w:rsidRPr="005C6301">
        <w:rPr>
          <w:b/>
        </w:rPr>
        <w:t>Розподіл каріозних порожнин за глибиною ураження твердих тканин зубів у дітей основної та контрольної груп до проведення лікувально-профілактичних заходів</w:t>
      </w:r>
      <w:r>
        <w:rPr>
          <w:b/>
        </w:rPr>
        <w:t>,</w:t>
      </w:r>
      <w:r w:rsidRPr="005C6301">
        <w:rPr>
          <w:b/>
        </w:rPr>
        <w:t xml:space="preserve"> залежно від віку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080"/>
        <w:gridCol w:w="1439"/>
        <w:gridCol w:w="1260"/>
        <w:gridCol w:w="1260"/>
        <w:gridCol w:w="1112"/>
        <w:gridCol w:w="1152"/>
      </w:tblGrid>
      <w:tr w:rsidR="00534FB5" w:rsidRPr="00A47441" w:rsidTr="00534FB5">
        <w:trPr>
          <w:jc w:val="center"/>
        </w:trPr>
        <w:tc>
          <w:tcPr>
            <w:tcW w:w="1185" w:type="pct"/>
            <w:vMerge w:val="restart"/>
            <w:tcBorders>
              <w:right w:val="single" w:sz="4" w:space="0" w:color="auto"/>
            </w:tcBorders>
          </w:tcPr>
          <w:p w:rsidR="00534FB5" w:rsidRPr="00A47441" w:rsidRDefault="00534FB5" w:rsidP="00534FB5">
            <w:pPr>
              <w:pStyle w:val="11"/>
              <w:spacing w:line="240" w:lineRule="atLeast"/>
              <w:ind w:left="0"/>
              <w:contextualSpacing w:val="0"/>
            </w:pPr>
          </w:p>
          <w:p w:rsidR="00534FB5" w:rsidRPr="00A47441" w:rsidRDefault="006F55A9" w:rsidP="00534FB5">
            <w:pPr>
              <w:pStyle w:val="11"/>
              <w:spacing w:line="240" w:lineRule="atLeast"/>
              <w:ind w:left="0"/>
              <w:contextualSpacing w:val="0"/>
            </w:pPr>
            <w:r>
              <w:t>Карієс зубів</w:t>
            </w:r>
          </w:p>
        </w:tc>
        <w:tc>
          <w:tcPr>
            <w:tcW w:w="3815" w:type="pct"/>
            <w:gridSpan w:val="6"/>
            <w:tcBorders>
              <w:left w:val="single" w:sz="4" w:space="0" w:color="auto"/>
            </w:tcBorders>
          </w:tcPr>
          <w:p w:rsidR="00534FB5" w:rsidRPr="00A47441" w:rsidRDefault="00534FB5" w:rsidP="006F55A9">
            <w:pPr>
              <w:pStyle w:val="11"/>
              <w:spacing w:line="240" w:lineRule="atLeast"/>
              <w:ind w:left="0"/>
              <w:contextualSpacing w:val="0"/>
            </w:pPr>
            <w:r w:rsidRPr="00A47441">
              <w:t>Групи дітей</w:t>
            </w:r>
          </w:p>
        </w:tc>
      </w:tr>
      <w:tr w:rsidR="00534FB5" w:rsidRPr="00A47441" w:rsidTr="00534FB5">
        <w:trPr>
          <w:jc w:val="center"/>
        </w:trPr>
        <w:tc>
          <w:tcPr>
            <w:tcW w:w="1185" w:type="pct"/>
            <w:vMerge/>
            <w:tcBorders>
              <w:right w:val="single" w:sz="4" w:space="0" w:color="auto"/>
            </w:tcBorders>
          </w:tcPr>
          <w:p w:rsidR="00534FB5" w:rsidRPr="00A47441" w:rsidRDefault="00534FB5" w:rsidP="00534FB5">
            <w:pPr>
              <w:pStyle w:val="11"/>
              <w:spacing w:line="240" w:lineRule="atLeast"/>
              <w:ind w:left="0"/>
              <w:contextualSpacing w:val="0"/>
            </w:pPr>
          </w:p>
        </w:tc>
        <w:tc>
          <w:tcPr>
            <w:tcW w:w="3815" w:type="pct"/>
            <w:gridSpan w:val="6"/>
            <w:tcBorders>
              <w:left w:val="single" w:sz="4" w:space="0" w:color="auto"/>
            </w:tcBorders>
          </w:tcPr>
          <w:p w:rsidR="00534FB5" w:rsidRPr="00A47441" w:rsidRDefault="00534FB5" w:rsidP="006F55A9">
            <w:pPr>
              <w:pStyle w:val="11"/>
              <w:spacing w:line="240" w:lineRule="atLeast"/>
              <w:ind w:left="0"/>
              <w:contextualSpacing w:val="0"/>
            </w:pPr>
            <w:r w:rsidRPr="00A47441">
              <w:t>Діти з вродженою глухотою</w:t>
            </w:r>
            <w:r w:rsidR="00004D15" w:rsidRPr="00004D15">
              <w:rPr>
                <w:lang w:val="ru-RU"/>
              </w:rPr>
              <w:t xml:space="preserve">, </w:t>
            </w:r>
            <w:r w:rsidR="00004D15">
              <w:rPr>
                <w:lang w:val="en-US"/>
              </w:rPr>
              <w:t>N</w:t>
            </w:r>
            <w:r w:rsidR="00004D15" w:rsidRPr="00004D15">
              <w:rPr>
                <w:lang w:val="ru-RU"/>
              </w:rPr>
              <w:t>=70</w:t>
            </w:r>
          </w:p>
        </w:tc>
      </w:tr>
      <w:tr w:rsidR="00534FB5" w:rsidRPr="00A47441" w:rsidTr="00717BA8">
        <w:trPr>
          <w:jc w:val="center"/>
        </w:trPr>
        <w:tc>
          <w:tcPr>
            <w:tcW w:w="1185" w:type="pct"/>
            <w:vMerge/>
            <w:tcBorders>
              <w:bottom w:val="single" w:sz="4" w:space="0" w:color="auto"/>
              <w:right w:val="single" w:sz="4" w:space="0" w:color="auto"/>
            </w:tcBorders>
          </w:tcPr>
          <w:p w:rsidR="00534FB5" w:rsidRPr="00A47441" w:rsidRDefault="00534FB5" w:rsidP="00534FB5">
            <w:pPr>
              <w:pStyle w:val="11"/>
              <w:spacing w:line="240" w:lineRule="atLeast"/>
              <w:ind w:left="0"/>
              <w:contextualSpacing w:val="0"/>
            </w:pPr>
          </w:p>
        </w:tc>
        <w:tc>
          <w:tcPr>
            <w:tcW w:w="1316" w:type="pct"/>
            <w:gridSpan w:val="2"/>
            <w:tcBorders>
              <w:left w:val="single" w:sz="4" w:space="0" w:color="auto"/>
            </w:tcBorders>
          </w:tcPr>
          <w:p w:rsidR="00534FB5" w:rsidRPr="00AA499D" w:rsidRDefault="00534FB5" w:rsidP="006F55A9">
            <w:pPr>
              <w:pStyle w:val="11"/>
              <w:spacing w:line="240" w:lineRule="atLeast"/>
              <w:ind w:left="0" w:firstLine="41"/>
              <w:contextualSpacing w:val="0"/>
              <w:rPr>
                <w:lang w:val="en-US"/>
              </w:rPr>
            </w:pPr>
            <w:r w:rsidRPr="00A47441">
              <w:t>ОГ1</w:t>
            </w:r>
            <w:r w:rsidR="00AA499D">
              <w:rPr>
                <w:lang w:val="en-US"/>
              </w:rPr>
              <w:t>, N=</w:t>
            </w:r>
            <w:r w:rsidR="00717BA8">
              <w:rPr>
                <w:lang w:val="en-US"/>
              </w:rPr>
              <w:t>23</w:t>
            </w:r>
          </w:p>
        </w:tc>
        <w:tc>
          <w:tcPr>
            <w:tcW w:w="1316" w:type="pct"/>
            <w:gridSpan w:val="2"/>
          </w:tcPr>
          <w:p w:rsidR="00534FB5" w:rsidRPr="00717BA8" w:rsidRDefault="00534FB5" w:rsidP="006F55A9">
            <w:pPr>
              <w:pStyle w:val="11"/>
              <w:spacing w:line="240" w:lineRule="atLeast"/>
              <w:ind w:left="0" w:firstLine="125"/>
              <w:contextualSpacing w:val="0"/>
              <w:rPr>
                <w:lang w:val="en-US"/>
              </w:rPr>
            </w:pPr>
            <w:r w:rsidRPr="00A47441">
              <w:t>ОГ2</w:t>
            </w:r>
            <w:r w:rsidR="00717BA8">
              <w:rPr>
                <w:lang w:val="en-US"/>
              </w:rPr>
              <w:t>, N=21</w:t>
            </w:r>
          </w:p>
        </w:tc>
        <w:tc>
          <w:tcPr>
            <w:tcW w:w="1183" w:type="pct"/>
            <w:gridSpan w:val="2"/>
          </w:tcPr>
          <w:p w:rsidR="00534FB5" w:rsidRPr="00A47441" w:rsidRDefault="00534FB5" w:rsidP="006F55A9">
            <w:pPr>
              <w:pStyle w:val="11"/>
              <w:spacing w:line="240" w:lineRule="atLeast"/>
              <w:ind w:left="0" w:firstLine="63"/>
              <w:contextualSpacing w:val="0"/>
            </w:pPr>
            <w:r w:rsidRPr="00A47441">
              <w:t>ОГ3</w:t>
            </w:r>
            <w:r w:rsidR="00717BA8">
              <w:rPr>
                <w:lang w:val="en-US"/>
              </w:rPr>
              <w:t>, N=26</w:t>
            </w:r>
          </w:p>
        </w:tc>
      </w:tr>
      <w:tr w:rsidR="00534FB5" w:rsidRPr="00A47441" w:rsidTr="00717BA8">
        <w:trPr>
          <w:jc w:val="center"/>
        </w:trPr>
        <w:tc>
          <w:tcPr>
            <w:tcW w:w="1185" w:type="pct"/>
            <w:vMerge/>
            <w:tcBorders>
              <w:right w:val="single" w:sz="4" w:space="0" w:color="auto"/>
            </w:tcBorders>
          </w:tcPr>
          <w:p w:rsidR="00534FB5" w:rsidRPr="00A47441" w:rsidRDefault="00534FB5" w:rsidP="00534FB5">
            <w:pPr>
              <w:pStyle w:val="11"/>
              <w:spacing w:line="240" w:lineRule="atLeast"/>
              <w:ind w:left="0"/>
              <w:contextualSpacing w:val="0"/>
            </w:pPr>
          </w:p>
        </w:tc>
        <w:tc>
          <w:tcPr>
            <w:tcW w:w="564" w:type="pct"/>
            <w:tcBorders>
              <w:left w:val="single" w:sz="4" w:space="0" w:color="auto"/>
            </w:tcBorders>
          </w:tcPr>
          <w:p w:rsidR="00534FB5" w:rsidRPr="00A47441" w:rsidRDefault="00534FB5" w:rsidP="006F55A9">
            <w:pPr>
              <w:spacing w:line="240" w:lineRule="atLeast"/>
              <w:jc w:val="center"/>
            </w:pPr>
            <w:r w:rsidRPr="00A47441">
              <w:t>%</w:t>
            </w:r>
          </w:p>
        </w:tc>
        <w:tc>
          <w:tcPr>
            <w:tcW w:w="752" w:type="pct"/>
          </w:tcPr>
          <w:p w:rsidR="00534FB5" w:rsidRPr="00A47441" w:rsidRDefault="00534FB5" w:rsidP="006F55A9">
            <w:pPr>
              <w:tabs>
                <w:tab w:val="center" w:pos="343"/>
              </w:tabs>
              <w:spacing w:line="240" w:lineRule="atLeast"/>
              <w:jc w:val="center"/>
            </w:pPr>
            <w:r w:rsidRPr="00A47441">
              <w:t>абс.</w:t>
            </w:r>
          </w:p>
        </w:tc>
        <w:tc>
          <w:tcPr>
            <w:tcW w:w="658" w:type="pct"/>
          </w:tcPr>
          <w:p w:rsidR="00534FB5" w:rsidRPr="00A47441" w:rsidRDefault="00534FB5" w:rsidP="006F55A9">
            <w:pPr>
              <w:spacing w:line="240" w:lineRule="atLeast"/>
              <w:jc w:val="center"/>
            </w:pPr>
            <w:r w:rsidRPr="00A47441">
              <w:t>%</w:t>
            </w:r>
          </w:p>
        </w:tc>
        <w:tc>
          <w:tcPr>
            <w:tcW w:w="658" w:type="pct"/>
          </w:tcPr>
          <w:p w:rsidR="00534FB5" w:rsidRPr="00A47441" w:rsidRDefault="00534FB5" w:rsidP="006F55A9">
            <w:pPr>
              <w:tabs>
                <w:tab w:val="center" w:pos="343"/>
              </w:tabs>
              <w:spacing w:line="240" w:lineRule="atLeast"/>
              <w:jc w:val="center"/>
            </w:pPr>
            <w:r w:rsidRPr="00A47441">
              <w:t>абс.</w:t>
            </w:r>
          </w:p>
        </w:tc>
        <w:tc>
          <w:tcPr>
            <w:tcW w:w="581" w:type="pct"/>
          </w:tcPr>
          <w:p w:rsidR="00534FB5" w:rsidRPr="00A47441" w:rsidRDefault="00534FB5" w:rsidP="006F55A9">
            <w:pPr>
              <w:spacing w:line="240" w:lineRule="atLeast"/>
              <w:jc w:val="center"/>
            </w:pPr>
            <w:r w:rsidRPr="00A47441">
              <w:t>%</w:t>
            </w:r>
          </w:p>
        </w:tc>
        <w:tc>
          <w:tcPr>
            <w:tcW w:w="602" w:type="pct"/>
          </w:tcPr>
          <w:p w:rsidR="00534FB5" w:rsidRPr="00A47441" w:rsidRDefault="00534FB5" w:rsidP="006F55A9">
            <w:pPr>
              <w:tabs>
                <w:tab w:val="center" w:pos="343"/>
              </w:tabs>
              <w:spacing w:line="240" w:lineRule="atLeast"/>
              <w:jc w:val="center"/>
            </w:pPr>
            <w:r w:rsidRPr="00A47441">
              <w:t>абс.</w:t>
            </w:r>
          </w:p>
        </w:tc>
      </w:tr>
      <w:tr w:rsidR="00534FB5" w:rsidRPr="00A47441" w:rsidTr="00717BA8">
        <w:trPr>
          <w:jc w:val="center"/>
        </w:trPr>
        <w:tc>
          <w:tcPr>
            <w:tcW w:w="1185" w:type="pct"/>
          </w:tcPr>
          <w:p w:rsidR="00534FB5" w:rsidRPr="00A47441" w:rsidRDefault="00534FB5" w:rsidP="00534FB5">
            <w:pPr>
              <w:spacing w:line="240" w:lineRule="atLeast"/>
            </w:pPr>
            <w:r>
              <w:t>Не</w:t>
            </w:r>
            <w:r w:rsidRPr="00A47441">
              <w:t>ускладнений</w:t>
            </w:r>
          </w:p>
        </w:tc>
        <w:tc>
          <w:tcPr>
            <w:tcW w:w="564" w:type="pct"/>
          </w:tcPr>
          <w:p w:rsidR="00534FB5" w:rsidRPr="00A47441" w:rsidRDefault="00534FB5" w:rsidP="006F55A9">
            <w:pPr>
              <w:pStyle w:val="11"/>
              <w:spacing w:line="240" w:lineRule="atLeast"/>
              <w:ind w:left="0"/>
              <w:contextualSpacing w:val="0"/>
            </w:pPr>
            <w:r w:rsidRPr="00A47441">
              <w:t>83</w:t>
            </w:r>
          </w:p>
        </w:tc>
        <w:tc>
          <w:tcPr>
            <w:tcW w:w="752" w:type="pct"/>
          </w:tcPr>
          <w:p w:rsidR="00534FB5" w:rsidRPr="00A47441" w:rsidRDefault="00534FB5" w:rsidP="006F55A9">
            <w:pPr>
              <w:pStyle w:val="11"/>
              <w:spacing w:line="240" w:lineRule="atLeast"/>
              <w:ind w:left="0"/>
              <w:contextualSpacing w:val="0"/>
            </w:pPr>
            <w:r w:rsidRPr="00A47441">
              <w:t>19</w:t>
            </w:r>
          </w:p>
        </w:tc>
        <w:tc>
          <w:tcPr>
            <w:tcW w:w="658" w:type="pct"/>
          </w:tcPr>
          <w:p w:rsidR="00534FB5" w:rsidRPr="00A47441" w:rsidRDefault="00534FB5" w:rsidP="006F55A9">
            <w:pPr>
              <w:pStyle w:val="11"/>
              <w:spacing w:line="240" w:lineRule="atLeast"/>
              <w:ind w:left="0"/>
              <w:contextualSpacing w:val="0"/>
            </w:pPr>
            <w:r w:rsidRPr="00A47441">
              <w:t>91</w:t>
            </w:r>
          </w:p>
        </w:tc>
        <w:tc>
          <w:tcPr>
            <w:tcW w:w="658" w:type="pct"/>
          </w:tcPr>
          <w:p w:rsidR="00534FB5" w:rsidRPr="00A47441" w:rsidRDefault="00534FB5" w:rsidP="006F55A9">
            <w:pPr>
              <w:pStyle w:val="11"/>
              <w:spacing w:line="240" w:lineRule="atLeast"/>
              <w:ind w:left="0"/>
              <w:contextualSpacing w:val="0"/>
            </w:pPr>
            <w:r w:rsidRPr="00A47441">
              <w:t>19</w:t>
            </w:r>
          </w:p>
        </w:tc>
        <w:tc>
          <w:tcPr>
            <w:tcW w:w="581" w:type="pct"/>
          </w:tcPr>
          <w:p w:rsidR="00534FB5" w:rsidRPr="00A47441" w:rsidRDefault="00534FB5" w:rsidP="006F55A9">
            <w:pPr>
              <w:spacing w:line="240" w:lineRule="atLeast"/>
              <w:jc w:val="center"/>
            </w:pPr>
            <w:r w:rsidRPr="00A47441">
              <w:t>85</w:t>
            </w:r>
          </w:p>
        </w:tc>
        <w:tc>
          <w:tcPr>
            <w:tcW w:w="602" w:type="pct"/>
          </w:tcPr>
          <w:p w:rsidR="00534FB5" w:rsidRPr="00A47441" w:rsidRDefault="00534FB5" w:rsidP="006F55A9">
            <w:pPr>
              <w:spacing w:line="240" w:lineRule="atLeast"/>
              <w:jc w:val="center"/>
            </w:pPr>
            <w:r w:rsidRPr="00A47441">
              <w:t>22</w:t>
            </w:r>
          </w:p>
        </w:tc>
      </w:tr>
      <w:tr w:rsidR="00534FB5" w:rsidRPr="00A47441" w:rsidTr="00717BA8">
        <w:trPr>
          <w:jc w:val="center"/>
        </w:trPr>
        <w:tc>
          <w:tcPr>
            <w:tcW w:w="1185" w:type="pct"/>
          </w:tcPr>
          <w:p w:rsidR="00534FB5" w:rsidRPr="00A47441" w:rsidRDefault="00534FB5" w:rsidP="00534FB5">
            <w:pPr>
              <w:spacing w:line="240" w:lineRule="atLeast"/>
            </w:pPr>
            <w:r w:rsidRPr="00A47441">
              <w:t>Початковий</w:t>
            </w:r>
          </w:p>
        </w:tc>
        <w:tc>
          <w:tcPr>
            <w:tcW w:w="564" w:type="pct"/>
          </w:tcPr>
          <w:p w:rsidR="00534FB5" w:rsidRPr="00A47441" w:rsidRDefault="00534FB5" w:rsidP="006F55A9">
            <w:pPr>
              <w:pStyle w:val="11"/>
              <w:spacing w:line="240" w:lineRule="atLeast"/>
              <w:ind w:left="0"/>
              <w:contextualSpacing w:val="0"/>
            </w:pPr>
            <w:r w:rsidRPr="00A47441">
              <w:t>30</w:t>
            </w:r>
          </w:p>
        </w:tc>
        <w:tc>
          <w:tcPr>
            <w:tcW w:w="752" w:type="pct"/>
          </w:tcPr>
          <w:p w:rsidR="00534FB5" w:rsidRPr="00A47441" w:rsidRDefault="00534FB5" w:rsidP="006F55A9">
            <w:pPr>
              <w:pStyle w:val="11"/>
              <w:spacing w:line="240" w:lineRule="atLeast"/>
              <w:ind w:left="0"/>
              <w:contextualSpacing w:val="0"/>
            </w:pPr>
            <w:r w:rsidRPr="00A47441">
              <w:t>7</w:t>
            </w:r>
          </w:p>
        </w:tc>
        <w:tc>
          <w:tcPr>
            <w:tcW w:w="658" w:type="pct"/>
          </w:tcPr>
          <w:p w:rsidR="00534FB5" w:rsidRPr="00A47441" w:rsidRDefault="00534FB5" w:rsidP="006F55A9">
            <w:pPr>
              <w:pStyle w:val="11"/>
              <w:spacing w:line="240" w:lineRule="atLeast"/>
              <w:ind w:left="0"/>
              <w:contextualSpacing w:val="0"/>
            </w:pPr>
            <w:r w:rsidRPr="00A47441">
              <w:t>57</w:t>
            </w:r>
          </w:p>
        </w:tc>
        <w:tc>
          <w:tcPr>
            <w:tcW w:w="658" w:type="pct"/>
          </w:tcPr>
          <w:p w:rsidR="00534FB5" w:rsidRPr="00A47441" w:rsidRDefault="00534FB5" w:rsidP="006F55A9">
            <w:pPr>
              <w:pStyle w:val="11"/>
              <w:spacing w:line="240" w:lineRule="atLeast"/>
              <w:ind w:left="0"/>
              <w:contextualSpacing w:val="0"/>
            </w:pPr>
            <w:r w:rsidRPr="00A47441">
              <w:t>12</w:t>
            </w:r>
          </w:p>
        </w:tc>
        <w:tc>
          <w:tcPr>
            <w:tcW w:w="581" w:type="pct"/>
          </w:tcPr>
          <w:p w:rsidR="00534FB5" w:rsidRPr="00A47441" w:rsidRDefault="00534FB5" w:rsidP="006F55A9">
            <w:pPr>
              <w:spacing w:line="240" w:lineRule="atLeast"/>
              <w:jc w:val="center"/>
            </w:pPr>
            <w:r w:rsidRPr="00A47441">
              <w:t>54</w:t>
            </w:r>
          </w:p>
        </w:tc>
        <w:tc>
          <w:tcPr>
            <w:tcW w:w="602" w:type="pct"/>
          </w:tcPr>
          <w:p w:rsidR="00534FB5" w:rsidRPr="00A47441" w:rsidRDefault="00534FB5" w:rsidP="006F55A9">
            <w:pPr>
              <w:spacing w:line="240" w:lineRule="atLeast"/>
              <w:jc w:val="center"/>
            </w:pPr>
            <w:r w:rsidRPr="00A47441">
              <w:t>14</w:t>
            </w:r>
          </w:p>
        </w:tc>
      </w:tr>
      <w:tr w:rsidR="00534FB5" w:rsidRPr="00A47441" w:rsidTr="00717BA8">
        <w:trPr>
          <w:jc w:val="center"/>
        </w:trPr>
        <w:tc>
          <w:tcPr>
            <w:tcW w:w="1185" w:type="pct"/>
          </w:tcPr>
          <w:p w:rsidR="00534FB5" w:rsidRPr="00A47441" w:rsidRDefault="00534FB5" w:rsidP="00534FB5">
            <w:pPr>
              <w:spacing w:line="240" w:lineRule="atLeast"/>
            </w:pPr>
            <w:r w:rsidRPr="00A47441">
              <w:t>Поверхневий</w:t>
            </w:r>
          </w:p>
        </w:tc>
        <w:tc>
          <w:tcPr>
            <w:tcW w:w="564" w:type="pct"/>
          </w:tcPr>
          <w:p w:rsidR="00534FB5" w:rsidRPr="00A47441" w:rsidRDefault="00534FB5" w:rsidP="006F55A9">
            <w:pPr>
              <w:pStyle w:val="11"/>
              <w:spacing w:line="240" w:lineRule="atLeast"/>
              <w:ind w:left="0"/>
              <w:contextualSpacing w:val="0"/>
            </w:pPr>
            <w:r w:rsidRPr="00A47441">
              <w:t>4</w:t>
            </w:r>
          </w:p>
        </w:tc>
        <w:tc>
          <w:tcPr>
            <w:tcW w:w="752" w:type="pct"/>
          </w:tcPr>
          <w:p w:rsidR="00534FB5" w:rsidRPr="00A47441" w:rsidRDefault="00534FB5" w:rsidP="006F55A9">
            <w:pPr>
              <w:pStyle w:val="11"/>
              <w:spacing w:line="240" w:lineRule="atLeast"/>
              <w:ind w:left="0"/>
              <w:contextualSpacing w:val="0"/>
            </w:pPr>
            <w:r w:rsidRPr="00A47441">
              <w:t>1</w:t>
            </w:r>
          </w:p>
        </w:tc>
        <w:tc>
          <w:tcPr>
            <w:tcW w:w="658" w:type="pct"/>
          </w:tcPr>
          <w:p w:rsidR="00534FB5" w:rsidRPr="00A47441" w:rsidRDefault="00534FB5" w:rsidP="006F55A9">
            <w:pPr>
              <w:pStyle w:val="11"/>
              <w:spacing w:line="240" w:lineRule="atLeast"/>
              <w:ind w:left="0"/>
              <w:contextualSpacing w:val="0"/>
            </w:pPr>
            <w:r w:rsidRPr="00A47441">
              <w:t>-</w:t>
            </w:r>
          </w:p>
        </w:tc>
        <w:tc>
          <w:tcPr>
            <w:tcW w:w="658" w:type="pct"/>
          </w:tcPr>
          <w:p w:rsidR="00534FB5" w:rsidRPr="00A47441" w:rsidRDefault="00534FB5" w:rsidP="006F55A9">
            <w:pPr>
              <w:pStyle w:val="11"/>
              <w:spacing w:line="240" w:lineRule="atLeast"/>
              <w:ind w:left="0"/>
              <w:contextualSpacing w:val="0"/>
            </w:pPr>
            <w:r w:rsidRPr="00A47441">
              <w:t>-</w:t>
            </w:r>
          </w:p>
        </w:tc>
        <w:tc>
          <w:tcPr>
            <w:tcW w:w="581" w:type="pct"/>
          </w:tcPr>
          <w:p w:rsidR="00534FB5" w:rsidRPr="00A47441" w:rsidRDefault="00534FB5" w:rsidP="006F55A9">
            <w:pPr>
              <w:spacing w:line="240" w:lineRule="atLeast"/>
              <w:jc w:val="center"/>
            </w:pPr>
            <w:r w:rsidRPr="00A47441">
              <w:t>-</w:t>
            </w:r>
          </w:p>
        </w:tc>
        <w:tc>
          <w:tcPr>
            <w:tcW w:w="602" w:type="pct"/>
          </w:tcPr>
          <w:p w:rsidR="00534FB5" w:rsidRPr="00A47441" w:rsidRDefault="00534FB5" w:rsidP="006F55A9">
            <w:pPr>
              <w:spacing w:line="240" w:lineRule="atLeast"/>
              <w:jc w:val="center"/>
            </w:pPr>
            <w:r w:rsidRPr="00A47441">
              <w:t>-</w:t>
            </w:r>
          </w:p>
        </w:tc>
      </w:tr>
      <w:tr w:rsidR="00534FB5" w:rsidRPr="00A47441" w:rsidTr="00717BA8">
        <w:trPr>
          <w:jc w:val="center"/>
        </w:trPr>
        <w:tc>
          <w:tcPr>
            <w:tcW w:w="1185" w:type="pct"/>
          </w:tcPr>
          <w:p w:rsidR="00534FB5" w:rsidRPr="00A47441" w:rsidRDefault="00534FB5" w:rsidP="00534FB5">
            <w:pPr>
              <w:spacing w:line="240" w:lineRule="atLeast"/>
            </w:pPr>
            <w:r w:rsidRPr="00A47441">
              <w:t xml:space="preserve">Середній </w:t>
            </w:r>
          </w:p>
        </w:tc>
        <w:tc>
          <w:tcPr>
            <w:tcW w:w="564" w:type="pct"/>
          </w:tcPr>
          <w:p w:rsidR="00534FB5" w:rsidRPr="00A47441" w:rsidRDefault="00534FB5" w:rsidP="006F55A9">
            <w:pPr>
              <w:pStyle w:val="11"/>
              <w:spacing w:line="240" w:lineRule="atLeast"/>
              <w:ind w:left="0"/>
              <w:contextualSpacing w:val="0"/>
            </w:pPr>
            <w:r w:rsidRPr="00A47441">
              <w:t>78</w:t>
            </w:r>
          </w:p>
        </w:tc>
        <w:tc>
          <w:tcPr>
            <w:tcW w:w="752" w:type="pct"/>
          </w:tcPr>
          <w:p w:rsidR="00534FB5" w:rsidRPr="00A47441" w:rsidRDefault="00534FB5" w:rsidP="006F55A9">
            <w:pPr>
              <w:pStyle w:val="11"/>
              <w:spacing w:line="240" w:lineRule="atLeast"/>
              <w:ind w:left="0"/>
              <w:contextualSpacing w:val="0"/>
            </w:pPr>
            <w:r w:rsidRPr="00A47441">
              <w:t>18</w:t>
            </w:r>
          </w:p>
        </w:tc>
        <w:tc>
          <w:tcPr>
            <w:tcW w:w="658" w:type="pct"/>
          </w:tcPr>
          <w:p w:rsidR="00534FB5" w:rsidRPr="00A47441" w:rsidRDefault="00534FB5" w:rsidP="006F55A9">
            <w:pPr>
              <w:pStyle w:val="11"/>
              <w:spacing w:line="240" w:lineRule="atLeast"/>
              <w:ind w:left="0"/>
              <w:contextualSpacing w:val="0"/>
            </w:pPr>
            <w:r w:rsidRPr="00A47441">
              <w:t>81</w:t>
            </w:r>
          </w:p>
        </w:tc>
        <w:tc>
          <w:tcPr>
            <w:tcW w:w="658" w:type="pct"/>
          </w:tcPr>
          <w:p w:rsidR="00534FB5" w:rsidRPr="00A47441" w:rsidRDefault="00534FB5" w:rsidP="006F55A9">
            <w:pPr>
              <w:pStyle w:val="11"/>
              <w:spacing w:line="240" w:lineRule="atLeast"/>
              <w:ind w:left="0"/>
              <w:contextualSpacing w:val="0"/>
            </w:pPr>
            <w:r w:rsidRPr="00A47441">
              <w:t>17</w:t>
            </w:r>
          </w:p>
        </w:tc>
        <w:tc>
          <w:tcPr>
            <w:tcW w:w="581" w:type="pct"/>
          </w:tcPr>
          <w:p w:rsidR="00534FB5" w:rsidRPr="00A47441" w:rsidRDefault="00534FB5" w:rsidP="006F55A9">
            <w:pPr>
              <w:spacing w:line="240" w:lineRule="atLeast"/>
              <w:jc w:val="center"/>
            </w:pPr>
            <w:r w:rsidRPr="00A47441">
              <w:t>81</w:t>
            </w:r>
          </w:p>
        </w:tc>
        <w:tc>
          <w:tcPr>
            <w:tcW w:w="602" w:type="pct"/>
          </w:tcPr>
          <w:p w:rsidR="00534FB5" w:rsidRPr="00A47441" w:rsidRDefault="00534FB5" w:rsidP="006F55A9">
            <w:pPr>
              <w:spacing w:line="240" w:lineRule="atLeast"/>
              <w:jc w:val="center"/>
            </w:pPr>
            <w:r w:rsidRPr="00A47441">
              <w:t>21</w:t>
            </w:r>
          </w:p>
        </w:tc>
      </w:tr>
      <w:tr w:rsidR="00534FB5" w:rsidRPr="00A47441" w:rsidTr="00717BA8">
        <w:trPr>
          <w:jc w:val="center"/>
        </w:trPr>
        <w:tc>
          <w:tcPr>
            <w:tcW w:w="1185" w:type="pct"/>
          </w:tcPr>
          <w:p w:rsidR="00534FB5" w:rsidRPr="00A47441" w:rsidRDefault="00534FB5" w:rsidP="00534FB5">
            <w:pPr>
              <w:spacing w:line="240" w:lineRule="atLeast"/>
            </w:pPr>
            <w:r w:rsidRPr="00A47441">
              <w:t>Глибокий</w:t>
            </w:r>
          </w:p>
        </w:tc>
        <w:tc>
          <w:tcPr>
            <w:tcW w:w="564" w:type="pct"/>
          </w:tcPr>
          <w:p w:rsidR="00534FB5" w:rsidRPr="00A47441" w:rsidRDefault="00534FB5" w:rsidP="006F55A9">
            <w:pPr>
              <w:pStyle w:val="11"/>
              <w:spacing w:line="240" w:lineRule="atLeast"/>
              <w:ind w:left="0"/>
              <w:contextualSpacing w:val="0"/>
            </w:pPr>
            <w:r w:rsidRPr="00A47441">
              <w:t>22</w:t>
            </w:r>
          </w:p>
        </w:tc>
        <w:tc>
          <w:tcPr>
            <w:tcW w:w="752" w:type="pct"/>
          </w:tcPr>
          <w:p w:rsidR="00534FB5" w:rsidRPr="00A47441" w:rsidRDefault="00534FB5" w:rsidP="006F55A9">
            <w:pPr>
              <w:pStyle w:val="11"/>
              <w:spacing w:line="240" w:lineRule="atLeast"/>
              <w:ind w:left="0"/>
              <w:contextualSpacing w:val="0"/>
            </w:pPr>
            <w:r w:rsidRPr="00A47441">
              <w:t>5</w:t>
            </w:r>
          </w:p>
        </w:tc>
        <w:tc>
          <w:tcPr>
            <w:tcW w:w="658" w:type="pct"/>
          </w:tcPr>
          <w:p w:rsidR="00534FB5" w:rsidRPr="00A47441" w:rsidRDefault="00534FB5" w:rsidP="006F55A9">
            <w:pPr>
              <w:pStyle w:val="11"/>
              <w:spacing w:line="240" w:lineRule="atLeast"/>
              <w:ind w:left="0"/>
              <w:contextualSpacing w:val="0"/>
            </w:pPr>
            <w:r w:rsidRPr="00A47441">
              <w:t>33</w:t>
            </w:r>
          </w:p>
        </w:tc>
        <w:tc>
          <w:tcPr>
            <w:tcW w:w="658" w:type="pct"/>
          </w:tcPr>
          <w:p w:rsidR="00534FB5" w:rsidRPr="00A47441" w:rsidRDefault="00534FB5" w:rsidP="006F55A9">
            <w:pPr>
              <w:pStyle w:val="11"/>
              <w:spacing w:line="240" w:lineRule="atLeast"/>
              <w:ind w:left="0"/>
              <w:contextualSpacing w:val="0"/>
            </w:pPr>
            <w:r w:rsidRPr="00A47441">
              <w:t>7</w:t>
            </w:r>
          </w:p>
        </w:tc>
        <w:tc>
          <w:tcPr>
            <w:tcW w:w="581" w:type="pct"/>
          </w:tcPr>
          <w:p w:rsidR="00534FB5" w:rsidRPr="00A47441" w:rsidRDefault="00534FB5" w:rsidP="006F55A9">
            <w:pPr>
              <w:spacing w:line="240" w:lineRule="atLeast"/>
              <w:jc w:val="center"/>
            </w:pPr>
            <w:r w:rsidRPr="00A47441">
              <w:t>27</w:t>
            </w:r>
          </w:p>
        </w:tc>
        <w:tc>
          <w:tcPr>
            <w:tcW w:w="602" w:type="pct"/>
          </w:tcPr>
          <w:p w:rsidR="00534FB5" w:rsidRPr="00A47441" w:rsidRDefault="00534FB5" w:rsidP="006F55A9">
            <w:pPr>
              <w:spacing w:line="240" w:lineRule="atLeast"/>
              <w:jc w:val="center"/>
            </w:pPr>
            <w:r w:rsidRPr="00A47441">
              <w:t>7</w:t>
            </w:r>
          </w:p>
        </w:tc>
      </w:tr>
      <w:tr w:rsidR="00534FB5" w:rsidRPr="00A47441" w:rsidTr="00717BA8">
        <w:trPr>
          <w:jc w:val="center"/>
        </w:trPr>
        <w:tc>
          <w:tcPr>
            <w:tcW w:w="1185" w:type="pct"/>
          </w:tcPr>
          <w:p w:rsidR="00534FB5" w:rsidRPr="00A47441" w:rsidRDefault="00534FB5" w:rsidP="00534FB5">
            <w:pPr>
              <w:spacing w:line="240" w:lineRule="atLeast"/>
            </w:pPr>
            <w:r w:rsidRPr="00A47441">
              <w:t>Ускладнений</w:t>
            </w:r>
          </w:p>
        </w:tc>
        <w:tc>
          <w:tcPr>
            <w:tcW w:w="564" w:type="pct"/>
          </w:tcPr>
          <w:p w:rsidR="00534FB5" w:rsidRPr="00A47441" w:rsidRDefault="00534FB5" w:rsidP="006F55A9">
            <w:pPr>
              <w:pStyle w:val="11"/>
              <w:spacing w:line="240" w:lineRule="atLeast"/>
              <w:ind w:left="0"/>
              <w:contextualSpacing w:val="0"/>
            </w:pPr>
            <w:r w:rsidRPr="00A47441">
              <w:t>65</w:t>
            </w:r>
          </w:p>
        </w:tc>
        <w:tc>
          <w:tcPr>
            <w:tcW w:w="752" w:type="pct"/>
          </w:tcPr>
          <w:p w:rsidR="00534FB5" w:rsidRPr="00A47441" w:rsidRDefault="00534FB5" w:rsidP="006F55A9">
            <w:pPr>
              <w:pStyle w:val="11"/>
              <w:spacing w:line="240" w:lineRule="atLeast"/>
              <w:ind w:left="0"/>
              <w:contextualSpacing w:val="0"/>
            </w:pPr>
            <w:r w:rsidRPr="00A47441">
              <w:t>15</w:t>
            </w:r>
          </w:p>
        </w:tc>
        <w:tc>
          <w:tcPr>
            <w:tcW w:w="658" w:type="pct"/>
          </w:tcPr>
          <w:p w:rsidR="00534FB5" w:rsidRPr="00A47441" w:rsidRDefault="00534FB5" w:rsidP="006F55A9">
            <w:pPr>
              <w:pStyle w:val="11"/>
              <w:spacing w:line="240" w:lineRule="atLeast"/>
              <w:ind w:left="0"/>
              <w:contextualSpacing w:val="0"/>
            </w:pPr>
            <w:r w:rsidRPr="00A47441">
              <w:t>24</w:t>
            </w:r>
          </w:p>
        </w:tc>
        <w:tc>
          <w:tcPr>
            <w:tcW w:w="658" w:type="pct"/>
          </w:tcPr>
          <w:p w:rsidR="00534FB5" w:rsidRPr="00A47441" w:rsidRDefault="00534FB5" w:rsidP="006F55A9">
            <w:pPr>
              <w:pStyle w:val="11"/>
              <w:spacing w:line="240" w:lineRule="atLeast"/>
              <w:ind w:left="0"/>
              <w:contextualSpacing w:val="0"/>
            </w:pPr>
            <w:r w:rsidRPr="00A47441">
              <w:t>5</w:t>
            </w:r>
          </w:p>
        </w:tc>
        <w:tc>
          <w:tcPr>
            <w:tcW w:w="581" w:type="pct"/>
          </w:tcPr>
          <w:p w:rsidR="00534FB5" w:rsidRPr="00A47441" w:rsidRDefault="00534FB5" w:rsidP="006F55A9">
            <w:pPr>
              <w:spacing w:line="240" w:lineRule="atLeast"/>
              <w:jc w:val="center"/>
            </w:pPr>
            <w:r w:rsidRPr="00A47441">
              <w:t>12</w:t>
            </w:r>
          </w:p>
        </w:tc>
        <w:tc>
          <w:tcPr>
            <w:tcW w:w="602" w:type="pct"/>
          </w:tcPr>
          <w:p w:rsidR="00534FB5" w:rsidRPr="00A47441" w:rsidRDefault="00534FB5" w:rsidP="006F55A9">
            <w:pPr>
              <w:spacing w:line="240" w:lineRule="atLeast"/>
              <w:jc w:val="center"/>
            </w:pPr>
            <w:r w:rsidRPr="00A47441">
              <w:t>3</w:t>
            </w:r>
          </w:p>
        </w:tc>
      </w:tr>
      <w:tr w:rsidR="00717BA8" w:rsidRPr="00A47441" w:rsidTr="00717BA8">
        <w:trPr>
          <w:jc w:val="center"/>
        </w:trPr>
        <w:tc>
          <w:tcPr>
            <w:tcW w:w="1183" w:type="pct"/>
            <w:tcBorders>
              <w:bottom w:val="nil"/>
              <w:right w:val="single" w:sz="4" w:space="0" w:color="auto"/>
            </w:tcBorders>
          </w:tcPr>
          <w:p w:rsidR="00717BA8" w:rsidRPr="00A47441" w:rsidRDefault="00717BA8" w:rsidP="00534FB5">
            <w:pPr>
              <w:pStyle w:val="11"/>
              <w:spacing w:line="240" w:lineRule="atLeast"/>
              <w:ind w:left="0"/>
              <w:contextualSpacing w:val="0"/>
            </w:pPr>
          </w:p>
        </w:tc>
        <w:tc>
          <w:tcPr>
            <w:tcW w:w="3817" w:type="pct"/>
            <w:gridSpan w:val="6"/>
            <w:tcBorders>
              <w:left w:val="single" w:sz="4" w:space="0" w:color="auto"/>
              <w:bottom w:val="nil"/>
            </w:tcBorders>
          </w:tcPr>
          <w:p w:rsidR="00717BA8" w:rsidRPr="00004D15" w:rsidRDefault="00717BA8" w:rsidP="006F55A9">
            <w:pPr>
              <w:pStyle w:val="11"/>
              <w:spacing w:line="240" w:lineRule="atLeast"/>
              <w:ind w:left="0"/>
              <w:rPr>
                <w:lang w:val="ru-RU"/>
              </w:rPr>
            </w:pPr>
            <w:r w:rsidRPr="00A47441">
              <w:t>Діти без вад слуху</w:t>
            </w:r>
            <w:r w:rsidR="00004D15" w:rsidRPr="00004D15">
              <w:rPr>
                <w:lang w:val="ru-RU"/>
              </w:rPr>
              <w:t xml:space="preserve">, </w:t>
            </w:r>
            <w:r w:rsidR="00004D15">
              <w:rPr>
                <w:lang w:val="en-US"/>
              </w:rPr>
              <w:t>N</w:t>
            </w:r>
            <w:r w:rsidR="00004D15" w:rsidRPr="00004D15">
              <w:rPr>
                <w:lang w:val="ru-RU"/>
              </w:rPr>
              <w:t>=32</w:t>
            </w:r>
          </w:p>
        </w:tc>
      </w:tr>
      <w:tr w:rsidR="00717BA8" w:rsidRPr="00A47441" w:rsidTr="00717BA8">
        <w:trPr>
          <w:jc w:val="center"/>
        </w:trPr>
        <w:tc>
          <w:tcPr>
            <w:tcW w:w="1185" w:type="pct"/>
            <w:vMerge w:val="restart"/>
            <w:tcBorders>
              <w:top w:val="nil"/>
              <w:right w:val="single" w:sz="4" w:space="0" w:color="auto"/>
            </w:tcBorders>
          </w:tcPr>
          <w:p w:rsidR="00717BA8" w:rsidRPr="00A47441" w:rsidRDefault="006F55A9" w:rsidP="00534FB5">
            <w:pPr>
              <w:pStyle w:val="11"/>
              <w:spacing w:line="240" w:lineRule="atLeast"/>
              <w:ind w:left="0"/>
              <w:contextualSpacing w:val="0"/>
            </w:pPr>
            <w:r>
              <w:t>Карієс зубів</w:t>
            </w:r>
          </w:p>
        </w:tc>
        <w:tc>
          <w:tcPr>
            <w:tcW w:w="1316" w:type="pct"/>
            <w:gridSpan w:val="2"/>
            <w:tcBorders>
              <w:left w:val="single" w:sz="4" w:space="0" w:color="auto"/>
              <w:right w:val="single" w:sz="4" w:space="0" w:color="auto"/>
            </w:tcBorders>
          </w:tcPr>
          <w:p w:rsidR="00717BA8" w:rsidRPr="00A47441" w:rsidRDefault="00717BA8" w:rsidP="006F55A9">
            <w:pPr>
              <w:pStyle w:val="11"/>
              <w:spacing w:line="240" w:lineRule="atLeast"/>
              <w:ind w:left="0" w:firstLine="41"/>
              <w:contextualSpacing w:val="0"/>
            </w:pPr>
            <w:r w:rsidRPr="00A47441">
              <w:t>КГ1</w:t>
            </w:r>
            <w:r>
              <w:rPr>
                <w:lang w:val="en-US"/>
              </w:rPr>
              <w:t>, N=10</w:t>
            </w:r>
          </w:p>
        </w:tc>
        <w:tc>
          <w:tcPr>
            <w:tcW w:w="1316" w:type="pct"/>
            <w:gridSpan w:val="2"/>
            <w:tcBorders>
              <w:left w:val="single" w:sz="4" w:space="0" w:color="auto"/>
              <w:right w:val="single" w:sz="4" w:space="0" w:color="auto"/>
            </w:tcBorders>
          </w:tcPr>
          <w:p w:rsidR="00717BA8" w:rsidRPr="00A47441" w:rsidRDefault="00717BA8" w:rsidP="006F55A9">
            <w:pPr>
              <w:pStyle w:val="11"/>
              <w:spacing w:line="240" w:lineRule="atLeast"/>
              <w:ind w:left="0"/>
              <w:contextualSpacing w:val="0"/>
            </w:pPr>
            <w:r w:rsidRPr="00A47441">
              <w:t>КГ2</w:t>
            </w:r>
            <w:r>
              <w:rPr>
                <w:lang w:val="en-US"/>
              </w:rPr>
              <w:t>, N=10</w:t>
            </w:r>
          </w:p>
        </w:tc>
        <w:tc>
          <w:tcPr>
            <w:tcW w:w="1183" w:type="pct"/>
            <w:gridSpan w:val="2"/>
            <w:tcBorders>
              <w:left w:val="single" w:sz="4" w:space="0" w:color="auto"/>
            </w:tcBorders>
          </w:tcPr>
          <w:p w:rsidR="00717BA8" w:rsidRPr="00A47441" w:rsidRDefault="00717BA8" w:rsidP="006F55A9">
            <w:pPr>
              <w:pStyle w:val="11"/>
              <w:spacing w:line="240" w:lineRule="atLeast"/>
              <w:ind w:left="0" w:firstLine="63"/>
              <w:contextualSpacing w:val="0"/>
            </w:pPr>
            <w:r w:rsidRPr="00A47441">
              <w:t>КГ3</w:t>
            </w:r>
            <w:r w:rsidR="00004D15">
              <w:rPr>
                <w:lang w:val="en-US"/>
              </w:rPr>
              <w:t>, N=12</w:t>
            </w:r>
          </w:p>
        </w:tc>
      </w:tr>
      <w:tr w:rsidR="00717BA8" w:rsidRPr="00A47441" w:rsidTr="00717BA8">
        <w:trPr>
          <w:jc w:val="center"/>
        </w:trPr>
        <w:tc>
          <w:tcPr>
            <w:tcW w:w="1185" w:type="pct"/>
            <w:vMerge/>
            <w:tcBorders>
              <w:top w:val="nil"/>
              <w:right w:val="single" w:sz="4" w:space="0" w:color="auto"/>
            </w:tcBorders>
          </w:tcPr>
          <w:p w:rsidR="00717BA8" w:rsidRPr="00A47441" w:rsidRDefault="00717BA8" w:rsidP="00534FB5">
            <w:pPr>
              <w:pStyle w:val="11"/>
              <w:spacing w:line="240" w:lineRule="atLeast"/>
              <w:ind w:left="0"/>
              <w:contextualSpacing w:val="0"/>
            </w:pPr>
          </w:p>
        </w:tc>
        <w:tc>
          <w:tcPr>
            <w:tcW w:w="564" w:type="pct"/>
            <w:tcBorders>
              <w:left w:val="single" w:sz="4" w:space="0" w:color="auto"/>
            </w:tcBorders>
          </w:tcPr>
          <w:p w:rsidR="00717BA8" w:rsidRPr="00A47441" w:rsidRDefault="00717BA8" w:rsidP="006F55A9">
            <w:pPr>
              <w:spacing w:line="240" w:lineRule="atLeast"/>
              <w:jc w:val="center"/>
            </w:pPr>
            <w:r w:rsidRPr="00A47441">
              <w:t>%</w:t>
            </w:r>
          </w:p>
        </w:tc>
        <w:tc>
          <w:tcPr>
            <w:tcW w:w="752" w:type="pct"/>
          </w:tcPr>
          <w:p w:rsidR="00717BA8" w:rsidRPr="00A47441" w:rsidRDefault="00717BA8" w:rsidP="006F55A9">
            <w:pPr>
              <w:tabs>
                <w:tab w:val="center" w:pos="343"/>
              </w:tabs>
              <w:spacing w:line="240" w:lineRule="atLeast"/>
              <w:jc w:val="center"/>
            </w:pPr>
            <w:r w:rsidRPr="00A47441">
              <w:t>абс.</w:t>
            </w:r>
          </w:p>
        </w:tc>
        <w:tc>
          <w:tcPr>
            <w:tcW w:w="658" w:type="pct"/>
          </w:tcPr>
          <w:p w:rsidR="00717BA8" w:rsidRPr="00A47441" w:rsidRDefault="00717BA8" w:rsidP="006F55A9">
            <w:pPr>
              <w:spacing w:line="240" w:lineRule="atLeast"/>
              <w:jc w:val="center"/>
            </w:pPr>
            <w:r w:rsidRPr="00A47441">
              <w:t>%</w:t>
            </w:r>
          </w:p>
        </w:tc>
        <w:tc>
          <w:tcPr>
            <w:tcW w:w="658" w:type="pct"/>
            <w:tcBorders>
              <w:right w:val="single" w:sz="4" w:space="0" w:color="auto"/>
            </w:tcBorders>
          </w:tcPr>
          <w:p w:rsidR="00717BA8" w:rsidRPr="00A47441" w:rsidRDefault="00717BA8" w:rsidP="006F55A9">
            <w:pPr>
              <w:tabs>
                <w:tab w:val="center" w:pos="343"/>
              </w:tabs>
              <w:spacing w:line="240" w:lineRule="atLeast"/>
              <w:jc w:val="center"/>
            </w:pPr>
            <w:r w:rsidRPr="00A47441">
              <w:t>абс.</w:t>
            </w:r>
          </w:p>
        </w:tc>
        <w:tc>
          <w:tcPr>
            <w:tcW w:w="581" w:type="pct"/>
            <w:tcBorders>
              <w:left w:val="single" w:sz="4" w:space="0" w:color="auto"/>
            </w:tcBorders>
          </w:tcPr>
          <w:p w:rsidR="00717BA8" w:rsidRPr="00A47441" w:rsidRDefault="00717BA8" w:rsidP="006F55A9">
            <w:pPr>
              <w:spacing w:line="240" w:lineRule="atLeast"/>
              <w:jc w:val="center"/>
            </w:pPr>
            <w:r w:rsidRPr="00A47441">
              <w:t>%</w:t>
            </w:r>
          </w:p>
        </w:tc>
        <w:tc>
          <w:tcPr>
            <w:tcW w:w="602" w:type="pct"/>
          </w:tcPr>
          <w:p w:rsidR="00717BA8" w:rsidRPr="00A47441" w:rsidRDefault="00717BA8" w:rsidP="006F55A9">
            <w:pPr>
              <w:tabs>
                <w:tab w:val="center" w:pos="343"/>
              </w:tabs>
              <w:spacing w:line="240" w:lineRule="atLeast"/>
              <w:jc w:val="center"/>
            </w:pPr>
            <w:r w:rsidRPr="00A47441">
              <w:t>абс.</w:t>
            </w:r>
          </w:p>
        </w:tc>
      </w:tr>
      <w:tr w:rsidR="00534FB5" w:rsidRPr="00A47441" w:rsidTr="00717BA8">
        <w:trPr>
          <w:jc w:val="center"/>
        </w:trPr>
        <w:tc>
          <w:tcPr>
            <w:tcW w:w="1185" w:type="pct"/>
          </w:tcPr>
          <w:p w:rsidR="00534FB5" w:rsidRPr="00A47441" w:rsidRDefault="00534FB5" w:rsidP="00534FB5">
            <w:pPr>
              <w:spacing w:line="240" w:lineRule="atLeast"/>
            </w:pPr>
            <w:r>
              <w:t>Не</w:t>
            </w:r>
            <w:r w:rsidRPr="00A47441">
              <w:t xml:space="preserve">ускладнений </w:t>
            </w:r>
          </w:p>
        </w:tc>
        <w:tc>
          <w:tcPr>
            <w:tcW w:w="564" w:type="pct"/>
          </w:tcPr>
          <w:p w:rsidR="00534FB5" w:rsidRPr="00A47441" w:rsidRDefault="00534FB5" w:rsidP="006F55A9">
            <w:pPr>
              <w:spacing w:line="240" w:lineRule="atLeast"/>
              <w:jc w:val="center"/>
            </w:pPr>
            <w:r w:rsidRPr="00A47441">
              <w:t>20</w:t>
            </w:r>
          </w:p>
        </w:tc>
        <w:tc>
          <w:tcPr>
            <w:tcW w:w="752" w:type="pct"/>
          </w:tcPr>
          <w:p w:rsidR="00534FB5" w:rsidRPr="00A47441" w:rsidRDefault="00534FB5" w:rsidP="006F55A9">
            <w:pPr>
              <w:tabs>
                <w:tab w:val="center" w:pos="343"/>
              </w:tabs>
              <w:spacing w:line="240" w:lineRule="atLeast"/>
              <w:jc w:val="center"/>
            </w:pPr>
            <w:r w:rsidRPr="00A47441">
              <w:t>2</w:t>
            </w:r>
          </w:p>
        </w:tc>
        <w:tc>
          <w:tcPr>
            <w:tcW w:w="658" w:type="pct"/>
          </w:tcPr>
          <w:p w:rsidR="00534FB5" w:rsidRPr="00A47441" w:rsidRDefault="00534FB5" w:rsidP="006F55A9">
            <w:pPr>
              <w:spacing w:line="240" w:lineRule="atLeast"/>
              <w:jc w:val="center"/>
            </w:pPr>
            <w:r w:rsidRPr="00A47441">
              <w:t>30</w:t>
            </w:r>
          </w:p>
        </w:tc>
        <w:tc>
          <w:tcPr>
            <w:tcW w:w="658" w:type="pct"/>
          </w:tcPr>
          <w:p w:rsidR="00534FB5" w:rsidRPr="00A47441" w:rsidRDefault="00534FB5" w:rsidP="006F55A9">
            <w:pPr>
              <w:tabs>
                <w:tab w:val="center" w:pos="343"/>
              </w:tabs>
              <w:spacing w:line="240" w:lineRule="atLeast"/>
              <w:jc w:val="center"/>
            </w:pPr>
            <w:r w:rsidRPr="00A47441">
              <w:t>3</w:t>
            </w:r>
          </w:p>
        </w:tc>
        <w:tc>
          <w:tcPr>
            <w:tcW w:w="581" w:type="pct"/>
          </w:tcPr>
          <w:p w:rsidR="00534FB5" w:rsidRPr="00A47441" w:rsidRDefault="00534FB5" w:rsidP="006F55A9">
            <w:pPr>
              <w:spacing w:line="240" w:lineRule="atLeast"/>
              <w:jc w:val="center"/>
            </w:pPr>
            <w:r w:rsidRPr="00A47441">
              <w:t>25</w:t>
            </w:r>
          </w:p>
        </w:tc>
        <w:tc>
          <w:tcPr>
            <w:tcW w:w="602" w:type="pct"/>
          </w:tcPr>
          <w:p w:rsidR="00534FB5" w:rsidRPr="00A47441" w:rsidRDefault="00534FB5" w:rsidP="006F55A9">
            <w:pPr>
              <w:tabs>
                <w:tab w:val="center" w:pos="343"/>
              </w:tabs>
              <w:spacing w:line="240" w:lineRule="atLeast"/>
              <w:jc w:val="center"/>
            </w:pPr>
            <w:r w:rsidRPr="00A47441">
              <w:t>3</w:t>
            </w:r>
          </w:p>
        </w:tc>
      </w:tr>
      <w:tr w:rsidR="00534FB5" w:rsidRPr="00A47441" w:rsidTr="00717BA8">
        <w:trPr>
          <w:jc w:val="center"/>
        </w:trPr>
        <w:tc>
          <w:tcPr>
            <w:tcW w:w="1185" w:type="pct"/>
          </w:tcPr>
          <w:p w:rsidR="00534FB5" w:rsidRPr="00A47441" w:rsidRDefault="00534FB5" w:rsidP="00534FB5">
            <w:pPr>
              <w:spacing w:line="240" w:lineRule="atLeast"/>
            </w:pPr>
            <w:r w:rsidRPr="00A47441">
              <w:t>Початковий</w:t>
            </w:r>
          </w:p>
        </w:tc>
        <w:tc>
          <w:tcPr>
            <w:tcW w:w="564" w:type="pct"/>
          </w:tcPr>
          <w:p w:rsidR="00534FB5" w:rsidRPr="00A47441" w:rsidRDefault="00534FB5" w:rsidP="006F55A9">
            <w:pPr>
              <w:spacing w:line="240" w:lineRule="atLeast"/>
              <w:jc w:val="center"/>
            </w:pPr>
            <w:r w:rsidRPr="00A47441">
              <w:t>-</w:t>
            </w:r>
          </w:p>
        </w:tc>
        <w:tc>
          <w:tcPr>
            <w:tcW w:w="752" w:type="pct"/>
          </w:tcPr>
          <w:p w:rsidR="00534FB5" w:rsidRPr="00A47441" w:rsidRDefault="00534FB5" w:rsidP="006F55A9">
            <w:pPr>
              <w:tabs>
                <w:tab w:val="center" w:pos="343"/>
              </w:tabs>
              <w:spacing w:line="240" w:lineRule="atLeast"/>
              <w:jc w:val="center"/>
            </w:pPr>
            <w:r w:rsidRPr="00A47441">
              <w:t>-</w:t>
            </w:r>
          </w:p>
        </w:tc>
        <w:tc>
          <w:tcPr>
            <w:tcW w:w="658" w:type="pct"/>
          </w:tcPr>
          <w:p w:rsidR="00534FB5" w:rsidRPr="00A47441" w:rsidRDefault="00534FB5" w:rsidP="006F55A9">
            <w:pPr>
              <w:spacing w:line="240" w:lineRule="atLeast"/>
              <w:jc w:val="center"/>
            </w:pPr>
            <w:r w:rsidRPr="00A47441">
              <w:t>-</w:t>
            </w:r>
          </w:p>
        </w:tc>
        <w:tc>
          <w:tcPr>
            <w:tcW w:w="658" w:type="pct"/>
          </w:tcPr>
          <w:p w:rsidR="00534FB5" w:rsidRPr="00A47441" w:rsidRDefault="00534FB5" w:rsidP="006F55A9">
            <w:pPr>
              <w:tabs>
                <w:tab w:val="center" w:pos="343"/>
              </w:tabs>
              <w:spacing w:line="240" w:lineRule="atLeast"/>
              <w:jc w:val="center"/>
            </w:pPr>
            <w:r w:rsidRPr="00A47441">
              <w:t>-</w:t>
            </w:r>
          </w:p>
        </w:tc>
        <w:tc>
          <w:tcPr>
            <w:tcW w:w="581" w:type="pct"/>
          </w:tcPr>
          <w:p w:rsidR="00534FB5" w:rsidRPr="00A47441" w:rsidRDefault="00534FB5" w:rsidP="006F55A9">
            <w:pPr>
              <w:spacing w:line="240" w:lineRule="atLeast"/>
              <w:jc w:val="center"/>
            </w:pPr>
            <w:r w:rsidRPr="00A47441">
              <w:t>-</w:t>
            </w:r>
          </w:p>
        </w:tc>
        <w:tc>
          <w:tcPr>
            <w:tcW w:w="602" w:type="pct"/>
          </w:tcPr>
          <w:p w:rsidR="00534FB5" w:rsidRPr="00A47441" w:rsidRDefault="00534FB5" w:rsidP="006F55A9">
            <w:pPr>
              <w:tabs>
                <w:tab w:val="center" w:pos="343"/>
              </w:tabs>
              <w:spacing w:line="240" w:lineRule="atLeast"/>
              <w:jc w:val="center"/>
            </w:pPr>
            <w:r w:rsidRPr="00A47441">
              <w:t>-</w:t>
            </w:r>
          </w:p>
        </w:tc>
      </w:tr>
      <w:tr w:rsidR="00534FB5" w:rsidRPr="00A47441" w:rsidTr="00717BA8">
        <w:trPr>
          <w:jc w:val="center"/>
        </w:trPr>
        <w:tc>
          <w:tcPr>
            <w:tcW w:w="1185" w:type="pct"/>
          </w:tcPr>
          <w:p w:rsidR="00534FB5" w:rsidRPr="00A47441" w:rsidRDefault="00534FB5" w:rsidP="00534FB5">
            <w:pPr>
              <w:spacing w:line="240" w:lineRule="atLeast"/>
            </w:pPr>
            <w:r w:rsidRPr="00A47441">
              <w:t>Поверхневий</w:t>
            </w:r>
          </w:p>
        </w:tc>
        <w:tc>
          <w:tcPr>
            <w:tcW w:w="564" w:type="pct"/>
          </w:tcPr>
          <w:p w:rsidR="00534FB5" w:rsidRPr="00A47441" w:rsidRDefault="00534FB5" w:rsidP="006F55A9">
            <w:pPr>
              <w:pStyle w:val="11"/>
              <w:spacing w:line="240" w:lineRule="atLeast"/>
              <w:ind w:left="0"/>
              <w:contextualSpacing w:val="0"/>
            </w:pPr>
            <w:r w:rsidRPr="00A47441">
              <w:t>-</w:t>
            </w:r>
          </w:p>
        </w:tc>
        <w:tc>
          <w:tcPr>
            <w:tcW w:w="752" w:type="pct"/>
          </w:tcPr>
          <w:p w:rsidR="00534FB5" w:rsidRPr="00A47441" w:rsidRDefault="00534FB5" w:rsidP="006F55A9">
            <w:pPr>
              <w:pStyle w:val="11"/>
              <w:spacing w:line="240" w:lineRule="atLeast"/>
              <w:ind w:left="0"/>
              <w:contextualSpacing w:val="0"/>
            </w:pPr>
            <w:r w:rsidRPr="00A47441">
              <w:t>-</w:t>
            </w:r>
          </w:p>
        </w:tc>
        <w:tc>
          <w:tcPr>
            <w:tcW w:w="658" w:type="pct"/>
          </w:tcPr>
          <w:p w:rsidR="00534FB5" w:rsidRPr="00A47441" w:rsidRDefault="00534FB5" w:rsidP="006F55A9">
            <w:pPr>
              <w:pStyle w:val="11"/>
              <w:spacing w:line="240" w:lineRule="atLeast"/>
              <w:ind w:left="0"/>
              <w:contextualSpacing w:val="0"/>
            </w:pPr>
            <w:r w:rsidRPr="00A47441">
              <w:t>-</w:t>
            </w:r>
          </w:p>
        </w:tc>
        <w:tc>
          <w:tcPr>
            <w:tcW w:w="658" w:type="pct"/>
          </w:tcPr>
          <w:p w:rsidR="00534FB5" w:rsidRPr="00A47441" w:rsidRDefault="00534FB5" w:rsidP="006F55A9">
            <w:pPr>
              <w:pStyle w:val="11"/>
              <w:spacing w:line="240" w:lineRule="atLeast"/>
              <w:ind w:left="0"/>
              <w:contextualSpacing w:val="0"/>
            </w:pPr>
            <w:r w:rsidRPr="00A47441">
              <w:t>-</w:t>
            </w:r>
          </w:p>
        </w:tc>
        <w:tc>
          <w:tcPr>
            <w:tcW w:w="581" w:type="pct"/>
          </w:tcPr>
          <w:p w:rsidR="00534FB5" w:rsidRPr="00A47441" w:rsidRDefault="00534FB5" w:rsidP="006F55A9">
            <w:pPr>
              <w:pStyle w:val="11"/>
              <w:spacing w:line="240" w:lineRule="atLeast"/>
              <w:ind w:left="0"/>
              <w:contextualSpacing w:val="0"/>
            </w:pPr>
            <w:r w:rsidRPr="00A47441">
              <w:t>-</w:t>
            </w:r>
          </w:p>
        </w:tc>
        <w:tc>
          <w:tcPr>
            <w:tcW w:w="602" w:type="pct"/>
          </w:tcPr>
          <w:p w:rsidR="00534FB5" w:rsidRPr="00A47441" w:rsidRDefault="00534FB5" w:rsidP="006F55A9">
            <w:pPr>
              <w:pStyle w:val="11"/>
              <w:spacing w:line="240" w:lineRule="atLeast"/>
              <w:ind w:left="0"/>
              <w:contextualSpacing w:val="0"/>
            </w:pPr>
            <w:r w:rsidRPr="00A47441">
              <w:t>-</w:t>
            </w:r>
          </w:p>
        </w:tc>
      </w:tr>
      <w:tr w:rsidR="00534FB5" w:rsidRPr="00A47441" w:rsidTr="00717BA8">
        <w:trPr>
          <w:jc w:val="center"/>
        </w:trPr>
        <w:tc>
          <w:tcPr>
            <w:tcW w:w="1185" w:type="pct"/>
          </w:tcPr>
          <w:p w:rsidR="00534FB5" w:rsidRPr="00A47441" w:rsidRDefault="00534FB5" w:rsidP="00534FB5">
            <w:pPr>
              <w:spacing w:line="240" w:lineRule="atLeast"/>
            </w:pPr>
            <w:r w:rsidRPr="00A47441">
              <w:t xml:space="preserve">Середній </w:t>
            </w:r>
          </w:p>
        </w:tc>
        <w:tc>
          <w:tcPr>
            <w:tcW w:w="564" w:type="pct"/>
          </w:tcPr>
          <w:p w:rsidR="00534FB5" w:rsidRPr="00A47441" w:rsidRDefault="00534FB5" w:rsidP="006F55A9">
            <w:pPr>
              <w:pStyle w:val="11"/>
              <w:spacing w:line="240" w:lineRule="atLeast"/>
              <w:ind w:left="0"/>
              <w:contextualSpacing w:val="0"/>
            </w:pPr>
            <w:r w:rsidRPr="00A47441">
              <w:t>20</w:t>
            </w:r>
          </w:p>
        </w:tc>
        <w:tc>
          <w:tcPr>
            <w:tcW w:w="752" w:type="pct"/>
          </w:tcPr>
          <w:p w:rsidR="00534FB5" w:rsidRPr="00A47441" w:rsidRDefault="00534FB5" w:rsidP="006F55A9">
            <w:pPr>
              <w:pStyle w:val="11"/>
              <w:spacing w:line="240" w:lineRule="atLeast"/>
              <w:ind w:left="0"/>
              <w:contextualSpacing w:val="0"/>
            </w:pPr>
            <w:r w:rsidRPr="00A47441">
              <w:t>2</w:t>
            </w:r>
          </w:p>
        </w:tc>
        <w:tc>
          <w:tcPr>
            <w:tcW w:w="658" w:type="pct"/>
          </w:tcPr>
          <w:p w:rsidR="00534FB5" w:rsidRPr="00A47441" w:rsidRDefault="00534FB5" w:rsidP="006F55A9">
            <w:pPr>
              <w:pStyle w:val="11"/>
              <w:spacing w:line="240" w:lineRule="atLeast"/>
              <w:ind w:left="0"/>
              <w:contextualSpacing w:val="0"/>
            </w:pPr>
            <w:r w:rsidRPr="00A47441">
              <w:t>30</w:t>
            </w:r>
          </w:p>
        </w:tc>
        <w:tc>
          <w:tcPr>
            <w:tcW w:w="658" w:type="pct"/>
          </w:tcPr>
          <w:p w:rsidR="00534FB5" w:rsidRPr="00A47441" w:rsidRDefault="00534FB5" w:rsidP="006F55A9">
            <w:pPr>
              <w:pStyle w:val="11"/>
              <w:spacing w:line="240" w:lineRule="atLeast"/>
              <w:ind w:left="0"/>
              <w:contextualSpacing w:val="0"/>
            </w:pPr>
            <w:r w:rsidRPr="00A47441">
              <w:t>3</w:t>
            </w:r>
          </w:p>
        </w:tc>
        <w:tc>
          <w:tcPr>
            <w:tcW w:w="581" w:type="pct"/>
          </w:tcPr>
          <w:p w:rsidR="00534FB5" w:rsidRPr="00A47441" w:rsidRDefault="00534FB5" w:rsidP="006F55A9">
            <w:pPr>
              <w:pStyle w:val="11"/>
              <w:spacing w:line="240" w:lineRule="atLeast"/>
              <w:ind w:left="0"/>
              <w:contextualSpacing w:val="0"/>
            </w:pPr>
            <w:r w:rsidRPr="00A47441">
              <w:t>-</w:t>
            </w:r>
          </w:p>
        </w:tc>
        <w:tc>
          <w:tcPr>
            <w:tcW w:w="602" w:type="pct"/>
          </w:tcPr>
          <w:p w:rsidR="00534FB5" w:rsidRPr="00A47441" w:rsidRDefault="00534FB5" w:rsidP="006F55A9">
            <w:pPr>
              <w:pStyle w:val="11"/>
              <w:spacing w:line="240" w:lineRule="atLeast"/>
              <w:ind w:left="0"/>
              <w:contextualSpacing w:val="0"/>
            </w:pPr>
            <w:r w:rsidRPr="00A47441">
              <w:t>-</w:t>
            </w:r>
          </w:p>
        </w:tc>
      </w:tr>
      <w:tr w:rsidR="00534FB5" w:rsidRPr="00A47441" w:rsidTr="00717BA8">
        <w:trPr>
          <w:jc w:val="center"/>
        </w:trPr>
        <w:tc>
          <w:tcPr>
            <w:tcW w:w="1185" w:type="pct"/>
          </w:tcPr>
          <w:p w:rsidR="00534FB5" w:rsidRPr="00A47441" w:rsidRDefault="00534FB5" w:rsidP="00534FB5">
            <w:pPr>
              <w:spacing w:line="240" w:lineRule="atLeast"/>
            </w:pPr>
            <w:r w:rsidRPr="00A47441">
              <w:t>Глибокий</w:t>
            </w:r>
          </w:p>
        </w:tc>
        <w:tc>
          <w:tcPr>
            <w:tcW w:w="564" w:type="pct"/>
          </w:tcPr>
          <w:p w:rsidR="00534FB5" w:rsidRPr="00A47441" w:rsidRDefault="00534FB5" w:rsidP="006F55A9">
            <w:pPr>
              <w:pStyle w:val="11"/>
              <w:spacing w:line="240" w:lineRule="atLeast"/>
              <w:ind w:left="0"/>
              <w:contextualSpacing w:val="0"/>
            </w:pPr>
            <w:r w:rsidRPr="00A47441">
              <w:t>-</w:t>
            </w:r>
          </w:p>
        </w:tc>
        <w:tc>
          <w:tcPr>
            <w:tcW w:w="752" w:type="pct"/>
          </w:tcPr>
          <w:p w:rsidR="00534FB5" w:rsidRPr="00A47441" w:rsidRDefault="00534FB5" w:rsidP="006F55A9">
            <w:pPr>
              <w:pStyle w:val="11"/>
              <w:spacing w:line="240" w:lineRule="atLeast"/>
              <w:ind w:left="0"/>
              <w:contextualSpacing w:val="0"/>
            </w:pPr>
            <w:r w:rsidRPr="00A47441">
              <w:t>-</w:t>
            </w:r>
          </w:p>
        </w:tc>
        <w:tc>
          <w:tcPr>
            <w:tcW w:w="658" w:type="pct"/>
          </w:tcPr>
          <w:p w:rsidR="00534FB5" w:rsidRPr="00A47441" w:rsidRDefault="00534FB5" w:rsidP="006F55A9">
            <w:pPr>
              <w:pStyle w:val="11"/>
              <w:spacing w:line="240" w:lineRule="atLeast"/>
              <w:ind w:left="0"/>
              <w:contextualSpacing w:val="0"/>
            </w:pPr>
            <w:r w:rsidRPr="00A47441">
              <w:t>-</w:t>
            </w:r>
          </w:p>
        </w:tc>
        <w:tc>
          <w:tcPr>
            <w:tcW w:w="658" w:type="pct"/>
          </w:tcPr>
          <w:p w:rsidR="00534FB5" w:rsidRPr="00A47441" w:rsidRDefault="00534FB5" w:rsidP="006F55A9">
            <w:pPr>
              <w:pStyle w:val="11"/>
              <w:tabs>
                <w:tab w:val="center" w:pos="580"/>
                <w:tab w:val="left" w:pos="1069"/>
              </w:tabs>
              <w:spacing w:line="240" w:lineRule="atLeast"/>
              <w:ind w:left="0"/>
              <w:contextualSpacing w:val="0"/>
            </w:pPr>
            <w:r w:rsidRPr="00A47441">
              <w:t>-</w:t>
            </w:r>
          </w:p>
        </w:tc>
        <w:tc>
          <w:tcPr>
            <w:tcW w:w="581" w:type="pct"/>
          </w:tcPr>
          <w:p w:rsidR="00534FB5" w:rsidRPr="00A47441" w:rsidRDefault="00534FB5" w:rsidP="006F55A9">
            <w:pPr>
              <w:pStyle w:val="11"/>
              <w:spacing w:line="240" w:lineRule="atLeast"/>
              <w:ind w:left="0"/>
              <w:contextualSpacing w:val="0"/>
            </w:pPr>
            <w:r w:rsidRPr="00A47441">
              <w:t>-</w:t>
            </w:r>
          </w:p>
        </w:tc>
        <w:tc>
          <w:tcPr>
            <w:tcW w:w="602" w:type="pct"/>
          </w:tcPr>
          <w:p w:rsidR="00534FB5" w:rsidRPr="00A47441" w:rsidRDefault="00534FB5" w:rsidP="006F55A9">
            <w:pPr>
              <w:pStyle w:val="11"/>
              <w:spacing w:line="240" w:lineRule="atLeast"/>
              <w:ind w:left="0"/>
              <w:contextualSpacing w:val="0"/>
            </w:pPr>
            <w:r w:rsidRPr="00A47441">
              <w:t>-</w:t>
            </w:r>
          </w:p>
        </w:tc>
      </w:tr>
      <w:tr w:rsidR="00534FB5" w:rsidRPr="00A47441" w:rsidTr="00717BA8">
        <w:trPr>
          <w:jc w:val="center"/>
        </w:trPr>
        <w:tc>
          <w:tcPr>
            <w:tcW w:w="1185" w:type="pct"/>
          </w:tcPr>
          <w:p w:rsidR="00534FB5" w:rsidRPr="00A47441" w:rsidRDefault="00534FB5" w:rsidP="00534FB5">
            <w:pPr>
              <w:spacing w:line="240" w:lineRule="atLeast"/>
            </w:pPr>
            <w:r w:rsidRPr="00A47441">
              <w:t>Ускладнений</w:t>
            </w:r>
          </w:p>
        </w:tc>
        <w:tc>
          <w:tcPr>
            <w:tcW w:w="564" w:type="pct"/>
          </w:tcPr>
          <w:p w:rsidR="00534FB5" w:rsidRPr="00A47441" w:rsidRDefault="00534FB5" w:rsidP="006F55A9">
            <w:pPr>
              <w:pStyle w:val="11"/>
              <w:spacing w:line="240" w:lineRule="atLeast"/>
              <w:ind w:left="0"/>
              <w:contextualSpacing w:val="0"/>
            </w:pPr>
            <w:r w:rsidRPr="00A47441">
              <w:t>10</w:t>
            </w:r>
          </w:p>
        </w:tc>
        <w:tc>
          <w:tcPr>
            <w:tcW w:w="752" w:type="pct"/>
          </w:tcPr>
          <w:p w:rsidR="00534FB5" w:rsidRPr="00A47441" w:rsidRDefault="00534FB5" w:rsidP="006F55A9">
            <w:pPr>
              <w:pStyle w:val="11"/>
              <w:spacing w:line="240" w:lineRule="atLeast"/>
              <w:ind w:left="0"/>
              <w:contextualSpacing w:val="0"/>
            </w:pPr>
            <w:r w:rsidRPr="00A47441">
              <w:t>1</w:t>
            </w:r>
          </w:p>
        </w:tc>
        <w:tc>
          <w:tcPr>
            <w:tcW w:w="658" w:type="pct"/>
          </w:tcPr>
          <w:p w:rsidR="00534FB5" w:rsidRPr="00A47441" w:rsidRDefault="00534FB5" w:rsidP="006F55A9">
            <w:pPr>
              <w:pStyle w:val="11"/>
              <w:spacing w:line="240" w:lineRule="atLeast"/>
              <w:ind w:left="0"/>
              <w:contextualSpacing w:val="0"/>
            </w:pPr>
            <w:r w:rsidRPr="00A47441">
              <w:t>10</w:t>
            </w:r>
          </w:p>
        </w:tc>
        <w:tc>
          <w:tcPr>
            <w:tcW w:w="658" w:type="pct"/>
          </w:tcPr>
          <w:p w:rsidR="00534FB5" w:rsidRPr="00A47441" w:rsidRDefault="00534FB5" w:rsidP="006F55A9">
            <w:pPr>
              <w:pStyle w:val="11"/>
              <w:spacing w:line="240" w:lineRule="atLeast"/>
              <w:ind w:left="0"/>
              <w:contextualSpacing w:val="0"/>
            </w:pPr>
            <w:r w:rsidRPr="00A47441">
              <w:t>1</w:t>
            </w:r>
          </w:p>
        </w:tc>
        <w:tc>
          <w:tcPr>
            <w:tcW w:w="581" w:type="pct"/>
          </w:tcPr>
          <w:p w:rsidR="00534FB5" w:rsidRPr="00A47441" w:rsidRDefault="00534FB5" w:rsidP="006F55A9">
            <w:pPr>
              <w:pStyle w:val="11"/>
              <w:spacing w:line="240" w:lineRule="atLeast"/>
              <w:ind w:left="0"/>
              <w:contextualSpacing w:val="0"/>
            </w:pPr>
            <w:r w:rsidRPr="00A47441">
              <w:t>-</w:t>
            </w:r>
          </w:p>
        </w:tc>
        <w:tc>
          <w:tcPr>
            <w:tcW w:w="602" w:type="pct"/>
          </w:tcPr>
          <w:p w:rsidR="00534FB5" w:rsidRPr="00A47441" w:rsidRDefault="00534FB5" w:rsidP="006F55A9">
            <w:pPr>
              <w:pStyle w:val="11"/>
              <w:spacing w:line="240" w:lineRule="atLeast"/>
              <w:ind w:left="0"/>
              <w:contextualSpacing w:val="0"/>
            </w:pPr>
            <w:r w:rsidRPr="00A47441">
              <w:t>-</w:t>
            </w:r>
          </w:p>
        </w:tc>
      </w:tr>
    </w:tbl>
    <w:p w:rsidR="00534FB5" w:rsidRDefault="00534FB5" w:rsidP="00534FB5">
      <w:pPr>
        <w:tabs>
          <w:tab w:val="left" w:pos="4253"/>
        </w:tabs>
        <w:ind w:firstLine="567"/>
      </w:pPr>
    </w:p>
    <w:p w:rsidR="00534FB5" w:rsidRDefault="00534FB5" w:rsidP="00534FB5">
      <w:pPr>
        <w:ind w:firstLine="709"/>
        <w:contextualSpacing/>
      </w:pPr>
      <w:r>
        <w:t xml:space="preserve">Так, </w:t>
      </w:r>
      <w:r w:rsidRPr="00EC114D">
        <w:t>у дітей ОГ було виявлено, що кіль</w:t>
      </w:r>
      <w:r>
        <w:t>кість зубів, уражених початковим</w:t>
      </w:r>
      <w:r w:rsidRPr="00EC114D">
        <w:t xml:space="preserve"> та глибоким карієсом</w:t>
      </w:r>
      <w:r>
        <w:t>,</w:t>
      </w:r>
      <w:r w:rsidRPr="00EC114D">
        <w:t xml:space="preserve"> </w:t>
      </w:r>
      <w:r>
        <w:t>з віком зростала:</w:t>
      </w:r>
      <w:r w:rsidRPr="00EC114D">
        <w:t xml:space="preserve"> у 11-12</w:t>
      </w:r>
      <w:r>
        <w:t>-</w:t>
      </w:r>
      <w:r w:rsidRPr="00EC114D">
        <w:t>річних дітей початкове та глибоке</w:t>
      </w:r>
      <w:r>
        <w:t xml:space="preserve"> </w:t>
      </w:r>
      <w:r w:rsidRPr="00EC114D">
        <w:t>ураження каріозним процесом зубів виявлялос</w:t>
      </w:r>
      <w:r>
        <w:t>я</w:t>
      </w:r>
      <w:r w:rsidRPr="00EC114D">
        <w:t xml:space="preserve"> у 1,9</w:t>
      </w:r>
      <w:r>
        <w:t xml:space="preserve"> раза </w:t>
      </w:r>
      <w:r w:rsidRPr="00EC114D">
        <w:t xml:space="preserve">та </w:t>
      </w:r>
      <w:r>
        <w:t xml:space="preserve">в </w:t>
      </w:r>
      <w:r w:rsidRPr="00EC114D">
        <w:t>1,5</w:t>
      </w:r>
      <w:r>
        <w:t> </w:t>
      </w:r>
      <w:r w:rsidRPr="00EC114D">
        <w:t>раз</w:t>
      </w:r>
      <w:r>
        <w:t>а</w:t>
      </w:r>
      <w:r w:rsidRPr="00EC114D">
        <w:t xml:space="preserve"> частіше</w:t>
      </w:r>
      <w:r>
        <w:t>,</w:t>
      </w:r>
      <w:r w:rsidRPr="00EC114D">
        <w:t xml:space="preserve"> порівняно з 7-8</w:t>
      </w:r>
      <w:r>
        <w:t>-</w:t>
      </w:r>
      <w:r w:rsidRPr="00EC114D">
        <w:t>річними дітьми</w:t>
      </w:r>
      <w:r>
        <w:t>;</w:t>
      </w:r>
      <w:r w:rsidRPr="00EC114D">
        <w:t xml:space="preserve"> в подальшому ці показники значною мірою не знижува</w:t>
      </w:r>
      <w:r>
        <w:t>лися. У 4 % 7-8-річних ДВГ виявлено</w:t>
      </w:r>
      <w:r w:rsidRPr="00EC114D">
        <w:t xml:space="preserve"> поверхневе уражен</w:t>
      </w:r>
      <w:r>
        <w:t>ня зубів каріозним процесом. У</w:t>
      </w:r>
      <w:r w:rsidRPr="00EC114D">
        <w:t xml:space="preserve"> </w:t>
      </w:r>
      <w:r>
        <w:t>середній та старшій</w:t>
      </w:r>
      <w:r w:rsidRPr="00EC114D">
        <w:t xml:space="preserve"> вікових групах</w:t>
      </w:r>
      <w:r w:rsidRPr="005C6301">
        <w:t xml:space="preserve"> не було виявлено жодного випадку локалізації ка</w:t>
      </w:r>
      <w:r>
        <w:t>ріозного процесу в емалі зубів. У той же час у</w:t>
      </w:r>
      <w:r w:rsidRPr="005C6301">
        <w:t xml:space="preserve"> </w:t>
      </w:r>
      <w:r>
        <w:t>ДВГ</w:t>
      </w:r>
      <w:r w:rsidRPr="005C6301">
        <w:t xml:space="preserve"> з віком </w:t>
      </w:r>
      <w:r>
        <w:t>відзначено</w:t>
      </w:r>
      <w:r w:rsidRPr="005C6301">
        <w:t xml:space="preserve"> зменшення випадків</w:t>
      </w:r>
      <w:r>
        <w:t xml:space="preserve"> пошир</w:t>
      </w:r>
      <w:r w:rsidRPr="005C6301">
        <w:t xml:space="preserve">еності ускладненого плину каріозного процесу за рахунок </w:t>
      </w:r>
      <w:r w:rsidR="00004D15" w:rsidRPr="00004D15">
        <w:rPr>
          <w:lang w:val="ru-RU"/>
        </w:rPr>
        <w:t>фізіологічної зміни зубів</w:t>
      </w:r>
      <w:r w:rsidRPr="005C6301">
        <w:t>.</w:t>
      </w:r>
    </w:p>
    <w:p w:rsidR="00534FB5" w:rsidRPr="004939CE" w:rsidRDefault="00534FB5" w:rsidP="00534FB5">
      <w:pPr>
        <w:tabs>
          <w:tab w:val="left" w:pos="4253"/>
        </w:tabs>
        <w:ind w:firstLine="567"/>
      </w:pPr>
      <w:r w:rsidRPr="004939CE">
        <w:lastRenderedPageBreak/>
        <w:t>Крім того, несприятли</w:t>
      </w:r>
      <w:r>
        <w:t>вим показником у групі ДВГ було</w:t>
      </w:r>
      <w:r w:rsidRPr="004939CE">
        <w:t xml:space="preserve"> зростання відсотк</w:t>
      </w:r>
      <w:r>
        <w:t>а</w:t>
      </w:r>
      <w:r w:rsidRPr="004939CE">
        <w:t xml:space="preserve"> ускладненого карієсу постійних зубів. Так у 7-8</w:t>
      </w:r>
      <w:r>
        <w:t>-</w:t>
      </w:r>
      <w:r w:rsidRPr="004939CE">
        <w:t>річних дітей не було виявлено жодного випадку ускладненого карієсу постійних зубів</w:t>
      </w:r>
      <w:r>
        <w:t xml:space="preserve"> проти</w:t>
      </w:r>
      <w:r w:rsidRPr="004939CE">
        <w:t xml:space="preserve"> 12</w:t>
      </w:r>
      <w:r>
        <w:t xml:space="preserve"> % – у групі ДВГ 14-15 </w:t>
      </w:r>
      <w:r w:rsidRPr="004939CE">
        <w:t>років</w:t>
      </w:r>
      <w:r>
        <w:t>.</w:t>
      </w:r>
      <w:r w:rsidRPr="004939CE">
        <w:t xml:space="preserve"> Натомість у всіх вікових групах дітей без вад слуху не було виявлено жодного випадку ускладнення карієсу постійних зубів.</w:t>
      </w:r>
      <w:r>
        <w:t xml:space="preserve"> Також у </w:t>
      </w:r>
      <w:r w:rsidRPr="004939CE">
        <w:t xml:space="preserve">дітей КГ не </w:t>
      </w:r>
      <w:r>
        <w:t>простежувалося</w:t>
      </w:r>
      <w:r w:rsidRPr="004939CE">
        <w:t xml:space="preserve"> залежності розподілу каріозних порожнин за глибиною ураження твердих тканин зубів від віку</w:t>
      </w:r>
      <w:r>
        <w:t xml:space="preserve"> (табл. 3.2.7)</w:t>
      </w:r>
      <w:r w:rsidRPr="004939CE">
        <w:t>.</w:t>
      </w:r>
    </w:p>
    <w:p w:rsidR="00534FB5" w:rsidRDefault="00534FB5" w:rsidP="00534FB5">
      <w:pPr>
        <w:tabs>
          <w:tab w:val="left" w:pos="4253"/>
        </w:tabs>
        <w:ind w:firstLine="567"/>
      </w:pPr>
      <w:r w:rsidRPr="004939CE">
        <w:t>Нас</w:t>
      </w:r>
      <w:r>
        <w:t xml:space="preserve">тупним етапом було дослідження </w:t>
      </w:r>
      <w:r w:rsidRPr="004939CE">
        <w:t>і</w:t>
      </w:r>
      <w:r w:rsidRPr="004939CE">
        <w:rPr>
          <w:color w:val="000000"/>
        </w:rPr>
        <w:t>нтенсивності карієсу за показниками КПВз+кпз та КПВз у дітей ОГ та КГ</w:t>
      </w:r>
      <w:r>
        <w:rPr>
          <w:color w:val="000000"/>
        </w:rPr>
        <w:t xml:space="preserve"> (табл. 3.2.8)</w:t>
      </w:r>
      <w:r w:rsidRPr="004939CE">
        <w:rPr>
          <w:color w:val="000000"/>
        </w:rPr>
        <w:t>.</w:t>
      </w:r>
      <w:r>
        <w:rPr>
          <w:color w:val="000000"/>
        </w:rPr>
        <w:t xml:space="preserve"> </w:t>
      </w:r>
    </w:p>
    <w:p w:rsidR="00534FB5" w:rsidRPr="00BD00E1" w:rsidRDefault="00534FB5" w:rsidP="00534FB5">
      <w:pPr>
        <w:tabs>
          <w:tab w:val="left" w:pos="4253"/>
        </w:tabs>
        <w:ind w:firstLine="567"/>
        <w:jc w:val="right"/>
        <w:rPr>
          <w:i/>
        </w:rPr>
      </w:pPr>
      <w:r w:rsidRPr="00BD00E1">
        <w:rPr>
          <w:i/>
        </w:rPr>
        <w:t>Т</w:t>
      </w:r>
      <w:r>
        <w:rPr>
          <w:i/>
        </w:rPr>
        <w:t>аблиця 3.2.8</w:t>
      </w:r>
    </w:p>
    <w:p w:rsidR="00534FB5" w:rsidRPr="001775AE" w:rsidRDefault="00534FB5" w:rsidP="00534FB5">
      <w:pPr>
        <w:tabs>
          <w:tab w:val="left" w:pos="4253"/>
        </w:tabs>
        <w:jc w:val="center"/>
        <w:rPr>
          <w:b/>
        </w:rPr>
      </w:pPr>
      <w:r w:rsidRPr="001775AE">
        <w:rPr>
          <w:b/>
        </w:rPr>
        <w:t>Показники</w:t>
      </w:r>
      <w:r>
        <w:rPr>
          <w:b/>
        </w:rPr>
        <w:t xml:space="preserve"> </w:t>
      </w:r>
      <w:r w:rsidRPr="001775AE">
        <w:rPr>
          <w:b/>
        </w:rPr>
        <w:t>інтенсивності карієсу зубів за індексом</w:t>
      </w:r>
      <w:r>
        <w:rPr>
          <w:b/>
        </w:rPr>
        <w:t xml:space="preserve"> </w:t>
      </w:r>
      <w:r w:rsidRPr="001775AE">
        <w:rPr>
          <w:b/>
        </w:rPr>
        <w:t>КПВз+кпз та КПВз</w:t>
      </w:r>
      <w:r>
        <w:rPr>
          <w:b/>
        </w:rPr>
        <w:t xml:space="preserve"> </w:t>
      </w:r>
      <w:r w:rsidRPr="001775AE">
        <w:rPr>
          <w:b/>
        </w:rPr>
        <w:t>у дітей основної та контрольної груп до проведення лікувально-профілактичних заходів, (M±m)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522"/>
        <w:gridCol w:w="1767"/>
        <w:gridCol w:w="881"/>
        <w:gridCol w:w="718"/>
        <w:gridCol w:w="1755"/>
        <w:gridCol w:w="879"/>
        <w:gridCol w:w="526"/>
        <w:gridCol w:w="1771"/>
      </w:tblGrid>
      <w:tr w:rsidR="00534FB5" w:rsidRPr="001775AE" w:rsidTr="00534FB5">
        <w:tc>
          <w:tcPr>
            <w:tcW w:w="393" w:type="pct"/>
          </w:tcPr>
          <w:p w:rsidR="00534FB5" w:rsidRPr="001775AE" w:rsidRDefault="00534FB5" w:rsidP="00534FB5">
            <w:pPr>
              <w:tabs>
                <w:tab w:val="left" w:pos="4253"/>
              </w:tabs>
              <w:spacing w:line="240" w:lineRule="atLeast"/>
              <w:contextualSpacing/>
              <w:jc w:val="center"/>
            </w:pPr>
            <w:r w:rsidRPr="001775AE">
              <w:t>Гру</w:t>
            </w:r>
            <w:r>
              <w:t>-</w:t>
            </w:r>
            <w:r w:rsidRPr="001775AE">
              <w:t>па</w:t>
            </w:r>
          </w:p>
        </w:tc>
        <w:tc>
          <w:tcPr>
            <w:tcW w:w="273" w:type="pct"/>
          </w:tcPr>
          <w:p w:rsidR="00534FB5" w:rsidRPr="001775AE" w:rsidRDefault="00534FB5" w:rsidP="00534FB5">
            <w:pPr>
              <w:tabs>
                <w:tab w:val="left" w:pos="4253"/>
              </w:tabs>
              <w:spacing w:line="240" w:lineRule="atLeast"/>
              <w:contextualSpacing/>
              <w:jc w:val="center"/>
            </w:pPr>
            <w:r w:rsidRPr="001775AE">
              <w:t>N</w:t>
            </w:r>
          </w:p>
        </w:tc>
        <w:tc>
          <w:tcPr>
            <w:tcW w:w="923" w:type="pct"/>
          </w:tcPr>
          <w:p w:rsidR="00534FB5" w:rsidRPr="001775AE" w:rsidRDefault="00534FB5" w:rsidP="00534FB5">
            <w:pPr>
              <w:tabs>
                <w:tab w:val="left" w:pos="4253"/>
              </w:tabs>
              <w:spacing w:line="240" w:lineRule="atLeast"/>
              <w:contextualSpacing/>
              <w:jc w:val="center"/>
            </w:pPr>
            <w:r w:rsidRPr="001775AE">
              <w:t>Інтенсив</w:t>
            </w:r>
            <w:r>
              <w:t>-</w:t>
            </w:r>
            <w:r w:rsidRPr="001775AE">
              <w:t>ність, M±m</w:t>
            </w:r>
          </w:p>
        </w:tc>
        <w:tc>
          <w:tcPr>
            <w:tcW w:w="460" w:type="pct"/>
            <w:tcBorders>
              <w:right w:val="single" w:sz="4" w:space="0" w:color="auto"/>
            </w:tcBorders>
          </w:tcPr>
          <w:p w:rsidR="00534FB5" w:rsidRPr="001775AE" w:rsidRDefault="00534FB5" w:rsidP="00534FB5">
            <w:pPr>
              <w:tabs>
                <w:tab w:val="left" w:pos="4253"/>
              </w:tabs>
              <w:spacing w:line="240" w:lineRule="atLeast"/>
              <w:contextualSpacing/>
              <w:jc w:val="center"/>
            </w:pPr>
            <w:r w:rsidRPr="001775AE">
              <w:t>Гру</w:t>
            </w:r>
            <w:r>
              <w:t>-</w:t>
            </w:r>
            <w:r w:rsidRPr="001775AE">
              <w:t>па</w:t>
            </w:r>
          </w:p>
        </w:tc>
        <w:tc>
          <w:tcPr>
            <w:tcW w:w="375" w:type="pct"/>
            <w:tcBorders>
              <w:left w:val="single" w:sz="4" w:space="0" w:color="auto"/>
            </w:tcBorders>
          </w:tcPr>
          <w:p w:rsidR="00534FB5" w:rsidRPr="001775AE" w:rsidRDefault="00534FB5" w:rsidP="00534FB5">
            <w:pPr>
              <w:tabs>
                <w:tab w:val="left" w:pos="4253"/>
              </w:tabs>
              <w:spacing w:line="240" w:lineRule="atLeast"/>
              <w:contextualSpacing/>
              <w:jc w:val="center"/>
            </w:pPr>
            <w:r w:rsidRPr="001775AE">
              <w:t>N</w:t>
            </w:r>
          </w:p>
        </w:tc>
        <w:tc>
          <w:tcPr>
            <w:tcW w:w="917" w:type="pct"/>
            <w:tcBorders>
              <w:left w:val="single" w:sz="4" w:space="0" w:color="auto"/>
              <w:right w:val="single" w:sz="4" w:space="0" w:color="auto"/>
            </w:tcBorders>
          </w:tcPr>
          <w:p w:rsidR="00534FB5" w:rsidRPr="001775AE" w:rsidRDefault="00534FB5" w:rsidP="00534FB5">
            <w:pPr>
              <w:tabs>
                <w:tab w:val="left" w:pos="4253"/>
              </w:tabs>
              <w:spacing w:line="240" w:lineRule="atLeast"/>
              <w:contextualSpacing/>
              <w:jc w:val="center"/>
            </w:pPr>
            <w:r w:rsidRPr="001775AE">
              <w:t>Інтенсив</w:t>
            </w:r>
            <w:r>
              <w:t>-</w:t>
            </w:r>
            <w:r w:rsidRPr="001775AE">
              <w:t>ність, M±m</w:t>
            </w:r>
          </w:p>
        </w:tc>
        <w:tc>
          <w:tcPr>
            <w:tcW w:w="459" w:type="pct"/>
            <w:tcBorders>
              <w:left w:val="single" w:sz="4" w:space="0" w:color="auto"/>
              <w:right w:val="single" w:sz="4" w:space="0" w:color="auto"/>
            </w:tcBorders>
          </w:tcPr>
          <w:p w:rsidR="00534FB5" w:rsidRPr="001775AE" w:rsidRDefault="00534FB5" w:rsidP="00534FB5">
            <w:pPr>
              <w:tabs>
                <w:tab w:val="left" w:pos="4253"/>
              </w:tabs>
              <w:spacing w:line="240" w:lineRule="atLeast"/>
              <w:contextualSpacing/>
              <w:jc w:val="center"/>
            </w:pPr>
            <w:r w:rsidRPr="001775AE">
              <w:t>Гру</w:t>
            </w:r>
            <w:r>
              <w:t>-</w:t>
            </w:r>
            <w:r w:rsidRPr="001775AE">
              <w:t>па</w:t>
            </w:r>
          </w:p>
        </w:tc>
        <w:tc>
          <w:tcPr>
            <w:tcW w:w="275" w:type="pct"/>
            <w:tcBorders>
              <w:left w:val="single" w:sz="4" w:space="0" w:color="auto"/>
              <w:right w:val="single" w:sz="4" w:space="0" w:color="auto"/>
            </w:tcBorders>
          </w:tcPr>
          <w:p w:rsidR="00534FB5" w:rsidRPr="001775AE" w:rsidRDefault="00534FB5" w:rsidP="00534FB5">
            <w:pPr>
              <w:tabs>
                <w:tab w:val="left" w:pos="4253"/>
              </w:tabs>
              <w:spacing w:line="240" w:lineRule="atLeast"/>
              <w:contextualSpacing/>
              <w:jc w:val="center"/>
            </w:pPr>
            <w:r w:rsidRPr="001775AE">
              <w:t>N</w:t>
            </w:r>
          </w:p>
        </w:tc>
        <w:tc>
          <w:tcPr>
            <w:tcW w:w="925" w:type="pct"/>
            <w:tcBorders>
              <w:left w:val="single" w:sz="4" w:space="0" w:color="auto"/>
            </w:tcBorders>
          </w:tcPr>
          <w:p w:rsidR="00534FB5" w:rsidRPr="001775AE" w:rsidRDefault="00534FB5" w:rsidP="00534FB5">
            <w:pPr>
              <w:tabs>
                <w:tab w:val="left" w:pos="4253"/>
              </w:tabs>
              <w:spacing w:line="240" w:lineRule="atLeast"/>
              <w:contextualSpacing/>
              <w:jc w:val="center"/>
            </w:pPr>
            <w:r w:rsidRPr="001775AE">
              <w:t>Інтенсив</w:t>
            </w:r>
            <w:r>
              <w:t>-</w:t>
            </w:r>
            <w:r w:rsidRPr="001775AE">
              <w:t>ність, M±m</w:t>
            </w:r>
          </w:p>
        </w:tc>
      </w:tr>
      <w:tr w:rsidR="00534FB5" w:rsidRPr="001E7C90" w:rsidTr="00534FB5">
        <w:tc>
          <w:tcPr>
            <w:tcW w:w="393" w:type="pct"/>
          </w:tcPr>
          <w:p w:rsidR="00534FB5" w:rsidRPr="00AE5179" w:rsidRDefault="00534FB5" w:rsidP="00534FB5">
            <w:pPr>
              <w:tabs>
                <w:tab w:val="left" w:pos="4253"/>
              </w:tabs>
              <w:spacing w:line="240" w:lineRule="atLeast"/>
              <w:contextualSpacing/>
            </w:pPr>
            <w:r w:rsidRPr="00AE5179">
              <w:t>КГ1</w:t>
            </w:r>
          </w:p>
        </w:tc>
        <w:tc>
          <w:tcPr>
            <w:tcW w:w="273" w:type="pct"/>
          </w:tcPr>
          <w:p w:rsidR="00534FB5" w:rsidRPr="00AE5179" w:rsidRDefault="00534FB5" w:rsidP="00534FB5">
            <w:pPr>
              <w:tabs>
                <w:tab w:val="left" w:pos="4253"/>
              </w:tabs>
              <w:spacing w:line="240" w:lineRule="atLeast"/>
              <w:contextualSpacing/>
            </w:pPr>
            <w:r w:rsidRPr="00AE5179">
              <w:t>10</w:t>
            </w:r>
          </w:p>
        </w:tc>
        <w:tc>
          <w:tcPr>
            <w:tcW w:w="923" w:type="pct"/>
          </w:tcPr>
          <w:p w:rsidR="00534FB5" w:rsidRPr="00AE5179" w:rsidRDefault="00534FB5" w:rsidP="00534FB5">
            <w:pPr>
              <w:tabs>
                <w:tab w:val="left" w:pos="4253"/>
              </w:tabs>
              <w:spacing w:line="240" w:lineRule="atLeast"/>
              <w:contextualSpacing/>
            </w:pPr>
            <w:r w:rsidRPr="00AE5179">
              <w:t>2,60±0,15**</w:t>
            </w:r>
          </w:p>
        </w:tc>
        <w:tc>
          <w:tcPr>
            <w:tcW w:w="460" w:type="pct"/>
            <w:tcBorders>
              <w:right w:val="single" w:sz="4" w:space="0" w:color="auto"/>
            </w:tcBorders>
          </w:tcPr>
          <w:p w:rsidR="00534FB5" w:rsidRPr="00AE5179" w:rsidRDefault="00534FB5" w:rsidP="00534FB5">
            <w:pPr>
              <w:tabs>
                <w:tab w:val="left" w:pos="4253"/>
              </w:tabs>
              <w:spacing w:line="240" w:lineRule="atLeast"/>
              <w:contextualSpacing/>
            </w:pPr>
            <w:r w:rsidRPr="00AE5179">
              <w:t>КГ2</w:t>
            </w:r>
          </w:p>
        </w:tc>
        <w:tc>
          <w:tcPr>
            <w:tcW w:w="375" w:type="pct"/>
            <w:tcBorders>
              <w:left w:val="single" w:sz="4" w:space="0" w:color="auto"/>
            </w:tcBorders>
          </w:tcPr>
          <w:p w:rsidR="00534FB5" w:rsidRPr="00AE5179" w:rsidRDefault="00534FB5" w:rsidP="00534FB5">
            <w:pPr>
              <w:tabs>
                <w:tab w:val="left" w:pos="4253"/>
              </w:tabs>
              <w:spacing w:line="240" w:lineRule="atLeast"/>
              <w:contextualSpacing/>
            </w:pPr>
            <w:r w:rsidRPr="00AE5179">
              <w:t>10</w:t>
            </w:r>
          </w:p>
        </w:tc>
        <w:tc>
          <w:tcPr>
            <w:tcW w:w="917"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1,60±0,14**</w:t>
            </w:r>
          </w:p>
        </w:tc>
        <w:tc>
          <w:tcPr>
            <w:tcW w:w="459"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КГ3</w:t>
            </w:r>
          </w:p>
        </w:tc>
        <w:tc>
          <w:tcPr>
            <w:tcW w:w="275"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12</w:t>
            </w:r>
          </w:p>
        </w:tc>
        <w:tc>
          <w:tcPr>
            <w:tcW w:w="925" w:type="pct"/>
            <w:tcBorders>
              <w:left w:val="single" w:sz="4" w:space="0" w:color="auto"/>
            </w:tcBorders>
          </w:tcPr>
          <w:p w:rsidR="00534FB5" w:rsidRPr="00AE5179" w:rsidRDefault="00534FB5" w:rsidP="00534FB5">
            <w:pPr>
              <w:tabs>
                <w:tab w:val="left" w:pos="4253"/>
              </w:tabs>
              <w:spacing w:line="240" w:lineRule="atLeast"/>
              <w:contextualSpacing/>
            </w:pPr>
            <w:r w:rsidRPr="00AE5179">
              <w:t>1,50±0,10***</w:t>
            </w:r>
          </w:p>
        </w:tc>
      </w:tr>
      <w:tr w:rsidR="00534FB5" w:rsidRPr="001E7C90" w:rsidTr="00534FB5">
        <w:tc>
          <w:tcPr>
            <w:tcW w:w="393" w:type="pct"/>
          </w:tcPr>
          <w:p w:rsidR="00534FB5" w:rsidRPr="00AE5179" w:rsidRDefault="00534FB5" w:rsidP="00534FB5">
            <w:pPr>
              <w:tabs>
                <w:tab w:val="left" w:pos="4253"/>
              </w:tabs>
              <w:spacing w:line="240" w:lineRule="atLeast"/>
              <w:contextualSpacing/>
            </w:pPr>
            <w:r w:rsidRPr="00AE5179">
              <w:t>ОГ1</w:t>
            </w:r>
          </w:p>
        </w:tc>
        <w:tc>
          <w:tcPr>
            <w:tcW w:w="273" w:type="pct"/>
          </w:tcPr>
          <w:p w:rsidR="00534FB5" w:rsidRPr="00AE5179" w:rsidRDefault="00534FB5" w:rsidP="00534FB5">
            <w:pPr>
              <w:tabs>
                <w:tab w:val="left" w:pos="4253"/>
              </w:tabs>
              <w:spacing w:line="240" w:lineRule="atLeast"/>
              <w:contextualSpacing/>
            </w:pPr>
            <w:r w:rsidRPr="00AE5179">
              <w:t>23</w:t>
            </w:r>
          </w:p>
        </w:tc>
        <w:tc>
          <w:tcPr>
            <w:tcW w:w="923" w:type="pct"/>
          </w:tcPr>
          <w:p w:rsidR="00534FB5" w:rsidRPr="00AE5179" w:rsidRDefault="00534FB5" w:rsidP="00534FB5">
            <w:pPr>
              <w:tabs>
                <w:tab w:val="left" w:pos="4253"/>
              </w:tabs>
              <w:spacing w:line="240" w:lineRule="atLeast"/>
              <w:contextualSpacing/>
            </w:pPr>
            <w:r w:rsidRPr="00AE5179">
              <w:t>5,48±0,17**</w:t>
            </w:r>
          </w:p>
        </w:tc>
        <w:tc>
          <w:tcPr>
            <w:tcW w:w="460" w:type="pct"/>
            <w:tcBorders>
              <w:right w:val="single" w:sz="4" w:space="0" w:color="auto"/>
            </w:tcBorders>
          </w:tcPr>
          <w:p w:rsidR="00534FB5" w:rsidRPr="00AE5179" w:rsidRDefault="00534FB5" w:rsidP="00534FB5">
            <w:pPr>
              <w:tabs>
                <w:tab w:val="left" w:pos="4253"/>
              </w:tabs>
              <w:spacing w:line="240" w:lineRule="atLeast"/>
              <w:contextualSpacing/>
            </w:pPr>
            <w:r w:rsidRPr="00AE5179">
              <w:t>ОГ2</w:t>
            </w:r>
          </w:p>
        </w:tc>
        <w:tc>
          <w:tcPr>
            <w:tcW w:w="375" w:type="pct"/>
            <w:tcBorders>
              <w:left w:val="single" w:sz="4" w:space="0" w:color="auto"/>
            </w:tcBorders>
          </w:tcPr>
          <w:p w:rsidR="00534FB5" w:rsidRPr="00AE5179" w:rsidRDefault="00534FB5" w:rsidP="00534FB5">
            <w:pPr>
              <w:tabs>
                <w:tab w:val="left" w:pos="4253"/>
              </w:tabs>
              <w:spacing w:line="240" w:lineRule="atLeast"/>
              <w:contextualSpacing/>
            </w:pPr>
            <w:r w:rsidRPr="00AE5179">
              <w:t>21</w:t>
            </w:r>
          </w:p>
        </w:tc>
        <w:tc>
          <w:tcPr>
            <w:tcW w:w="917"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4,10±0,13**</w:t>
            </w:r>
          </w:p>
        </w:tc>
        <w:tc>
          <w:tcPr>
            <w:tcW w:w="459"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ОГ3</w:t>
            </w:r>
          </w:p>
        </w:tc>
        <w:tc>
          <w:tcPr>
            <w:tcW w:w="275" w:type="pct"/>
            <w:tcBorders>
              <w:left w:val="single" w:sz="4" w:space="0" w:color="auto"/>
              <w:right w:val="single" w:sz="4" w:space="0" w:color="auto"/>
            </w:tcBorders>
          </w:tcPr>
          <w:p w:rsidR="00534FB5" w:rsidRPr="00AE5179" w:rsidRDefault="00534FB5" w:rsidP="00534FB5">
            <w:pPr>
              <w:tabs>
                <w:tab w:val="left" w:pos="4253"/>
              </w:tabs>
              <w:spacing w:line="240" w:lineRule="atLeast"/>
              <w:contextualSpacing/>
            </w:pPr>
            <w:r w:rsidRPr="00AE5179">
              <w:t>26</w:t>
            </w:r>
          </w:p>
        </w:tc>
        <w:tc>
          <w:tcPr>
            <w:tcW w:w="925" w:type="pct"/>
            <w:tcBorders>
              <w:left w:val="single" w:sz="4" w:space="0" w:color="auto"/>
            </w:tcBorders>
          </w:tcPr>
          <w:p w:rsidR="00534FB5" w:rsidRPr="00AE5179" w:rsidRDefault="00534FB5" w:rsidP="00534FB5">
            <w:pPr>
              <w:tabs>
                <w:tab w:val="left" w:pos="4253"/>
              </w:tabs>
              <w:spacing w:line="240" w:lineRule="atLeast"/>
              <w:contextualSpacing/>
            </w:pPr>
            <w:r w:rsidRPr="00AE5179">
              <w:t>4,35±0,13***</w:t>
            </w:r>
          </w:p>
        </w:tc>
      </w:tr>
    </w:tbl>
    <w:p w:rsidR="00534FB5" w:rsidRPr="00004D15" w:rsidRDefault="00534FB5" w:rsidP="00534FB5">
      <w:pPr>
        <w:tabs>
          <w:tab w:val="left" w:pos="4253"/>
        </w:tabs>
        <w:spacing w:line="240" w:lineRule="auto"/>
        <w:ind w:left="-142"/>
        <w:rPr>
          <w:sz w:val="16"/>
          <w:szCs w:val="20"/>
        </w:rPr>
      </w:pPr>
      <w:r w:rsidRPr="00004D15">
        <w:rPr>
          <w:sz w:val="22"/>
        </w:rPr>
        <w:t>Примітка. Р</w:t>
      </w:r>
      <w:r w:rsidRPr="00004D15">
        <w:rPr>
          <w:sz w:val="22"/>
          <w:vertAlign w:val="subscript"/>
        </w:rPr>
        <w:t xml:space="preserve"> </w:t>
      </w:r>
      <w:r w:rsidR="00E24A5E" w:rsidRPr="00435332">
        <w:rPr>
          <w:sz w:val="22"/>
        </w:rPr>
        <w:t>–</w:t>
      </w:r>
      <w:r w:rsidR="00A60596" w:rsidRPr="00004D15">
        <w:rPr>
          <w:sz w:val="22"/>
        </w:rPr>
        <w:t xml:space="preserve"> </w:t>
      </w:r>
      <w:r w:rsidRPr="00004D15">
        <w:rPr>
          <w:sz w:val="22"/>
        </w:rPr>
        <w:t>показник вірогідних відмінностей результатів між КГ і ОГ (* – Р &gt; 0,05, ** – Р&lt;0,05, *** – Р&lt;0,01).</w:t>
      </w:r>
      <w:r w:rsidRPr="00004D15">
        <w:rPr>
          <w:sz w:val="16"/>
          <w:szCs w:val="20"/>
          <w:highlight w:val="green"/>
        </w:rPr>
        <w:t xml:space="preserve"> </w:t>
      </w:r>
    </w:p>
    <w:p w:rsidR="00534FB5" w:rsidRDefault="00534FB5" w:rsidP="00534FB5">
      <w:pPr>
        <w:tabs>
          <w:tab w:val="left" w:pos="4253"/>
        </w:tabs>
        <w:ind w:firstLine="567"/>
        <w:rPr>
          <w:color w:val="000000"/>
        </w:rPr>
      </w:pPr>
    </w:p>
    <w:p w:rsidR="00534FB5" w:rsidRDefault="00534FB5" w:rsidP="00534FB5">
      <w:pPr>
        <w:tabs>
          <w:tab w:val="left" w:pos="4253"/>
        </w:tabs>
        <w:ind w:firstLine="567"/>
        <w:rPr>
          <w:color w:val="000000"/>
        </w:rPr>
      </w:pPr>
      <w:r w:rsidRPr="004939CE">
        <w:rPr>
          <w:color w:val="000000"/>
        </w:rPr>
        <w:t>Порівнюючи інтенсивність карієсу в ОГ1, ОГ2, ОГ3 та КГ1, КГ2</w:t>
      </w:r>
      <w:r>
        <w:rPr>
          <w:color w:val="000000"/>
        </w:rPr>
        <w:t>,</w:t>
      </w:r>
      <w:r w:rsidRPr="004939CE">
        <w:rPr>
          <w:color w:val="000000"/>
        </w:rPr>
        <w:t xml:space="preserve"> КГ3 можна зазначити, що цей пока</w:t>
      </w:r>
      <w:r>
        <w:rPr>
          <w:color w:val="000000"/>
        </w:rPr>
        <w:t xml:space="preserve">зник був вищий у групі дітей </w:t>
      </w:r>
      <w:r w:rsidR="006C493E">
        <w:rPr>
          <w:color w:val="000000"/>
        </w:rPr>
        <w:t>із вродженою</w:t>
      </w:r>
      <w:r w:rsidRPr="004939CE">
        <w:rPr>
          <w:color w:val="000000"/>
        </w:rPr>
        <w:t xml:space="preserve"> глухотою в 2,1</w:t>
      </w:r>
      <w:r>
        <w:rPr>
          <w:color w:val="000000"/>
        </w:rPr>
        <w:t xml:space="preserve"> раза </w:t>
      </w:r>
      <w:r w:rsidRPr="004939CE">
        <w:rPr>
          <w:color w:val="000000"/>
        </w:rPr>
        <w:t>(</w:t>
      </w:r>
      <w:r w:rsidRPr="004939CE">
        <w:t>Р</w:t>
      </w:r>
      <w:r>
        <w:t>&lt;</w:t>
      </w:r>
      <w:r w:rsidRPr="004939CE">
        <w:t>0,05)</w:t>
      </w:r>
      <w:r w:rsidRPr="004939CE">
        <w:rPr>
          <w:color w:val="000000"/>
        </w:rPr>
        <w:t>, 2,6</w:t>
      </w:r>
      <w:r>
        <w:rPr>
          <w:color w:val="000000"/>
        </w:rPr>
        <w:t xml:space="preserve"> раза </w:t>
      </w:r>
      <w:r w:rsidRPr="004939CE">
        <w:rPr>
          <w:color w:val="000000"/>
        </w:rPr>
        <w:t>(</w:t>
      </w:r>
      <w:r w:rsidRPr="004939CE">
        <w:t>Р</w:t>
      </w:r>
      <w:r>
        <w:t>&lt;</w:t>
      </w:r>
      <w:r w:rsidRPr="004939CE">
        <w:t>0,05</w:t>
      </w:r>
      <w:r w:rsidRPr="004939CE">
        <w:rPr>
          <w:color w:val="000000"/>
        </w:rPr>
        <w:t>) та 2,9</w:t>
      </w:r>
      <w:r>
        <w:rPr>
          <w:color w:val="000000"/>
        </w:rPr>
        <w:t xml:space="preserve"> раза </w:t>
      </w:r>
      <w:r w:rsidRPr="004939CE">
        <w:rPr>
          <w:color w:val="000000"/>
        </w:rPr>
        <w:t>(</w:t>
      </w:r>
      <w:r w:rsidRPr="004939CE">
        <w:t>Р</w:t>
      </w:r>
      <w:r>
        <w:t>&lt;</w:t>
      </w:r>
      <w:r w:rsidRPr="004939CE">
        <w:t>0,01)</w:t>
      </w:r>
      <w:r w:rsidRPr="004939CE">
        <w:rPr>
          <w:color w:val="000000"/>
        </w:rPr>
        <w:t xml:space="preserve"> відповідно</w:t>
      </w:r>
      <w:r>
        <w:rPr>
          <w:color w:val="000000"/>
        </w:rPr>
        <w:t>,</w:t>
      </w:r>
      <w:r w:rsidRPr="004939CE">
        <w:rPr>
          <w:color w:val="000000"/>
        </w:rPr>
        <w:t xml:space="preserve"> </w:t>
      </w:r>
      <w:r>
        <w:rPr>
          <w:color w:val="000000"/>
        </w:rPr>
        <w:t>щ</w:t>
      </w:r>
      <w:r w:rsidRPr="004939CE">
        <w:rPr>
          <w:color w:val="000000"/>
        </w:rPr>
        <w:t>о свідчить про більш високу інтенсивність каріозного процесу в групі діт</w:t>
      </w:r>
      <w:r>
        <w:rPr>
          <w:color w:val="000000"/>
        </w:rPr>
        <w:t>ей з особливими потребами (</w:t>
      </w:r>
      <w:r w:rsidRPr="004939CE">
        <w:rPr>
          <w:color w:val="000000"/>
        </w:rPr>
        <w:t>табл.</w:t>
      </w:r>
      <w:r>
        <w:rPr>
          <w:color w:val="000000"/>
        </w:rPr>
        <w:t> </w:t>
      </w:r>
      <w:r w:rsidRPr="004939CE">
        <w:rPr>
          <w:color w:val="000000"/>
        </w:rPr>
        <w:t>3</w:t>
      </w:r>
      <w:r>
        <w:rPr>
          <w:color w:val="000000"/>
        </w:rPr>
        <w:t>.2.8, рис. 3.2.6</w:t>
      </w:r>
      <w:r w:rsidRPr="004939CE">
        <w:rPr>
          <w:color w:val="000000"/>
        </w:rPr>
        <w:t>).</w:t>
      </w:r>
    </w:p>
    <w:p w:rsidR="00534FB5" w:rsidRDefault="00534FB5" w:rsidP="00534FB5">
      <w:pPr>
        <w:tabs>
          <w:tab w:val="left" w:pos="4253"/>
        </w:tabs>
        <w:ind w:firstLine="567"/>
        <w:rPr>
          <w:sz w:val="20"/>
          <w:szCs w:val="20"/>
        </w:rPr>
      </w:pPr>
      <w:r w:rsidRPr="001073C7">
        <w:t>Показники</w:t>
      </w:r>
      <w:r>
        <w:t xml:space="preserve"> </w:t>
      </w:r>
      <w:r w:rsidRPr="001073C7">
        <w:t>інтенсивності карієсу зубів за індексом</w:t>
      </w:r>
      <w:r>
        <w:t xml:space="preserve"> </w:t>
      </w:r>
      <w:r w:rsidRPr="001073C7">
        <w:t>КПВз+кпз, КПВз</w:t>
      </w:r>
      <w:r>
        <w:t xml:space="preserve"> </w:t>
      </w:r>
      <w:r w:rsidRPr="001073C7">
        <w:t>у дітей основної та контрольної груп до проведення лі</w:t>
      </w:r>
      <w:r>
        <w:t xml:space="preserve">кувально-профілактичних заходів представлено на </w:t>
      </w:r>
      <w:r>
        <w:rPr>
          <w:color w:val="000000"/>
        </w:rPr>
        <w:t>рисунку 3.2.6.</w:t>
      </w:r>
    </w:p>
    <w:p w:rsidR="00534FB5" w:rsidRDefault="00534FB5" w:rsidP="00534FB5">
      <w:pPr>
        <w:ind w:firstLine="709"/>
        <w:rPr>
          <w:noProof/>
        </w:rPr>
      </w:pPr>
    </w:p>
    <w:p w:rsidR="00534FB5" w:rsidRDefault="006C493E" w:rsidP="00534FB5">
      <w:pPr>
        <w:ind w:firstLine="709"/>
        <w:rPr>
          <w:noProof/>
        </w:rPr>
      </w:pPr>
      <w:r>
        <w:rPr>
          <w:noProof/>
          <w:lang w:val="ru-RU"/>
        </w:rPr>
        <w:lastRenderedPageBreak/>
        <w:drawing>
          <wp:inline distT="0" distB="0" distL="0" distR="0">
            <wp:extent cx="4844830" cy="2370510"/>
            <wp:effectExtent l="19050" t="0" r="1292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4FB5" w:rsidRPr="001073C7" w:rsidRDefault="00534FB5" w:rsidP="00534FB5">
      <w:pPr>
        <w:ind w:firstLine="567"/>
        <w:rPr>
          <w:noProof/>
        </w:rPr>
      </w:pPr>
      <w:r w:rsidRPr="009A5A11">
        <w:rPr>
          <w:noProof/>
        </w:rPr>
        <w:t>Рис.</w:t>
      </w:r>
      <w:r>
        <w:rPr>
          <w:noProof/>
        </w:rPr>
        <w:t xml:space="preserve"> 3.2.6. </w:t>
      </w:r>
      <w:r w:rsidRPr="001073C7">
        <w:t>Показники</w:t>
      </w:r>
      <w:r>
        <w:t xml:space="preserve"> </w:t>
      </w:r>
      <w:r w:rsidRPr="001073C7">
        <w:t>інтенсивності карієсу зубів за індексом</w:t>
      </w:r>
      <w:r>
        <w:t xml:space="preserve"> </w:t>
      </w:r>
      <w:r w:rsidRPr="001073C7">
        <w:t>КПВз+кпз, КПВз</w:t>
      </w:r>
      <w:r>
        <w:t xml:space="preserve"> </w:t>
      </w:r>
      <w:r w:rsidRPr="001073C7">
        <w:t xml:space="preserve">у дітей основної та контрольної груп до проведення лікувально-профілактичних заходів. </w:t>
      </w:r>
    </w:p>
    <w:p w:rsidR="00534FB5" w:rsidRDefault="00534FB5" w:rsidP="00534FB5">
      <w:pPr>
        <w:tabs>
          <w:tab w:val="left" w:pos="4253"/>
        </w:tabs>
        <w:ind w:firstLine="567"/>
      </w:pPr>
    </w:p>
    <w:p w:rsidR="00534FB5" w:rsidRPr="00C058FA" w:rsidRDefault="00534FB5" w:rsidP="00534FB5">
      <w:pPr>
        <w:tabs>
          <w:tab w:val="left" w:pos="4253"/>
        </w:tabs>
        <w:ind w:firstLine="567"/>
      </w:pPr>
      <w:r>
        <w:t>У</w:t>
      </w:r>
      <w:r w:rsidRPr="001100FA">
        <w:t>се перераховане вище свідчить про недостатність та неефективність заходів лікування т</w:t>
      </w:r>
      <w:r>
        <w:t xml:space="preserve">а профілактики в групі дітей </w:t>
      </w:r>
      <w:r w:rsidR="006C493E">
        <w:t>із вродженою</w:t>
      </w:r>
      <w:r w:rsidRPr="001100FA">
        <w:t xml:space="preserve"> глухотою, з одного боку, і зниження рівня резистентності організму дітей</w:t>
      </w:r>
      <w:r>
        <w:t xml:space="preserve"> – </w:t>
      </w:r>
      <w:r w:rsidRPr="001100FA">
        <w:t xml:space="preserve">з </w:t>
      </w:r>
      <w:r>
        <w:t>друг</w:t>
      </w:r>
      <w:r w:rsidRPr="001100FA">
        <w:t xml:space="preserve">ого. </w:t>
      </w:r>
    </w:p>
    <w:p w:rsidR="00534FB5" w:rsidRPr="001073C7" w:rsidRDefault="00534FB5" w:rsidP="00534FB5">
      <w:pPr>
        <w:tabs>
          <w:tab w:val="left" w:pos="4253"/>
        </w:tabs>
        <w:ind w:firstLine="567"/>
      </w:pPr>
      <w:r w:rsidRPr="001073C7">
        <w:t>Підсумовуючи все зазначене, можна зробити наступні</w:t>
      </w:r>
      <w:r>
        <w:t xml:space="preserve"> </w:t>
      </w:r>
      <w:r w:rsidRPr="001073C7">
        <w:t>висновки. Май</w:t>
      </w:r>
      <w:r>
        <w:t xml:space="preserve">же у всіх дітей </w:t>
      </w:r>
      <w:r w:rsidR="006C493E">
        <w:t>із вродженою</w:t>
      </w:r>
      <w:r w:rsidRPr="001073C7">
        <w:t xml:space="preserve"> глухотою</w:t>
      </w:r>
      <w:r>
        <w:t xml:space="preserve"> </w:t>
      </w:r>
      <w:r w:rsidRPr="001073C7">
        <w:t>карі</w:t>
      </w:r>
      <w:r>
        <w:t xml:space="preserve">озний процес в постійних зубах </w:t>
      </w:r>
      <w:r w:rsidRPr="001073C7">
        <w:t>розпочинався одразу після їх прорізування (поширеність карієсу постійних зубів у 7-8</w:t>
      </w:r>
      <w:r>
        <w:t>-</w:t>
      </w:r>
      <w:r w:rsidRPr="001073C7">
        <w:t>річних дітей с</w:t>
      </w:r>
      <w:r>
        <w:t>тановить</w:t>
      </w:r>
      <w:r w:rsidRPr="001073C7">
        <w:t xml:space="preserve"> </w:t>
      </w:r>
      <w:r w:rsidRPr="00FF1C77">
        <w:rPr>
          <w:spacing w:val="-20"/>
        </w:rPr>
        <w:t>65</w:t>
      </w:r>
      <w:r>
        <w:rPr>
          <w:spacing w:val="-20"/>
        </w:rPr>
        <w:t> </w:t>
      </w:r>
      <w:r w:rsidRPr="00FF1C77">
        <w:rPr>
          <w:spacing w:val="-20"/>
        </w:rPr>
        <w:t>%</w:t>
      </w:r>
      <w:r w:rsidRPr="001073C7">
        <w:t>), швидко прогресував (поширеність карієсу постійних зубів у 11-12</w:t>
      </w:r>
      <w:r>
        <w:t>-</w:t>
      </w:r>
      <w:r w:rsidRPr="001073C7">
        <w:t xml:space="preserve">річних </w:t>
      </w:r>
      <w:r>
        <w:t>–</w:t>
      </w:r>
      <w:r w:rsidRPr="001073C7">
        <w:t xml:space="preserve"> </w:t>
      </w:r>
      <w:r w:rsidRPr="00FF1C77">
        <w:rPr>
          <w:spacing w:val="-20"/>
        </w:rPr>
        <w:t>71</w:t>
      </w:r>
      <w:r>
        <w:rPr>
          <w:spacing w:val="-20"/>
        </w:rPr>
        <w:t> </w:t>
      </w:r>
      <w:r w:rsidRPr="00FF1C77">
        <w:rPr>
          <w:spacing w:val="-20"/>
        </w:rPr>
        <w:t>%</w:t>
      </w:r>
      <w:r w:rsidRPr="001073C7">
        <w:t xml:space="preserve">) і </w:t>
      </w:r>
      <w:r>
        <w:t>до</w:t>
      </w:r>
      <w:r w:rsidRPr="001073C7">
        <w:t xml:space="preserve"> 15</w:t>
      </w:r>
      <w:r>
        <w:t>-</w:t>
      </w:r>
      <w:r w:rsidRPr="001073C7">
        <w:t>річно</w:t>
      </w:r>
      <w:r>
        <w:t>го</w:t>
      </w:r>
      <w:r w:rsidRPr="001073C7">
        <w:t xml:space="preserve"> віку майже не </w:t>
      </w:r>
      <w:r>
        <w:t>за</w:t>
      </w:r>
      <w:r w:rsidRPr="001073C7">
        <w:t>лишалося дітей з інтактними зубами (поширеність карієсу постійних зубів у 14-15</w:t>
      </w:r>
      <w:r>
        <w:t>-</w:t>
      </w:r>
      <w:r w:rsidRPr="001073C7">
        <w:t>річних ді</w:t>
      </w:r>
      <w:r>
        <w:t xml:space="preserve">тей становила </w:t>
      </w:r>
      <w:r w:rsidRPr="00FF1C77">
        <w:rPr>
          <w:spacing w:val="-20"/>
        </w:rPr>
        <w:t>85</w:t>
      </w:r>
      <w:r>
        <w:rPr>
          <w:spacing w:val="-20"/>
        </w:rPr>
        <w:t> </w:t>
      </w:r>
      <w:r w:rsidRPr="00FF1C77">
        <w:rPr>
          <w:spacing w:val="-20"/>
        </w:rPr>
        <w:t>%</w:t>
      </w:r>
      <w:r>
        <w:t xml:space="preserve">). </w:t>
      </w:r>
      <w:r w:rsidRPr="001073C7">
        <w:t xml:space="preserve">У віковому аспекті </w:t>
      </w:r>
      <w:r>
        <w:t xml:space="preserve">в дітей ОГ </w:t>
      </w:r>
      <w:r w:rsidRPr="001073C7">
        <w:t>простежується чітке підвищення інтенсив</w:t>
      </w:r>
      <w:r>
        <w:t xml:space="preserve">ності каріозного процесу. </w:t>
      </w:r>
      <w:r w:rsidRPr="001073C7">
        <w:t>Так</w:t>
      </w:r>
      <w:r>
        <w:t>,</w:t>
      </w:r>
      <w:r w:rsidRPr="001073C7">
        <w:t xml:space="preserve"> </w:t>
      </w:r>
      <w:r>
        <w:t>у</w:t>
      </w:r>
      <w:r w:rsidRPr="001073C7">
        <w:t xml:space="preserve"> групі 7-8</w:t>
      </w:r>
      <w:r>
        <w:t>-</w:t>
      </w:r>
      <w:r w:rsidRPr="001073C7">
        <w:t xml:space="preserve">річних </w:t>
      </w:r>
      <w:r>
        <w:t>ДВГ</w:t>
      </w:r>
      <w:r w:rsidRPr="001073C7">
        <w:t xml:space="preserve"> індекс КПВз с</w:t>
      </w:r>
      <w:r>
        <w:t>танови</w:t>
      </w:r>
      <w:r w:rsidRPr="001073C7">
        <w:t>в 1,17±0,17 (Р</w:t>
      </w:r>
      <w:r>
        <w:t>&lt;</w:t>
      </w:r>
      <w:r w:rsidRPr="001073C7">
        <w:t xml:space="preserve">0,05), </w:t>
      </w:r>
      <w:r>
        <w:t xml:space="preserve">в групі </w:t>
      </w:r>
      <w:r w:rsidRPr="001073C7">
        <w:t>11-12</w:t>
      </w:r>
      <w:r>
        <w:t>-</w:t>
      </w:r>
      <w:r w:rsidRPr="001073C7">
        <w:t xml:space="preserve">річних </w:t>
      </w:r>
      <w:r>
        <w:t xml:space="preserve">– </w:t>
      </w:r>
      <w:r w:rsidRPr="001073C7">
        <w:t>3,29±0,13 (Р</w:t>
      </w:r>
      <w:r>
        <w:t>&lt;</w:t>
      </w:r>
      <w:r w:rsidRPr="001073C7">
        <w:t xml:space="preserve">0,05), а </w:t>
      </w:r>
      <w:r>
        <w:t>до</w:t>
      </w:r>
      <w:r w:rsidRPr="001073C7">
        <w:t xml:space="preserve"> 14-15</w:t>
      </w:r>
      <w:r>
        <w:t>-</w:t>
      </w:r>
      <w:r w:rsidRPr="001073C7">
        <w:t>річно</w:t>
      </w:r>
      <w:r>
        <w:t>го</w:t>
      </w:r>
      <w:r w:rsidRPr="001073C7">
        <w:t xml:space="preserve"> віку досяг 4,35±0,13 (Р</w:t>
      </w:r>
      <w:r>
        <w:t>&lt;</w:t>
      </w:r>
      <w:r w:rsidRPr="001073C7">
        <w:t>0,05). Каріозний процес у 79</w:t>
      </w:r>
      <w:r>
        <w:t> </w:t>
      </w:r>
      <w:r w:rsidRPr="001073C7">
        <w:t xml:space="preserve">% </w:t>
      </w:r>
      <w:r>
        <w:t>випадків у</w:t>
      </w:r>
      <w:r w:rsidRPr="001073C7">
        <w:t>ражав жувальну поверхню молярів та сліпі ямки різців, у 36</w:t>
      </w:r>
      <w:r>
        <w:t> </w:t>
      </w:r>
      <w:r w:rsidRPr="001073C7">
        <w:t xml:space="preserve">% </w:t>
      </w:r>
      <w:r>
        <w:t>випадків –</w:t>
      </w:r>
      <w:r w:rsidRPr="001073C7">
        <w:t xml:space="preserve"> конта</w:t>
      </w:r>
      <w:r>
        <w:t xml:space="preserve">ктні поверхні різців та іклів, у 22 % випадків він </w:t>
      </w:r>
      <w:r w:rsidRPr="001073C7">
        <w:t>локалізувався на контактних поверхнях молярів та у 18</w:t>
      </w:r>
      <w:r>
        <w:t> </w:t>
      </w:r>
      <w:r w:rsidRPr="001073C7">
        <w:t>%</w:t>
      </w:r>
      <w:r>
        <w:t xml:space="preserve"> випадків –</w:t>
      </w:r>
      <w:r w:rsidRPr="001073C7">
        <w:t xml:space="preserve"> </w:t>
      </w:r>
      <w:r>
        <w:t>на</w:t>
      </w:r>
      <w:r w:rsidRPr="001073C7">
        <w:t xml:space="preserve"> пришийкових</w:t>
      </w:r>
      <w:r>
        <w:t xml:space="preserve"> </w:t>
      </w:r>
      <w:r w:rsidRPr="001073C7">
        <w:t>ділян</w:t>
      </w:r>
      <w:r>
        <w:t>ках</w:t>
      </w:r>
      <w:r w:rsidRPr="001073C7">
        <w:t xml:space="preserve"> зубів. Т</w:t>
      </w:r>
      <w:r>
        <w:t>акож т</w:t>
      </w:r>
      <w:r w:rsidRPr="001073C7">
        <w:t>реба зазначити, що 73</w:t>
      </w:r>
      <w:r>
        <w:t> </w:t>
      </w:r>
      <w:r w:rsidRPr="001073C7">
        <w:t xml:space="preserve">% </w:t>
      </w:r>
      <w:r>
        <w:lastRenderedPageBreak/>
        <w:t xml:space="preserve">дітей </w:t>
      </w:r>
      <w:r w:rsidR="006C493E">
        <w:t>із вродженою</w:t>
      </w:r>
      <w:r>
        <w:t xml:space="preserve"> глухотою мали гострий перебіг каріозного ураження зубів. Діти з порушенням органа слуху в 27 % випадків мали ускладнений плин каріозного процесу, який у тимчасових зубах був представлений у формі хронічного гранулюючого періодонтиту, а в постійних зубах – у формі хронічного фіброзного пульпіту.</w:t>
      </w:r>
    </w:p>
    <w:p w:rsidR="00534FB5" w:rsidRDefault="00534FB5" w:rsidP="00534FB5">
      <w:pPr>
        <w:ind w:firstLine="709"/>
        <w:rPr>
          <w:b/>
        </w:rPr>
      </w:pPr>
    </w:p>
    <w:p w:rsidR="00534FB5" w:rsidRPr="00BA011B" w:rsidRDefault="00534FB5" w:rsidP="00534FB5">
      <w:pPr>
        <w:pStyle w:val="11"/>
        <w:ind w:left="0" w:firstLine="709"/>
        <w:jc w:val="both"/>
        <w:rPr>
          <w:rFonts w:eastAsia="ArialMT"/>
          <w:b/>
          <w:lang w:eastAsia="uk-UA"/>
        </w:rPr>
      </w:pPr>
      <w:r>
        <w:rPr>
          <w:b/>
        </w:rPr>
        <w:t xml:space="preserve">3.3. </w:t>
      </w:r>
      <w:r w:rsidRPr="00AC184D">
        <w:rPr>
          <w:rFonts w:eastAsia="ArialMT"/>
          <w:b/>
          <w:lang w:eastAsia="uk-UA"/>
        </w:rPr>
        <w:t xml:space="preserve">Стан тканин пародонта у дітей </w:t>
      </w:r>
      <w:r w:rsidR="006C493E">
        <w:rPr>
          <w:rFonts w:eastAsia="ArialMT"/>
          <w:b/>
          <w:lang w:eastAsia="uk-UA"/>
        </w:rPr>
        <w:t>із вродженою</w:t>
      </w:r>
      <w:r w:rsidRPr="00AC184D">
        <w:rPr>
          <w:rFonts w:eastAsia="ArialMT"/>
          <w:b/>
          <w:lang w:eastAsia="uk-UA"/>
        </w:rPr>
        <w:t xml:space="preserve"> глухотою</w:t>
      </w:r>
    </w:p>
    <w:p w:rsidR="00534FB5" w:rsidRDefault="00534FB5" w:rsidP="00534FB5">
      <w:pPr>
        <w:ind w:firstLine="709"/>
        <w:rPr>
          <w:b/>
        </w:rPr>
      </w:pPr>
    </w:p>
    <w:p w:rsidR="00534FB5" w:rsidRDefault="00534FB5" w:rsidP="00534FB5">
      <w:pPr>
        <w:ind w:firstLine="567"/>
        <w:contextualSpacing/>
      </w:pPr>
      <w:r w:rsidRPr="006F1FD4">
        <w:t xml:space="preserve">Діагноз хвороб пародонта в обстежених групах дітей </w:t>
      </w:r>
      <w:r w:rsidR="006C493E">
        <w:t>із вродженою</w:t>
      </w:r>
      <w:r>
        <w:t xml:space="preserve"> глухотою та без патології органа слуху </w:t>
      </w:r>
      <w:r w:rsidRPr="006F1FD4">
        <w:t xml:space="preserve">було встановлено на основі клінічних ознак та </w:t>
      </w:r>
      <w:r>
        <w:t xml:space="preserve">відповідно до класифікації </w:t>
      </w:r>
      <w:r w:rsidRPr="006F1FD4">
        <w:t>Н.</w:t>
      </w:r>
      <w:r>
        <w:t> Ф. </w:t>
      </w:r>
      <w:r w:rsidRPr="006F1FD4">
        <w:t>Данилевського</w:t>
      </w:r>
      <w:r w:rsidRPr="006F1FD4" w:rsidDel="00A228C5">
        <w:t xml:space="preserve"> </w:t>
      </w:r>
      <w:r w:rsidRPr="006F1FD4">
        <w:t>(1998</w:t>
      </w:r>
      <w:r w:rsidRPr="0013349F">
        <w:t>) [</w:t>
      </w:r>
      <w:r>
        <w:rPr>
          <w:lang w:val="ru-RU"/>
        </w:rPr>
        <w:t>18</w:t>
      </w:r>
      <w:r w:rsidRPr="0013349F">
        <w:t>].</w:t>
      </w:r>
      <w:r>
        <w:t xml:space="preserve"> </w:t>
      </w:r>
    </w:p>
    <w:p w:rsidR="00534FB5" w:rsidRDefault="00534FB5" w:rsidP="00534FB5">
      <w:pPr>
        <w:ind w:firstLine="567"/>
        <w:contextualSpacing/>
      </w:pPr>
      <w:r w:rsidRPr="006F1FD4">
        <w:t>На рис</w:t>
      </w:r>
      <w:r>
        <w:t xml:space="preserve">унках </w:t>
      </w:r>
      <w:r w:rsidRPr="006F1FD4">
        <w:t>3.3.1</w:t>
      </w:r>
      <w:r>
        <w:t xml:space="preserve"> та 3.3.2</w:t>
      </w:r>
      <w:r w:rsidRPr="006F1FD4">
        <w:t xml:space="preserve"> пред</w:t>
      </w:r>
      <w:r>
        <w:t>ставлено</w:t>
      </w:r>
      <w:r w:rsidRPr="006F1FD4">
        <w:t xml:space="preserve"> розподіл </w:t>
      </w:r>
      <w:r>
        <w:t>пошир</w:t>
      </w:r>
      <w:r w:rsidRPr="006F1FD4">
        <w:t>еності різних форм запальних захворювань</w:t>
      </w:r>
      <w:r>
        <w:t xml:space="preserve"> пародонта в</w:t>
      </w:r>
      <w:r w:rsidRPr="006F1FD4">
        <w:t xml:space="preserve"> </w:t>
      </w:r>
      <w:r>
        <w:t>ОГ та КГ дітей</w:t>
      </w:r>
      <w:r w:rsidRPr="006F1FD4">
        <w:t>.</w:t>
      </w:r>
      <w:r>
        <w:t xml:space="preserve"> З цих даних видно, що поширеність хвороб пародонта</w:t>
      </w:r>
      <w:r w:rsidRPr="006F1FD4">
        <w:t xml:space="preserve"> у </w:t>
      </w:r>
      <w:r>
        <w:t>ДВГ</w:t>
      </w:r>
      <w:r w:rsidRPr="006F1FD4">
        <w:t xml:space="preserve"> с</w:t>
      </w:r>
      <w:r>
        <w:t>тановила</w:t>
      </w:r>
      <w:r w:rsidRPr="006F1FD4">
        <w:t xml:space="preserve"> 91</w:t>
      </w:r>
      <w:r>
        <w:t> </w:t>
      </w:r>
      <w:r w:rsidRPr="006F1FD4">
        <w:t>%</w:t>
      </w:r>
      <w:r>
        <w:t>,</w:t>
      </w:r>
      <w:r w:rsidRPr="006F1FD4">
        <w:t xml:space="preserve"> у той час як у </w:t>
      </w:r>
      <w:r>
        <w:t>ДНС</w:t>
      </w:r>
      <w:r w:rsidRPr="006F1FD4">
        <w:t xml:space="preserve"> цей показник </w:t>
      </w:r>
      <w:r>
        <w:t>–</w:t>
      </w:r>
      <w:r w:rsidRPr="006F1FD4">
        <w:t xml:space="preserve"> 78</w:t>
      </w:r>
      <w:r>
        <w:t> </w:t>
      </w:r>
      <w:r w:rsidRPr="006F1FD4">
        <w:t>%.</w:t>
      </w:r>
    </w:p>
    <w:p w:rsidR="00534FB5" w:rsidRPr="008018D8" w:rsidRDefault="006C493E" w:rsidP="00534FB5">
      <w:pPr>
        <w:spacing w:line="240" w:lineRule="auto"/>
        <w:contextualSpacing/>
        <w:jc w:val="center"/>
        <w:rPr>
          <w:sz w:val="2"/>
        </w:rPr>
      </w:pPr>
      <w:r>
        <w:rPr>
          <w:noProof/>
          <w:lang w:val="ru-RU"/>
        </w:rPr>
        <w:drawing>
          <wp:inline distT="0" distB="0" distL="0" distR="0">
            <wp:extent cx="5448300" cy="31242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4FB5" w:rsidRDefault="00534FB5" w:rsidP="00534FB5">
      <w:pPr>
        <w:ind w:firstLine="567"/>
        <w:contextualSpacing/>
      </w:pPr>
      <w:r w:rsidRPr="00280FDE">
        <w:t>Рис.</w:t>
      </w:r>
      <w:r>
        <w:t> </w:t>
      </w:r>
      <w:r w:rsidRPr="00280FDE">
        <w:t>3.3.1</w:t>
      </w:r>
      <w:r>
        <w:t>.</w:t>
      </w:r>
      <w:r w:rsidRPr="00280FDE">
        <w:t xml:space="preserve"> </w:t>
      </w:r>
      <w:r>
        <w:t>Пошир</w:t>
      </w:r>
      <w:r w:rsidRPr="00280FDE">
        <w:t>еність різних форм запаль</w:t>
      </w:r>
      <w:r>
        <w:t xml:space="preserve">них захворювань тканин пародонта у дітей </w:t>
      </w:r>
      <w:r w:rsidR="006C493E">
        <w:t>із вродженою</w:t>
      </w:r>
      <w:r w:rsidRPr="00280FDE">
        <w:t xml:space="preserve"> глухотою</w:t>
      </w:r>
      <w:r>
        <w:t>.</w:t>
      </w:r>
      <w:r w:rsidRPr="00280FDE">
        <w:t xml:space="preserve"> </w:t>
      </w:r>
    </w:p>
    <w:p w:rsidR="00534FB5" w:rsidRPr="006F1FD4" w:rsidRDefault="006C493E" w:rsidP="00534FB5">
      <w:pPr>
        <w:spacing w:line="240" w:lineRule="auto"/>
        <w:contextualSpacing/>
        <w:jc w:val="center"/>
      </w:pPr>
      <w:r>
        <w:rPr>
          <w:noProof/>
          <w:lang w:val="ru-RU"/>
        </w:rPr>
        <w:lastRenderedPageBreak/>
        <w:drawing>
          <wp:inline distT="0" distB="0" distL="0" distR="0">
            <wp:extent cx="5324475" cy="291465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4FB5" w:rsidRPr="00134521" w:rsidRDefault="00534FB5" w:rsidP="00534FB5">
      <w:pPr>
        <w:ind w:firstLine="709"/>
        <w:contextualSpacing/>
      </w:pPr>
      <w:r>
        <w:t>Рис. 3.3.2. Пошир</w:t>
      </w:r>
      <w:r w:rsidRPr="00280FDE">
        <w:t>еність різних форм запаль</w:t>
      </w:r>
      <w:r>
        <w:t>них захворювань тканин пародонта</w:t>
      </w:r>
      <w:r w:rsidRPr="00280FDE">
        <w:t xml:space="preserve"> у дітей без патології слуху</w:t>
      </w:r>
      <w:r>
        <w:t>.</w:t>
      </w:r>
    </w:p>
    <w:p w:rsidR="00534FB5" w:rsidRPr="00C17305" w:rsidRDefault="00534FB5" w:rsidP="00534FB5">
      <w:pPr>
        <w:ind w:firstLine="709"/>
        <w:contextualSpacing/>
      </w:pPr>
    </w:p>
    <w:p w:rsidR="00534FB5" w:rsidRDefault="00534FB5" w:rsidP="00534FB5">
      <w:pPr>
        <w:ind w:firstLine="709"/>
        <w:contextualSpacing/>
      </w:pPr>
      <w:r w:rsidRPr="006F1FD4">
        <w:t xml:space="preserve">У всіх обстежених дітей КГ і ОГ не було виявлено жодного випадку дистрофічно-запальних, прогресуючих </w:t>
      </w:r>
      <w:r>
        <w:t>і</w:t>
      </w:r>
      <w:r w:rsidRPr="006F1FD4">
        <w:t>діопатичних захворювань та продуктивн</w:t>
      </w:r>
      <w:r>
        <w:t>их процесів у тканинах пародонта</w:t>
      </w:r>
      <w:r w:rsidRPr="006F1FD4">
        <w:t xml:space="preserve">. </w:t>
      </w:r>
      <w:r>
        <w:t>У</w:t>
      </w:r>
      <w:r w:rsidRPr="006F1FD4">
        <w:t xml:space="preserve"> </w:t>
      </w:r>
      <w:r>
        <w:t>ДВГ</w:t>
      </w:r>
      <w:r w:rsidRPr="006F1FD4">
        <w:t xml:space="preserve"> та </w:t>
      </w:r>
      <w:r>
        <w:t>ДНС</w:t>
      </w:r>
      <w:r w:rsidRPr="006F1FD4">
        <w:t xml:space="preserve"> були представлені </w:t>
      </w:r>
      <w:r>
        <w:t xml:space="preserve">такі нозологічні одиниці, як </w:t>
      </w:r>
      <w:r w:rsidRPr="006F1FD4">
        <w:t>папіліт, гінгівіт</w:t>
      </w:r>
      <w:r w:rsidR="00435332">
        <w:t>.</w:t>
      </w:r>
      <w:r w:rsidRPr="006F1FD4">
        <w:t xml:space="preserve"> За характером перебігу </w:t>
      </w:r>
      <w:r>
        <w:t>в</w:t>
      </w:r>
      <w:r w:rsidRPr="006F1FD4">
        <w:t xml:space="preserve"> дітей ОГ та КГ не було виявлено жодного випадку гострого п</w:t>
      </w:r>
      <w:r>
        <w:t>лин</w:t>
      </w:r>
      <w:r w:rsidRPr="006F1FD4">
        <w:t>у запального</w:t>
      </w:r>
      <w:r>
        <w:t xml:space="preserve"> процесу в тканинах пародонта. Також з</w:t>
      </w:r>
      <w:r w:rsidRPr="006F1FD4">
        <w:t xml:space="preserve">а формою перебігу </w:t>
      </w:r>
      <w:r>
        <w:t>в</w:t>
      </w:r>
      <w:r w:rsidRPr="006F1FD4">
        <w:t xml:space="preserve"> дітей ОГ та КГ не було виявлено жодного випадку виразкового та атрофічного процесу. За глибиною ураження у ді</w:t>
      </w:r>
      <w:r>
        <w:t>тей</w:t>
      </w:r>
      <w:r w:rsidRPr="006F1FD4">
        <w:t xml:space="preserve"> ОГ та КГ запальний процес вражав м</w:t>
      </w:r>
      <w:r>
        <w:t>’</w:t>
      </w:r>
      <w:r w:rsidRPr="006F1FD4">
        <w:t>які тканини</w:t>
      </w:r>
      <w:r>
        <w:t>.</w:t>
      </w:r>
      <w:r w:rsidRPr="006F1FD4">
        <w:t xml:space="preserve"> </w:t>
      </w:r>
    </w:p>
    <w:p w:rsidR="00534FB5" w:rsidRPr="00134521" w:rsidRDefault="00534FB5" w:rsidP="00534FB5">
      <w:pPr>
        <w:ind w:firstLine="709"/>
        <w:contextualSpacing/>
      </w:pPr>
      <w:r>
        <w:t>У</w:t>
      </w:r>
      <w:r w:rsidRPr="00397070">
        <w:t xml:space="preserve"> </w:t>
      </w:r>
      <w:r>
        <w:t>ДВГ</w:t>
      </w:r>
      <w:r w:rsidRPr="00397070">
        <w:t xml:space="preserve"> переважав катаральний гінгівіт серед</w:t>
      </w:r>
      <w:r>
        <w:t>нього ступеня важкості (43 %), водночас</w:t>
      </w:r>
      <w:r w:rsidRPr="00397070">
        <w:t xml:space="preserve"> у </w:t>
      </w:r>
      <w:r>
        <w:t xml:space="preserve">ДНС </w:t>
      </w:r>
      <w:r w:rsidRPr="00397070">
        <w:t>середній ступінь важкості запального процесу був зафіксований лише у 19</w:t>
      </w:r>
      <w:r>
        <w:t> % випадків – виявлявся</w:t>
      </w:r>
      <w:r w:rsidRPr="00397070">
        <w:t xml:space="preserve"> </w:t>
      </w:r>
      <w:r>
        <w:t xml:space="preserve">здебільшого </w:t>
      </w:r>
      <w:r w:rsidRPr="00397070">
        <w:t>легкий ступінь важкості катарального гінгівіту (53</w:t>
      </w:r>
      <w:r>
        <w:t> </w:t>
      </w:r>
      <w:r w:rsidRPr="00397070">
        <w:t xml:space="preserve">%). У дітей КГ не виявлено жодного </w:t>
      </w:r>
      <w:r>
        <w:t>випадку важкого ступеня важкості</w:t>
      </w:r>
      <w:r w:rsidRPr="00397070">
        <w:t xml:space="preserve"> катарального гінгівіту, </w:t>
      </w:r>
      <w:r>
        <w:t>а у ДВГ</w:t>
      </w:r>
      <w:r w:rsidRPr="00397070">
        <w:t xml:space="preserve"> </w:t>
      </w:r>
      <w:r>
        <w:t>він</w:t>
      </w:r>
      <w:r w:rsidRPr="00397070">
        <w:t xml:space="preserve"> був зафіксо</w:t>
      </w:r>
      <w:r>
        <w:t>ваний</w:t>
      </w:r>
      <w:r w:rsidRPr="00397070">
        <w:t xml:space="preserve"> у 11</w:t>
      </w:r>
      <w:r>
        <w:t> </w:t>
      </w:r>
      <w:r w:rsidRPr="00397070">
        <w:t>%</w:t>
      </w:r>
      <w:r>
        <w:t xml:space="preserve"> </w:t>
      </w:r>
      <w:r w:rsidRPr="000C199C">
        <w:rPr>
          <w:spacing w:val="2"/>
        </w:rPr>
        <w:t>випадків.</w:t>
      </w:r>
      <w:r>
        <w:rPr>
          <w:spacing w:val="2"/>
        </w:rPr>
        <w:t xml:space="preserve"> Пошир</w:t>
      </w:r>
      <w:r w:rsidRPr="000C199C">
        <w:rPr>
          <w:spacing w:val="2"/>
        </w:rPr>
        <w:t>еність гіпертрофічного гі</w:t>
      </w:r>
      <w:r>
        <w:rPr>
          <w:spacing w:val="2"/>
        </w:rPr>
        <w:t xml:space="preserve">нгівіту в ОГ </w:t>
      </w:r>
      <w:r w:rsidRPr="000C199C">
        <w:rPr>
          <w:spacing w:val="2"/>
        </w:rPr>
        <w:t>та КГ була</w:t>
      </w:r>
      <w:r w:rsidRPr="00134521">
        <w:t xml:space="preserve"> </w:t>
      </w:r>
      <w:r w:rsidRPr="000C199C">
        <w:t>невисокою –</w:t>
      </w:r>
      <w:r>
        <w:t xml:space="preserve"> </w:t>
      </w:r>
      <w:r w:rsidRPr="000C199C">
        <w:t>9</w:t>
      </w:r>
      <w:r>
        <w:t> </w:t>
      </w:r>
      <w:r w:rsidRPr="000C199C">
        <w:t>% та 6</w:t>
      </w:r>
      <w:r>
        <w:t> </w:t>
      </w:r>
      <w:r w:rsidRPr="000C199C">
        <w:t>% відповідно.</w:t>
      </w:r>
    </w:p>
    <w:p w:rsidR="00534FB5" w:rsidRDefault="00534FB5" w:rsidP="00534FB5">
      <w:pPr>
        <w:ind w:firstLine="709"/>
        <w:contextualSpacing/>
      </w:pPr>
      <w:r>
        <w:lastRenderedPageBreak/>
        <w:t>З</w:t>
      </w:r>
      <w:r w:rsidRPr="00134521">
        <w:t>алежно від ві</w:t>
      </w:r>
      <w:r>
        <w:t xml:space="preserve">ку обстежуваних дітей ОГ та КГ </w:t>
      </w:r>
      <w:r w:rsidRPr="00134521">
        <w:t>виявлен</w:t>
      </w:r>
      <w:r>
        <w:t>о</w:t>
      </w:r>
      <w:r w:rsidRPr="00134521">
        <w:t xml:space="preserve"> наступні особливості. У </w:t>
      </w:r>
      <w:r>
        <w:t>ДВГ</w:t>
      </w:r>
      <w:r w:rsidRPr="00134521">
        <w:t xml:space="preserve"> у вік</w:t>
      </w:r>
      <w:r>
        <w:t>овому аспекті спостерігалося зростання</w:t>
      </w:r>
      <w:r w:rsidRPr="00134521">
        <w:t xml:space="preserve"> </w:t>
      </w:r>
      <w:r>
        <w:t>пошир</w:t>
      </w:r>
      <w:r w:rsidRPr="00134521">
        <w:t>еності запальних</w:t>
      </w:r>
      <w:r>
        <w:t xml:space="preserve"> захворювань тканин пародонта. Т</w:t>
      </w:r>
      <w:r w:rsidRPr="00134521">
        <w:t>ак</w:t>
      </w:r>
      <w:r>
        <w:t>,</w:t>
      </w:r>
      <w:r w:rsidRPr="00134521">
        <w:t xml:space="preserve"> у 7-8</w:t>
      </w:r>
      <w:r>
        <w:t>-</w:t>
      </w:r>
      <w:r w:rsidRPr="00134521">
        <w:t>річних дітей цей показник становив 83</w:t>
      </w:r>
      <w:r>
        <w:t> </w:t>
      </w:r>
      <w:r w:rsidRPr="00134521">
        <w:t>%, в 11-12</w:t>
      </w:r>
      <w:r>
        <w:t>-</w:t>
      </w:r>
      <w:r w:rsidRPr="00134521">
        <w:t xml:space="preserve">річному віці </w:t>
      </w:r>
      <w:r>
        <w:t xml:space="preserve">– </w:t>
      </w:r>
      <w:r w:rsidRPr="00134521">
        <w:t>90</w:t>
      </w:r>
      <w:r>
        <w:t> </w:t>
      </w:r>
      <w:r w:rsidRPr="00134521">
        <w:t>%, а в</w:t>
      </w:r>
      <w:r>
        <w:t xml:space="preserve"> </w:t>
      </w:r>
      <w:r w:rsidRPr="00134521">
        <w:t>14-15</w:t>
      </w:r>
      <w:r>
        <w:t>-</w:t>
      </w:r>
      <w:r w:rsidRPr="00134521">
        <w:t xml:space="preserve">річному віці не було виявлено жодної дитини </w:t>
      </w:r>
      <w:r>
        <w:t>зі здоровими тканинами пародонта</w:t>
      </w:r>
      <w:r w:rsidRPr="00134521">
        <w:t>. У</w:t>
      </w:r>
      <w:r>
        <w:t xml:space="preserve"> ДНС</w:t>
      </w:r>
      <w:r w:rsidRPr="00134521">
        <w:t xml:space="preserve"> у віковому аспекті не простежувалос</w:t>
      </w:r>
      <w:r>
        <w:t>я</w:t>
      </w:r>
      <w:r w:rsidRPr="00134521">
        <w:t xml:space="preserve"> значних коливань </w:t>
      </w:r>
      <w:r>
        <w:t>пошир</w:t>
      </w:r>
      <w:r w:rsidRPr="00134521">
        <w:t>еності запаль</w:t>
      </w:r>
      <w:r>
        <w:t>них захворювань тканин пародонта</w:t>
      </w:r>
      <w:r w:rsidRPr="00134521">
        <w:t xml:space="preserve"> (КГ1</w:t>
      </w:r>
      <w:r>
        <w:t xml:space="preserve"> – 80 %, КГ2 – 70 %, КГ3 – 83 %).</w:t>
      </w:r>
    </w:p>
    <w:p w:rsidR="00534FB5" w:rsidRPr="00134521" w:rsidRDefault="00534FB5" w:rsidP="00534FB5">
      <w:pPr>
        <w:ind w:firstLine="709"/>
        <w:contextualSpacing/>
      </w:pPr>
      <w:r>
        <w:t>В</w:t>
      </w:r>
      <w:r w:rsidRPr="00134521">
        <w:t xml:space="preserve"> ОГ</w:t>
      </w:r>
      <w:r>
        <w:t xml:space="preserve"> дітей</w:t>
      </w:r>
      <w:r w:rsidRPr="00134521">
        <w:t xml:space="preserve"> </w:t>
      </w:r>
      <w:r>
        <w:t>із</w:t>
      </w:r>
      <w:r w:rsidRPr="00134521">
        <w:t xml:space="preserve"> віком про</w:t>
      </w:r>
      <w:r>
        <w:t xml:space="preserve">стежувалося </w:t>
      </w:r>
      <w:r w:rsidR="00E24A5E">
        <w:t xml:space="preserve">погіршення </w:t>
      </w:r>
      <w:r>
        <w:t>стану тканин пародонта. Так, якщо у</w:t>
      </w:r>
      <w:r w:rsidRPr="00134521">
        <w:t xml:space="preserve"> дітей 7-8 років легкий ступінь важкості катарального гінгівіту спостерігався у 14</w:t>
      </w:r>
      <w:r>
        <w:t> </w:t>
      </w:r>
      <w:r w:rsidRPr="00134521">
        <w:t>% випадків, у дітей 11-12</w:t>
      </w:r>
      <w:r>
        <w:t xml:space="preserve"> років цей показник становив 19 %, то</w:t>
      </w:r>
      <w:r w:rsidRPr="00134521">
        <w:t xml:space="preserve"> в 14-15 </w:t>
      </w:r>
      <w:r>
        <w:t>років</w:t>
      </w:r>
      <w:r w:rsidRPr="00134521">
        <w:t xml:space="preserve"> </w:t>
      </w:r>
      <w:r>
        <w:t>– він досяг 46 </w:t>
      </w:r>
      <w:r w:rsidRPr="00134521">
        <w:t xml:space="preserve">%. </w:t>
      </w:r>
      <w:r>
        <w:t>У</w:t>
      </w:r>
      <w:r w:rsidRPr="00134521">
        <w:t xml:space="preserve"> 14-15</w:t>
      </w:r>
      <w:r>
        <w:t>-</w:t>
      </w:r>
      <w:r w:rsidRPr="00134521">
        <w:t xml:space="preserve">річному віці в ОГ не було зафіксовано жодного </w:t>
      </w:r>
      <w:r>
        <w:t>випадку важкого ступеня</w:t>
      </w:r>
      <w:r w:rsidRPr="00134521">
        <w:t xml:space="preserve"> катарального гінгівіту, проти 13</w:t>
      </w:r>
      <w:r>
        <w:t> </w:t>
      </w:r>
      <w:r w:rsidRPr="00134521">
        <w:t>% випа</w:t>
      </w:r>
      <w:r>
        <w:t>дків у 7-8-річному віці</w:t>
      </w:r>
      <w:r w:rsidRPr="00134521">
        <w:t>. Гіпертрофічний гінгіві</w:t>
      </w:r>
      <w:r>
        <w:t xml:space="preserve">т був найбільше поширений </w:t>
      </w:r>
      <w:r w:rsidRPr="00134521">
        <w:t>в 11-12</w:t>
      </w:r>
      <w:r>
        <w:t>-</w:t>
      </w:r>
      <w:r w:rsidRPr="00134521">
        <w:t>річному віці (19</w:t>
      </w:r>
      <w:r>
        <w:t> </w:t>
      </w:r>
      <w:r w:rsidRPr="00134521">
        <w:t>%)</w:t>
      </w:r>
      <w:r>
        <w:t xml:space="preserve"> –</w:t>
      </w:r>
      <w:r w:rsidRPr="00134521">
        <w:t xml:space="preserve"> проти 4</w:t>
      </w:r>
      <w:r>
        <w:t> </w:t>
      </w:r>
      <w:r w:rsidRPr="00134521">
        <w:t>% у 7-8</w:t>
      </w:r>
      <w:r>
        <w:t>-</w:t>
      </w:r>
      <w:r w:rsidRPr="00134521">
        <w:t>річних діт</w:t>
      </w:r>
      <w:r>
        <w:t xml:space="preserve">ей, а з досягненням 14-15 років </w:t>
      </w:r>
      <w:r w:rsidRPr="00134521">
        <w:t xml:space="preserve">його </w:t>
      </w:r>
      <w:r>
        <w:t>пошир</w:t>
      </w:r>
      <w:r w:rsidRPr="00134521">
        <w:t>еність впала до 12</w:t>
      </w:r>
      <w:r>
        <w:t> </w:t>
      </w:r>
      <w:r w:rsidR="00435332">
        <w:t>%</w:t>
      </w:r>
      <w:r w:rsidRPr="00134521">
        <w:t>.</w:t>
      </w:r>
    </w:p>
    <w:p w:rsidR="00534FB5" w:rsidRDefault="00534FB5" w:rsidP="00534FB5">
      <w:pPr>
        <w:ind w:firstLine="709"/>
        <w:contextualSpacing/>
      </w:pPr>
      <w:r>
        <w:t>У першій та третій</w:t>
      </w:r>
      <w:r w:rsidRPr="00134521">
        <w:t xml:space="preserve"> віковій групах КГ переважав легкий ступінь важкості катарального гінгівіту (КГ1</w:t>
      </w:r>
      <w:r>
        <w:t xml:space="preserve"> – </w:t>
      </w:r>
      <w:r w:rsidRPr="00134521">
        <w:t>60</w:t>
      </w:r>
      <w:r>
        <w:t> </w:t>
      </w:r>
      <w:r w:rsidRPr="00134521">
        <w:t>%, КГ3</w:t>
      </w:r>
      <w:r>
        <w:t xml:space="preserve"> – </w:t>
      </w:r>
      <w:r w:rsidRPr="00134521">
        <w:t>67</w:t>
      </w:r>
      <w:r>
        <w:t> </w:t>
      </w:r>
      <w:r w:rsidRPr="00134521">
        <w:t>%), в другій віковій групі легкий і середній ступінь важкості катарального гінгівіту виявлявся в однаковій кількості (по 30</w:t>
      </w:r>
      <w:r>
        <w:t> </w:t>
      </w:r>
      <w:r w:rsidRPr="00134521">
        <w:t xml:space="preserve">% відповідно). Розповсюдженість гіпертрофічного гінгівіту була невисокою, в КГ1 не було виявлено жодного </w:t>
      </w:r>
      <w:r>
        <w:t xml:space="preserve">такого </w:t>
      </w:r>
      <w:r w:rsidRPr="00134521">
        <w:t>ви</w:t>
      </w:r>
      <w:r>
        <w:t xml:space="preserve">падку, а в КГ2 та КГ3 – 10 % та 8 % випадків </w:t>
      </w:r>
      <w:r w:rsidRPr="00134521">
        <w:t xml:space="preserve">відповідно. </w:t>
      </w:r>
    </w:p>
    <w:p w:rsidR="00534FB5" w:rsidRPr="00EB5F5C" w:rsidRDefault="00534FB5" w:rsidP="00534FB5">
      <w:pPr>
        <w:ind w:firstLine="709"/>
        <w:contextualSpacing/>
      </w:pPr>
      <w:r w:rsidRPr="0071616E">
        <w:rPr>
          <w:shd w:val="clear" w:color="auto" w:fill="FFFFFF"/>
        </w:rPr>
        <w:t>Для об</w:t>
      </w:r>
      <w:r>
        <w:rPr>
          <w:shd w:val="clear" w:color="auto" w:fill="FFFFFF"/>
        </w:rPr>
        <w:t>’</w:t>
      </w:r>
      <w:r w:rsidRPr="0071616E">
        <w:rPr>
          <w:shd w:val="clear" w:color="auto" w:fill="FFFFFF"/>
        </w:rPr>
        <w:t>єктивн</w:t>
      </w:r>
      <w:r>
        <w:rPr>
          <w:shd w:val="clear" w:color="auto" w:fill="FFFFFF"/>
        </w:rPr>
        <w:t>ої оцінки стану тканин пародонта</w:t>
      </w:r>
      <w:r w:rsidRPr="0071616E">
        <w:rPr>
          <w:shd w:val="clear" w:color="auto" w:fill="FFFFFF"/>
        </w:rPr>
        <w:t xml:space="preserve"> в роботі використан</w:t>
      </w:r>
      <w:r>
        <w:rPr>
          <w:shd w:val="clear" w:color="auto" w:fill="FFFFFF"/>
        </w:rPr>
        <w:t>о</w:t>
      </w:r>
      <w:r w:rsidRPr="0071616E">
        <w:rPr>
          <w:shd w:val="clear" w:color="auto" w:fill="FFFFFF"/>
        </w:rPr>
        <w:t xml:space="preserve"> </w:t>
      </w:r>
      <w:r>
        <w:rPr>
          <w:shd w:val="clear" w:color="auto" w:fill="FFFFFF"/>
        </w:rPr>
        <w:t>низку</w:t>
      </w:r>
      <w:r w:rsidRPr="0071616E">
        <w:rPr>
          <w:shd w:val="clear" w:color="auto" w:fill="FFFFFF"/>
        </w:rPr>
        <w:t xml:space="preserve"> пародонтальних індек</w:t>
      </w:r>
      <w:r>
        <w:rPr>
          <w:shd w:val="clear" w:color="auto" w:fill="FFFFFF"/>
        </w:rPr>
        <w:t xml:space="preserve">сів. На основі використання індексу РМА, який добре відображає ступінь запалення ясен, у дітей </w:t>
      </w:r>
      <w:r w:rsidR="006C493E">
        <w:rPr>
          <w:shd w:val="clear" w:color="auto" w:fill="FFFFFF"/>
        </w:rPr>
        <w:t>із вродженою</w:t>
      </w:r>
      <w:r w:rsidRPr="0071616E">
        <w:rPr>
          <w:shd w:val="clear" w:color="auto" w:fill="FFFFFF"/>
        </w:rPr>
        <w:t xml:space="preserve"> глухотою до проведення лікувально-профілактичних заходів було </w:t>
      </w:r>
      <w:r>
        <w:rPr>
          <w:shd w:val="clear" w:color="auto" w:fill="FFFFFF"/>
        </w:rPr>
        <w:t xml:space="preserve">виявлено </w:t>
      </w:r>
      <w:r w:rsidRPr="0071616E">
        <w:rPr>
          <w:shd w:val="clear" w:color="auto" w:fill="FFFFFF"/>
        </w:rPr>
        <w:t xml:space="preserve">легкий та середній ступінь </w:t>
      </w:r>
      <w:r>
        <w:rPr>
          <w:shd w:val="clear" w:color="auto" w:fill="FFFFFF"/>
        </w:rPr>
        <w:t xml:space="preserve">важкості </w:t>
      </w:r>
      <w:r w:rsidRPr="0071616E">
        <w:rPr>
          <w:shd w:val="clear" w:color="auto" w:fill="FFFFFF"/>
        </w:rPr>
        <w:t>гінгівіту</w:t>
      </w:r>
      <w:r w:rsidR="00435332">
        <w:rPr>
          <w:shd w:val="clear" w:color="auto" w:fill="FFFFFF"/>
        </w:rPr>
        <w:t xml:space="preserve">. </w:t>
      </w:r>
      <w:r w:rsidR="00435332" w:rsidRPr="00435332">
        <w:t xml:space="preserve">Показники </w:t>
      </w:r>
      <w:r w:rsidR="00435332" w:rsidRPr="00435332">
        <w:rPr>
          <w:color w:val="000000"/>
          <w:shd w:val="clear" w:color="auto" w:fill="FFFFFF"/>
        </w:rPr>
        <w:t xml:space="preserve">стану тканин пародонта за індексом </w:t>
      </w:r>
      <w:r w:rsidR="00435332" w:rsidRPr="00435332">
        <w:rPr>
          <w:color w:val="000000"/>
          <w:bdr w:val="none" w:sz="0" w:space="0" w:color="auto" w:frame="1"/>
        </w:rPr>
        <w:t xml:space="preserve">РМА </w:t>
      </w:r>
      <w:r w:rsidR="00435332" w:rsidRPr="00435332">
        <w:t xml:space="preserve">у дітей порівнюваних груп до проведення лікувально-профілактичних заходів наведені в </w:t>
      </w:r>
      <w:r w:rsidR="00435332" w:rsidRPr="00435332">
        <w:rPr>
          <w:shd w:val="clear" w:color="auto" w:fill="FFFFFF"/>
        </w:rPr>
        <w:t xml:space="preserve">таблиці 3.3.1. та на  рисунку 3.3.3.  </w:t>
      </w:r>
    </w:p>
    <w:p w:rsidR="00534FB5" w:rsidRPr="00C664D7" w:rsidRDefault="00534FB5" w:rsidP="00534FB5">
      <w:pPr>
        <w:tabs>
          <w:tab w:val="left" w:pos="4253"/>
        </w:tabs>
        <w:jc w:val="right"/>
        <w:rPr>
          <w:i/>
        </w:rPr>
      </w:pPr>
      <w:r w:rsidRPr="00C664D7">
        <w:rPr>
          <w:i/>
        </w:rPr>
        <w:lastRenderedPageBreak/>
        <w:t>Таблиця 3.3.1</w:t>
      </w:r>
    </w:p>
    <w:p w:rsidR="00534FB5" w:rsidRPr="000F6F1A" w:rsidRDefault="00534FB5" w:rsidP="00534FB5">
      <w:pPr>
        <w:tabs>
          <w:tab w:val="left" w:pos="4253"/>
        </w:tabs>
        <w:contextualSpacing/>
        <w:jc w:val="center"/>
        <w:rPr>
          <w:b/>
          <w:spacing w:val="-10"/>
        </w:rPr>
      </w:pPr>
      <w:r w:rsidRPr="000F6F1A">
        <w:rPr>
          <w:b/>
          <w:spacing w:val="-10"/>
        </w:rPr>
        <w:t>Показники</w:t>
      </w:r>
      <w:r>
        <w:rPr>
          <w:b/>
          <w:spacing w:val="-10"/>
        </w:rPr>
        <w:t xml:space="preserve"> </w:t>
      </w:r>
      <w:r w:rsidRPr="000F6F1A">
        <w:rPr>
          <w:b/>
          <w:color w:val="000000"/>
          <w:spacing w:val="-10"/>
          <w:shd w:val="clear" w:color="auto" w:fill="FFFFFF"/>
        </w:rPr>
        <w:t xml:space="preserve">стану тканин пародонта за індексом </w:t>
      </w:r>
      <w:r w:rsidRPr="000F6F1A">
        <w:rPr>
          <w:b/>
          <w:color w:val="000000"/>
          <w:spacing w:val="-10"/>
          <w:bdr w:val="none" w:sz="0" w:space="0" w:color="auto" w:frame="1"/>
        </w:rPr>
        <w:t xml:space="preserve">РМА </w:t>
      </w:r>
      <w:r w:rsidRPr="000F6F1A">
        <w:rPr>
          <w:b/>
          <w:spacing w:val="-10"/>
        </w:rPr>
        <w:t xml:space="preserve">у дітей порівнюваних груп до проведення лікувально-профілактичних заходів, </w:t>
      </w:r>
      <w:r w:rsidR="00C664D7">
        <w:rPr>
          <w:b/>
          <w:spacing w:val="-10"/>
        </w:rPr>
        <w:t xml:space="preserve">% </w:t>
      </w:r>
      <w:r w:rsidRPr="000F6F1A">
        <w:rPr>
          <w:b/>
          <w:color w:val="000000"/>
          <w:spacing w:val="-10"/>
          <w:bdr w:val="none" w:sz="0" w:space="0" w:color="auto" w:frame="1"/>
        </w:rPr>
        <w:t>(</w:t>
      </w:r>
      <w:r w:rsidRPr="000F6F1A">
        <w:rPr>
          <w:b/>
          <w:spacing w:val="-10"/>
          <w:lang w:val="en-US"/>
        </w:rPr>
        <w:t>M</w:t>
      </w:r>
      <w:r w:rsidRPr="000F6F1A">
        <w:rPr>
          <w:b/>
          <w:spacing w:val="-10"/>
        </w:rPr>
        <w:t>±</w:t>
      </w:r>
      <w:r w:rsidRPr="000F6F1A">
        <w:rPr>
          <w:b/>
          <w:spacing w:val="-10"/>
          <w:lang w:val="en-US"/>
        </w:rPr>
        <w:t>m</w:t>
      </w:r>
      <w:r w:rsidRPr="000F6F1A">
        <w:rPr>
          <w:b/>
          <w:spacing w:val="-10"/>
        </w:rPr>
        <w:t>)</w:t>
      </w:r>
    </w:p>
    <w:tbl>
      <w:tblPr>
        <w:tblpPr w:leftFromText="180" w:rightFromText="180" w:vertAnchor="text" w:horzAnchor="margin" w:tblpY="287"/>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
        <w:gridCol w:w="496"/>
        <w:gridCol w:w="1770"/>
        <w:gridCol w:w="932"/>
        <w:gridCol w:w="496"/>
        <w:gridCol w:w="1770"/>
        <w:gridCol w:w="932"/>
        <w:gridCol w:w="496"/>
        <w:gridCol w:w="1770"/>
      </w:tblGrid>
      <w:tr w:rsidR="00534FB5" w:rsidRPr="001E7C90" w:rsidTr="00534FB5">
        <w:tc>
          <w:tcPr>
            <w:tcW w:w="486" w:type="pct"/>
          </w:tcPr>
          <w:p w:rsidR="00534FB5" w:rsidRPr="006D67B3" w:rsidRDefault="00534FB5" w:rsidP="00534FB5">
            <w:pPr>
              <w:tabs>
                <w:tab w:val="left" w:pos="4253"/>
              </w:tabs>
              <w:spacing w:line="240" w:lineRule="atLeast"/>
              <w:contextualSpacing/>
            </w:pPr>
            <w:r w:rsidRPr="006D67B3">
              <w:t>Група</w:t>
            </w:r>
          </w:p>
        </w:tc>
        <w:tc>
          <w:tcPr>
            <w:tcW w:w="258" w:type="pct"/>
          </w:tcPr>
          <w:p w:rsidR="00534FB5" w:rsidRPr="006D67B3" w:rsidRDefault="00534FB5" w:rsidP="00534FB5">
            <w:pPr>
              <w:tabs>
                <w:tab w:val="left" w:pos="4253"/>
              </w:tabs>
              <w:spacing w:line="240" w:lineRule="atLeast"/>
              <w:contextualSpacing/>
            </w:pPr>
            <w:r w:rsidRPr="006D67B3">
              <w:t>N</w:t>
            </w:r>
          </w:p>
        </w:tc>
        <w:tc>
          <w:tcPr>
            <w:tcW w:w="922" w:type="pct"/>
          </w:tcPr>
          <w:p w:rsidR="00534FB5" w:rsidRPr="006D67B3" w:rsidRDefault="00534FB5" w:rsidP="00534FB5">
            <w:pPr>
              <w:tabs>
                <w:tab w:val="left" w:pos="4253"/>
              </w:tabs>
              <w:spacing w:line="240" w:lineRule="atLeast"/>
              <w:contextualSpacing/>
            </w:pPr>
            <w:r w:rsidRPr="006D67B3">
              <w:rPr>
                <w:color w:val="000000"/>
                <w:shd w:val="clear" w:color="auto" w:fill="FFFFFF"/>
              </w:rPr>
              <w:t>Індекс</w:t>
            </w:r>
            <w:r>
              <w:rPr>
                <w:color w:val="000000"/>
                <w:shd w:val="clear" w:color="auto" w:fill="FFFFFF"/>
              </w:rPr>
              <w:t xml:space="preserve"> </w:t>
            </w:r>
            <w:r w:rsidRPr="006D67B3">
              <w:rPr>
                <w:color w:val="000000"/>
                <w:bdr w:val="none" w:sz="0" w:space="0" w:color="auto" w:frame="1"/>
              </w:rPr>
              <w:t xml:space="preserve">РМА </w:t>
            </w:r>
          </w:p>
        </w:tc>
        <w:tc>
          <w:tcPr>
            <w:tcW w:w="486" w:type="pct"/>
            <w:tcBorders>
              <w:right w:val="single" w:sz="4" w:space="0" w:color="auto"/>
            </w:tcBorders>
          </w:tcPr>
          <w:p w:rsidR="00534FB5" w:rsidRPr="006D67B3" w:rsidRDefault="00534FB5" w:rsidP="00534FB5">
            <w:pPr>
              <w:tabs>
                <w:tab w:val="left" w:pos="4253"/>
              </w:tabs>
              <w:spacing w:line="240" w:lineRule="atLeast"/>
              <w:contextualSpacing/>
            </w:pPr>
            <w:r w:rsidRPr="006D67B3">
              <w:t>Група</w:t>
            </w:r>
          </w:p>
        </w:tc>
        <w:tc>
          <w:tcPr>
            <w:tcW w:w="258" w:type="pct"/>
            <w:tcBorders>
              <w:left w:val="single" w:sz="4" w:space="0" w:color="auto"/>
            </w:tcBorders>
          </w:tcPr>
          <w:p w:rsidR="00534FB5" w:rsidRPr="006D67B3" w:rsidRDefault="00534FB5" w:rsidP="00534FB5">
            <w:pPr>
              <w:tabs>
                <w:tab w:val="left" w:pos="4253"/>
              </w:tabs>
              <w:spacing w:line="240" w:lineRule="atLeast"/>
              <w:contextualSpacing/>
            </w:pPr>
            <w:r w:rsidRPr="006D67B3">
              <w:t>N</w:t>
            </w:r>
          </w:p>
        </w:tc>
        <w:tc>
          <w:tcPr>
            <w:tcW w:w="922"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rPr>
                <w:color w:val="000000"/>
                <w:shd w:val="clear" w:color="auto" w:fill="FFFFFF"/>
              </w:rPr>
              <w:t>Індекс</w:t>
            </w:r>
            <w:r>
              <w:rPr>
                <w:color w:val="000000"/>
                <w:shd w:val="clear" w:color="auto" w:fill="FFFFFF"/>
              </w:rPr>
              <w:t xml:space="preserve"> </w:t>
            </w:r>
            <w:r w:rsidRPr="006D67B3">
              <w:rPr>
                <w:color w:val="000000"/>
                <w:bdr w:val="none" w:sz="0" w:space="0" w:color="auto" w:frame="1"/>
              </w:rPr>
              <w:t>РМА</w:t>
            </w:r>
          </w:p>
        </w:tc>
        <w:tc>
          <w:tcPr>
            <w:tcW w:w="486"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Група</w:t>
            </w:r>
          </w:p>
        </w:tc>
        <w:tc>
          <w:tcPr>
            <w:tcW w:w="258"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N</w:t>
            </w:r>
          </w:p>
        </w:tc>
        <w:tc>
          <w:tcPr>
            <w:tcW w:w="922" w:type="pct"/>
            <w:tcBorders>
              <w:left w:val="single" w:sz="4" w:space="0" w:color="auto"/>
            </w:tcBorders>
          </w:tcPr>
          <w:p w:rsidR="00534FB5" w:rsidRPr="006D67B3" w:rsidRDefault="00534FB5" w:rsidP="00534FB5">
            <w:pPr>
              <w:tabs>
                <w:tab w:val="left" w:pos="4253"/>
              </w:tabs>
              <w:spacing w:line="240" w:lineRule="atLeast"/>
              <w:contextualSpacing/>
            </w:pPr>
            <w:r w:rsidRPr="006D67B3">
              <w:rPr>
                <w:color w:val="000000"/>
                <w:shd w:val="clear" w:color="auto" w:fill="FFFFFF"/>
              </w:rPr>
              <w:t>Індекс</w:t>
            </w:r>
            <w:r>
              <w:rPr>
                <w:color w:val="000000"/>
                <w:shd w:val="clear" w:color="auto" w:fill="FFFFFF"/>
              </w:rPr>
              <w:t xml:space="preserve"> </w:t>
            </w:r>
            <w:r w:rsidRPr="006D67B3">
              <w:rPr>
                <w:color w:val="000000"/>
                <w:bdr w:val="none" w:sz="0" w:space="0" w:color="auto" w:frame="1"/>
              </w:rPr>
              <w:t>РМА</w:t>
            </w:r>
          </w:p>
        </w:tc>
      </w:tr>
      <w:tr w:rsidR="00534FB5" w:rsidRPr="001E7C90" w:rsidTr="00534FB5">
        <w:tc>
          <w:tcPr>
            <w:tcW w:w="486" w:type="pct"/>
          </w:tcPr>
          <w:p w:rsidR="00534FB5" w:rsidRPr="006D67B3" w:rsidRDefault="00534FB5" w:rsidP="00534FB5">
            <w:pPr>
              <w:tabs>
                <w:tab w:val="left" w:pos="4253"/>
              </w:tabs>
              <w:spacing w:line="240" w:lineRule="atLeast"/>
              <w:contextualSpacing/>
            </w:pPr>
            <w:r w:rsidRPr="006D67B3">
              <w:t>КГ1</w:t>
            </w:r>
          </w:p>
        </w:tc>
        <w:tc>
          <w:tcPr>
            <w:tcW w:w="258" w:type="pct"/>
          </w:tcPr>
          <w:p w:rsidR="00534FB5" w:rsidRPr="006D67B3" w:rsidRDefault="00534FB5" w:rsidP="00534FB5">
            <w:pPr>
              <w:tabs>
                <w:tab w:val="left" w:pos="4253"/>
              </w:tabs>
              <w:spacing w:line="240" w:lineRule="atLeast"/>
              <w:contextualSpacing/>
            </w:pPr>
            <w:r w:rsidRPr="006D67B3">
              <w:t>10</w:t>
            </w:r>
          </w:p>
        </w:tc>
        <w:tc>
          <w:tcPr>
            <w:tcW w:w="922" w:type="pct"/>
          </w:tcPr>
          <w:p w:rsidR="00534FB5" w:rsidRPr="006D67B3" w:rsidRDefault="00534FB5" w:rsidP="00534FB5">
            <w:pPr>
              <w:tabs>
                <w:tab w:val="left" w:pos="4253"/>
              </w:tabs>
              <w:spacing w:line="240" w:lineRule="atLeast"/>
              <w:contextualSpacing/>
            </w:pPr>
            <w:r w:rsidRPr="006D67B3">
              <w:t>9,80±6,53**</w:t>
            </w:r>
          </w:p>
        </w:tc>
        <w:tc>
          <w:tcPr>
            <w:tcW w:w="486" w:type="pct"/>
            <w:tcBorders>
              <w:right w:val="single" w:sz="4" w:space="0" w:color="auto"/>
            </w:tcBorders>
          </w:tcPr>
          <w:p w:rsidR="00534FB5" w:rsidRPr="006D67B3" w:rsidRDefault="00534FB5" w:rsidP="00534FB5">
            <w:pPr>
              <w:tabs>
                <w:tab w:val="left" w:pos="4253"/>
              </w:tabs>
              <w:spacing w:line="240" w:lineRule="atLeast"/>
              <w:contextualSpacing/>
            </w:pPr>
            <w:r w:rsidRPr="006D67B3">
              <w:t>КГ2</w:t>
            </w:r>
          </w:p>
        </w:tc>
        <w:tc>
          <w:tcPr>
            <w:tcW w:w="258" w:type="pct"/>
            <w:tcBorders>
              <w:left w:val="single" w:sz="4" w:space="0" w:color="auto"/>
            </w:tcBorders>
          </w:tcPr>
          <w:p w:rsidR="00534FB5" w:rsidRPr="006D67B3" w:rsidRDefault="00534FB5" w:rsidP="00534FB5">
            <w:pPr>
              <w:tabs>
                <w:tab w:val="left" w:pos="4253"/>
              </w:tabs>
              <w:spacing w:line="240" w:lineRule="atLeast"/>
              <w:contextualSpacing/>
            </w:pPr>
            <w:r w:rsidRPr="006D67B3">
              <w:t>10</w:t>
            </w:r>
          </w:p>
        </w:tc>
        <w:tc>
          <w:tcPr>
            <w:tcW w:w="922" w:type="pct"/>
            <w:tcBorders>
              <w:left w:val="single" w:sz="4" w:space="0" w:color="auto"/>
              <w:right w:val="single" w:sz="4" w:space="0" w:color="auto"/>
            </w:tcBorders>
          </w:tcPr>
          <w:p w:rsidR="00534FB5" w:rsidRPr="006D67B3" w:rsidRDefault="00D45509" w:rsidP="00534FB5">
            <w:pPr>
              <w:tabs>
                <w:tab w:val="left" w:pos="4253"/>
              </w:tabs>
              <w:spacing w:line="240" w:lineRule="atLeast"/>
              <w:contextualSpacing/>
            </w:pPr>
            <w:r>
              <w:t>11,70±5,8</w:t>
            </w:r>
            <w:r w:rsidR="00435332">
              <w:t>8</w:t>
            </w:r>
            <w:r w:rsidR="00C664D7" w:rsidRPr="006D67B3">
              <w:t>**</w:t>
            </w:r>
          </w:p>
        </w:tc>
        <w:tc>
          <w:tcPr>
            <w:tcW w:w="486"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КГ3</w:t>
            </w:r>
          </w:p>
        </w:tc>
        <w:tc>
          <w:tcPr>
            <w:tcW w:w="258"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12</w:t>
            </w:r>
          </w:p>
        </w:tc>
        <w:tc>
          <w:tcPr>
            <w:tcW w:w="922" w:type="pct"/>
            <w:tcBorders>
              <w:left w:val="single" w:sz="4" w:space="0" w:color="auto"/>
            </w:tcBorders>
          </w:tcPr>
          <w:p w:rsidR="00534FB5" w:rsidRPr="006D67B3" w:rsidRDefault="00D45509" w:rsidP="00534FB5">
            <w:pPr>
              <w:tabs>
                <w:tab w:val="left" w:pos="4253"/>
              </w:tabs>
              <w:spacing w:line="240" w:lineRule="atLeast"/>
              <w:contextualSpacing/>
            </w:pPr>
            <w:r>
              <w:t>7,67±3,02</w:t>
            </w:r>
            <w:r w:rsidR="00C664D7" w:rsidRPr="006D67B3">
              <w:t>**</w:t>
            </w:r>
          </w:p>
        </w:tc>
      </w:tr>
      <w:tr w:rsidR="00534FB5" w:rsidRPr="001E7C90" w:rsidTr="00534FB5">
        <w:tc>
          <w:tcPr>
            <w:tcW w:w="486" w:type="pct"/>
          </w:tcPr>
          <w:p w:rsidR="00534FB5" w:rsidRPr="006D67B3" w:rsidRDefault="00534FB5" w:rsidP="00534FB5">
            <w:pPr>
              <w:tabs>
                <w:tab w:val="left" w:pos="4253"/>
              </w:tabs>
              <w:spacing w:line="240" w:lineRule="atLeast"/>
              <w:contextualSpacing/>
            </w:pPr>
            <w:r w:rsidRPr="006D67B3">
              <w:t>ОГ1</w:t>
            </w:r>
          </w:p>
        </w:tc>
        <w:tc>
          <w:tcPr>
            <w:tcW w:w="258" w:type="pct"/>
          </w:tcPr>
          <w:p w:rsidR="00534FB5" w:rsidRPr="006D67B3" w:rsidRDefault="00534FB5" w:rsidP="00534FB5">
            <w:pPr>
              <w:tabs>
                <w:tab w:val="left" w:pos="4253"/>
              </w:tabs>
              <w:spacing w:line="240" w:lineRule="atLeast"/>
              <w:contextualSpacing/>
            </w:pPr>
            <w:r w:rsidRPr="006D67B3">
              <w:t>23</w:t>
            </w:r>
          </w:p>
        </w:tc>
        <w:tc>
          <w:tcPr>
            <w:tcW w:w="922" w:type="pct"/>
          </w:tcPr>
          <w:p w:rsidR="00534FB5" w:rsidRPr="006D67B3" w:rsidRDefault="00534FB5" w:rsidP="00534FB5">
            <w:pPr>
              <w:tabs>
                <w:tab w:val="left" w:pos="4253"/>
              </w:tabs>
              <w:spacing w:line="240" w:lineRule="atLeast"/>
              <w:contextualSpacing/>
            </w:pPr>
            <w:r w:rsidRPr="006D67B3">
              <w:t>33,35±7,60**</w:t>
            </w:r>
          </w:p>
        </w:tc>
        <w:tc>
          <w:tcPr>
            <w:tcW w:w="486" w:type="pct"/>
            <w:tcBorders>
              <w:right w:val="single" w:sz="4" w:space="0" w:color="auto"/>
            </w:tcBorders>
          </w:tcPr>
          <w:p w:rsidR="00534FB5" w:rsidRPr="006D67B3" w:rsidRDefault="00534FB5" w:rsidP="00534FB5">
            <w:pPr>
              <w:tabs>
                <w:tab w:val="left" w:pos="4253"/>
              </w:tabs>
              <w:spacing w:line="240" w:lineRule="atLeast"/>
              <w:contextualSpacing/>
            </w:pPr>
            <w:r w:rsidRPr="006D67B3">
              <w:t>ОГ2</w:t>
            </w:r>
          </w:p>
        </w:tc>
        <w:tc>
          <w:tcPr>
            <w:tcW w:w="258" w:type="pct"/>
            <w:tcBorders>
              <w:left w:val="single" w:sz="4" w:space="0" w:color="auto"/>
            </w:tcBorders>
          </w:tcPr>
          <w:p w:rsidR="00534FB5" w:rsidRPr="006D67B3" w:rsidRDefault="00534FB5" w:rsidP="00534FB5">
            <w:pPr>
              <w:tabs>
                <w:tab w:val="left" w:pos="4253"/>
              </w:tabs>
              <w:spacing w:line="240" w:lineRule="atLeast"/>
              <w:contextualSpacing/>
            </w:pPr>
            <w:r w:rsidRPr="006D67B3">
              <w:t>21</w:t>
            </w:r>
          </w:p>
        </w:tc>
        <w:tc>
          <w:tcPr>
            <w:tcW w:w="922" w:type="pct"/>
            <w:tcBorders>
              <w:left w:val="single" w:sz="4" w:space="0" w:color="auto"/>
              <w:right w:val="single" w:sz="4" w:space="0" w:color="auto"/>
            </w:tcBorders>
          </w:tcPr>
          <w:p w:rsidR="00534FB5" w:rsidRPr="006D67B3" w:rsidRDefault="00435332" w:rsidP="00534FB5">
            <w:pPr>
              <w:tabs>
                <w:tab w:val="left" w:pos="4253"/>
              </w:tabs>
              <w:spacing w:line="240" w:lineRule="atLeast"/>
              <w:contextualSpacing/>
            </w:pPr>
            <w:r>
              <w:t>24,71±7,09</w:t>
            </w:r>
            <w:r w:rsidR="00C664D7" w:rsidRPr="006D67B3">
              <w:t>**</w:t>
            </w:r>
          </w:p>
        </w:tc>
        <w:tc>
          <w:tcPr>
            <w:tcW w:w="486"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ОГ3</w:t>
            </w:r>
          </w:p>
        </w:tc>
        <w:tc>
          <w:tcPr>
            <w:tcW w:w="258" w:type="pct"/>
            <w:tcBorders>
              <w:left w:val="single" w:sz="4" w:space="0" w:color="auto"/>
              <w:right w:val="single" w:sz="4" w:space="0" w:color="auto"/>
            </w:tcBorders>
          </w:tcPr>
          <w:p w:rsidR="00534FB5" w:rsidRPr="006D67B3" w:rsidRDefault="00534FB5" w:rsidP="00534FB5">
            <w:pPr>
              <w:tabs>
                <w:tab w:val="left" w:pos="4253"/>
              </w:tabs>
              <w:spacing w:line="240" w:lineRule="atLeast"/>
              <w:contextualSpacing/>
            </w:pPr>
            <w:r w:rsidRPr="006D67B3">
              <w:t>26</w:t>
            </w:r>
          </w:p>
        </w:tc>
        <w:tc>
          <w:tcPr>
            <w:tcW w:w="922" w:type="pct"/>
            <w:tcBorders>
              <w:left w:val="single" w:sz="4" w:space="0" w:color="auto"/>
            </w:tcBorders>
          </w:tcPr>
          <w:p w:rsidR="00534FB5" w:rsidRPr="006D67B3" w:rsidRDefault="00435332" w:rsidP="00534FB5">
            <w:pPr>
              <w:tabs>
                <w:tab w:val="left" w:pos="4253"/>
              </w:tabs>
              <w:spacing w:line="240" w:lineRule="atLeast"/>
              <w:contextualSpacing/>
            </w:pPr>
            <w:r>
              <w:t>14,76±4,03</w:t>
            </w:r>
            <w:r w:rsidR="00C664D7" w:rsidRPr="006D67B3">
              <w:t>**</w:t>
            </w:r>
          </w:p>
        </w:tc>
      </w:tr>
    </w:tbl>
    <w:p w:rsidR="00534FB5" w:rsidRDefault="00534FB5" w:rsidP="00534FB5">
      <w:pPr>
        <w:tabs>
          <w:tab w:val="left" w:pos="4253"/>
        </w:tabs>
        <w:spacing w:line="240" w:lineRule="auto"/>
        <w:ind w:left="-142"/>
        <w:rPr>
          <w:sz w:val="24"/>
        </w:rPr>
      </w:pPr>
    </w:p>
    <w:p w:rsidR="00534FB5" w:rsidRPr="00435332" w:rsidRDefault="00534FB5" w:rsidP="00534FB5">
      <w:pPr>
        <w:tabs>
          <w:tab w:val="left" w:pos="4253"/>
        </w:tabs>
        <w:spacing w:line="240" w:lineRule="auto"/>
        <w:ind w:left="-142"/>
        <w:rPr>
          <w:sz w:val="16"/>
          <w:szCs w:val="20"/>
        </w:rPr>
      </w:pPr>
      <w:r w:rsidRPr="00435332">
        <w:rPr>
          <w:sz w:val="22"/>
        </w:rPr>
        <w:t>Примітка. Р</w:t>
      </w:r>
      <w:r w:rsidRPr="00435332">
        <w:rPr>
          <w:sz w:val="22"/>
          <w:vertAlign w:val="subscript"/>
        </w:rPr>
        <w:t xml:space="preserve"> –</w:t>
      </w:r>
      <w:r w:rsidRPr="00435332">
        <w:rPr>
          <w:sz w:val="22"/>
        </w:rPr>
        <w:t xml:space="preserve"> показник вірогідних відмінностей результатів між КГ і ОГ (* – Р &gt; 0,05, ** – Р&lt;0,05, *** – Р&lt;0,01).</w:t>
      </w:r>
      <w:r w:rsidRPr="00435332">
        <w:rPr>
          <w:sz w:val="16"/>
          <w:szCs w:val="20"/>
          <w:highlight w:val="green"/>
        </w:rPr>
        <w:t xml:space="preserve"> </w:t>
      </w:r>
    </w:p>
    <w:p w:rsidR="00534FB5" w:rsidRDefault="00534FB5" w:rsidP="00534FB5">
      <w:pPr>
        <w:ind w:firstLine="709"/>
        <w:rPr>
          <w:shd w:val="clear" w:color="auto" w:fill="FFFFFF"/>
        </w:rPr>
      </w:pPr>
    </w:p>
    <w:p w:rsidR="00534FB5" w:rsidRDefault="00534FB5" w:rsidP="00534FB5">
      <w:pPr>
        <w:ind w:firstLine="709"/>
        <w:rPr>
          <w:noProof/>
        </w:rPr>
      </w:pPr>
      <w:r w:rsidRPr="0071616E">
        <w:rPr>
          <w:shd w:val="clear" w:color="auto" w:fill="FFFFFF"/>
        </w:rPr>
        <w:t>Показники індексу РМА</w:t>
      </w:r>
      <w:r>
        <w:rPr>
          <w:shd w:val="clear" w:color="auto" w:fill="FFFFFF"/>
        </w:rPr>
        <w:t>,</w:t>
      </w:r>
      <w:r w:rsidRPr="0071616E">
        <w:rPr>
          <w:shd w:val="clear" w:color="auto" w:fill="FFFFFF"/>
        </w:rPr>
        <w:t xml:space="preserve"> отримані в </w:t>
      </w:r>
      <w:r>
        <w:rPr>
          <w:shd w:val="clear" w:color="auto" w:fill="FFFFFF"/>
        </w:rPr>
        <w:t xml:space="preserve">дітей </w:t>
      </w:r>
      <w:r w:rsidRPr="0071616E">
        <w:rPr>
          <w:shd w:val="clear" w:color="auto" w:fill="FFFFFF"/>
        </w:rPr>
        <w:t>ОГ</w:t>
      </w:r>
      <w:r w:rsidR="00C664D7">
        <w:rPr>
          <w:shd w:val="clear" w:color="auto" w:fill="FFFFFF"/>
        </w:rPr>
        <w:t xml:space="preserve">, </w:t>
      </w:r>
      <w:r w:rsidR="00C664D7" w:rsidRPr="00C664D7">
        <w:rPr>
          <w:shd w:val="clear" w:color="auto" w:fill="FFFFFF"/>
        </w:rPr>
        <w:t xml:space="preserve">достовірно </w:t>
      </w:r>
      <w:r w:rsidRPr="00C664D7">
        <w:rPr>
          <w:shd w:val="clear" w:color="auto" w:fill="FFFFFF"/>
        </w:rPr>
        <w:t xml:space="preserve"> </w:t>
      </w:r>
      <w:r w:rsidR="00C664D7" w:rsidRPr="00C664D7">
        <w:rPr>
          <w:shd w:val="clear" w:color="auto" w:fill="FFFFFF"/>
        </w:rPr>
        <w:t>(</w:t>
      </w:r>
      <w:r w:rsidR="00C664D7" w:rsidRPr="00C664D7">
        <w:t>Р &gt; 0,05)</w:t>
      </w:r>
      <w:r w:rsidR="00C664D7">
        <w:rPr>
          <w:sz w:val="22"/>
        </w:rPr>
        <w:t xml:space="preserve"> </w:t>
      </w:r>
      <w:r w:rsidRPr="0071616E">
        <w:rPr>
          <w:shd w:val="clear" w:color="auto" w:fill="FFFFFF"/>
        </w:rPr>
        <w:t>відрізнялис</w:t>
      </w:r>
      <w:r>
        <w:rPr>
          <w:shd w:val="clear" w:color="auto" w:fill="FFFFFF"/>
        </w:rPr>
        <w:t>я</w:t>
      </w:r>
      <w:r w:rsidRPr="0071616E">
        <w:rPr>
          <w:shd w:val="clear" w:color="auto" w:fill="FFFFFF"/>
        </w:rPr>
        <w:t xml:space="preserve"> від показ</w:t>
      </w:r>
      <w:r>
        <w:rPr>
          <w:shd w:val="clear" w:color="auto" w:fill="FFFFFF"/>
        </w:rPr>
        <w:t>ників дітей КГ. У</w:t>
      </w:r>
      <w:r w:rsidRPr="0071616E">
        <w:rPr>
          <w:shd w:val="clear" w:color="auto" w:fill="FFFFFF"/>
        </w:rPr>
        <w:t xml:space="preserve"> групі 7-8</w:t>
      </w:r>
      <w:r>
        <w:rPr>
          <w:shd w:val="clear" w:color="auto" w:fill="FFFFFF"/>
        </w:rPr>
        <w:t>-</w:t>
      </w:r>
      <w:r w:rsidRPr="0071616E">
        <w:rPr>
          <w:shd w:val="clear" w:color="auto" w:fill="FFFFFF"/>
        </w:rPr>
        <w:t xml:space="preserve">річних </w:t>
      </w:r>
      <w:r>
        <w:rPr>
          <w:shd w:val="clear" w:color="auto" w:fill="FFFFFF"/>
        </w:rPr>
        <w:t>ДВГ</w:t>
      </w:r>
      <w:r w:rsidRPr="0071616E">
        <w:rPr>
          <w:shd w:val="clear" w:color="auto" w:fill="FFFFFF"/>
        </w:rPr>
        <w:t xml:space="preserve"> індекс РМА відповідав середньому </w:t>
      </w:r>
      <w:r w:rsidRPr="007B2238">
        <w:rPr>
          <w:spacing w:val="-2"/>
          <w:shd w:val="clear" w:color="auto" w:fill="FFFFFF"/>
        </w:rPr>
        <w:t xml:space="preserve">ступеню </w:t>
      </w:r>
      <w:r>
        <w:rPr>
          <w:spacing w:val="-2"/>
          <w:shd w:val="clear" w:color="auto" w:fill="FFFFFF"/>
        </w:rPr>
        <w:t xml:space="preserve">важкості </w:t>
      </w:r>
      <w:r w:rsidRPr="007B2238">
        <w:rPr>
          <w:spacing w:val="-2"/>
          <w:shd w:val="clear" w:color="auto" w:fill="FFFFFF"/>
        </w:rPr>
        <w:t xml:space="preserve">гінгівіту </w:t>
      </w:r>
      <w:r w:rsidRPr="000939CA">
        <w:rPr>
          <w:shd w:val="clear" w:color="auto" w:fill="FFFFFF"/>
        </w:rPr>
        <w:t>(</w:t>
      </w:r>
      <w:r w:rsidRPr="000939CA">
        <w:t>33,35±7,60</w:t>
      </w:r>
      <w:r>
        <w:rPr>
          <w:shd w:val="clear" w:color="auto" w:fill="FFFFFF"/>
        </w:rPr>
        <w:t>), в групі 11-12-ти та 14-15-</w:t>
      </w:r>
      <w:r w:rsidRPr="000939CA">
        <w:rPr>
          <w:shd w:val="clear" w:color="auto" w:fill="FFFFFF"/>
        </w:rPr>
        <w:t>річних дітей – легкому ступеню гінгівіту (</w:t>
      </w:r>
      <w:r>
        <w:t>24,71±7,09 та 14,76±4,03</w:t>
      </w:r>
      <w:r w:rsidRPr="000939CA">
        <w:rPr>
          <w:shd w:val="clear" w:color="auto" w:fill="FFFFFF"/>
        </w:rPr>
        <w:t>) (табл.</w:t>
      </w:r>
      <w:r>
        <w:rPr>
          <w:shd w:val="clear" w:color="auto" w:fill="FFFFFF"/>
        </w:rPr>
        <w:t> </w:t>
      </w:r>
      <w:r w:rsidRPr="000939CA">
        <w:rPr>
          <w:shd w:val="clear" w:color="auto" w:fill="FFFFFF"/>
        </w:rPr>
        <w:t>3.3.1, рис.</w:t>
      </w:r>
      <w:r>
        <w:rPr>
          <w:shd w:val="clear" w:color="auto" w:fill="FFFFFF"/>
        </w:rPr>
        <w:t> </w:t>
      </w:r>
      <w:r w:rsidR="006F55A9">
        <w:rPr>
          <w:shd w:val="clear" w:color="auto" w:fill="FFFFFF"/>
        </w:rPr>
        <w:t>3.3.3</w:t>
      </w:r>
      <w:r w:rsidRPr="000939CA">
        <w:rPr>
          <w:shd w:val="clear" w:color="auto" w:fill="FFFFFF"/>
        </w:rPr>
        <w:t>).</w:t>
      </w:r>
    </w:p>
    <w:p w:rsidR="00534FB5" w:rsidRDefault="00534FB5" w:rsidP="00534FB5">
      <w:pPr>
        <w:ind w:firstLine="709"/>
        <w:rPr>
          <w:noProof/>
        </w:rPr>
      </w:pPr>
    </w:p>
    <w:p w:rsidR="00534FB5" w:rsidRDefault="006C493E" w:rsidP="00534FB5">
      <w:pPr>
        <w:ind w:firstLine="709"/>
        <w:rPr>
          <w:noProof/>
        </w:rPr>
      </w:pPr>
      <w:r>
        <w:rPr>
          <w:noProof/>
          <w:lang w:val="ru-RU"/>
        </w:rPr>
        <w:drawing>
          <wp:inline distT="0" distB="0" distL="0" distR="0">
            <wp:extent cx="4844007" cy="2370292"/>
            <wp:effectExtent l="19050" t="0" r="13743"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4FB5" w:rsidRDefault="00534FB5" w:rsidP="00534FB5">
      <w:pPr>
        <w:ind w:firstLine="709"/>
      </w:pPr>
      <w:r w:rsidRPr="00366117">
        <w:rPr>
          <w:noProof/>
        </w:rPr>
        <w:t>Рис.</w:t>
      </w:r>
      <w:r>
        <w:rPr>
          <w:noProof/>
        </w:rPr>
        <w:t> </w:t>
      </w:r>
      <w:r w:rsidRPr="00366117">
        <w:rPr>
          <w:noProof/>
        </w:rPr>
        <w:t xml:space="preserve">3.3.3. </w:t>
      </w:r>
      <w:r w:rsidRPr="00366117">
        <w:t xml:space="preserve">Показники </w:t>
      </w:r>
      <w:r>
        <w:rPr>
          <w:color w:val="000000"/>
          <w:shd w:val="clear" w:color="auto" w:fill="FFFFFF"/>
        </w:rPr>
        <w:t>стану тканин пародонта</w:t>
      </w:r>
      <w:r w:rsidRPr="00366117">
        <w:rPr>
          <w:color w:val="000000"/>
          <w:shd w:val="clear" w:color="auto" w:fill="FFFFFF"/>
        </w:rPr>
        <w:t xml:space="preserve"> за індексом </w:t>
      </w:r>
      <w:r w:rsidRPr="00366117">
        <w:rPr>
          <w:color w:val="000000"/>
          <w:bdr w:val="none" w:sz="0" w:space="0" w:color="auto" w:frame="1"/>
        </w:rPr>
        <w:t xml:space="preserve">РМА </w:t>
      </w:r>
      <w:r w:rsidRPr="00366117">
        <w:t>у дітей порівнюваних груп до проведення лікувально-профілактичних заходів.</w:t>
      </w:r>
    </w:p>
    <w:p w:rsidR="00534FB5" w:rsidRDefault="00534FB5" w:rsidP="00534FB5">
      <w:pPr>
        <w:rPr>
          <w:shd w:val="clear" w:color="auto" w:fill="FFFFFF"/>
        </w:rPr>
      </w:pPr>
    </w:p>
    <w:p w:rsidR="00534FB5" w:rsidRPr="000939CA" w:rsidRDefault="00534FB5" w:rsidP="00534FB5">
      <w:pPr>
        <w:ind w:firstLine="709"/>
      </w:pPr>
      <w:r w:rsidRPr="000939CA">
        <w:rPr>
          <w:color w:val="000000"/>
          <w:shd w:val="clear" w:color="auto" w:fill="FFFFFF"/>
        </w:rPr>
        <w:t>Для оцінки інтенсивності, поширено</w:t>
      </w:r>
      <w:r>
        <w:rPr>
          <w:color w:val="000000"/>
          <w:shd w:val="clear" w:color="auto" w:fill="FFFFFF"/>
        </w:rPr>
        <w:t>сті захворювань тканин пародонта</w:t>
      </w:r>
      <w:r w:rsidRPr="000939CA">
        <w:rPr>
          <w:color w:val="000000"/>
          <w:shd w:val="clear" w:color="auto" w:fill="FFFFFF"/>
        </w:rPr>
        <w:t xml:space="preserve"> серед обстежених груп </w:t>
      </w:r>
      <w:r>
        <w:rPr>
          <w:color w:val="000000"/>
          <w:shd w:val="clear" w:color="auto" w:fill="FFFFFF"/>
        </w:rPr>
        <w:t>дітей та для планування заходів</w:t>
      </w:r>
      <w:r w:rsidRPr="000939CA">
        <w:rPr>
          <w:color w:val="000000"/>
          <w:shd w:val="clear" w:color="auto" w:fill="FFFFFF"/>
        </w:rPr>
        <w:t xml:space="preserve"> щодо лікування і профілактики цих захворюв</w:t>
      </w:r>
      <w:r>
        <w:rPr>
          <w:color w:val="000000"/>
          <w:shd w:val="clear" w:color="auto" w:fill="FFFFFF"/>
        </w:rPr>
        <w:t xml:space="preserve">ань використано </w:t>
      </w:r>
      <w:r w:rsidRPr="000939CA">
        <w:rPr>
          <w:color w:val="000000"/>
          <w:shd w:val="clear" w:color="auto" w:fill="FFFFFF"/>
        </w:rPr>
        <w:t>індекс потре</w:t>
      </w:r>
      <w:r>
        <w:rPr>
          <w:color w:val="000000"/>
          <w:shd w:val="clear" w:color="auto" w:fill="FFFFFF"/>
        </w:rPr>
        <w:t>би в лікуванні хвороб пародонта –</w:t>
      </w:r>
      <w:r w:rsidRPr="000939CA">
        <w:rPr>
          <w:color w:val="000000"/>
          <w:shd w:val="clear" w:color="auto" w:fill="FFFFFF"/>
        </w:rPr>
        <w:t xml:space="preserve"> CPITN. Оцінку потреби в лікуванні проводили на </w:t>
      </w:r>
      <w:r w:rsidRPr="000939CA">
        <w:rPr>
          <w:color w:val="000000"/>
          <w:shd w:val="clear" w:color="auto" w:fill="FFFFFF"/>
        </w:rPr>
        <w:lastRenderedPageBreak/>
        <w:t>підставі аналізу індексу і його складових</w:t>
      </w:r>
      <w:r>
        <w:rPr>
          <w:color w:val="000000"/>
          <w:shd w:val="clear" w:color="auto" w:fill="FFFFFF"/>
        </w:rPr>
        <w:t xml:space="preserve"> </w:t>
      </w:r>
      <w:r w:rsidRPr="00182370">
        <w:rPr>
          <w:color w:val="000000"/>
          <w:spacing w:val="-2"/>
          <w:shd w:val="clear" w:color="auto" w:fill="FFFFFF"/>
        </w:rPr>
        <w:t>(табл.</w:t>
      </w:r>
      <w:r>
        <w:rPr>
          <w:color w:val="000000"/>
          <w:spacing w:val="-2"/>
          <w:shd w:val="clear" w:color="auto" w:fill="FFFFFF"/>
        </w:rPr>
        <w:t> </w:t>
      </w:r>
      <w:r w:rsidRPr="00182370">
        <w:rPr>
          <w:color w:val="000000"/>
          <w:spacing w:val="-2"/>
          <w:shd w:val="clear" w:color="auto" w:fill="FFFFFF"/>
        </w:rPr>
        <w:t>3.3.2., рис.</w:t>
      </w:r>
      <w:r>
        <w:rPr>
          <w:color w:val="000000"/>
          <w:spacing w:val="-2"/>
          <w:shd w:val="clear" w:color="auto" w:fill="FFFFFF"/>
        </w:rPr>
        <w:t> </w:t>
      </w:r>
      <w:r w:rsidRPr="00182370">
        <w:rPr>
          <w:color w:val="000000"/>
          <w:spacing w:val="-2"/>
          <w:shd w:val="clear" w:color="auto" w:fill="FFFFFF"/>
        </w:rPr>
        <w:t>3.3.4)</w:t>
      </w:r>
      <w:r w:rsidRPr="000939CA">
        <w:rPr>
          <w:color w:val="000000"/>
          <w:shd w:val="clear" w:color="auto" w:fill="FFFFFF"/>
        </w:rPr>
        <w:t>.</w:t>
      </w:r>
    </w:p>
    <w:p w:rsidR="00534FB5" w:rsidRPr="00995AA5" w:rsidRDefault="00534FB5" w:rsidP="00534FB5">
      <w:pPr>
        <w:ind w:firstLine="709"/>
        <w:jc w:val="right"/>
        <w:rPr>
          <w:i/>
        </w:rPr>
      </w:pPr>
      <w:r>
        <w:rPr>
          <w:i/>
        </w:rPr>
        <w:t>Таблиця 3.3.2</w:t>
      </w:r>
    </w:p>
    <w:p w:rsidR="00534FB5" w:rsidRPr="00995AA5" w:rsidRDefault="00534FB5" w:rsidP="00534FB5">
      <w:pPr>
        <w:tabs>
          <w:tab w:val="left" w:pos="4253"/>
        </w:tabs>
        <w:jc w:val="center"/>
        <w:rPr>
          <w:b/>
          <w:spacing w:val="-6"/>
        </w:rPr>
      </w:pPr>
      <w:r w:rsidRPr="00995AA5">
        <w:rPr>
          <w:b/>
        </w:rPr>
        <w:t>Показники</w:t>
      </w:r>
      <w:r w:rsidRPr="00995AA5">
        <w:rPr>
          <w:b/>
          <w:color w:val="000000"/>
          <w:shd w:val="clear" w:color="auto" w:fill="FFFFFF"/>
        </w:rPr>
        <w:t xml:space="preserve"> індексу CPITN </w:t>
      </w:r>
      <w:r>
        <w:rPr>
          <w:b/>
        </w:rPr>
        <w:t>у дітей порівнюваних</w:t>
      </w:r>
      <w:r w:rsidRPr="00995AA5">
        <w:rPr>
          <w:b/>
        </w:rPr>
        <w:t xml:space="preserve"> г</w:t>
      </w:r>
      <w:r>
        <w:rPr>
          <w:b/>
        </w:rPr>
        <w:t>руп</w:t>
      </w:r>
      <w:r w:rsidRPr="00995AA5">
        <w:rPr>
          <w:b/>
        </w:rPr>
        <w:t xml:space="preserve"> до проведення лікувально-профілактичних заходів</w:t>
      </w:r>
      <w:r>
        <w:rPr>
          <w:b/>
        </w:rPr>
        <w:t xml:space="preserve">, </w:t>
      </w:r>
      <w:r w:rsidRPr="0071616E">
        <w:rPr>
          <w:b/>
          <w:color w:val="000000"/>
          <w:spacing w:val="-6"/>
          <w:bdr w:val="none" w:sz="0" w:space="0" w:color="auto" w:frame="1"/>
        </w:rPr>
        <w:t>(</w:t>
      </w:r>
      <w:r w:rsidRPr="006D67B3">
        <w:rPr>
          <w:b/>
          <w:lang w:val="en-US"/>
        </w:rPr>
        <w:t>M</w:t>
      </w:r>
      <w:r w:rsidRPr="006D67B3">
        <w:rPr>
          <w:b/>
        </w:rPr>
        <w:t>±</w:t>
      </w:r>
      <w:r w:rsidRPr="006D67B3">
        <w:rPr>
          <w:b/>
          <w:lang w:val="en-US"/>
        </w:rPr>
        <w:t>m</w:t>
      </w:r>
      <w:r w:rsidRPr="0071616E">
        <w:rPr>
          <w:b/>
          <w:spacing w:val="-6"/>
        </w:rPr>
        <w:t>)</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
        <w:gridCol w:w="496"/>
        <w:gridCol w:w="1770"/>
        <w:gridCol w:w="932"/>
        <w:gridCol w:w="496"/>
        <w:gridCol w:w="1770"/>
        <w:gridCol w:w="932"/>
        <w:gridCol w:w="496"/>
        <w:gridCol w:w="1770"/>
      </w:tblGrid>
      <w:tr w:rsidR="00534FB5" w:rsidRPr="001E7C90" w:rsidTr="00534FB5">
        <w:tc>
          <w:tcPr>
            <w:tcW w:w="486" w:type="pct"/>
          </w:tcPr>
          <w:p w:rsidR="00534FB5" w:rsidRPr="00995AA5" w:rsidRDefault="00534FB5" w:rsidP="00534FB5">
            <w:pPr>
              <w:tabs>
                <w:tab w:val="left" w:pos="4253"/>
              </w:tabs>
              <w:spacing w:line="240" w:lineRule="atLeast"/>
              <w:contextualSpacing/>
            </w:pPr>
            <w:r w:rsidRPr="00995AA5">
              <w:t>Група</w:t>
            </w:r>
          </w:p>
        </w:tc>
        <w:tc>
          <w:tcPr>
            <w:tcW w:w="258" w:type="pct"/>
          </w:tcPr>
          <w:p w:rsidR="00534FB5" w:rsidRPr="00995AA5" w:rsidRDefault="00534FB5" w:rsidP="00534FB5">
            <w:pPr>
              <w:tabs>
                <w:tab w:val="left" w:pos="4253"/>
              </w:tabs>
              <w:spacing w:line="240" w:lineRule="atLeast"/>
              <w:contextualSpacing/>
            </w:pPr>
            <w:r w:rsidRPr="00995AA5">
              <w:t>N</w:t>
            </w:r>
          </w:p>
        </w:tc>
        <w:tc>
          <w:tcPr>
            <w:tcW w:w="922" w:type="pct"/>
          </w:tcPr>
          <w:p w:rsidR="00534FB5" w:rsidRPr="00995AA5" w:rsidRDefault="00534FB5" w:rsidP="00534FB5">
            <w:pPr>
              <w:tabs>
                <w:tab w:val="left" w:pos="4253"/>
              </w:tabs>
              <w:spacing w:line="240" w:lineRule="atLeast"/>
              <w:contextualSpacing/>
              <w:jc w:val="center"/>
            </w:pPr>
            <w:r w:rsidRPr="00995AA5">
              <w:t xml:space="preserve">Індекс </w:t>
            </w:r>
            <w:r w:rsidRPr="00995AA5">
              <w:rPr>
                <w:color w:val="000000"/>
                <w:shd w:val="clear" w:color="auto" w:fill="FFFFFF"/>
              </w:rPr>
              <w:t>CPITN</w:t>
            </w:r>
          </w:p>
        </w:tc>
        <w:tc>
          <w:tcPr>
            <w:tcW w:w="486" w:type="pct"/>
            <w:tcBorders>
              <w:right w:val="single" w:sz="4" w:space="0" w:color="auto"/>
            </w:tcBorders>
          </w:tcPr>
          <w:p w:rsidR="00534FB5" w:rsidRPr="00995AA5" w:rsidRDefault="00534FB5" w:rsidP="00534FB5">
            <w:pPr>
              <w:tabs>
                <w:tab w:val="left" w:pos="4253"/>
              </w:tabs>
              <w:spacing w:line="240" w:lineRule="atLeast"/>
              <w:contextualSpacing/>
            </w:pPr>
            <w:r w:rsidRPr="00995AA5">
              <w:t>Група</w:t>
            </w:r>
          </w:p>
        </w:tc>
        <w:tc>
          <w:tcPr>
            <w:tcW w:w="258" w:type="pct"/>
            <w:tcBorders>
              <w:left w:val="single" w:sz="4" w:space="0" w:color="auto"/>
            </w:tcBorders>
          </w:tcPr>
          <w:p w:rsidR="00534FB5" w:rsidRPr="00995AA5" w:rsidRDefault="00534FB5" w:rsidP="00534FB5">
            <w:pPr>
              <w:tabs>
                <w:tab w:val="left" w:pos="4253"/>
              </w:tabs>
              <w:spacing w:line="240" w:lineRule="atLeast"/>
              <w:contextualSpacing/>
            </w:pPr>
            <w:r w:rsidRPr="00995AA5">
              <w:t>N</w:t>
            </w:r>
          </w:p>
        </w:tc>
        <w:tc>
          <w:tcPr>
            <w:tcW w:w="922"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jc w:val="center"/>
            </w:pPr>
            <w:r w:rsidRPr="00995AA5">
              <w:t xml:space="preserve">Індекс </w:t>
            </w:r>
            <w:r w:rsidRPr="00995AA5">
              <w:rPr>
                <w:color w:val="000000"/>
                <w:shd w:val="clear" w:color="auto" w:fill="FFFFFF"/>
              </w:rPr>
              <w:t>CPITN</w:t>
            </w:r>
          </w:p>
        </w:tc>
        <w:tc>
          <w:tcPr>
            <w:tcW w:w="486"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Група</w:t>
            </w:r>
          </w:p>
        </w:tc>
        <w:tc>
          <w:tcPr>
            <w:tcW w:w="258"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N</w:t>
            </w:r>
          </w:p>
        </w:tc>
        <w:tc>
          <w:tcPr>
            <w:tcW w:w="922" w:type="pct"/>
            <w:tcBorders>
              <w:left w:val="single" w:sz="4" w:space="0" w:color="auto"/>
            </w:tcBorders>
          </w:tcPr>
          <w:p w:rsidR="00534FB5" w:rsidRPr="00995AA5" w:rsidRDefault="00534FB5" w:rsidP="00534FB5">
            <w:pPr>
              <w:tabs>
                <w:tab w:val="left" w:pos="4253"/>
              </w:tabs>
              <w:spacing w:line="240" w:lineRule="atLeast"/>
              <w:contextualSpacing/>
              <w:jc w:val="center"/>
            </w:pPr>
            <w:r w:rsidRPr="00995AA5">
              <w:t xml:space="preserve">Індекс </w:t>
            </w:r>
            <w:r w:rsidRPr="00995AA5">
              <w:rPr>
                <w:color w:val="000000"/>
                <w:shd w:val="clear" w:color="auto" w:fill="FFFFFF"/>
              </w:rPr>
              <w:t>CPITN</w:t>
            </w:r>
          </w:p>
        </w:tc>
      </w:tr>
      <w:tr w:rsidR="00534FB5" w:rsidRPr="001E7C90" w:rsidTr="00534FB5">
        <w:tc>
          <w:tcPr>
            <w:tcW w:w="486" w:type="pct"/>
          </w:tcPr>
          <w:p w:rsidR="00534FB5" w:rsidRPr="00995AA5" w:rsidRDefault="00534FB5" w:rsidP="00534FB5">
            <w:pPr>
              <w:tabs>
                <w:tab w:val="left" w:pos="4253"/>
              </w:tabs>
              <w:spacing w:line="240" w:lineRule="atLeast"/>
              <w:contextualSpacing/>
            </w:pPr>
            <w:r w:rsidRPr="00995AA5">
              <w:t>КГ1</w:t>
            </w:r>
          </w:p>
        </w:tc>
        <w:tc>
          <w:tcPr>
            <w:tcW w:w="258" w:type="pct"/>
          </w:tcPr>
          <w:p w:rsidR="00534FB5" w:rsidRPr="00995AA5" w:rsidRDefault="00534FB5" w:rsidP="00534FB5">
            <w:pPr>
              <w:tabs>
                <w:tab w:val="left" w:pos="4253"/>
              </w:tabs>
              <w:spacing w:line="240" w:lineRule="atLeast"/>
              <w:contextualSpacing/>
            </w:pPr>
            <w:r w:rsidRPr="00995AA5">
              <w:t>10</w:t>
            </w:r>
          </w:p>
        </w:tc>
        <w:tc>
          <w:tcPr>
            <w:tcW w:w="922" w:type="pct"/>
          </w:tcPr>
          <w:p w:rsidR="00534FB5" w:rsidRPr="00995AA5" w:rsidRDefault="00534FB5" w:rsidP="00534FB5">
            <w:pPr>
              <w:tabs>
                <w:tab w:val="left" w:pos="4253"/>
              </w:tabs>
              <w:spacing w:line="240" w:lineRule="atLeast"/>
              <w:contextualSpacing/>
            </w:pPr>
            <w:r w:rsidRPr="00995AA5">
              <w:t>1,08±0,23***</w:t>
            </w:r>
          </w:p>
        </w:tc>
        <w:tc>
          <w:tcPr>
            <w:tcW w:w="486" w:type="pct"/>
            <w:tcBorders>
              <w:right w:val="single" w:sz="4" w:space="0" w:color="auto"/>
            </w:tcBorders>
          </w:tcPr>
          <w:p w:rsidR="00534FB5" w:rsidRPr="00995AA5" w:rsidRDefault="00534FB5" w:rsidP="00534FB5">
            <w:pPr>
              <w:tabs>
                <w:tab w:val="left" w:pos="4253"/>
              </w:tabs>
              <w:spacing w:line="240" w:lineRule="atLeast"/>
              <w:contextualSpacing/>
            </w:pPr>
            <w:r w:rsidRPr="00995AA5">
              <w:t>КГ2</w:t>
            </w:r>
          </w:p>
        </w:tc>
        <w:tc>
          <w:tcPr>
            <w:tcW w:w="258" w:type="pct"/>
            <w:tcBorders>
              <w:left w:val="single" w:sz="4" w:space="0" w:color="auto"/>
            </w:tcBorders>
          </w:tcPr>
          <w:p w:rsidR="00534FB5" w:rsidRPr="00995AA5" w:rsidRDefault="00534FB5" w:rsidP="00534FB5">
            <w:pPr>
              <w:tabs>
                <w:tab w:val="left" w:pos="4253"/>
              </w:tabs>
              <w:spacing w:line="240" w:lineRule="atLeast"/>
              <w:contextualSpacing/>
            </w:pPr>
            <w:r w:rsidRPr="00995AA5">
              <w:t>10</w:t>
            </w:r>
          </w:p>
        </w:tc>
        <w:tc>
          <w:tcPr>
            <w:tcW w:w="922"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1,23±0,20***</w:t>
            </w:r>
          </w:p>
        </w:tc>
        <w:tc>
          <w:tcPr>
            <w:tcW w:w="486"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КГ3</w:t>
            </w:r>
          </w:p>
        </w:tc>
        <w:tc>
          <w:tcPr>
            <w:tcW w:w="258"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12</w:t>
            </w:r>
          </w:p>
        </w:tc>
        <w:tc>
          <w:tcPr>
            <w:tcW w:w="922" w:type="pct"/>
            <w:tcBorders>
              <w:left w:val="single" w:sz="4" w:space="0" w:color="auto"/>
            </w:tcBorders>
          </w:tcPr>
          <w:p w:rsidR="00534FB5" w:rsidRPr="00995AA5" w:rsidRDefault="00534FB5" w:rsidP="00534FB5">
            <w:pPr>
              <w:tabs>
                <w:tab w:val="left" w:pos="4253"/>
              </w:tabs>
              <w:spacing w:line="240" w:lineRule="atLeast"/>
              <w:contextualSpacing/>
            </w:pPr>
            <w:r w:rsidRPr="00995AA5">
              <w:t>1,19±0,15***</w:t>
            </w:r>
          </w:p>
        </w:tc>
      </w:tr>
      <w:tr w:rsidR="00534FB5" w:rsidRPr="001E7C90" w:rsidTr="00534FB5">
        <w:tc>
          <w:tcPr>
            <w:tcW w:w="486" w:type="pct"/>
          </w:tcPr>
          <w:p w:rsidR="00534FB5" w:rsidRPr="00995AA5" w:rsidRDefault="00534FB5" w:rsidP="00534FB5">
            <w:pPr>
              <w:tabs>
                <w:tab w:val="left" w:pos="4253"/>
              </w:tabs>
              <w:spacing w:line="240" w:lineRule="atLeast"/>
              <w:contextualSpacing/>
            </w:pPr>
            <w:r w:rsidRPr="00995AA5">
              <w:t>ОГ1</w:t>
            </w:r>
          </w:p>
        </w:tc>
        <w:tc>
          <w:tcPr>
            <w:tcW w:w="258" w:type="pct"/>
          </w:tcPr>
          <w:p w:rsidR="00534FB5" w:rsidRPr="00995AA5" w:rsidRDefault="00534FB5" w:rsidP="00534FB5">
            <w:pPr>
              <w:tabs>
                <w:tab w:val="left" w:pos="4253"/>
              </w:tabs>
              <w:spacing w:line="240" w:lineRule="atLeast"/>
              <w:contextualSpacing/>
            </w:pPr>
            <w:r w:rsidRPr="00995AA5">
              <w:t>23</w:t>
            </w:r>
          </w:p>
        </w:tc>
        <w:tc>
          <w:tcPr>
            <w:tcW w:w="922" w:type="pct"/>
          </w:tcPr>
          <w:p w:rsidR="00534FB5" w:rsidRPr="00995AA5" w:rsidRDefault="00534FB5" w:rsidP="00534FB5">
            <w:pPr>
              <w:tabs>
                <w:tab w:val="left" w:pos="4253"/>
              </w:tabs>
              <w:spacing w:line="240" w:lineRule="atLeast"/>
              <w:contextualSpacing/>
            </w:pPr>
            <w:r w:rsidRPr="00995AA5">
              <w:t>1,80±0,09***</w:t>
            </w:r>
          </w:p>
        </w:tc>
        <w:tc>
          <w:tcPr>
            <w:tcW w:w="486" w:type="pct"/>
            <w:tcBorders>
              <w:right w:val="single" w:sz="4" w:space="0" w:color="auto"/>
            </w:tcBorders>
          </w:tcPr>
          <w:p w:rsidR="00534FB5" w:rsidRPr="00995AA5" w:rsidRDefault="00534FB5" w:rsidP="00534FB5">
            <w:pPr>
              <w:tabs>
                <w:tab w:val="left" w:pos="4253"/>
              </w:tabs>
              <w:spacing w:line="240" w:lineRule="atLeast"/>
              <w:contextualSpacing/>
            </w:pPr>
            <w:r w:rsidRPr="00995AA5">
              <w:t>ОГ2</w:t>
            </w:r>
          </w:p>
        </w:tc>
        <w:tc>
          <w:tcPr>
            <w:tcW w:w="258" w:type="pct"/>
            <w:tcBorders>
              <w:left w:val="single" w:sz="4" w:space="0" w:color="auto"/>
            </w:tcBorders>
          </w:tcPr>
          <w:p w:rsidR="00534FB5" w:rsidRPr="00995AA5" w:rsidRDefault="00534FB5" w:rsidP="00534FB5">
            <w:pPr>
              <w:tabs>
                <w:tab w:val="left" w:pos="4253"/>
              </w:tabs>
              <w:spacing w:line="240" w:lineRule="atLeast"/>
              <w:contextualSpacing/>
            </w:pPr>
            <w:r w:rsidRPr="00995AA5">
              <w:t>21</w:t>
            </w:r>
          </w:p>
        </w:tc>
        <w:tc>
          <w:tcPr>
            <w:tcW w:w="922"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1,71±0,08***</w:t>
            </w:r>
          </w:p>
        </w:tc>
        <w:tc>
          <w:tcPr>
            <w:tcW w:w="486"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ОГ3</w:t>
            </w:r>
          </w:p>
        </w:tc>
        <w:tc>
          <w:tcPr>
            <w:tcW w:w="258" w:type="pct"/>
            <w:tcBorders>
              <w:left w:val="single" w:sz="4" w:space="0" w:color="auto"/>
              <w:right w:val="single" w:sz="4" w:space="0" w:color="auto"/>
            </w:tcBorders>
          </w:tcPr>
          <w:p w:rsidR="00534FB5" w:rsidRPr="00995AA5" w:rsidRDefault="00534FB5" w:rsidP="00534FB5">
            <w:pPr>
              <w:tabs>
                <w:tab w:val="left" w:pos="4253"/>
              </w:tabs>
              <w:spacing w:line="240" w:lineRule="atLeast"/>
              <w:contextualSpacing/>
            </w:pPr>
            <w:r w:rsidRPr="00995AA5">
              <w:t>26</w:t>
            </w:r>
          </w:p>
        </w:tc>
        <w:tc>
          <w:tcPr>
            <w:tcW w:w="922" w:type="pct"/>
            <w:tcBorders>
              <w:left w:val="single" w:sz="4" w:space="0" w:color="auto"/>
            </w:tcBorders>
          </w:tcPr>
          <w:p w:rsidR="00534FB5" w:rsidRPr="00995AA5" w:rsidRDefault="00534FB5" w:rsidP="00534FB5">
            <w:pPr>
              <w:tabs>
                <w:tab w:val="left" w:pos="4253"/>
              </w:tabs>
              <w:spacing w:line="240" w:lineRule="atLeast"/>
              <w:contextualSpacing/>
            </w:pPr>
            <w:r>
              <w:t>1,65</w:t>
            </w:r>
            <w:r w:rsidR="00435332" w:rsidRPr="00995AA5">
              <w:t>±</w:t>
            </w:r>
            <w:r w:rsidRPr="00995AA5">
              <w:t>0,07***</w:t>
            </w:r>
          </w:p>
        </w:tc>
      </w:tr>
    </w:tbl>
    <w:p w:rsidR="00534FB5" w:rsidRPr="00435332" w:rsidRDefault="00534FB5" w:rsidP="00534FB5">
      <w:pPr>
        <w:tabs>
          <w:tab w:val="left" w:pos="4253"/>
        </w:tabs>
        <w:spacing w:line="240" w:lineRule="auto"/>
        <w:ind w:left="-142"/>
        <w:rPr>
          <w:sz w:val="16"/>
          <w:szCs w:val="20"/>
        </w:rPr>
      </w:pPr>
      <w:r w:rsidRPr="00435332">
        <w:rPr>
          <w:sz w:val="22"/>
        </w:rPr>
        <w:t>Примітка. Р</w:t>
      </w:r>
      <w:r w:rsidR="00E24A5E">
        <w:rPr>
          <w:sz w:val="22"/>
          <w:vertAlign w:val="subscript"/>
        </w:rPr>
        <w:t xml:space="preserve"> </w:t>
      </w:r>
      <w:r w:rsidR="00E24A5E" w:rsidRPr="00435332">
        <w:rPr>
          <w:sz w:val="22"/>
        </w:rPr>
        <w:t>–</w:t>
      </w:r>
      <w:r w:rsidRPr="00435332">
        <w:rPr>
          <w:sz w:val="22"/>
        </w:rPr>
        <w:t xml:space="preserve"> показник вірогідних відмінностей результатів між КГ і ОГ (* – Р &gt; 0,05, ** – Р&lt;0,05, *** – Р&lt;0,01).</w:t>
      </w:r>
      <w:r w:rsidRPr="00435332">
        <w:rPr>
          <w:sz w:val="16"/>
          <w:szCs w:val="20"/>
          <w:highlight w:val="green"/>
        </w:rPr>
        <w:t xml:space="preserve"> </w:t>
      </w:r>
    </w:p>
    <w:p w:rsidR="00534FB5" w:rsidRDefault="00534FB5" w:rsidP="00534FB5">
      <w:pPr>
        <w:tabs>
          <w:tab w:val="left" w:pos="4253"/>
        </w:tabs>
        <w:spacing w:line="240" w:lineRule="auto"/>
        <w:ind w:left="-142"/>
        <w:rPr>
          <w:sz w:val="20"/>
          <w:szCs w:val="20"/>
        </w:rPr>
      </w:pPr>
    </w:p>
    <w:p w:rsidR="00534FB5" w:rsidRPr="00892D0B" w:rsidRDefault="00534FB5" w:rsidP="00534FB5">
      <w:pPr>
        <w:ind w:firstLine="709"/>
        <w:rPr>
          <w:color w:val="000000"/>
          <w:spacing w:val="-2"/>
          <w:shd w:val="clear" w:color="auto" w:fill="FFFFFF"/>
        </w:rPr>
      </w:pPr>
      <w:r w:rsidRPr="00182370">
        <w:rPr>
          <w:color w:val="000000"/>
          <w:spacing w:val="-2"/>
          <w:shd w:val="clear" w:color="auto" w:fill="FFFFFF"/>
        </w:rPr>
        <w:t xml:space="preserve">У всіх вікових групах </w:t>
      </w:r>
      <w:r>
        <w:rPr>
          <w:color w:val="000000"/>
          <w:spacing w:val="-2"/>
          <w:shd w:val="clear" w:color="auto" w:fill="FFFFFF"/>
        </w:rPr>
        <w:t>ДВГ</w:t>
      </w:r>
      <w:r w:rsidRPr="00182370">
        <w:rPr>
          <w:color w:val="000000"/>
          <w:spacing w:val="-2"/>
          <w:shd w:val="clear" w:color="auto" w:fill="FFFFFF"/>
        </w:rPr>
        <w:t xml:space="preserve"> </w:t>
      </w:r>
      <w:r w:rsidRPr="00182370">
        <w:rPr>
          <w:spacing w:val="-2"/>
        </w:rPr>
        <w:t>значення показник</w:t>
      </w:r>
      <w:r>
        <w:rPr>
          <w:spacing w:val="-2"/>
        </w:rPr>
        <w:t>а</w:t>
      </w:r>
      <w:r w:rsidRPr="00182370">
        <w:rPr>
          <w:spacing w:val="-2"/>
        </w:rPr>
        <w:t xml:space="preserve"> </w:t>
      </w:r>
      <w:r w:rsidRPr="00182370">
        <w:rPr>
          <w:color w:val="000000"/>
          <w:spacing w:val="-2"/>
          <w:shd w:val="clear" w:color="auto" w:fill="FFFFFF"/>
        </w:rPr>
        <w:t>CPITN до проведення профілактичних та лікувальних заходів було достовірно вище</w:t>
      </w:r>
      <w:r>
        <w:rPr>
          <w:color w:val="000000"/>
          <w:spacing w:val="-2"/>
          <w:shd w:val="clear" w:color="auto" w:fill="FFFFFF"/>
        </w:rPr>
        <w:t>,</w:t>
      </w:r>
      <w:r w:rsidRPr="00182370">
        <w:rPr>
          <w:color w:val="000000"/>
          <w:spacing w:val="-2"/>
          <w:shd w:val="clear" w:color="auto" w:fill="FFFFFF"/>
        </w:rPr>
        <w:t xml:space="preserve"> порівняно зі здоровими дітьми (Р</w:t>
      </w:r>
      <w:r>
        <w:rPr>
          <w:color w:val="000000"/>
          <w:spacing w:val="-2"/>
          <w:shd w:val="clear" w:color="auto" w:fill="FFFFFF"/>
        </w:rPr>
        <w:t>&lt;</w:t>
      </w:r>
      <w:r w:rsidRPr="00182370">
        <w:rPr>
          <w:color w:val="000000"/>
          <w:spacing w:val="-2"/>
          <w:shd w:val="clear" w:color="auto" w:fill="FFFFFF"/>
        </w:rPr>
        <w:t>0,01) (табл.</w:t>
      </w:r>
      <w:r>
        <w:rPr>
          <w:color w:val="000000"/>
          <w:spacing w:val="-2"/>
          <w:shd w:val="clear" w:color="auto" w:fill="FFFFFF"/>
        </w:rPr>
        <w:t> </w:t>
      </w:r>
      <w:r w:rsidRPr="00182370">
        <w:rPr>
          <w:color w:val="000000"/>
          <w:spacing w:val="-2"/>
          <w:shd w:val="clear" w:color="auto" w:fill="FFFFFF"/>
        </w:rPr>
        <w:t>3.3.2., рис.</w:t>
      </w:r>
      <w:r>
        <w:rPr>
          <w:color w:val="000000"/>
          <w:spacing w:val="-2"/>
          <w:shd w:val="clear" w:color="auto" w:fill="FFFFFF"/>
        </w:rPr>
        <w:t> </w:t>
      </w:r>
      <w:r w:rsidRPr="00182370">
        <w:rPr>
          <w:color w:val="000000"/>
          <w:spacing w:val="-2"/>
          <w:shd w:val="clear" w:color="auto" w:fill="FFFFFF"/>
        </w:rPr>
        <w:t>3.3.4).</w:t>
      </w:r>
    </w:p>
    <w:p w:rsidR="00534FB5" w:rsidRDefault="00534FB5" w:rsidP="00534FB5">
      <w:pPr>
        <w:rPr>
          <w:noProof/>
        </w:rPr>
      </w:pPr>
    </w:p>
    <w:p w:rsidR="00534FB5" w:rsidRDefault="006C493E" w:rsidP="00534FB5">
      <w:pPr>
        <w:ind w:firstLine="567"/>
      </w:pPr>
      <w:r>
        <w:rPr>
          <w:noProof/>
          <w:lang w:val="ru-RU"/>
        </w:rPr>
        <w:drawing>
          <wp:inline distT="0" distB="0" distL="0" distR="0">
            <wp:extent cx="4844007" cy="2370292"/>
            <wp:effectExtent l="19050" t="0" r="13743"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4FB5" w:rsidRDefault="00534FB5" w:rsidP="00534FB5">
      <w:pPr>
        <w:ind w:firstLine="709"/>
      </w:pPr>
      <w:r w:rsidRPr="00AC18E4">
        <w:t>Рис.</w:t>
      </w:r>
      <w:r>
        <w:t> </w:t>
      </w:r>
      <w:r w:rsidRPr="00AC18E4">
        <w:t>3.3.4</w:t>
      </w:r>
      <w:r>
        <w:t>.</w:t>
      </w:r>
      <w:r w:rsidRPr="00AC18E4">
        <w:t xml:space="preserve"> Показники </w:t>
      </w:r>
      <w:r w:rsidRPr="00AC18E4">
        <w:rPr>
          <w:color w:val="000000"/>
          <w:shd w:val="clear" w:color="auto" w:fill="FFFFFF"/>
        </w:rPr>
        <w:t>індексу CPITN</w:t>
      </w:r>
      <w:r>
        <w:rPr>
          <w:color w:val="000000"/>
          <w:shd w:val="clear" w:color="auto" w:fill="FFFFFF"/>
        </w:rPr>
        <w:t xml:space="preserve"> </w:t>
      </w:r>
      <w:r w:rsidRPr="00AC18E4">
        <w:t>у дітей основної та контрольної груп до проведення лікувально-профілактичних заходів.</w:t>
      </w:r>
      <w:r>
        <w:t xml:space="preserve"> </w:t>
      </w:r>
    </w:p>
    <w:p w:rsidR="00534FB5" w:rsidRDefault="00534FB5" w:rsidP="00534FB5">
      <w:pPr>
        <w:ind w:firstLine="567"/>
      </w:pPr>
    </w:p>
    <w:p w:rsidR="00534FB5" w:rsidRPr="00AC18E4" w:rsidRDefault="00534FB5" w:rsidP="00534FB5">
      <w:pPr>
        <w:tabs>
          <w:tab w:val="left" w:pos="709"/>
        </w:tabs>
        <w:ind w:firstLine="709"/>
        <w:rPr>
          <w:color w:val="000000"/>
          <w:shd w:val="clear" w:color="auto" w:fill="FFFFFF"/>
        </w:rPr>
      </w:pPr>
      <w:r w:rsidRPr="00AC18E4">
        <w:t xml:space="preserve">Аналіз значення індексу </w:t>
      </w:r>
      <w:r w:rsidRPr="00AC18E4">
        <w:rPr>
          <w:color w:val="000000"/>
          <w:shd w:val="clear" w:color="auto" w:fill="FFFFFF"/>
        </w:rPr>
        <w:t>CPITN показав, що діти КГ</w:t>
      </w:r>
      <w:r w:rsidR="00DC567E">
        <w:rPr>
          <w:color w:val="000000"/>
          <w:shd w:val="clear" w:color="auto" w:fill="FFFFFF"/>
        </w:rPr>
        <w:t xml:space="preserve"> та ОГ</w:t>
      </w:r>
      <w:r w:rsidRPr="00AC18E4">
        <w:rPr>
          <w:color w:val="000000"/>
          <w:shd w:val="clear" w:color="auto" w:fill="FFFFFF"/>
        </w:rPr>
        <w:t xml:space="preserve"> всіх вікових груп потребували покращення гігієни порожнини рота</w:t>
      </w:r>
      <w:r w:rsidR="00DC567E">
        <w:rPr>
          <w:color w:val="000000"/>
          <w:shd w:val="clear" w:color="auto" w:fill="FFFFFF"/>
        </w:rPr>
        <w:t>.</w:t>
      </w:r>
      <w:r w:rsidRPr="00AC18E4">
        <w:rPr>
          <w:color w:val="000000"/>
          <w:shd w:val="clear" w:color="auto" w:fill="FFFFFF"/>
        </w:rPr>
        <w:t xml:space="preserve"> </w:t>
      </w:r>
    </w:p>
    <w:p w:rsidR="00534FB5" w:rsidRDefault="00534FB5" w:rsidP="00534FB5">
      <w:pPr>
        <w:tabs>
          <w:tab w:val="left" w:pos="709"/>
        </w:tabs>
        <w:ind w:firstLine="709"/>
        <w:rPr>
          <w:color w:val="000000"/>
          <w:shd w:val="clear" w:color="auto" w:fill="FFFFFF"/>
        </w:rPr>
      </w:pPr>
      <w:r w:rsidRPr="00836267">
        <w:t xml:space="preserve">Таким чином, </w:t>
      </w:r>
      <w:r>
        <w:t>стан тканин пародонта</w:t>
      </w:r>
      <w:r w:rsidRPr="00836267">
        <w:t xml:space="preserve"> у всіх віков</w:t>
      </w:r>
      <w:r>
        <w:t xml:space="preserve">их групах дітей </w:t>
      </w:r>
      <w:r w:rsidR="006C493E">
        <w:t>із вродженою</w:t>
      </w:r>
      <w:r w:rsidRPr="00836267">
        <w:t xml:space="preserve"> глухотою був</w:t>
      </w:r>
      <w:r>
        <w:t xml:space="preserve"> </w:t>
      </w:r>
      <w:r w:rsidRPr="00836267">
        <w:t>гіршим</w:t>
      </w:r>
      <w:r>
        <w:t>,</w:t>
      </w:r>
      <w:r w:rsidRPr="00836267">
        <w:t xml:space="preserve"> порівняно з дітьми без патології слуху. </w:t>
      </w:r>
      <w:r w:rsidRPr="00836267">
        <w:rPr>
          <w:color w:val="000000"/>
          <w:shd w:val="clear" w:color="auto" w:fill="FFFFFF"/>
        </w:rPr>
        <w:t>Відповідно до значення індексу РМА</w:t>
      </w:r>
      <w:r>
        <w:rPr>
          <w:color w:val="000000"/>
          <w:shd w:val="clear" w:color="auto" w:fill="FFFFFF"/>
        </w:rPr>
        <w:t>,</w:t>
      </w:r>
      <w:r w:rsidRPr="00836267">
        <w:rPr>
          <w:color w:val="000000"/>
          <w:shd w:val="clear" w:color="auto" w:fill="FFFFFF"/>
        </w:rPr>
        <w:t xml:space="preserve"> у </w:t>
      </w:r>
      <w:r>
        <w:rPr>
          <w:color w:val="000000"/>
          <w:shd w:val="clear" w:color="auto" w:fill="FFFFFF"/>
        </w:rPr>
        <w:t>ДВГ</w:t>
      </w:r>
      <w:r w:rsidRPr="00836267">
        <w:rPr>
          <w:color w:val="000000"/>
          <w:shd w:val="clear" w:color="auto" w:fill="FFFFFF"/>
        </w:rPr>
        <w:t xml:space="preserve"> було діагностовано</w:t>
      </w:r>
      <w:r>
        <w:rPr>
          <w:color w:val="000000"/>
          <w:shd w:val="clear" w:color="auto" w:fill="FFFFFF"/>
        </w:rPr>
        <w:t xml:space="preserve"> </w:t>
      </w:r>
      <w:r w:rsidRPr="00836267">
        <w:rPr>
          <w:color w:val="000000"/>
          <w:shd w:val="clear" w:color="auto" w:fill="FFFFFF"/>
        </w:rPr>
        <w:t>легкий та середній ступінь гінгівіту. Показники індек</w:t>
      </w:r>
      <w:r>
        <w:rPr>
          <w:color w:val="000000"/>
          <w:shd w:val="clear" w:color="auto" w:fill="FFFFFF"/>
        </w:rPr>
        <w:t xml:space="preserve">су РМА, отримані в ОГ, </w:t>
      </w:r>
      <w:r>
        <w:rPr>
          <w:color w:val="000000"/>
          <w:shd w:val="clear" w:color="auto" w:fill="FFFFFF"/>
        </w:rPr>
        <w:lastRenderedPageBreak/>
        <w:t xml:space="preserve">достовірно </w:t>
      </w:r>
      <w:r w:rsidRPr="00836267">
        <w:rPr>
          <w:color w:val="000000"/>
          <w:shd w:val="clear" w:color="auto" w:fill="FFFFFF"/>
        </w:rPr>
        <w:t>(Р</w:t>
      </w:r>
      <w:r>
        <w:rPr>
          <w:color w:val="000000"/>
          <w:shd w:val="clear" w:color="auto" w:fill="FFFFFF"/>
        </w:rPr>
        <w:t>&lt;</w:t>
      </w:r>
      <w:r w:rsidRPr="00836267">
        <w:rPr>
          <w:color w:val="000000"/>
          <w:shd w:val="clear" w:color="auto" w:fill="FFFFFF"/>
        </w:rPr>
        <w:t>0,05) відрізнялис</w:t>
      </w:r>
      <w:r>
        <w:rPr>
          <w:color w:val="000000"/>
          <w:shd w:val="clear" w:color="auto" w:fill="FFFFFF"/>
        </w:rPr>
        <w:t>я</w:t>
      </w:r>
      <w:r w:rsidRPr="00836267">
        <w:rPr>
          <w:color w:val="000000"/>
          <w:shd w:val="clear" w:color="auto" w:fill="FFFFFF"/>
        </w:rPr>
        <w:t xml:space="preserve"> від показників д</w:t>
      </w:r>
      <w:r>
        <w:rPr>
          <w:color w:val="000000"/>
          <w:shd w:val="clear" w:color="auto" w:fill="FFFFFF"/>
        </w:rPr>
        <w:t>ітей КГ. У</w:t>
      </w:r>
      <w:r w:rsidRPr="00836267">
        <w:rPr>
          <w:color w:val="000000"/>
          <w:shd w:val="clear" w:color="auto" w:fill="FFFFFF"/>
        </w:rPr>
        <w:t xml:space="preserve"> групі 7-8</w:t>
      </w:r>
      <w:r>
        <w:rPr>
          <w:color w:val="000000"/>
          <w:shd w:val="clear" w:color="auto" w:fill="FFFFFF"/>
        </w:rPr>
        <w:t>-</w:t>
      </w:r>
      <w:r w:rsidRPr="00836267">
        <w:rPr>
          <w:color w:val="000000"/>
          <w:shd w:val="clear" w:color="auto" w:fill="FFFFFF"/>
        </w:rPr>
        <w:t xml:space="preserve">річних </w:t>
      </w:r>
      <w:r>
        <w:rPr>
          <w:color w:val="000000"/>
          <w:shd w:val="clear" w:color="auto" w:fill="FFFFFF"/>
        </w:rPr>
        <w:t>ДВГ</w:t>
      </w:r>
      <w:r w:rsidRPr="00836267">
        <w:rPr>
          <w:color w:val="000000"/>
          <w:shd w:val="clear" w:color="auto" w:fill="FFFFFF"/>
        </w:rPr>
        <w:t xml:space="preserve"> індекс РМА відповідав середньому ступеню</w:t>
      </w:r>
      <w:r>
        <w:rPr>
          <w:color w:val="000000"/>
          <w:shd w:val="clear" w:color="auto" w:fill="FFFFFF"/>
        </w:rPr>
        <w:t xml:space="preserve"> важкості</w:t>
      </w:r>
      <w:r w:rsidRPr="00836267">
        <w:rPr>
          <w:color w:val="000000"/>
          <w:shd w:val="clear" w:color="auto" w:fill="FFFFFF"/>
        </w:rPr>
        <w:t xml:space="preserve"> гінгівіту (</w:t>
      </w:r>
      <w:r w:rsidRPr="00836267">
        <w:t>33,35±7,60</w:t>
      </w:r>
      <w:r w:rsidRPr="00836267">
        <w:rPr>
          <w:color w:val="000000"/>
          <w:shd w:val="clear" w:color="auto" w:fill="FFFFFF"/>
        </w:rPr>
        <w:t xml:space="preserve">), </w:t>
      </w:r>
      <w:r>
        <w:rPr>
          <w:color w:val="000000"/>
          <w:shd w:val="clear" w:color="auto" w:fill="FFFFFF"/>
        </w:rPr>
        <w:t>у</w:t>
      </w:r>
      <w:r w:rsidRPr="00836267">
        <w:rPr>
          <w:color w:val="000000"/>
          <w:shd w:val="clear" w:color="auto" w:fill="FFFFFF"/>
        </w:rPr>
        <w:t xml:space="preserve"> групі 11-12</w:t>
      </w:r>
      <w:r>
        <w:rPr>
          <w:color w:val="000000"/>
          <w:shd w:val="clear" w:color="auto" w:fill="FFFFFF"/>
        </w:rPr>
        <w:t>-ти</w:t>
      </w:r>
      <w:r w:rsidRPr="00836267">
        <w:rPr>
          <w:color w:val="000000"/>
          <w:shd w:val="clear" w:color="auto" w:fill="FFFFFF"/>
        </w:rPr>
        <w:t xml:space="preserve"> та 14-15</w:t>
      </w:r>
      <w:r>
        <w:rPr>
          <w:color w:val="000000"/>
          <w:shd w:val="clear" w:color="auto" w:fill="FFFFFF"/>
        </w:rPr>
        <w:t>-</w:t>
      </w:r>
      <w:r w:rsidRPr="00836267">
        <w:rPr>
          <w:color w:val="000000"/>
          <w:shd w:val="clear" w:color="auto" w:fill="FFFFFF"/>
        </w:rPr>
        <w:t xml:space="preserve">річних дітей – легкому ступеню </w:t>
      </w:r>
      <w:r>
        <w:rPr>
          <w:color w:val="000000"/>
          <w:shd w:val="clear" w:color="auto" w:fill="FFFFFF"/>
        </w:rPr>
        <w:t xml:space="preserve">важкості </w:t>
      </w:r>
      <w:r w:rsidRPr="00836267">
        <w:rPr>
          <w:color w:val="000000"/>
          <w:shd w:val="clear" w:color="auto" w:fill="FFFFFF"/>
        </w:rPr>
        <w:t>гінгівіту (</w:t>
      </w:r>
      <w:r w:rsidRPr="00836267">
        <w:t>24,71±7,09 та 14,76±4,03</w:t>
      </w:r>
      <w:r w:rsidRPr="00836267">
        <w:rPr>
          <w:color w:val="000000"/>
          <w:shd w:val="clear" w:color="auto" w:fill="FFFFFF"/>
        </w:rPr>
        <w:t xml:space="preserve">). </w:t>
      </w:r>
      <w:r w:rsidRPr="00836267">
        <w:t xml:space="preserve">Аналіз значення індексу </w:t>
      </w:r>
      <w:r w:rsidR="00F13550">
        <w:rPr>
          <w:color w:val="000000"/>
          <w:shd w:val="clear" w:color="auto" w:fill="FFFFFF"/>
        </w:rPr>
        <w:t>CPITN показав, що всі</w:t>
      </w:r>
      <w:r w:rsidRPr="00836267">
        <w:rPr>
          <w:color w:val="000000"/>
          <w:shd w:val="clear" w:color="auto" w:fill="FFFFFF"/>
        </w:rPr>
        <w:t xml:space="preserve"> діти КГ </w:t>
      </w:r>
      <w:r w:rsidR="00F13550">
        <w:rPr>
          <w:color w:val="000000"/>
          <w:shd w:val="clear" w:color="auto" w:fill="FFFFFF"/>
        </w:rPr>
        <w:t xml:space="preserve">та ОГ </w:t>
      </w:r>
      <w:r w:rsidRPr="00836267">
        <w:rPr>
          <w:color w:val="000000"/>
          <w:shd w:val="clear" w:color="auto" w:fill="FFFFFF"/>
        </w:rPr>
        <w:t>всіх вікових груп потребували по</w:t>
      </w:r>
      <w:r>
        <w:rPr>
          <w:color w:val="000000"/>
          <w:shd w:val="clear" w:color="auto" w:fill="FFFFFF"/>
        </w:rPr>
        <w:t>ліпш</w:t>
      </w:r>
      <w:r w:rsidR="00F13550">
        <w:rPr>
          <w:color w:val="000000"/>
          <w:shd w:val="clear" w:color="auto" w:fill="FFFFFF"/>
        </w:rPr>
        <w:t>ення гігієни порожнини рота.</w:t>
      </w:r>
      <w:r w:rsidRPr="00836267">
        <w:rPr>
          <w:color w:val="000000"/>
          <w:shd w:val="clear" w:color="auto" w:fill="FFFFFF"/>
        </w:rPr>
        <w:t xml:space="preserve"> </w:t>
      </w:r>
      <w:r w:rsidRPr="00836267">
        <w:t>Значення показник</w:t>
      </w:r>
      <w:r>
        <w:t>а</w:t>
      </w:r>
      <w:r w:rsidRPr="00836267">
        <w:t xml:space="preserve"> </w:t>
      </w:r>
      <w:r w:rsidRPr="00836267">
        <w:rPr>
          <w:color w:val="000000"/>
          <w:shd w:val="clear" w:color="auto" w:fill="FFFFFF"/>
        </w:rPr>
        <w:t xml:space="preserve">CPITN до проведення профілактичних та лікувальних заходів у всіх вікових групах </w:t>
      </w:r>
      <w:r>
        <w:rPr>
          <w:color w:val="000000"/>
          <w:shd w:val="clear" w:color="auto" w:fill="FFFFFF"/>
        </w:rPr>
        <w:t>ДВГ</w:t>
      </w:r>
      <w:r w:rsidRPr="00836267">
        <w:rPr>
          <w:color w:val="000000"/>
          <w:shd w:val="clear" w:color="auto" w:fill="FFFFFF"/>
        </w:rPr>
        <w:t xml:space="preserve"> було достовірно вище</w:t>
      </w:r>
      <w:r>
        <w:rPr>
          <w:color w:val="000000"/>
          <w:shd w:val="clear" w:color="auto" w:fill="FFFFFF"/>
        </w:rPr>
        <w:t>,</w:t>
      </w:r>
      <w:r w:rsidRPr="00836267">
        <w:rPr>
          <w:color w:val="000000"/>
          <w:shd w:val="clear" w:color="auto" w:fill="FFFFFF"/>
        </w:rPr>
        <w:t xml:space="preserve"> порівня</w:t>
      </w:r>
      <w:r>
        <w:rPr>
          <w:color w:val="000000"/>
          <w:shd w:val="clear" w:color="auto" w:fill="FFFFFF"/>
        </w:rPr>
        <w:t>но зі здоровими однолітками</w:t>
      </w:r>
      <w:r w:rsidRPr="00836267">
        <w:rPr>
          <w:color w:val="000000"/>
          <w:shd w:val="clear" w:color="auto" w:fill="FFFFFF"/>
        </w:rPr>
        <w:t xml:space="preserve"> (Р</w:t>
      </w:r>
      <w:r>
        <w:rPr>
          <w:color w:val="000000"/>
          <w:shd w:val="clear" w:color="auto" w:fill="FFFFFF"/>
        </w:rPr>
        <w:t>&lt;</w:t>
      </w:r>
      <w:r w:rsidRPr="00836267">
        <w:rPr>
          <w:color w:val="000000"/>
          <w:shd w:val="clear" w:color="auto" w:fill="FFFFFF"/>
        </w:rPr>
        <w:t xml:space="preserve">0,01). </w:t>
      </w:r>
    </w:p>
    <w:p w:rsidR="00534FB5" w:rsidRPr="00836267" w:rsidRDefault="00534FB5" w:rsidP="00534FB5">
      <w:pPr>
        <w:tabs>
          <w:tab w:val="left" w:pos="709"/>
        </w:tabs>
        <w:ind w:firstLine="709"/>
        <w:rPr>
          <w:color w:val="000000"/>
          <w:shd w:val="clear" w:color="auto" w:fill="FFFFFF"/>
        </w:rPr>
      </w:pPr>
    </w:p>
    <w:p w:rsidR="00534FB5" w:rsidRPr="001D477E" w:rsidRDefault="00534FB5" w:rsidP="00534FB5">
      <w:pPr>
        <w:ind w:firstLine="709"/>
        <w:contextualSpacing/>
        <w:rPr>
          <w:rFonts w:eastAsia="ArialMT"/>
          <w:b/>
          <w:lang w:eastAsia="uk-UA"/>
        </w:rPr>
      </w:pPr>
      <w:r w:rsidRPr="0077623F">
        <w:rPr>
          <w:b/>
        </w:rPr>
        <w:t xml:space="preserve">3.4. Біохімічні та імунологічні властивості ротової рідини </w:t>
      </w:r>
      <w:r>
        <w:rPr>
          <w:rFonts w:eastAsia="ArialMT"/>
          <w:b/>
          <w:lang w:eastAsia="uk-UA"/>
        </w:rPr>
        <w:t xml:space="preserve">у дітей </w:t>
      </w:r>
      <w:r w:rsidR="006C493E">
        <w:rPr>
          <w:rFonts w:eastAsia="ArialMT"/>
          <w:b/>
          <w:lang w:eastAsia="uk-UA"/>
        </w:rPr>
        <w:t>із вродженою</w:t>
      </w:r>
      <w:r w:rsidRPr="0077623F">
        <w:rPr>
          <w:rFonts w:eastAsia="ArialMT"/>
          <w:b/>
          <w:lang w:eastAsia="uk-UA"/>
        </w:rPr>
        <w:t xml:space="preserve"> глухотою</w:t>
      </w:r>
      <w:r w:rsidRPr="0077623F">
        <w:rPr>
          <w:b/>
        </w:rPr>
        <w:t xml:space="preserve"> </w:t>
      </w:r>
    </w:p>
    <w:p w:rsidR="00534FB5" w:rsidRPr="00935294" w:rsidRDefault="00534FB5" w:rsidP="00534FB5">
      <w:pPr>
        <w:ind w:firstLine="567"/>
        <w:contextualSpacing/>
        <w:rPr>
          <w:b/>
        </w:rPr>
      </w:pPr>
      <w:r w:rsidRPr="00580676">
        <w:rPr>
          <w:b/>
        </w:rPr>
        <w:t>3.4.1</w:t>
      </w:r>
      <w:r>
        <w:rPr>
          <w:b/>
        </w:rPr>
        <w:t>.</w:t>
      </w:r>
      <w:r w:rsidRPr="00580676">
        <w:rPr>
          <w:b/>
        </w:rPr>
        <w:t xml:space="preserve"> </w:t>
      </w:r>
      <w:r w:rsidRPr="00470416">
        <w:rPr>
          <w:b/>
        </w:rPr>
        <w:t>Функціональні властивості ротової рідини</w:t>
      </w:r>
    </w:p>
    <w:p w:rsidR="00534FB5" w:rsidRPr="00A21924" w:rsidRDefault="00534FB5" w:rsidP="006B1AB3">
      <w:pPr>
        <w:ind w:firstLine="567"/>
        <w:contextualSpacing/>
      </w:pPr>
      <w:r>
        <w:t xml:space="preserve">У групі </w:t>
      </w:r>
      <w:r w:rsidRPr="00470416">
        <w:t xml:space="preserve">дітей </w:t>
      </w:r>
      <w:r w:rsidR="006C493E">
        <w:t>із вродженою</w:t>
      </w:r>
      <w:r w:rsidRPr="00470416">
        <w:t xml:space="preserve"> глухотою та </w:t>
      </w:r>
      <w:r>
        <w:t xml:space="preserve">в групі </w:t>
      </w:r>
      <w:r w:rsidRPr="00470416">
        <w:t>дітей з нормальн</w:t>
      </w:r>
      <w:r>
        <w:t>и</w:t>
      </w:r>
      <w:r w:rsidRPr="00470416">
        <w:t>м слухом</w:t>
      </w:r>
      <w:r>
        <w:t xml:space="preserve"> було проведено в</w:t>
      </w:r>
      <w:r w:rsidRPr="00580676">
        <w:t>ивчення функціональних властивостей ротової рідини</w:t>
      </w:r>
      <w:r>
        <w:t>, яке</w:t>
      </w:r>
      <w:r w:rsidRPr="00580676">
        <w:t xml:space="preserve"> включало: </w:t>
      </w:r>
      <w:r w:rsidRPr="00A21924">
        <w:t>визначення водневого показника (</w:t>
      </w:r>
      <w:r w:rsidRPr="00A21924">
        <w:rPr>
          <w:bCs/>
          <w:color w:val="000000"/>
          <w:shd w:val="clear" w:color="auto" w:fill="FFFFFF"/>
        </w:rPr>
        <w:t>pH</w:t>
      </w:r>
      <w:r w:rsidRPr="00A21924">
        <w:t>) ротової рідини;</w:t>
      </w:r>
      <w:r w:rsidR="006B1AB3">
        <w:t xml:space="preserve"> </w:t>
      </w:r>
      <w:r w:rsidRPr="00A21924">
        <w:rPr>
          <w:lang w:eastAsia="uk-UA"/>
        </w:rPr>
        <w:t xml:space="preserve">визначення усереднених показників довірливого інтервалу коливань величини </w:t>
      </w:r>
      <w:r w:rsidRPr="00A21924">
        <w:rPr>
          <w:bCs/>
          <w:color w:val="000000"/>
          <w:shd w:val="clear" w:color="auto" w:fill="FFFFFF"/>
        </w:rPr>
        <w:t>pH</w:t>
      </w:r>
      <w:r w:rsidRPr="00A21924">
        <w:rPr>
          <w:lang w:eastAsia="uk-UA"/>
        </w:rPr>
        <w:t xml:space="preserve"> ротової рідини </w:t>
      </w:r>
      <w:r w:rsidRPr="00A21924">
        <w:t>(∆рН);</w:t>
      </w:r>
      <w:r w:rsidR="00DC567E" w:rsidRPr="00A21924">
        <w:t xml:space="preserve"> </w:t>
      </w:r>
      <w:r w:rsidRPr="00A21924">
        <w:t>визначення швидкості слиновиділення.</w:t>
      </w:r>
    </w:p>
    <w:p w:rsidR="00A21924" w:rsidRPr="00580676" w:rsidRDefault="00A21924" w:rsidP="00A21924">
      <w:pPr>
        <w:ind w:firstLine="709"/>
      </w:pPr>
      <w:r>
        <w:t xml:space="preserve">В основній та контрольній групах дітей значення рН ротової рідини </w:t>
      </w:r>
      <w:r w:rsidRPr="00580676">
        <w:t>до проведення лікувально-профілактичних заходів достовірно відрізнялос</w:t>
      </w:r>
      <w:r>
        <w:t>я</w:t>
      </w:r>
      <w:r w:rsidRPr="00580676">
        <w:t xml:space="preserve"> лише у</w:t>
      </w:r>
      <w:r>
        <w:t xml:space="preserve"> першій віковій групі (Р&lt;0,01),</w:t>
      </w:r>
      <w:r w:rsidRPr="00580676">
        <w:t xml:space="preserve"> достовірних відмінностей між значеннями рН ротової рідини в двох ін</w:t>
      </w:r>
      <w:r>
        <w:t xml:space="preserve">ших вікових групах дітей не </w:t>
      </w:r>
      <w:r w:rsidRPr="00580676">
        <w:t>було виявлено (Р</w:t>
      </w:r>
      <w:r>
        <w:t> </w:t>
      </w:r>
      <w:r w:rsidRPr="00580676">
        <w:t>&gt;</w:t>
      </w:r>
      <w:r>
        <w:t> </w:t>
      </w:r>
      <w:r w:rsidRPr="00580676">
        <w:t>0,05)</w:t>
      </w:r>
      <w:r>
        <w:t xml:space="preserve"> (див. табл. 3.4.1.1, рис. 3.4.1.1).</w:t>
      </w:r>
    </w:p>
    <w:p w:rsidR="00A21924" w:rsidRPr="00580676" w:rsidRDefault="00A21924" w:rsidP="00534FB5">
      <w:pPr>
        <w:ind w:firstLine="709"/>
      </w:pPr>
    </w:p>
    <w:p w:rsidR="00534FB5" w:rsidRPr="00580676" w:rsidRDefault="00534FB5" w:rsidP="00534FB5">
      <w:pPr>
        <w:ind w:firstLine="567"/>
        <w:contextualSpacing/>
        <w:jc w:val="right"/>
        <w:rPr>
          <w:i/>
        </w:rPr>
      </w:pPr>
      <w:r w:rsidRPr="00580676">
        <w:rPr>
          <w:i/>
        </w:rPr>
        <w:t>Таблиця</w:t>
      </w:r>
      <w:r>
        <w:rPr>
          <w:i/>
        </w:rPr>
        <w:t> </w:t>
      </w:r>
      <w:r w:rsidRPr="00580676">
        <w:rPr>
          <w:i/>
        </w:rPr>
        <w:t>3.4.1.1</w:t>
      </w:r>
    </w:p>
    <w:p w:rsidR="00534FB5" w:rsidRPr="009B7BF8" w:rsidRDefault="00534FB5" w:rsidP="00DC567E">
      <w:pPr>
        <w:tabs>
          <w:tab w:val="left" w:pos="4253"/>
        </w:tabs>
        <w:spacing w:line="240" w:lineRule="auto"/>
        <w:jc w:val="center"/>
        <w:rPr>
          <w:b/>
        </w:rPr>
      </w:pPr>
      <w:r>
        <w:rPr>
          <w:b/>
        </w:rPr>
        <w:t xml:space="preserve">Показники </w:t>
      </w:r>
      <w:r w:rsidRPr="00580676">
        <w:rPr>
          <w:b/>
        </w:rPr>
        <w:t>pH ротової рідини у дітей основної та контрольної груп до проведення лікувально-профілактичних заходів</w:t>
      </w:r>
      <w:r>
        <w:rPr>
          <w:b/>
        </w:rPr>
        <w:t xml:space="preserve">, </w:t>
      </w:r>
      <w:r w:rsidRPr="009B7BF8">
        <w:rPr>
          <w:b/>
          <w:lang w:val="en-US"/>
        </w:rPr>
        <w:t>M</w:t>
      </w:r>
      <w:r w:rsidRPr="009B7BF8">
        <w:rPr>
          <w:b/>
        </w:rPr>
        <w:t>±</w:t>
      </w:r>
      <w:r w:rsidRPr="009B7BF8">
        <w:rPr>
          <w:b/>
          <w:lang w:val="en-US"/>
        </w:rPr>
        <w:t>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5"/>
        <w:gridCol w:w="709"/>
        <w:gridCol w:w="1846"/>
        <w:gridCol w:w="932"/>
        <w:gridCol w:w="569"/>
        <w:gridCol w:w="1491"/>
        <w:gridCol w:w="932"/>
        <w:gridCol w:w="496"/>
        <w:gridCol w:w="1491"/>
      </w:tblGrid>
      <w:tr w:rsidR="00534FB5" w:rsidRPr="001E7C90" w:rsidTr="00534FB5">
        <w:tc>
          <w:tcPr>
            <w:tcW w:w="577" w:type="pct"/>
          </w:tcPr>
          <w:p w:rsidR="00534FB5" w:rsidRPr="00580676" w:rsidRDefault="00534FB5" w:rsidP="00534FB5">
            <w:pPr>
              <w:tabs>
                <w:tab w:val="left" w:pos="4253"/>
              </w:tabs>
              <w:spacing w:line="240" w:lineRule="atLeast"/>
              <w:contextualSpacing/>
            </w:pPr>
            <w:r w:rsidRPr="00580676">
              <w:t>Група</w:t>
            </w:r>
          </w:p>
        </w:tc>
        <w:tc>
          <w:tcPr>
            <w:tcW w:w="370" w:type="pct"/>
          </w:tcPr>
          <w:p w:rsidR="00534FB5" w:rsidRPr="00580676" w:rsidRDefault="00534FB5" w:rsidP="00534FB5">
            <w:pPr>
              <w:tabs>
                <w:tab w:val="left" w:pos="4253"/>
              </w:tabs>
              <w:spacing w:line="240" w:lineRule="atLeast"/>
              <w:contextualSpacing/>
            </w:pPr>
            <w:r w:rsidRPr="00580676">
              <w:t>N</w:t>
            </w:r>
          </w:p>
        </w:tc>
        <w:tc>
          <w:tcPr>
            <w:tcW w:w="964" w:type="pct"/>
          </w:tcPr>
          <w:p w:rsidR="00534FB5" w:rsidRPr="00580676" w:rsidRDefault="00534FB5" w:rsidP="00534FB5">
            <w:pPr>
              <w:tabs>
                <w:tab w:val="left" w:pos="4253"/>
              </w:tabs>
              <w:spacing w:line="240" w:lineRule="atLeast"/>
              <w:contextualSpacing/>
              <w:jc w:val="center"/>
            </w:pPr>
            <w:r>
              <w:t>pH</w:t>
            </w:r>
          </w:p>
        </w:tc>
        <w:tc>
          <w:tcPr>
            <w:tcW w:w="487" w:type="pct"/>
            <w:tcBorders>
              <w:right w:val="single" w:sz="4" w:space="0" w:color="auto"/>
            </w:tcBorders>
          </w:tcPr>
          <w:p w:rsidR="00534FB5" w:rsidRPr="00580676" w:rsidRDefault="00534FB5" w:rsidP="00534FB5">
            <w:pPr>
              <w:tabs>
                <w:tab w:val="left" w:pos="4253"/>
              </w:tabs>
              <w:spacing w:line="240" w:lineRule="atLeast"/>
              <w:contextualSpacing/>
              <w:jc w:val="center"/>
            </w:pPr>
            <w:r w:rsidRPr="00580676">
              <w:t>Група</w:t>
            </w:r>
          </w:p>
        </w:tc>
        <w:tc>
          <w:tcPr>
            <w:tcW w:w="297" w:type="pct"/>
            <w:tcBorders>
              <w:left w:val="single" w:sz="4" w:space="0" w:color="auto"/>
            </w:tcBorders>
          </w:tcPr>
          <w:p w:rsidR="00534FB5" w:rsidRPr="00580676" w:rsidRDefault="00534FB5" w:rsidP="00534FB5">
            <w:pPr>
              <w:tabs>
                <w:tab w:val="left" w:pos="4253"/>
              </w:tabs>
              <w:spacing w:line="240" w:lineRule="atLeast"/>
              <w:contextualSpacing/>
              <w:jc w:val="center"/>
            </w:pPr>
            <w:r w:rsidRPr="00580676">
              <w:t>N</w:t>
            </w:r>
          </w:p>
        </w:tc>
        <w:tc>
          <w:tcPr>
            <w:tcW w:w="779" w:type="pct"/>
            <w:tcBorders>
              <w:left w:val="single" w:sz="4" w:space="0" w:color="auto"/>
              <w:right w:val="single" w:sz="4" w:space="0" w:color="auto"/>
            </w:tcBorders>
          </w:tcPr>
          <w:p w:rsidR="00534FB5" w:rsidRPr="009B7BF8" w:rsidRDefault="00534FB5" w:rsidP="00534FB5">
            <w:pPr>
              <w:tabs>
                <w:tab w:val="left" w:pos="4253"/>
              </w:tabs>
              <w:spacing w:line="240" w:lineRule="atLeast"/>
              <w:contextualSpacing/>
              <w:jc w:val="center"/>
            </w:pPr>
            <w:r w:rsidRPr="00580676">
              <w:t>pH</w:t>
            </w:r>
          </w:p>
        </w:tc>
        <w:tc>
          <w:tcPr>
            <w:tcW w:w="487"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jc w:val="center"/>
            </w:pPr>
            <w:r w:rsidRPr="00580676">
              <w:t>Група</w:t>
            </w:r>
          </w:p>
        </w:tc>
        <w:tc>
          <w:tcPr>
            <w:tcW w:w="259"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jc w:val="center"/>
            </w:pPr>
            <w:r w:rsidRPr="00580676">
              <w:t>N</w:t>
            </w:r>
          </w:p>
        </w:tc>
        <w:tc>
          <w:tcPr>
            <w:tcW w:w="779" w:type="pct"/>
            <w:tcBorders>
              <w:left w:val="single" w:sz="4" w:space="0" w:color="auto"/>
            </w:tcBorders>
          </w:tcPr>
          <w:p w:rsidR="00534FB5" w:rsidRPr="009B7BF8" w:rsidRDefault="00534FB5" w:rsidP="00534FB5">
            <w:pPr>
              <w:tabs>
                <w:tab w:val="left" w:pos="4253"/>
              </w:tabs>
              <w:spacing w:line="240" w:lineRule="atLeast"/>
              <w:contextualSpacing/>
              <w:jc w:val="center"/>
            </w:pPr>
            <w:r w:rsidRPr="00580676">
              <w:t>Ph</w:t>
            </w:r>
          </w:p>
        </w:tc>
      </w:tr>
      <w:tr w:rsidR="00534FB5" w:rsidRPr="001E7C90" w:rsidTr="00534FB5">
        <w:tc>
          <w:tcPr>
            <w:tcW w:w="577" w:type="pct"/>
          </w:tcPr>
          <w:p w:rsidR="00534FB5" w:rsidRPr="00580676" w:rsidRDefault="00534FB5" w:rsidP="00534FB5">
            <w:pPr>
              <w:tabs>
                <w:tab w:val="left" w:pos="4253"/>
              </w:tabs>
              <w:spacing w:line="240" w:lineRule="atLeast"/>
              <w:contextualSpacing/>
            </w:pPr>
            <w:r w:rsidRPr="00580676">
              <w:t>КГ1</w:t>
            </w:r>
          </w:p>
        </w:tc>
        <w:tc>
          <w:tcPr>
            <w:tcW w:w="370" w:type="pct"/>
          </w:tcPr>
          <w:p w:rsidR="00534FB5" w:rsidRPr="00580676" w:rsidRDefault="00534FB5" w:rsidP="00534FB5">
            <w:pPr>
              <w:tabs>
                <w:tab w:val="left" w:pos="4253"/>
              </w:tabs>
              <w:spacing w:line="240" w:lineRule="atLeast"/>
              <w:contextualSpacing/>
            </w:pPr>
            <w:r w:rsidRPr="00580676">
              <w:t>10</w:t>
            </w:r>
          </w:p>
        </w:tc>
        <w:tc>
          <w:tcPr>
            <w:tcW w:w="964" w:type="pct"/>
          </w:tcPr>
          <w:p w:rsidR="00534FB5" w:rsidRPr="00580676" w:rsidRDefault="00A21924" w:rsidP="00534FB5">
            <w:pPr>
              <w:tabs>
                <w:tab w:val="left" w:pos="4253"/>
              </w:tabs>
              <w:spacing w:line="240" w:lineRule="atLeast"/>
              <w:contextualSpacing/>
            </w:pPr>
            <w:r>
              <w:t>7,04±0,0</w:t>
            </w:r>
            <w:r w:rsidR="00534FB5" w:rsidRPr="00580676">
              <w:t>5*</w:t>
            </w:r>
            <w:r w:rsidR="006326AD" w:rsidRPr="00580676">
              <w:t>**</w:t>
            </w:r>
          </w:p>
        </w:tc>
        <w:tc>
          <w:tcPr>
            <w:tcW w:w="487" w:type="pct"/>
            <w:tcBorders>
              <w:right w:val="single" w:sz="4" w:space="0" w:color="auto"/>
            </w:tcBorders>
          </w:tcPr>
          <w:p w:rsidR="00534FB5" w:rsidRPr="00580676" w:rsidRDefault="00534FB5" w:rsidP="00534FB5">
            <w:pPr>
              <w:tabs>
                <w:tab w:val="left" w:pos="4253"/>
              </w:tabs>
              <w:spacing w:line="240" w:lineRule="atLeast"/>
              <w:contextualSpacing/>
            </w:pPr>
            <w:r w:rsidRPr="00580676">
              <w:t>КГ2</w:t>
            </w:r>
          </w:p>
        </w:tc>
        <w:tc>
          <w:tcPr>
            <w:tcW w:w="297" w:type="pct"/>
            <w:tcBorders>
              <w:left w:val="single" w:sz="4" w:space="0" w:color="auto"/>
            </w:tcBorders>
          </w:tcPr>
          <w:p w:rsidR="00534FB5" w:rsidRPr="00580676" w:rsidRDefault="00534FB5" w:rsidP="00534FB5">
            <w:pPr>
              <w:tabs>
                <w:tab w:val="left" w:pos="4253"/>
              </w:tabs>
              <w:spacing w:line="240" w:lineRule="atLeast"/>
              <w:contextualSpacing/>
            </w:pPr>
            <w:r w:rsidRPr="00580676">
              <w:t>10</w:t>
            </w:r>
          </w:p>
        </w:tc>
        <w:tc>
          <w:tcPr>
            <w:tcW w:w="779"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6,99±0,14*</w:t>
            </w:r>
          </w:p>
        </w:tc>
        <w:tc>
          <w:tcPr>
            <w:tcW w:w="487"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КГ3</w:t>
            </w:r>
          </w:p>
        </w:tc>
        <w:tc>
          <w:tcPr>
            <w:tcW w:w="259"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12</w:t>
            </w:r>
          </w:p>
        </w:tc>
        <w:tc>
          <w:tcPr>
            <w:tcW w:w="779" w:type="pct"/>
            <w:tcBorders>
              <w:left w:val="single" w:sz="4" w:space="0" w:color="auto"/>
            </w:tcBorders>
          </w:tcPr>
          <w:p w:rsidR="00534FB5" w:rsidRPr="00580676" w:rsidRDefault="00534FB5" w:rsidP="00534FB5">
            <w:pPr>
              <w:tabs>
                <w:tab w:val="left" w:pos="4253"/>
              </w:tabs>
              <w:spacing w:line="240" w:lineRule="atLeast"/>
              <w:contextualSpacing/>
            </w:pPr>
            <w:r w:rsidRPr="00580676">
              <w:t>6,83±0,10*</w:t>
            </w:r>
          </w:p>
        </w:tc>
      </w:tr>
      <w:tr w:rsidR="00534FB5" w:rsidRPr="001E7C90" w:rsidTr="00534FB5">
        <w:tc>
          <w:tcPr>
            <w:tcW w:w="577" w:type="pct"/>
          </w:tcPr>
          <w:p w:rsidR="00534FB5" w:rsidRPr="00580676" w:rsidRDefault="00534FB5" w:rsidP="00534FB5">
            <w:pPr>
              <w:tabs>
                <w:tab w:val="left" w:pos="4253"/>
              </w:tabs>
              <w:spacing w:line="240" w:lineRule="atLeast"/>
              <w:contextualSpacing/>
            </w:pPr>
            <w:r w:rsidRPr="00580676">
              <w:t>ОГ1</w:t>
            </w:r>
          </w:p>
        </w:tc>
        <w:tc>
          <w:tcPr>
            <w:tcW w:w="370" w:type="pct"/>
          </w:tcPr>
          <w:p w:rsidR="00534FB5" w:rsidRPr="00580676" w:rsidRDefault="00534FB5" w:rsidP="00534FB5">
            <w:pPr>
              <w:tabs>
                <w:tab w:val="left" w:pos="4253"/>
              </w:tabs>
              <w:spacing w:line="240" w:lineRule="atLeast"/>
              <w:contextualSpacing/>
            </w:pPr>
            <w:r w:rsidRPr="00580676">
              <w:t>23</w:t>
            </w:r>
          </w:p>
        </w:tc>
        <w:tc>
          <w:tcPr>
            <w:tcW w:w="964" w:type="pct"/>
          </w:tcPr>
          <w:p w:rsidR="00534FB5" w:rsidRPr="00580676" w:rsidRDefault="00A21924" w:rsidP="00534FB5">
            <w:pPr>
              <w:tabs>
                <w:tab w:val="left" w:pos="4253"/>
              </w:tabs>
              <w:spacing w:line="240" w:lineRule="atLeast"/>
              <w:contextualSpacing/>
            </w:pPr>
            <w:r>
              <w:t>7,20±0,0</w:t>
            </w:r>
            <w:r w:rsidR="005C3666">
              <w:t>7*</w:t>
            </w:r>
            <w:r w:rsidR="006326AD" w:rsidRPr="00580676">
              <w:t>**</w:t>
            </w:r>
          </w:p>
        </w:tc>
        <w:tc>
          <w:tcPr>
            <w:tcW w:w="487" w:type="pct"/>
            <w:tcBorders>
              <w:right w:val="single" w:sz="4" w:space="0" w:color="auto"/>
            </w:tcBorders>
          </w:tcPr>
          <w:p w:rsidR="00534FB5" w:rsidRPr="00580676" w:rsidRDefault="00534FB5" w:rsidP="00534FB5">
            <w:pPr>
              <w:tabs>
                <w:tab w:val="left" w:pos="4253"/>
              </w:tabs>
              <w:spacing w:line="240" w:lineRule="atLeast"/>
              <w:contextualSpacing/>
            </w:pPr>
            <w:r w:rsidRPr="00580676">
              <w:t>ОГ2</w:t>
            </w:r>
          </w:p>
        </w:tc>
        <w:tc>
          <w:tcPr>
            <w:tcW w:w="297" w:type="pct"/>
            <w:tcBorders>
              <w:left w:val="single" w:sz="4" w:space="0" w:color="auto"/>
            </w:tcBorders>
          </w:tcPr>
          <w:p w:rsidR="00534FB5" w:rsidRPr="00580676" w:rsidRDefault="00534FB5" w:rsidP="00534FB5">
            <w:pPr>
              <w:tabs>
                <w:tab w:val="left" w:pos="4253"/>
              </w:tabs>
              <w:spacing w:line="240" w:lineRule="atLeast"/>
              <w:contextualSpacing/>
            </w:pPr>
            <w:r w:rsidRPr="00580676">
              <w:t>21</w:t>
            </w:r>
          </w:p>
        </w:tc>
        <w:tc>
          <w:tcPr>
            <w:tcW w:w="779"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7,06±0,13*</w:t>
            </w:r>
          </w:p>
        </w:tc>
        <w:tc>
          <w:tcPr>
            <w:tcW w:w="487"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ОГ3</w:t>
            </w:r>
          </w:p>
        </w:tc>
        <w:tc>
          <w:tcPr>
            <w:tcW w:w="259" w:type="pct"/>
            <w:tcBorders>
              <w:left w:val="single" w:sz="4" w:space="0" w:color="auto"/>
              <w:right w:val="single" w:sz="4" w:space="0" w:color="auto"/>
            </w:tcBorders>
          </w:tcPr>
          <w:p w:rsidR="00534FB5" w:rsidRPr="00580676" w:rsidRDefault="00534FB5" w:rsidP="00534FB5">
            <w:pPr>
              <w:tabs>
                <w:tab w:val="left" w:pos="4253"/>
              </w:tabs>
              <w:spacing w:line="240" w:lineRule="atLeast"/>
              <w:contextualSpacing/>
            </w:pPr>
            <w:r w:rsidRPr="00580676">
              <w:t>26</w:t>
            </w:r>
          </w:p>
        </w:tc>
        <w:tc>
          <w:tcPr>
            <w:tcW w:w="779" w:type="pct"/>
            <w:tcBorders>
              <w:left w:val="single" w:sz="4" w:space="0" w:color="auto"/>
            </w:tcBorders>
          </w:tcPr>
          <w:p w:rsidR="00534FB5" w:rsidRPr="00580676" w:rsidRDefault="00534FB5" w:rsidP="00534FB5">
            <w:pPr>
              <w:tabs>
                <w:tab w:val="left" w:pos="4253"/>
              </w:tabs>
              <w:spacing w:line="240" w:lineRule="atLeast"/>
              <w:contextualSpacing/>
            </w:pPr>
            <w:r w:rsidRPr="00580676">
              <w:t>6,91±0,13*</w:t>
            </w:r>
          </w:p>
        </w:tc>
      </w:tr>
    </w:tbl>
    <w:p w:rsidR="00534FB5" w:rsidRPr="00DC567E" w:rsidRDefault="00534FB5" w:rsidP="00534FB5">
      <w:pPr>
        <w:tabs>
          <w:tab w:val="left" w:pos="4253"/>
        </w:tabs>
        <w:spacing w:line="240" w:lineRule="auto"/>
        <w:ind w:left="-142"/>
        <w:rPr>
          <w:sz w:val="16"/>
          <w:szCs w:val="20"/>
        </w:rPr>
      </w:pPr>
      <w:r w:rsidRPr="00DC567E">
        <w:rPr>
          <w:sz w:val="22"/>
        </w:rPr>
        <w:t>Примітка. Р</w:t>
      </w:r>
      <w:r w:rsidRPr="00DC567E">
        <w:rPr>
          <w:sz w:val="22"/>
          <w:vertAlign w:val="subscript"/>
        </w:rPr>
        <w:t xml:space="preserve"> </w:t>
      </w:r>
      <w:r w:rsidR="00E24A5E" w:rsidRPr="00435332">
        <w:rPr>
          <w:sz w:val="22"/>
        </w:rPr>
        <w:t>–</w:t>
      </w:r>
      <w:r w:rsidRPr="00DC567E">
        <w:rPr>
          <w:sz w:val="22"/>
        </w:rPr>
        <w:t xml:space="preserve"> показник вірогідних відмінностей результатів між КГ і ОГ (* – Р &gt; 0,05, ** – Р&lt;0,05, *** – Р&lt;0,01).</w:t>
      </w:r>
      <w:r w:rsidRPr="00DC567E">
        <w:rPr>
          <w:sz w:val="16"/>
          <w:szCs w:val="20"/>
          <w:highlight w:val="green"/>
        </w:rPr>
        <w:t xml:space="preserve"> </w:t>
      </w:r>
    </w:p>
    <w:p w:rsidR="00534FB5" w:rsidRDefault="00534FB5" w:rsidP="00534FB5">
      <w:pPr>
        <w:rPr>
          <w:noProof/>
        </w:rPr>
      </w:pPr>
    </w:p>
    <w:p w:rsidR="00534FB5" w:rsidRDefault="006C493E" w:rsidP="00534FB5">
      <w:pPr>
        <w:ind w:firstLine="709"/>
        <w:rPr>
          <w:noProof/>
          <w:lang w:eastAsia="uk-UA"/>
        </w:rPr>
      </w:pPr>
      <w:r>
        <w:rPr>
          <w:noProof/>
          <w:lang w:val="ru-RU"/>
        </w:rPr>
        <w:drawing>
          <wp:inline distT="0" distB="0" distL="0" distR="0">
            <wp:extent cx="4844007" cy="2370292"/>
            <wp:effectExtent l="19050" t="0" r="13743"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34FB5">
        <w:rPr>
          <w:noProof/>
          <w:lang w:val="ru-RU" w:eastAsia="uk-UA"/>
        </w:rPr>
        <w:t xml:space="preserve"> </w:t>
      </w:r>
      <w:r w:rsidR="00534FB5">
        <w:rPr>
          <w:noProof/>
          <w:lang w:eastAsia="uk-UA"/>
        </w:rPr>
        <w:t xml:space="preserve">   </w:t>
      </w:r>
    </w:p>
    <w:p w:rsidR="00534FB5" w:rsidRDefault="00534FB5" w:rsidP="00534FB5">
      <w:pPr>
        <w:ind w:firstLine="709"/>
      </w:pPr>
      <w:r w:rsidRPr="00580676">
        <w:rPr>
          <w:noProof/>
        </w:rPr>
        <w:t>Рис.</w:t>
      </w:r>
      <w:r>
        <w:rPr>
          <w:noProof/>
        </w:rPr>
        <w:t xml:space="preserve"> 3.4.1.1. </w:t>
      </w:r>
      <w:r w:rsidRPr="00EA069F">
        <w:t>Показники</w:t>
      </w:r>
      <w:r>
        <w:t xml:space="preserve"> </w:t>
      </w:r>
      <w:r w:rsidRPr="00580676">
        <w:t>pH</w:t>
      </w:r>
      <w:r w:rsidRPr="00EA069F">
        <w:t xml:space="preserve"> ротової рідини у дітей основної та контрольної груп до проведення лікувально-профілактичних заходів.</w:t>
      </w:r>
    </w:p>
    <w:p w:rsidR="00534FB5" w:rsidRDefault="00534FB5" w:rsidP="00534FB5">
      <w:pPr>
        <w:ind w:firstLine="709"/>
        <w:rPr>
          <w:noProof/>
        </w:rPr>
      </w:pPr>
    </w:p>
    <w:p w:rsidR="00534FB5" w:rsidRDefault="00534FB5" w:rsidP="00534FB5">
      <w:pPr>
        <w:ind w:firstLine="709"/>
      </w:pPr>
      <w:r w:rsidRPr="001D477E">
        <w:rPr>
          <w:noProof/>
        </w:rPr>
        <w:t xml:space="preserve">Наступним </w:t>
      </w:r>
      <w:r w:rsidRPr="001D477E">
        <w:t>етапом дослідження стало проведення розрахунку відхилення величини pH від середнього її значення у дітей ОГ та КГ</w:t>
      </w:r>
      <w:r w:rsidRPr="00935294">
        <w:t xml:space="preserve"> </w:t>
      </w:r>
      <w:r>
        <w:t>(табл. </w:t>
      </w:r>
      <w:r w:rsidRPr="001D477E">
        <w:t>3.4.1.2</w:t>
      </w:r>
      <w:r w:rsidRPr="00FC67EB">
        <w:t>)</w:t>
      </w:r>
      <w:r w:rsidRPr="001D477E">
        <w:t>.</w:t>
      </w:r>
      <w:r w:rsidRPr="003C3E49">
        <w:t xml:space="preserve"> </w:t>
      </w:r>
      <w:r w:rsidRPr="001D477E">
        <w:t>Було виявлено</w:t>
      </w:r>
      <w:r>
        <w:t xml:space="preserve"> </w:t>
      </w:r>
      <w:r w:rsidRPr="001D477E">
        <w:t>достовірну відмінність показник</w:t>
      </w:r>
      <w:r>
        <w:t>а</w:t>
      </w:r>
      <w:r w:rsidRPr="001D477E">
        <w:t xml:space="preserve"> у всіх трьох вікових групах дітей (Р</w:t>
      </w:r>
      <w:r>
        <w:t>&lt;</w:t>
      </w:r>
      <w:r w:rsidRPr="001D477E">
        <w:t>0,01).</w:t>
      </w:r>
      <w:r>
        <w:t xml:space="preserve"> </w:t>
      </w:r>
    </w:p>
    <w:p w:rsidR="00534FB5" w:rsidRPr="00EA069F" w:rsidRDefault="00534FB5" w:rsidP="00534FB5">
      <w:pPr>
        <w:tabs>
          <w:tab w:val="left" w:pos="4253"/>
        </w:tabs>
        <w:ind w:firstLine="709"/>
        <w:jc w:val="right"/>
        <w:rPr>
          <w:i/>
        </w:rPr>
      </w:pPr>
      <w:r w:rsidRPr="00EA069F">
        <w:rPr>
          <w:i/>
        </w:rPr>
        <w:t>Таблиця</w:t>
      </w:r>
      <w:r>
        <w:rPr>
          <w:i/>
        </w:rPr>
        <w:t> </w:t>
      </w:r>
      <w:r w:rsidRPr="00EA069F">
        <w:rPr>
          <w:i/>
        </w:rPr>
        <w:t>3.4.1.2</w:t>
      </w:r>
      <w:r>
        <w:rPr>
          <w:i/>
        </w:rPr>
        <w:t xml:space="preserve"> </w:t>
      </w:r>
    </w:p>
    <w:p w:rsidR="00534FB5" w:rsidRPr="00FC67EB" w:rsidRDefault="00534FB5" w:rsidP="00534FB5">
      <w:pPr>
        <w:tabs>
          <w:tab w:val="left" w:pos="4253"/>
        </w:tabs>
        <w:ind w:firstLine="709"/>
        <w:jc w:val="center"/>
        <w:rPr>
          <w:b/>
        </w:rPr>
      </w:pPr>
      <w:r>
        <w:rPr>
          <w:b/>
        </w:rPr>
        <w:t>Показники Δ</w:t>
      </w:r>
      <w:r w:rsidRPr="00EA069F">
        <w:rPr>
          <w:b/>
        </w:rPr>
        <w:t>pH ротової рідини у дітей основної та контрольної груп до проведення лікувально-профілактичних заходів</w:t>
      </w:r>
      <w:r>
        <w:rPr>
          <w:b/>
        </w:rPr>
        <w:t>,</w:t>
      </w:r>
      <w:r w:rsidRPr="00EA069F">
        <w:t xml:space="preserve"> </w:t>
      </w:r>
      <w:r w:rsidRPr="00EA069F">
        <w:rPr>
          <w:b/>
          <w:lang w:val="en-US"/>
        </w:rPr>
        <w:t>M</w:t>
      </w:r>
      <w:r w:rsidRPr="00EA069F">
        <w:rPr>
          <w:b/>
        </w:rPr>
        <w:t>±</w:t>
      </w:r>
      <w:r w:rsidRPr="00EA069F">
        <w:rPr>
          <w:b/>
          <w:lang w:val="en-US"/>
        </w:rPr>
        <w: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553"/>
        <w:gridCol w:w="1735"/>
        <w:gridCol w:w="932"/>
        <w:gridCol w:w="515"/>
        <w:gridCol w:w="1715"/>
        <w:gridCol w:w="932"/>
        <w:gridCol w:w="496"/>
        <w:gridCol w:w="1715"/>
      </w:tblGrid>
      <w:tr w:rsidR="00534FB5" w:rsidRPr="00E40BFA" w:rsidTr="00534FB5">
        <w:tc>
          <w:tcPr>
            <w:tcW w:w="978" w:type="dxa"/>
          </w:tcPr>
          <w:p w:rsidR="00534FB5" w:rsidRPr="00E40BFA" w:rsidRDefault="00534FB5" w:rsidP="00534FB5">
            <w:pPr>
              <w:tabs>
                <w:tab w:val="left" w:pos="4253"/>
              </w:tabs>
              <w:spacing w:line="240" w:lineRule="atLeast"/>
              <w:contextualSpacing/>
            </w:pPr>
            <w:r w:rsidRPr="00E40BFA">
              <w:t>Група</w:t>
            </w:r>
          </w:p>
        </w:tc>
        <w:tc>
          <w:tcPr>
            <w:tcW w:w="553" w:type="dxa"/>
          </w:tcPr>
          <w:p w:rsidR="00534FB5" w:rsidRPr="00E40BFA" w:rsidRDefault="00534FB5" w:rsidP="00534FB5">
            <w:pPr>
              <w:tabs>
                <w:tab w:val="left" w:pos="4253"/>
              </w:tabs>
              <w:spacing w:line="240" w:lineRule="atLeast"/>
              <w:contextualSpacing/>
            </w:pPr>
            <w:r w:rsidRPr="00E40BFA">
              <w:t>N</w:t>
            </w:r>
          </w:p>
        </w:tc>
        <w:tc>
          <w:tcPr>
            <w:tcW w:w="1735" w:type="dxa"/>
          </w:tcPr>
          <w:p w:rsidR="00534FB5" w:rsidRPr="00E40BFA" w:rsidRDefault="00534FB5" w:rsidP="00534FB5">
            <w:pPr>
              <w:tabs>
                <w:tab w:val="left" w:pos="4253"/>
              </w:tabs>
              <w:spacing w:line="240" w:lineRule="atLeast"/>
              <w:contextualSpacing/>
              <w:jc w:val="center"/>
            </w:pPr>
            <w:r>
              <w:t>Δ</w:t>
            </w:r>
            <w:r w:rsidRPr="00E40BFA">
              <w:t>pH</w:t>
            </w:r>
          </w:p>
        </w:tc>
        <w:tc>
          <w:tcPr>
            <w:tcW w:w="932" w:type="dxa"/>
            <w:tcBorders>
              <w:right w:val="single" w:sz="4" w:space="0" w:color="auto"/>
            </w:tcBorders>
          </w:tcPr>
          <w:p w:rsidR="00534FB5" w:rsidRPr="00E40BFA" w:rsidRDefault="00534FB5" w:rsidP="00534FB5">
            <w:pPr>
              <w:tabs>
                <w:tab w:val="left" w:pos="4253"/>
              </w:tabs>
              <w:spacing w:line="240" w:lineRule="atLeast"/>
              <w:contextualSpacing/>
              <w:jc w:val="center"/>
            </w:pPr>
            <w:r w:rsidRPr="00E40BFA">
              <w:t>Група</w:t>
            </w:r>
          </w:p>
        </w:tc>
        <w:tc>
          <w:tcPr>
            <w:tcW w:w="515" w:type="dxa"/>
            <w:tcBorders>
              <w:left w:val="single" w:sz="4" w:space="0" w:color="auto"/>
            </w:tcBorders>
          </w:tcPr>
          <w:p w:rsidR="00534FB5" w:rsidRPr="00E40BFA" w:rsidRDefault="00534FB5" w:rsidP="00534FB5">
            <w:pPr>
              <w:tabs>
                <w:tab w:val="left" w:pos="4253"/>
              </w:tabs>
              <w:spacing w:line="240" w:lineRule="atLeast"/>
              <w:contextualSpacing/>
              <w:jc w:val="center"/>
            </w:pPr>
            <w:r w:rsidRPr="00E40BFA">
              <w:t>N</w:t>
            </w:r>
          </w:p>
        </w:tc>
        <w:tc>
          <w:tcPr>
            <w:tcW w:w="1715" w:type="dxa"/>
            <w:tcBorders>
              <w:left w:val="single" w:sz="4" w:space="0" w:color="auto"/>
              <w:right w:val="single" w:sz="4" w:space="0" w:color="auto"/>
            </w:tcBorders>
          </w:tcPr>
          <w:p w:rsidR="00534FB5" w:rsidRPr="00EA069F" w:rsidRDefault="00534FB5" w:rsidP="00534FB5">
            <w:pPr>
              <w:tabs>
                <w:tab w:val="left" w:pos="4253"/>
              </w:tabs>
              <w:spacing w:line="240" w:lineRule="atLeast"/>
              <w:contextualSpacing/>
              <w:jc w:val="center"/>
            </w:pPr>
            <w:r>
              <w:t>Δ</w:t>
            </w:r>
            <w:r w:rsidRPr="00E40BFA">
              <w:t>pH</w:t>
            </w:r>
          </w:p>
        </w:tc>
        <w:tc>
          <w:tcPr>
            <w:tcW w:w="932"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jc w:val="center"/>
            </w:pPr>
            <w:r w:rsidRPr="00E40BFA">
              <w:t>Група</w:t>
            </w:r>
          </w:p>
        </w:tc>
        <w:tc>
          <w:tcPr>
            <w:tcW w:w="496"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jc w:val="center"/>
            </w:pPr>
            <w:r w:rsidRPr="00E40BFA">
              <w:t>N</w:t>
            </w:r>
          </w:p>
        </w:tc>
        <w:tc>
          <w:tcPr>
            <w:tcW w:w="1715" w:type="dxa"/>
            <w:tcBorders>
              <w:left w:val="single" w:sz="4" w:space="0" w:color="auto"/>
            </w:tcBorders>
          </w:tcPr>
          <w:p w:rsidR="00534FB5" w:rsidRPr="00EA069F" w:rsidRDefault="00534FB5" w:rsidP="00534FB5">
            <w:pPr>
              <w:tabs>
                <w:tab w:val="left" w:pos="4253"/>
              </w:tabs>
              <w:spacing w:line="240" w:lineRule="atLeast"/>
              <w:contextualSpacing/>
              <w:jc w:val="center"/>
            </w:pPr>
            <w:r>
              <w:t>Δ</w:t>
            </w:r>
            <w:r w:rsidRPr="00E40BFA">
              <w:t>pH</w:t>
            </w:r>
          </w:p>
        </w:tc>
      </w:tr>
      <w:tr w:rsidR="00534FB5" w:rsidRPr="00E40BFA" w:rsidTr="00534FB5">
        <w:tc>
          <w:tcPr>
            <w:tcW w:w="978" w:type="dxa"/>
          </w:tcPr>
          <w:p w:rsidR="00534FB5" w:rsidRPr="00E40BFA" w:rsidRDefault="00534FB5" w:rsidP="00534FB5">
            <w:pPr>
              <w:tabs>
                <w:tab w:val="left" w:pos="4253"/>
              </w:tabs>
              <w:spacing w:line="240" w:lineRule="atLeast"/>
              <w:contextualSpacing/>
            </w:pPr>
            <w:r w:rsidRPr="00E40BFA">
              <w:t>КГ1</w:t>
            </w:r>
          </w:p>
        </w:tc>
        <w:tc>
          <w:tcPr>
            <w:tcW w:w="553" w:type="dxa"/>
          </w:tcPr>
          <w:p w:rsidR="00534FB5" w:rsidRPr="00E40BFA" w:rsidRDefault="00534FB5" w:rsidP="00534FB5">
            <w:pPr>
              <w:tabs>
                <w:tab w:val="left" w:pos="4253"/>
              </w:tabs>
              <w:spacing w:line="240" w:lineRule="atLeast"/>
              <w:contextualSpacing/>
            </w:pPr>
            <w:r w:rsidRPr="00E40BFA">
              <w:t>10</w:t>
            </w:r>
          </w:p>
        </w:tc>
        <w:tc>
          <w:tcPr>
            <w:tcW w:w="1735" w:type="dxa"/>
          </w:tcPr>
          <w:p w:rsidR="00534FB5" w:rsidRPr="00E40BFA" w:rsidRDefault="00534FB5" w:rsidP="00534FB5">
            <w:pPr>
              <w:tabs>
                <w:tab w:val="left" w:pos="4253"/>
              </w:tabs>
              <w:spacing w:line="240" w:lineRule="atLeast"/>
              <w:contextualSpacing/>
            </w:pPr>
            <w:r w:rsidRPr="00E40BFA">
              <w:t>0,08±0,15</w:t>
            </w:r>
            <w:r w:rsidRPr="005A1EC7">
              <w:rPr>
                <w:sz w:val="20"/>
              </w:rPr>
              <w:t>***</w:t>
            </w:r>
          </w:p>
        </w:tc>
        <w:tc>
          <w:tcPr>
            <w:tcW w:w="932" w:type="dxa"/>
            <w:tcBorders>
              <w:right w:val="single" w:sz="4" w:space="0" w:color="auto"/>
            </w:tcBorders>
          </w:tcPr>
          <w:p w:rsidR="00534FB5" w:rsidRPr="00E40BFA" w:rsidRDefault="00534FB5" w:rsidP="00534FB5">
            <w:pPr>
              <w:tabs>
                <w:tab w:val="left" w:pos="4253"/>
              </w:tabs>
              <w:spacing w:line="240" w:lineRule="atLeast"/>
              <w:contextualSpacing/>
            </w:pPr>
            <w:r w:rsidRPr="00E40BFA">
              <w:t>КГ2</w:t>
            </w:r>
          </w:p>
        </w:tc>
        <w:tc>
          <w:tcPr>
            <w:tcW w:w="515" w:type="dxa"/>
            <w:tcBorders>
              <w:left w:val="single" w:sz="4" w:space="0" w:color="auto"/>
            </w:tcBorders>
          </w:tcPr>
          <w:p w:rsidR="00534FB5" w:rsidRPr="00E40BFA" w:rsidRDefault="00534FB5" w:rsidP="00534FB5">
            <w:pPr>
              <w:tabs>
                <w:tab w:val="left" w:pos="4253"/>
              </w:tabs>
              <w:spacing w:line="240" w:lineRule="atLeast"/>
              <w:contextualSpacing/>
            </w:pPr>
            <w:r w:rsidRPr="00E40BFA">
              <w:t>10</w:t>
            </w:r>
          </w:p>
        </w:tc>
        <w:tc>
          <w:tcPr>
            <w:tcW w:w="1715"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0,11±0,14</w:t>
            </w:r>
            <w:r w:rsidRPr="005A1EC7">
              <w:rPr>
                <w:sz w:val="20"/>
              </w:rPr>
              <w:t>***</w:t>
            </w:r>
          </w:p>
        </w:tc>
        <w:tc>
          <w:tcPr>
            <w:tcW w:w="932"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КГ3</w:t>
            </w:r>
          </w:p>
        </w:tc>
        <w:tc>
          <w:tcPr>
            <w:tcW w:w="496"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12</w:t>
            </w:r>
          </w:p>
        </w:tc>
        <w:tc>
          <w:tcPr>
            <w:tcW w:w="1715" w:type="dxa"/>
            <w:tcBorders>
              <w:left w:val="single" w:sz="4" w:space="0" w:color="auto"/>
            </w:tcBorders>
          </w:tcPr>
          <w:p w:rsidR="00534FB5" w:rsidRPr="00E40BFA" w:rsidRDefault="00534FB5" w:rsidP="00534FB5">
            <w:pPr>
              <w:tabs>
                <w:tab w:val="left" w:pos="4253"/>
              </w:tabs>
              <w:spacing w:line="240" w:lineRule="atLeast"/>
              <w:contextualSpacing/>
            </w:pPr>
            <w:r w:rsidRPr="00E40BFA">
              <w:t>0,07±0,10</w:t>
            </w:r>
            <w:r w:rsidRPr="005A1EC7">
              <w:rPr>
                <w:sz w:val="20"/>
              </w:rPr>
              <w:t>***</w:t>
            </w:r>
          </w:p>
        </w:tc>
      </w:tr>
      <w:tr w:rsidR="00534FB5" w:rsidRPr="00E40BFA" w:rsidTr="00534FB5">
        <w:tc>
          <w:tcPr>
            <w:tcW w:w="978" w:type="dxa"/>
          </w:tcPr>
          <w:p w:rsidR="00534FB5" w:rsidRPr="00E40BFA" w:rsidRDefault="00534FB5" w:rsidP="00534FB5">
            <w:pPr>
              <w:tabs>
                <w:tab w:val="left" w:pos="4253"/>
              </w:tabs>
              <w:spacing w:line="240" w:lineRule="atLeast"/>
              <w:contextualSpacing/>
            </w:pPr>
            <w:r w:rsidRPr="00E40BFA">
              <w:t>ОГ1</w:t>
            </w:r>
          </w:p>
        </w:tc>
        <w:tc>
          <w:tcPr>
            <w:tcW w:w="553" w:type="dxa"/>
          </w:tcPr>
          <w:p w:rsidR="00534FB5" w:rsidRPr="00E40BFA" w:rsidRDefault="00534FB5" w:rsidP="00534FB5">
            <w:pPr>
              <w:tabs>
                <w:tab w:val="left" w:pos="4253"/>
              </w:tabs>
              <w:spacing w:line="240" w:lineRule="atLeast"/>
              <w:contextualSpacing/>
            </w:pPr>
            <w:r w:rsidRPr="00E40BFA">
              <w:t>23</w:t>
            </w:r>
          </w:p>
        </w:tc>
        <w:tc>
          <w:tcPr>
            <w:tcW w:w="1735" w:type="dxa"/>
          </w:tcPr>
          <w:p w:rsidR="00534FB5" w:rsidRPr="00E40BFA" w:rsidRDefault="00534FB5" w:rsidP="00534FB5">
            <w:pPr>
              <w:tabs>
                <w:tab w:val="left" w:pos="4253"/>
              </w:tabs>
              <w:spacing w:line="240" w:lineRule="atLeast"/>
              <w:contextualSpacing/>
            </w:pPr>
            <w:r w:rsidRPr="00E40BFA">
              <w:t>0,76±0,17</w:t>
            </w:r>
            <w:r w:rsidRPr="005A1EC7">
              <w:rPr>
                <w:sz w:val="20"/>
              </w:rPr>
              <w:t>***</w:t>
            </w:r>
          </w:p>
        </w:tc>
        <w:tc>
          <w:tcPr>
            <w:tcW w:w="932" w:type="dxa"/>
            <w:tcBorders>
              <w:right w:val="single" w:sz="4" w:space="0" w:color="auto"/>
            </w:tcBorders>
          </w:tcPr>
          <w:p w:rsidR="00534FB5" w:rsidRPr="00E40BFA" w:rsidRDefault="00534FB5" w:rsidP="00534FB5">
            <w:pPr>
              <w:tabs>
                <w:tab w:val="left" w:pos="4253"/>
              </w:tabs>
              <w:spacing w:line="240" w:lineRule="atLeast"/>
              <w:contextualSpacing/>
            </w:pPr>
            <w:r w:rsidRPr="00E40BFA">
              <w:t>ОГ2</w:t>
            </w:r>
          </w:p>
        </w:tc>
        <w:tc>
          <w:tcPr>
            <w:tcW w:w="515" w:type="dxa"/>
            <w:tcBorders>
              <w:left w:val="single" w:sz="4" w:space="0" w:color="auto"/>
            </w:tcBorders>
          </w:tcPr>
          <w:p w:rsidR="00534FB5" w:rsidRPr="00E40BFA" w:rsidRDefault="00534FB5" w:rsidP="00534FB5">
            <w:pPr>
              <w:tabs>
                <w:tab w:val="left" w:pos="4253"/>
              </w:tabs>
              <w:spacing w:line="240" w:lineRule="atLeast"/>
              <w:contextualSpacing/>
            </w:pPr>
            <w:r w:rsidRPr="00E40BFA">
              <w:t>21</w:t>
            </w:r>
          </w:p>
        </w:tc>
        <w:tc>
          <w:tcPr>
            <w:tcW w:w="1715"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0,61±0,13</w:t>
            </w:r>
            <w:r w:rsidRPr="005A1EC7">
              <w:rPr>
                <w:sz w:val="20"/>
              </w:rPr>
              <w:t>***</w:t>
            </w:r>
          </w:p>
        </w:tc>
        <w:tc>
          <w:tcPr>
            <w:tcW w:w="932"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ОГ3</w:t>
            </w:r>
          </w:p>
        </w:tc>
        <w:tc>
          <w:tcPr>
            <w:tcW w:w="496" w:type="dxa"/>
            <w:tcBorders>
              <w:left w:val="single" w:sz="4" w:space="0" w:color="auto"/>
              <w:right w:val="single" w:sz="4" w:space="0" w:color="auto"/>
            </w:tcBorders>
          </w:tcPr>
          <w:p w:rsidR="00534FB5" w:rsidRPr="00E40BFA" w:rsidRDefault="00534FB5" w:rsidP="00534FB5">
            <w:pPr>
              <w:tabs>
                <w:tab w:val="left" w:pos="4253"/>
              </w:tabs>
              <w:spacing w:line="240" w:lineRule="atLeast"/>
              <w:contextualSpacing/>
            </w:pPr>
            <w:r w:rsidRPr="00E40BFA">
              <w:t>26</w:t>
            </w:r>
          </w:p>
        </w:tc>
        <w:tc>
          <w:tcPr>
            <w:tcW w:w="1715" w:type="dxa"/>
            <w:tcBorders>
              <w:left w:val="single" w:sz="4" w:space="0" w:color="auto"/>
            </w:tcBorders>
          </w:tcPr>
          <w:p w:rsidR="00534FB5" w:rsidRPr="00E40BFA" w:rsidRDefault="00534FB5" w:rsidP="00534FB5">
            <w:pPr>
              <w:tabs>
                <w:tab w:val="left" w:pos="4253"/>
              </w:tabs>
              <w:spacing w:line="240" w:lineRule="atLeast"/>
              <w:contextualSpacing/>
            </w:pPr>
            <w:r w:rsidRPr="00E40BFA">
              <w:t>0,58±0,13</w:t>
            </w:r>
            <w:r w:rsidRPr="005A1EC7">
              <w:rPr>
                <w:sz w:val="20"/>
              </w:rPr>
              <w:t>***</w:t>
            </w:r>
          </w:p>
        </w:tc>
      </w:tr>
    </w:tbl>
    <w:p w:rsidR="00534FB5" w:rsidRPr="005C3666" w:rsidRDefault="00534FB5" w:rsidP="00534FB5">
      <w:pPr>
        <w:tabs>
          <w:tab w:val="left" w:pos="4253"/>
        </w:tabs>
        <w:spacing w:line="240" w:lineRule="auto"/>
        <w:ind w:left="-142"/>
        <w:rPr>
          <w:sz w:val="16"/>
          <w:szCs w:val="20"/>
        </w:rPr>
      </w:pPr>
      <w:r w:rsidRPr="005C3666">
        <w:rPr>
          <w:sz w:val="22"/>
        </w:rPr>
        <w:t>Примітка. Р</w:t>
      </w:r>
      <w:r w:rsidRPr="005C3666">
        <w:rPr>
          <w:sz w:val="22"/>
          <w:vertAlign w:val="subscript"/>
        </w:rPr>
        <w:t xml:space="preserve"> </w:t>
      </w:r>
      <w:r w:rsidRPr="005C3666">
        <w:rPr>
          <w:sz w:val="22"/>
        </w:rPr>
        <w:t>– показник вірогідних відмінностей результатів між КГ і ОГ (* – Р &gt; 0,05, ** – Р&lt;0,05, *** – Р&lt;0,01).</w:t>
      </w:r>
      <w:r w:rsidRPr="005C3666">
        <w:rPr>
          <w:sz w:val="16"/>
          <w:szCs w:val="20"/>
          <w:highlight w:val="green"/>
        </w:rPr>
        <w:t xml:space="preserve"> </w:t>
      </w:r>
    </w:p>
    <w:p w:rsidR="00534FB5" w:rsidRDefault="00534FB5" w:rsidP="00534FB5">
      <w:pPr>
        <w:tabs>
          <w:tab w:val="left" w:pos="4253"/>
        </w:tabs>
        <w:ind w:firstLine="567"/>
        <w:contextualSpacing/>
      </w:pPr>
    </w:p>
    <w:p w:rsidR="00534FB5" w:rsidRPr="00935294" w:rsidRDefault="00534FB5" w:rsidP="00534FB5">
      <w:pPr>
        <w:tabs>
          <w:tab w:val="left" w:pos="4253"/>
        </w:tabs>
        <w:ind w:firstLine="567"/>
        <w:contextualSpacing/>
      </w:pPr>
      <w:r w:rsidRPr="001D477E">
        <w:t xml:space="preserve">У дітей 1, 2 та 3 вікових груп ОГ, порівняно з </w:t>
      </w:r>
      <w:r>
        <w:t>дітьми КГ, значення показника Δ</w:t>
      </w:r>
      <w:r w:rsidRPr="001D477E">
        <w:t>pH</w:t>
      </w:r>
      <w:r>
        <w:t xml:space="preserve"> </w:t>
      </w:r>
      <w:r w:rsidRPr="001D477E">
        <w:t>було бі</w:t>
      </w:r>
      <w:r>
        <w:t xml:space="preserve">льше у 9,5 раза, 5,5 раза та 8,3 раза </w:t>
      </w:r>
      <w:r w:rsidRPr="001D477E">
        <w:t>відповідно (табл.</w:t>
      </w:r>
      <w:r>
        <w:t> </w:t>
      </w:r>
      <w:r w:rsidRPr="001D477E">
        <w:t>3.4.1.2</w:t>
      </w:r>
      <w:r>
        <w:t>, рис. 3.4.1.2</w:t>
      </w:r>
      <w:r w:rsidRPr="001D477E">
        <w:t>).</w:t>
      </w:r>
    </w:p>
    <w:p w:rsidR="00534FB5" w:rsidRDefault="00534FB5" w:rsidP="00534FB5">
      <w:pPr>
        <w:tabs>
          <w:tab w:val="left" w:pos="4253"/>
        </w:tabs>
        <w:jc w:val="center"/>
        <w:rPr>
          <w:noProof/>
          <w:lang w:eastAsia="uk-UA"/>
        </w:rPr>
      </w:pPr>
    </w:p>
    <w:p w:rsidR="00534FB5" w:rsidRPr="00E40BFA" w:rsidRDefault="006C493E" w:rsidP="00534FB5">
      <w:pPr>
        <w:tabs>
          <w:tab w:val="left" w:pos="4253"/>
        </w:tabs>
        <w:jc w:val="center"/>
        <w:rPr>
          <w:noProof/>
          <w:lang w:eastAsia="uk-UA"/>
        </w:rPr>
      </w:pPr>
      <w:r>
        <w:rPr>
          <w:noProof/>
          <w:lang w:val="ru-RU"/>
        </w:rPr>
        <w:lastRenderedPageBreak/>
        <w:drawing>
          <wp:inline distT="0" distB="0" distL="0" distR="0">
            <wp:extent cx="4791075" cy="2162175"/>
            <wp:effectExtent l="19050" t="0" r="9525"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4FB5" w:rsidRDefault="00534FB5" w:rsidP="00534FB5">
      <w:pPr>
        <w:tabs>
          <w:tab w:val="left" w:pos="4253"/>
        </w:tabs>
        <w:ind w:firstLine="709"/>
        <w:contextualSpacing/>
      </w:pPr>
      <w:r w:rsidRPr="00E40BFA">
        <w:rPr>
          <w:noProof/>
          <w:lang w:eastAsia="uk-UA"/>
        </w:rPr>
        <w:t>Рис.</w:t>
      </w:r>
      <w:r>
        <w:rPr>
          <w:noProof/>
          <w:lang w:eastAsia="uk-UA"/>
        </w:rPr>
        <w:t> </w:t>
      </w:r>
      <w:r w:rsidRPr="00E40BFA">
        <w:rPr>
          <w:noProof/>
          <w:lang w:eastAsia="uk-UA"/>
        </w:rPr>
        <w:t>3.4</w:t>
      </w:r>
      <w:r>
        <w:rPr>
          <w:noProof/>
          <w:lang w:eastAsia="uk-UA"/>
        </w:rPr>
        <w:t>.1.2.</w:t>
      </w:r>
      <w:r w:rsidRPr="00E40BFA">
        <w:rPr>
          <w:noProof/>
          <w:lang w:eastAsia="uk-UA"/>
        </w:rPr>
        <w:t xml:space="preserve"> </w:t>
      </w:r>
      <w:r>
        <w:t>Показники Δ</w:t>
      </w:r>
      <w:r w:rsidRPr="00E40BFA">
        <w:t>pH ротової рідини у дітей основної та контрольної груп до проведення лікувально-профілактичних заходів.</w:t>
      </w:r>
    </w:p>
    <w:p w:rsidR="00534FB5" w:rsidRPr="00406AB1" w:rsidRDefault="00534FB5" w:rsidP="00534FB5">
      <w:pPr>
        <w:tabs>
          <w:tab w:val="left" w:pos="4253"/>
        </w:tabs>
        <w:ind w:firstLine="709"/>
        <w:contextualSpacing/>
        <w:rPr>
          <w:sz w:val="24"/>
        </w:rPr>
      </w:pPr>
    </w:p>
    <w:p w:rsidR="00534FB5" w:rsidRPr="00E40BFA" w:rsidRDefault="00534FB5" w:rsidP="00534FB5">
      <w:pPr>
        <w:ind w:firstLine="709"/>
        <w:contextualSpacing/>
      </w:pPr>
      <w:r w:rsidRPr="00EA069F">
        <w:t xml:space="preserve">Наступною ланкою дослідження функціональних властивостей ротової рідини стало вивчення показників </w:t>
      </w:r>
      <w:r>
        <w:t>швидкості слиновиділення (мл/хв</w:t>
      </w:r>
      <w:r w:rsidRPr="00EA069F">
        <w:t>) в ОГ та</w:t>
      </w:r>
      <w:r>
        <w:t xml:space="preserve"> КГ дітей</w:t>
      </w:r>
      <w:r w:rsidRPr="00955B63">
        <w:t xml:space="preserve"> (табл.</w:t>
      </w:r>
      <w:r>
        <w:t> </w:t>
      </w:r>
      <w:r w:rsidRPr="00E40BFA">
        <w:t>3.4.1.</w:t>
      </w:r>
      <w:r>
        <w:t>3, рис. 3.2.1.3</w:t>
      </w:r>
      <w:r w:rsidRPr="00E40BFA">
        <w:t>).</w:t>
      </w:r>
    </w:p>
    <w:p w:rsidR="00534FB5" w:rsidRPr="00955B63" w:rsidRDefault="00534FB5" w:rsidP="00534FB5">
      <w:pPr>
        <w:tabs>
          <w:tab w:val="left" w:pos="4253"/>
        </w:tabs>
        <w:jc w:val="right"/>
        <w:rPr>
          <w:i/>
        </w:rPr>
      </w:pPr>
      <w:r w:rsidRPr="00955B63">
        <w:rPr>
          <w:i/>
        </w:rPr>
        <w:t>Таблиця</w:t>
      </w:r>
      <w:r>
        <w:rPr>
          <w:i/>
        </w:rPr>
        <w:t> </w:t>
      </w:r>
      <w:r w:rsidRPr="00955B63">
        <w:rPr>
          <w:i/>
        </w:rPr>
        <w:t>3.4.1.3</w:t>
      </w:r>
    </w:p>
    <w:p w:rsidR="00534FB5" w:rsidRPr="00955B63" w:rsidRDefault="00534FB5" w:rsidP="00534FB5">
      <w:pPr>
        <w:tabs>
          <w:tab w:val="left" w:pos="4253"/>
        </w:tabs>
        <w:ind w:firstLine="567"/>
        <w:jc w:val="center"/>
        <w:rPr>
          <w:b/>
          <w:spacing w:val="-2"/>
        </w:rPr>
      </w:pPr>
      <w:r w:rsidRPr="00955B63">
        <w:rPr>
          <w:b/>
          <w:spacing w:val="-2"/>
        </w:rPr>
        <w:t>Показники</w:t>
      </w:r>
      <w:r>
        <w:rPr>
          <w:b/>
          <w:spacing w:val="-2"/>
        </w:rPr>
        <w:t xml:space="preserve"> швидкості слиновиділення (мл/хв) у дітей порівнюваних груп</w:t>
      </w:r>
      <w:r w:rsidRPr="00955B63">
        <w:rPr>
          <w:b/>
          <w:spacing w:val="-2"/>
        </w:rPr>
        <w:t xml:space="preserve"> до проведення лікувально-профілактичних заходів, </w:t>
      </w:r>
      <w:r w:rsidRPr="00955B63">
        <w:rPr>
          <w:b/>
          <w:spacing w:val="-2"/>
          <w:lang w:val="en-US"/>
        </w:rPr>
        <w:t>M</w:t>
      </w:r>
      <w:r w:rsidRPr="00955B63">
        <w:rPr>
          <w:b/>
          <w:spacing w:val="-2"/>
        </w:rPr>
        <w:t>±</w:t>
      </w:r>
      <w:r w:rsidRPr="00955B63">
        <w:rPr>
          <w:b/>
          <w:spacing w:val="-2"/>
          <w:lang w:val="en-US"/>
        </w:rPr>
        <w: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551"/>
        <w:gridCol w:w="1735"/>
        <w:gridCol w:w="931"/>
        <w:gridCol w:w="514"/>
        <w:gridCol w:w="1720"/>
        <w:gridCol w:w="931"/>
        <w:gridCol w:w="495"/>
        <w:gridCol w:w="1720"/>
      </w:tblGrid>
      <w:tr w:rsidR="00534FB5" w:rsidRPr="00E40BFA" w:rsidTr="00534FB5">
        <w:tc>
          <w:tcPr>
            <w:tcW w:w="978" w:type="dxa"/>
          </w:tcPr>
          <w:p w:rsidR="00534FB5" w:rsidRPr="00723169" w:rsidRDefault="00534FB5" w:rsidP="00534FB5">
            <w:pPr>
              <w:tabs>
                <w:tab w:val="left" w:pos="4253"/>
              </w:tabs>
              <w:spacing w:line="240" w:lineRule="atLeast"/>
              <w:contextualSpacing/>
              <w:rPr>
                <w:spacing w:val="-10"/>
              </w:rPr>
            </w:pPr>
            <w:r w:rsidRPr="00723169">
              <w:rPr>
                <w:spacing w:val="-10"/>
              </w:rPr>
              <w:t>Група</w:t>
            </w:r>
          </w:p>
        </w:tc>
        <w:tc>
          <w:tcPr>
            <w:tcW w:w="553" w:type="dxa"/>
          </w:tcPr>
          <w:p w:rsidR="00534FB5" w:rsidRPr="00723169" w:rsidRDefault="00534FB5" w:rsidP="00534FB5">
            <w:pPr>
              <w:tabs>
                <w:tab w:val="left" w:pos="4253"/>
              </w:tabs>
              <w:spacing w:line="240" w:lineRule="atLeast"/>
              <w:contextualSpacing/>
              <w:rPr>
                <w:spacing w:val="-10"/>
              </w:rPr>
            </w:pPr>
            <w:r w:rsidRPr="00723169">
              <w:rPr>
                <w:spacing w:val="-10"/>
              </w:rPr>
              <w:t>N</w:t>
            </w:r>
          </w:p>
        </w:tc>
        <w:tc>
          <w:tcPr>
            <w:tcW w:w="1735" w:type="dxa"/>
          </w:tcPr>
          <w:p w:rsidR="00534FB5" w:rsidRPr="00723169" w:rsidRDefault="00534FB5" w:rsidP="00534FB5">
            <w:pPr>
              <w:tabs>
                <w:tab w:val="left" w:pos="4253"/>
              </w:tabs>
              <w:spacing w:line="240" w:lineRule="atLeast"/>
              <w:contextualSpacing/>
              <w:rPr>
                <w:spacing w:val="-10"/>
              </w:rPr>
            </w:pPr>
            <w:r w:rsidRPr="00723169">
              <w:rPr>
                <w:spacing w:val="-10"/>
              </w:rPr>
              <w:t xml:space="preserve">ШС, </w:t>
            </w:r>
            <w:r w:rsidRPr="00723169">
              <w:rPr>
                <w:spacing w:val="-10"/>
                <w:lang w:val="en-US"/>
              </w:rPr>
              <w:t>M</w:t>
            </w:r>
            <w:r w:rsidRPr="00723169">
              <w:rPr>
                <w:spacing w:val="-10"/>
              </w:rPr>
              <w:t>±</w:t>
            </w:r>
            <w:r w:rsidRPr="00723169">
              <w:rPr>
                <w:spacing w:val="-10"/>
                <w:lang w:val="en-US"/>
              </w:rPr>
              <w:t>m</w:t>
            </w:r>
          </w:p>
        </w:tc>
        <w:tc>
          <w:tcPr>
            <w:tcW w:w="932" w:type="dxa"/>
            <w:tcBorders>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Група</w:t>
            </w:r>
          </w:p>
        </w:tc>
        <w:tc>
          <w:tcPr>
            <w:tcW w:w="5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N</w:t>
            </w:r>
          </w:p>
        </w:tc>
        <w:tc>
          <w:tcPr>
            <w:tcW w:w="1715"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 xml:space="preserve">ШС, </w:t>
            </w:r>
            <w:r w:rsidRPr="00723169">
              <w:rPr>
                <w:spacing w:val="-10"/>
                <w:lang w:val="en-US"/>
              </w:rPr>
              <w:t>M</w:t>
            </w:r>
            <w:r w:rsidRPr="00723169">
              <w:rPr>
                <w:spacing w:val="-10"/>
              </w:rPr>
              <w:t>±</w:t>
            </w:r>
            <w:r w:rsidRPr="00723169">
              <w:rPr>
                <w:spacing w:val="-10"/>
                <w:lang w:val="en-US"/>
              </w:rPr>
              <w:t>m</w:t>
            </w:r>
          </w:p>
        </w:tc>
        <w:tc>
          <w:tcPr>
            <w:tcW w:w="932"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Група</w:t>
            </w:r>
          </w:p>
        </w:tc>
        <w:tc>
          <w:tcPr>
            <w:tcW w:w="496"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N</w:t>
            </w:r>
          </w:p>
        </w:tc>
        <w:tc>
          <w:tcPr>
            <w:tcW w:w="17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 xml:space="preserve">ШС, </w:t>
            </w:r>
          </w:p>
        </w:tc>
      </w:tr>
      <w:tr w:rsidR="00534FB5" w:rsidRPr="00E40BFA" w:rsidTr="00534FB5">
        <w:tc>
          <w:tcPr>
            <w:tcW w:w="978" w:type="dxa"/>
          </w:tcPr>
          <w:p w:rsidR="00534FB5" w:rsidRPr="00723169" w:rsidRDefault="00534FB5" w:rsidP="00534FB5">
            <w:pPr>
              <w:tabs>
                <w:tab w:val="left" w:pos="4253"/>
              </w:tabs>
              <w:spacing w:line="240" w:lineRule="atLeast"/>
              <w:contextualSpacing/>
              <w:rPr>
                <w:spacing w:val="-10"/>
              </w:rPr>
            </w:pPr>
            <w:r w:rsidRPr="00723169">
              <w:rPr>
                <w:spacing w:val="-10"/>
              </w:rPr>
              <w:t>КГ1</w:t>
            </w:r>
          </w:p>
        </w:tc>
        <w:tc>
          <w:tcPr>
            <w:tcW w:w="553" w:type="dxa"/>
          </w:tcPr>
          <w:p w:rsidR="00534FB5" w:rsidRPr="00723169" w:rsidRDefault="00534FB5" w:rsidP="00534FB5">
            <w:pPr>
              <w:tabs>
                <w:tab w:val="left" w:pos="4253"/>
              </w:tabs>
              <w:spacing w:line="240" w:lineRule="atLeast"/>
              <w:contextualSpacing/>
              <w:rPr>
                <w:spacing w:val="-10"/>
              </w:rPr>
            </w:pPr>
            <w:r w:rsidRPr="00723169">
              <w:rPr>
                <w:spacing w:val="-10"/>
              </w:rPr>
              <w:t>10</w:t>
            </w:r>
          </w:p>
        </w:tc>
        <w:tc>
          <w:tcPr>
            <w:tcW w:w="1735" w:type="dxa"/>
          </w:tcPr>
          <w:p w:rsidR="00534FB5" w:rsidRPr="00723169" w:rsidRDefault="00534FB5" w:rsidP="00534FB5">
            <w:pPr>
              <w:tabs>
                <w:tab w:val="left" w:pos="4253"/>
              </w:tabs>
              <w:spacing w:line="240" w:lineRule="atLeast"/>
              <w:contextualSpacing/>
              <w:rPr>
                <w:spacing w:val="-10"/>
              </w:rPr>
            </w:pPr>
            <w:r w:rsidRPr="00723169">
              <w:rPr>
                <w:spacing w:val="-10"/>
              </w:rPr>
              <w:t>0,40±0,</w:t>
            </w:r>
            <w:r w:rsidR="00723169" w:rsidRPr="00723169">
              <w:rPr>
                <w:spacing w:val="-10"/>
              </w:rPr>
              <w:t>0</w:t>
            </w:r>
            <w:r w:rsidRPr="00723169">
              <w:rPr>
                <w:spacing w:val="-10"/>
              </w:rPr>
              <w:t>15</w:t>
            </w:r>
            <w:r w:rsidR="00723169" w:rsidRPr="00723169">
              <w:rPr>
                <w:spacing w:val="-10"/>
                <w:sz w:val="24"/>
              </w:rPr>
              <w:t>***</w:t>
            </w:r>
          </w:p>
        </w:tc>
        <w:tc>
          <w:tcPr>
            <w:tcW w:w="932" w:type="dxa"/>
            <w:tcBorders>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КГ2</w:t>
            </w:r>
          </w:p>
        </w:tc>
        <w:tc>
          <w:tcPr>
            <w:tcW w:w="5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10</w:t>
            </w:r>
          </w:p>
        </w:tc>
        <w:tc>
          <w:tcPr>
            <w:tcW w:w="1715"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0,41±0,</w:t>
            </w:r>
            <w:r w:rsidR="00723169" w:rsidRPr="00723169">
              <w:rPr>
                <w:spacing w:val="-10"/>
              </w:rPr>
              <w:t>0</w:t>
            </w:r>
            <w:r w:rsidRPr="00723169">
              <w:rPr>
                <w:spacing w:val="-10"/>
              </w:rPr>
              <w:t>14</w:t>
            </w:r>
            <w:r w:rsidR="00723169" w:rsidRPr="00723169">
              <w:rPr>
                <w:spacing w:val="-10"/>
                <w:sz w:val="24"/>
              </w:rPr>
              <w:t>***</w:t>
            </w:r>
          </w:p>
        </w:tc>
        <w:tc>
          <w:tcPr>
            <w:tcW w:w="932"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КГ3</w:t>
            </w:r>
          </w:p>
        </w:tc>
        <w:tc>
          <w:tcPr>
            <w:tcW w:w="496"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12</w:t>
            </w:r>
          </w:p>
        </w:tc>
        <w:tc>
          <w:tcPr>
            <w:tcW w:w="17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0,42±0,</w:t>
            </w:r>
            <w:r w:rsidR="00723169">
              <w:rPr>
                <w:spacing w:val="-10"/>
              </w:rPr>
              <w:t>0</w:t>
            </w:r>
            <w:r w:rsidRPr="00723169">
              <w:rPr>
                <w:spacing w:val="-10"/>
              </w:rPr>
              <w:t>1</w:t>
            </w:r>
            <w:r w:rsidR="00723169" w:rsidRPr="00723169">
              <w:rPr>
                <w:spacing w:val="-10"/>
                <w:sz w:val="24"/>
              </w:rPr>
              <w:t>***</w:t>
            </w:r>
          </w:p>
        </w:tc>
      </w:tr>
      <w:tr w:rsidR="00534FB5" w:rsidRPr="00E40BFA" w:rsidTr="00534FB5">
        <w:tc>
          <w:tcPr>
            <w:tcW w:w="978" w:type="dxa"/>
          </w:tcPr>
          <w:p w:rsidR="00534FB5" w:rsidRPr="00723169" w:rsidRDefault="00534FB5" w:rsidP="00534FB5">
            <w:pPr>
              <w:tabs>
                <w:tab w:val="left" w:pos="4253"/>
              </w:tabs>
              <w:spacing w:line="240" w:lineRule="atLeast"/>
              <w:contextualSpacing/>
              <w:rPr>
                <w:spacing w:val="-10"/>
              </w:rPr>
            </w:pPr>
            <w:r w:rsidRPr="00723169">
              <w:rPr>
                <w:spacing w:val="-10"/>
              </w:rPr>
              <w:t>ОГ1</w:t>
            </w:r>
          </w:p>
        </w:tc>
        <w:tc>
          <w:tcPr>
            <w:tcW w:w="553" w:type="dxa"/>
          </w:tcPr>
          <w:p w:rsidR="00534FB5" w:rsidRPr="00723169" w:rsidRDefault="00534FB5" w:rsidP="00534FB5">
            <w:pPr>
              <w:tabs>
                <w:tab w:val="left" w:pos="4253"/>
              </w:tabs>
              <w:spacing w:line="240" w:lineRule="atLeast"/>
              <w:contextualSpacing/>
              <w:rPr>
                <w:spacing w:val="-10"/>
              </w:rPr>
            </w:pPr>
            <w:r w:rsidRPr="00723169">
              <w:rPr>
                <w:spacing w:val="-10"/>
              </w:rPr>
              <w:t>23</w:t>
            </w:r>
          </w:p>
        </w:tc>
        <w:tc>
          <w:tcPr>
            <w:tcW w:w="1735" w:type="dxa"/>
          </w:tcPr>
          <w:p w:rsidR="00534FB5" w:rsidRPr="00723169" w:rsidRDefault="00534FB5" w:rsidP="00534FB5">
            <w:pPr>
              <w:tabs>
                <w:tab w:val="left" w:pos="4253"/>
              </w:tabs>
              <w:spacing w:line="240" w:lineRule="atLeast"/>
              <w:contextualSpacing/>
              <w:rPr>
                <w:spacing w:val="-10"/>
              </w:rPr>
            </w:pPr>
            <w:r w:rsidRPr="00723169">
              <w:rPr>
                <w:spacing w:val="-10"/>
              </w:rPr>
              <w:t>0,32±0,</w:t>
            </w:r>
            <w:r w:rsidR="00723169" w:rsidRPr="00723169">
              <w:rPr>
                <w:spacing w:val="-10"/>
              </w:rPr>
              <w:t>0</w:t>
            </w:r>
            <w:r w:rsidRPr="00723169">
              <w:rPr>
                <w:spacing w:val="-10"/>
              </w:rPr>
              <w:t>17</w:t>
            </w:r>
            <w:r w:rsidR="00723169" w:rsidRPr="00723169">
              <w:rPr>
                <w:spacing w:val="-10"/>
                <w:sz w:val="24"/>
              </w:rPr>
              <w:t>***</w:t>
            </w:r>
          </w:p>
        </w:tc>
        <w:tc>
          <w:tcPr>
            <w:tcW w:w="932" w:type="dxa"/>
            <w:tcBorders>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ОГ2</w:t>
            </w:r>
          </w:p>
        </w:tc>
        <w:tc>
          <w:tcPr>
            <w:tcW w:w="5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21</w:t>
            </w:r>
          </w:p>
        </w:tc>
        <w:tc>
          <w:tcPr>
            <w:tcW w:w="1715"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0,30±0,</w:t>
            </w:r>
            <w:r w:rsidR="00723169">
              <w:rPr>
                <w:spacing w:val="-10"/>
              </w:rPr>
              <w:t>0</w:t>
            </w:r>
            <w:r w:rsidRPr="00723169">
              <w:rPr>
                <w:spacing w:val="-10"/>
              </w:rPr>
              <w:t>13</w:t>
            </w:r>
            <w:r w:rsidR="00723169" w:rsidRPr="00723169">
              <w:rPr>
                <w:spacing w:val="-10"/>
                <w:sz w:val="24"/>
              </w:rPr>
              <w:t>***</w:t>
            </w:r>
          </w:p>
        </w:tc>
        <w:tc>
          <w:tcPr>
            <w:tcW w:w="932"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ОГ3</w:t>
            </w:r>
          </w:p>
        </w:tc>
        <w:tc>
          <w:tcPr>
            <w:tcW w:w="496" w:type="dxa"/>
            <w:tcBorders>
              <w:left w:val="single" w:sz="4" w:space="0" w:color="auto"/>
              <w:righ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26</w:t>
            </w:r>
          </w:p>
        </w:tc>
        <w:tc>
          <w:tcPr>
            <w:tcW w:w="1715" w:type="dxa"/>
            <w:tcBorders>
              <w:left w:val="single" w:sz="4" w:space="0" w:color="auto"/>
            </w:tcBorders>
          </w:tcPr>
          <w:p w:rsidR="00534FB5" w:rsidRPr="00723169" w:rsidRDefault="00534FB5" w:rsidP="00534FB5">
            <w:pPr>
              <w:tabs>
                <w:tab w:val="left" w:pos="4253"/>
              </w:tabs>
              <w:spacing w:line="240" w:lineRule="atLeast"/>
              <w:contextualSpacing/>
              <w:rPr>
                <w:spacing w:val="-10"/>
              </w:rPr>
            </w:pPr>
            <w:r w:rsidRPr="00723169">
              <w:rPr>
                <w:spacing w:val="-10"/>
              </w:rPr>
              <w:t>0,30±0,</w:t>
            </w:r>
            <w:r w:rsidR="00723169">
              <w:rPr>
                <w:spacing w:val="-10"/>
              </w:rPr>
              <w:t>0</w:t>
            </w:r>
            <w:r w:rsidRPr="00723169">
              <w:rPr>
                <w:spacing w:val="-10"/>
              </w:rPr>
              <w:t>13</w:t>
            </w:r>
            <w:r w:rsidR="00723169" w:rsidRPr="00723169">
              <w:rPr>
                <w:spacing w:val="-10"/>
                <w:sz w:val="24"/>
              </w:rPr>
              <w:t>***</w:t>
            </w:r>
          </w:p>
        </w:tc>
      </w:tr>
    </w:tbl>
    <w:p w:rsidR="00534FB5" w:rsidRPr="00B14A7C" w:rsidRDefault="00534FB5" w:rsidP="00534FB5">
      <w:pPr>
        <w:tabs>
          <w:tab w:val="left" w:pos="4253"/>
        </w:tabs>
        <w:spacing w:line="240" w:lineRule="auto"/>
        <w:ind w:left="-142"/>
        <w:rPr>
          <w:sz w:val="16"/>
          <w:szCs w:val="20"/>
        </w:rPr>
      </w:pPr>
      <w:r w:rsidRPr="00B14A7C">
        <w:rPr>
          <w:sz w:val="22"/>
        </w:rPr>
        <w:t>Примітка. Р</w:t>
      </w:r>
      <w:r w:rsidRPr="00B14A7C">
        <w:rPr>
          <w:sz w:val="22"/>
          <w:vertAlign w:val="subscript"/>
        </w:rPr>
        <w:t xml:space="preserve"> </w:t>
      </w:r>
      <w:r w:rsidR="00E24A5E" w:rsidRPr="00435332">
        <w:rPr>
          <w:sz w:val="22"/>
        </w:rPr>
        <w:t>–</w:t>
      </w:r>
      <w:r w:rsidRPr="00B14A7C">
        <w:rPr>
          <w:sz w:val="22"/>
        </w:rPr>
        <w:t xml:space="preserve"> показник вірогідних відмінностей результатів між КГ і ОГ (* – Р &gt; 0,05, ** – Р&lt;0,05, *** – Р&lt;0,01).</w:t>
      </w:r>
      <w:r w:rsidRPr="00B14A7C">
        <w:rPr>
          <w:sz w:val="16"/>
          <w:szCs w:val="20"/>
          <w:highlight w:val="green"/>
        </w:rPr>
        <w:t xml:space="preserve"> </w:t>
      </w:r>
    </w:p>
    <w:p w:rsidR="00534FB5" w:rsidRPr="00430CFC" w:rsidRDefault="00534FB5" w:rsidP="005C3666">
      <w:pPr>
        <w:tabs>
          <w:tab w:val="left" w:pos="4253"/>
        </w:tabs>
        <w:spacing w:line="240" w:lineRule="auto"/>
      </w:pPr>
    </w:p>
    <w:p w:rsidR="00534FB5" w:rsidRPr="00E40BFA" w:rsidRDefault="006C493E" w:rsidP="00534FB5">
      <w:pPr>
        <w:tabs>
          <w:tab w:val="left" w:pos="4253"/>
        </w:tabs>
        <w:contextualSpacing/>
        <w:jc w:val="center"/>
        <w:rPr>
          <w:noProof/>
          <w:lang w:eastAsia="uk-UA"/>
        </w:rPr>
      </w:pPr>
      <w:r>
        <w:rPr>
          <w:noProof/>
          <w:lang w:val="ru-RU"/>
        </w:rPr>
        <w:drawing>
          <wp:inline distT="0" distB="0" distL="0" distR="0">
            <wp:extent cx="4781550" cy="2124075"/>
            <wp:effectExtent l="19050" t="0" r="1905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4FB5" w:rsidRDefault="00534FB5" w:rsidP="00534FB5">
      <w:pPr>
        <w:tabs>
          <w:tab w:val="left" w:pos="4253"/>
        </w:tabs>
        <w:ind w:firstLine="709"/>
        <w:contextualSpacing/>
      </w:pPr>
      <w:r w:rsidRPr="00E40BFA">
        <w:t>Рис.</w:t>
      </w:r>
      <w:r>
        <w:t> </w:t>
      </w:r>
      <w:r w:rsidRPr="00E40BFA">
        <w:t>3.4</w:t>
      </w:r>
      <w:r>
        <w:t>.1.3. Показники швидкості слиновиділення (мл/хв</w:t>
      </w:r>
      <w:r w:rsidRPr="00E40BFA">
        <w:t xml:space="preserve">) у дітей </w:t>
      </w:r>
      <w:r>
        <w:t>порівнюваних груп</w:t>
      </w:r>
      <w:r w:rsidRPr="00E40BFA">
        <w:t xml:space="preserve"> до проведення лікувально-профілактичних заходів.</w:t>
      </w:r>
    </w:p>
    <w:p w:rsidR="00E64380" w:rsidRPr="00955B63" w:rsidRDefault="00E64380" w:rsidP="00E64380">
      <w:pPr>
        <w:ind w:firstLine="709"/>
        <w:contextualSpacing/>
      </w:pPr>
      <w:r w:rsidRPr="00955B63">
        <w:lastRenderedPageBreak/>
        <w:t xml:space="preserve">До проведення лікувально-профілактичних заходів у всіх трьох вікових групах ОГ показники </w:t>
      </w:r>
      <w:r>
        <w:t>ШС</w:t>
      </w:r>
      <w:r w:rsidRPr="00955B63">
        <w:t xml:space="preserve"> були знижені </w:t>
      </w:r>
      <w:r>
        <w:t>й</w:t>
      </w:r>
      <w:r w:rsidRPr="00955B63">
        <w:t xml:space="preserve"> достовірно відрізнялис</w:t>
      </w:r>
      <w:r>
        <w:t>я</w:t>
      </w:r>
      <w:r w:rsidRPr="00955B63">
        <w:t xml:space="preserve"> від відповідних показників КГ (Р</w:t>
      </w:r>
      <w:r>
        <w:t>&lt;</w:t>
      </w:r>
      <w:r w:rsidRPr="00955B63">
        <w:t>0,01) (табл.</w:t>
      </w:r>
      <w:r>
        <w:t> </w:t>
      </w:r>
      <w:r w:rsidRPr="00E40BFA">
        <w:t>3.4.1.</w:t>
      </w:r>
      <w:r>
        <w:t>3, рис. 3.2.1.3</w:t>
      </w:r>
      <w:r w:rsidRPr="00E40BFA">
        <w:t>).</w:t>
      </w:r>
    </w:p>
    <w:p w:rsidR="00534FB5" w:rsidRPr="00274D0D" w:rsidRDefault="00534FB5" w:rsidP="00534FB5">
      <w:pPr>
        <w:tabs>
          <w:tab w:val="left" w:pos="4253"/>
        </w:tabs>
        <w:ind w:firstLine="709"/>
        <w:contextualSpacing/>
      </w:pPr>
      <w:r w:rsidRPr="00955B63">
        <w:t>Таким чином, підсумовуючи наведені вище да</w:t>
      </w:r>
      <w:r>
        <w:t xml:space="preserve">ні, можна зробити висновок, що </w:t>
      </w:r>
      <w:r w:rsidRPr="00955B63">
        <w:t xml:space="preserve">до проведення лікувально-профілактичних заходів у всіх трьох вікових групах </w:t>
      </w:r>
      <w:r>
        <w:t>ДВГ</w:t>
      </w:r>
      <w:r w:rsidRPr="00955B63">
        <w:t xml:space="preserve"> показники швидкості слиновиділення були знижені </w:t>
      </w:r>
      <w:r>
        <w:t>й</w:t>
      </w:r>
      <w:r w:rsidRPr="00955B63">
        <w:t xml:space="preserve"> </w:t>
      </w:r>
      <w:r w:rsidR="00E64380" w:rsidRPr="00955B63">
        <w:t>достовірно відрізнялис</w:t>
      </w:r>
      <w:r w:rsidR="00E64380">
        <w:t>я</w:t>
      </w:r>
      <w:r w:rsidRPr="00955B63">
        <w:t xml:space="preserve"> від відповідних показників </w:t>
      </w:r>
      <w:r w:rsidR="00406AB1">
        <w:t>ДНС</w:t>
      </w:r>
      <w:r w:rsidR="00E64380">
        <w:t xml:space="preserve"> (Р&lt;0,01)</w:t>
      </w:r>
      <w:r>
        <w:t xml:space="preserve">. </w:t>
      </w:r>
      <w:r w:rsidRPr="00FC67EB">
        <w:t xml:space="preserve">Значення рН ротової рідини залежить від великої кількості різних факторів: функції залоз, складу секрету окремих залоз, співвідношення кількості секрету окремих залоз, стану слизової </w:t>
      </w:r>
      <w:r w:rsidRPr="00397E8B">
        <w:t>оболонки порожнини рота, зубів, тканин пародонта</w:t>
      </w:r>
      <w:r>
        <w:t xml:space="preserve">, складу їжі, мікрофлори тощо </w:t>
      </w:r>
      <w:r w:rsidRPr="00B21580">
        <w:t>[32].</w:t>
      </w:r>
      <w:r w:rsidRPr="00397E8B">
        <w:t xml:space="preserve"> Проведені дослідження показали, що значення рН ротової рідини в окремих заборах завжди відрізняється від середнього значення рН, одержаного усереднюванням </w:t>
      </w:r>
      <w:r>
        <w:t>за</w:t>
      </w:r>
      <w:r w:rsidRPr="00397E8B">
        <w:t xml:space="preserve"> декілько</w:t>
      </w:r>
      <w:r>
        <w:t>ма</w:t>
      </w:r>
      <w:r w:rsidRPr="00397E8B">
        <w:t xml:space="preserve"> її забора</w:t>
      </w:r>
      <w:r>
        <w:t>ми</w:t>
      </w:r>
      <w:r w:rsidRPr="00397E8B">
        <w:t>. За даними інших авторів</w:t>
      </w:r>
      <w:r>
        <w:t xml:space="preserve"> </w:t>
      </w:r>
      <w:r w:rsidRPr="00D47E55">
        <w:t>[32, 73]</w:t>
      </w:r>
      <w:r>
        <w:t xml:space="preserve"> </w:t>
      </w:r>
      <w:r w:rsidRPr="00397E8B">
        <w:t>відхилення величини</w:t>
      </w:r>
      <w:r w:rsidRPr="00E40BFA">
        <w:t xml:space="preserve"> рН окремого забору визначаються буферними можливостями ротової рідини, місцевою реактивністю, здатністю організму за рахунок ротової рідини підтримувати гомеостаз </w:t>
      </w:r>
      <w:r>
        <w:t>у</w:t>
      </w:r>
      <w:r w:rsidRPr="00E40BFA">
        <w:t xml:space="preserve"> порожнині рота. Отже, необхідно надавати обережну оцінку карієсогенної ситуації в порожнині рота за значеннями показника кислотно-лужної рівноваги рН ротової рідини у зв</w:t>
      </w:r>
      <w:r>
        <w:t>’</w:t>
      </w:r>
      <w:r w:rsidRPr="00E40BFA">
        <w:t>язку із значними коливаннями цієї величини</w:t>
      </w:r>
      <w:r>
        <w:t xml:space="preserve"> </w:t>
      </w:r>
      <w:r w:rsidRPr="00D47E55">
        <w:t>[32, 73]</w:t>
      </w:r>
      <w:r>
        <w:t xml:space="preserve">. </w:t>
      </w:r>
      <w:r w:rsidRPr="00E40BFA">
        <w:t xml:space="preserve">Для прогнозування розвитку стоматологічних захворювань шляхом оцінювання компенсаторних здібностей організму </w:t>
      </w:r>
      <w:r>
        <w:t>в</w:t>
      </w:r>
      <w:r w:rsidRPr="00E40BFA">
        <w:t xml:space="preserve"> порожнині рота, які обумовлюються нестабільністю кислотно-лужної рівноваги ротової рідини</w:t>
      </w:r>
      <w:r>
        <w:t>,</w:t>
      </w:r>
      <w:r w:rsidRPr="00E40BFA">
        <w:t xml:space="preserve"> і визнач</w:t>
      </w:r>
      <w:r>
        <w:t>ення</w:t>
      </w:r>
      <w:r w:rsidRPr="00E40BFA">
        <w:t xml:space="preserve"> схильн</w:t>
      </w:r>
      <w:r>
        <w:t>ості</w:t>
      </w:r>
      <w:r w:rsidRPr="00E40BFA">
        <w:t xml:space="preserve"> пацієнта до карієсу ми прове</w:t>
      </w:r>
      <w:r>
        <w:t>ли</w:t>
      </w:r>
      <w:r w:rsidRPr="00E40BFA">
        <w:t xml:space="preserve"> розрахунок ΔрН </w:t>
      </w:r>
      <w:r>
        <w:t>–</w:t>
      </w:r>
      <w:r w:rsidRPr="00E40BFA">
        <w:t xml:space="preserve"> відхилення величини pH від середнього її значення. Визначення ΔрН дозволило здійснити оцінку </w:t>
      </w:r>
      <w:r w:rsidRPr="00406AB1">
        <w:rPr>
          <w:spacing w:val="-10"/>
        </w:rPr>
        <w:t xml:space="preserve">функціонального стану всіх систем, відповідальних за гомеостаз ротової рідини, проведення трьох послідовних заборів ротової рідини дало змогу отримати більш достовірне значення рН, ніж при одноразовому заборі. Було виявлено достовірну відмінність показника у всіх трьох вікових групах дітей (Р&lt;0,01). У обстежених </w:t>
      </w:r>
      <w:r w:rsidRPr="00406AB1">
        <w:rPr>
          <w:spacing w:val="-10"/>
        </w:rPr>
        <w:lastRenderedPageBreak/>
        <w:t xml:space="preserve">дітей 1-ї, 2-ї та 3-ї вікових груп основної групи, порівняно з дітьми контрольної групи, значення показника ΔpH було більше у 9,5 раза, 5,5 раза та 8,3 раза відповідно. </w:t>
      </w:r>
      <w:r w:rsidR="00406AB1" w:rsidRPr="00406AB1">
        <w:rPr>
          <w:spacing w:val="-10"/>
        </w:rPr>
        <w:t xml:space="preserve"> Наведені вище дані свідчать про наявні порушення </w:t>
      </w:r>
      <w:r w:rsidR="007D09FC">
        <w:t>ф</w:t>
      </w:r>
      <w:r w:rsidR="007D09FC" w:rsidRPr="007D09FC">
        <w:t>ункціональ</w:t>
      </w:r>
      <w:r w:rsidR="007D09FC">
        <w:t>них властивостей</w:t>
      </w:r>
      <w:r w:rsidR="007D09FC" w:rsidRPr="007D09FC">
        <w:t xml:space="preserve"> ротової рідини</w:t>
      </w:r>
      <w:r w:rsidR="007D09FC" w:rsidRPr="00406AB1">
        <w:rPr>
          <w:spacing w:val="-10"/>
        </w:rPr>
        <w:t xml:space="preserve"> </w:t>
      </w:r>
      <w:r w:rsidR="00406AB1" w:rsidRPr="00406AB1">
        <w:rPr>
          <w:rFonts w:eastAsia="ArialMT"/>
          <w:spacing w:val="-10"/>
          <w:lang w:eastAsia="uk-UA"/>
        </w:rPr>
        <w:t>у дітей із вродженою глухотою.</w:t>
      </w:r>
    </w:p>
    <w:p w:rsidR="00534FB5" w:rsidRPr="00E40BFA" w:rsidRDefault="00534FB5" w:rsidP="00534FB5">
      <w:pPr>
        <w:tabs>
          <w:tab w:val="left" w:pos="0"/>
        </w:tabs>
        <w:ind w:firstLine="709"/>
      </w:pPr>
      <w:r w:rsidRPr="00853C7D">
        <w:rPr>
          <w:b/>
        </w:rPr>
        <w:t xml:space="preserve">3.4.2. </w:t>
      </w:r>
      <w:r w:rsidRPr="00A95045">
        <w:rPr>
          <w:b/>
        </w:rPr>
        <w:t>Стан окислювального гомеостазу, антиоксидантної системи і захисних сил тканин ротової порожнин</w:t>
      </w:r>
    </w:p>
    <w:p w:rsidR="00534FB5" w:rsidRPr="00406AB1" w:rsidRDefault="00534FB5" w:rsidP="00534FB5">
      <w:pPr>
        <w:ind w:firstLine="567"/>
        <w:contextualSpacing/>
        <w:rPr>
          <w:spacing w:val="-10"/>
        </w:rPr>
      </w:pPr>
      <w:r w:rsidRPr="00406AB1">
        <w:rPr>
          <w:spacing w:val="-10"/>
        </w:rPr>
        <w:t xml:space="preserve">Під час виконання науково-дослідної роботи було встановлено, що показники окислювального гомеостазу, антиоксидантної системи та захисних сил тканин ротової порожнини (АПІ) у дітей з нормальним слухом та </w:t>
      </w:r>
      <w:r w:rsidR="006C493E" w:rsidRPr="00406AB1">
        <w:rPr>
          <w:spacing w:val="-10"/>
        </w:rPr>
        <w:t>із вродженою</w:t>
      </w:r>
      <w:r w:rsidRPr="00406AB1">
        <w:rPr>
          <w:spacing w:val="-10"/>
        </w:rPr>
        <w:t xml:space="preserve"> глухотою не залежать від віку (р&gt;0,05). </w:t>
      </w:r>
    </w:p>
    <w:p w:rsidR="00534FB5" w:rsidRPr="00406AB1" w:rsidRDefault="00534FB5" w:rsidP="00534FB5">
      <w:pPr>
        <w:ind w:firstLine="567"/>
        <w:contextualSpacing/>
        <w:rPr>
          <w:spacing w:val="-10"/>
        </w:rPr>
      </w:pPr>
      <w:r w:rsidRPr="00406AB1">
        <w:rPr>
          <w:spacing w:val="-10"/>
        </w:rPr>
        <w:t xml:space="preserve">Проте порівняння показників ПОЛ, АОС та АПІ ротової порожнини дітей відповідного віку КГ та ОГ виявило суттєву відмінність (p&lt;0,05) вихідних даних. </w:t>
      </w:r>
    </w:p>
    <w:p w:rsidR="00534FB5" w:rsidRPr="00406AB1" w:rsidRDefault="00534FB5" w:rsidP="00534FB5">
      <w:pPr>
        <w:ind w:firstLine="567"/>
        <w:contextualSpacing/>
        <w:rPr>
          <w:spacing w:val="-10"/>
        </w:rPr>
      </w:pPr>
      <w:r w:rsidRPr="00406AB1">
        <w:rPr>
          <w:spacing w:val="-10"/>
        </w:rPr>
        <w:t>Результати дослідження окислювального гомеостазу, антиоксидантної системи та захисних сил тканин ротової порожнини дітей із нормальним слухом та з вродженою глухотою представлені у табл. 3.4.2.1 та на рис. 3.4.2.1.</w:t>
      </w:r>
    </w:p>
    <w:p w:rsidR="00534FB5" w:rsidRPr="00EF60EE" w:rsidRDefault="00B84A5C" w:rsidP="00B84A5C">
      <w:pPr>
        <w:contextualSpacing/>
        <w:jc w:val="center"/>
      </w:pPr>
      <w:r w:rsidRPr="00B84A5C">
        <w:rPr>
          <w:noProof/>
          <w:lang w:val="ru-RU"/>
        </w:rPr>
        <w:drawing>
          <wp:inline distT="0" distB="0" distL="0" distR="0">
            <wp:extent cx="4464050" cy="2463800"/>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4FB5" w:rsidRDefault="00534FB5" w:rsidP="00406AB1">
      <w:pPr>
        <w:ind w:firstLine="567"/>
        <w:contextualSpacing/>
        <w:rPr>
          <w:lang w:val="ru-RU"/>
        </w:rPr>
      </w:pPr>
      <w:r w:rsidRPr="00E40BFA">
        <w:t>Рис.</w:t>
      </w:r>
      <w:r>
        <w:t> </w:t>
      </w:r>
      <w:r w:rsidRPr="00E40BFA">
        <w:t>3.4.2.1.</w:t>
      </w:r>
      <w:r w:rsidRPr="00E40BFA">
        <w:tab/>
        <w:t>Середні показники окислювального гомеос</w:t>
      </w:r>
      <w:r>
        <w:t xml:space="preserve">тазу ротової порожнини дітей </w:t>
      </w:r>
      <w:r w:rsidR="006C493E">
        <w:t>із вродженою</w:t>
      </w:r>
      <w:r w:rsidRPr="00E40BFA">
        <w:t xml:space="preserve"> глухотою</w:t>
      </w:r>
      <w:r>
        <w:t xml:space="preserve"> </w:t>
      </w:r>
      <w:r w:rsidRPr="00E40BFA">
        <w:t>т</w:t>
      </w:r>
      <w:r w:rsidR="00406AB1">
        <w:t>а дітей без патології слуху.</w:t>
      </w:r>
    </w:p>
    <w:p w:rsidR="00F83152" w:rsidRPr="00F83152" w:rsidRDefault="00F83152" w:rsidP="00406AB1">
      <w:pPr>
        <w:ind w:firstLine="567"/>
        <w:contextualSpacing/>
        <w:rPr>
          <w:lang w:val="ru-RU"/>
        </w:rPr>
      </w:pPr>
    </w:p>
    <w:p w:rsidR="00534FB5" w:rsidRPr="00491057" w:rsidRDefault="00534FB5" w:rsidP="00534FB5">
      <w:pPr>
        <w:ind w:firstLine="567"/>
        <w:contextualSpacing/>
        <w:rPr>
          <w:spacing w:val="-4"/>
        </w:rPr>
      </w:pPr>
      <w:r w:rsidRPr="00491057">
        <w:rPr>
          <w:spacing w:val="-4"/>
        </w:rPr>
        <w:t>У дітей ОГ, порівняно з дітьми КГ, кількість ТБК-активних продуктів була в 1,41-1,47 раза (p&lt;0,05) вища, тоді як активність ферментів антиоксидантної системи була нижчою в 1,48-1,57 раза (p&lt;0,05) (рис. 3.4.2.1.).</w:t>
      </w:r>
    </w:p>
    <w:p w:rsidR="00406AB1" w:rsidRPr="00EF60EE" w:rsidRDefault="00406AB1" w:rsidP="00406AB1">
      <w:pPr>
        <w:ind w:firstLine="708"/>
        <w:contextualSpacing/>
        <w:jc w:val="right"/>
        <w:rPr>
          <w:i/>
        </w:rPr>
      </w:pPr>
      <w:r w:rsidRPr="00EF60EE">
        <w:rPr>
          <w:i/>
        </w:rPr>
        <w:lastRenderedPageBreak/>
        <w:t>Таблиця</w:t>
      </w:r>
      <w:r>
        <w:rPr>
          <w:i/>
        </w:rPr>
        <w:t> </w:t>
      </w:r>
      <w:r w:rsidRPr="00EF60EE">
        <w:rPr>
          <w:i/>
        </w:rPr>
        <w:t>3.4.2.1</w:t>
      </w:r>
    </w:p>
    <w:p w:rsidR="00406AB1" w:rsidRPr="00EF60EE" w:rsidRDefault="00406AB1" w:rsidP="00406AB1">
      <w:pPr>
        <w:ind w:firstLine="708"/>
        <w:contextualSpacing/>
        <w:jc w:val="center"/>
        <w:rPr>
          <w:b/>
        </w:rPr>
      </w:pPr>
      <w:r w:rsidRPr="00EF60EE">
        <w:rPr>
          <w:b/>
        </w:rPr>
        <w:t>Показники окислювального гомеостазу, антиоксидантної системи та захисних сил тканин ротової порожнини дітей контрольної та основної груп</w:t>
      </w:r>
      <w:r>
        <w:rPr>
          <w:b/>
        </w:rPr>
        <w:t>,</w:t>
      </w:r>
      <w:r w:rsidRPr="00EF60EE">
        <w:rPr>
          <w:b/>
          <w:bCs/>
          <w:color w:val="000000"/>
        </w:rPr>
        <w:t xml:space="preserve"> залежно від </w:t>
      </w:r>
      <w:r w:rsidRPr="00EF60EE">
        <w:rPr>
          <w:b/>
        </w:rPr>
        <w:t>віку,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944"/>
        <w:gridCol w:w="2598"/>
        <w:gridCol w:w="1853"/>
        <w:gridCol w:w="1855"/>
        <w:gridCol w:w="1740"/>
      </w:tblGrid>
      <w:tr w:rsidR="00406AB1" w:rsidRPr="00E40BFA" w:rsidTr="00F83152">
        <w:trPr>
          <w:trHeight w:val="355"/>
        </w:trPr>
        <w:tc>
          <w:tcPr>
            <w:tcW w:w="797" w:type="pct"/>
            <w:gridSpan w:val="2"/>
            <w:vMerge w:val="restart"/>
          </w:tcPr>
          <w:p w:rsidR="00406AB1" w:rsidRPr="00E40BFA" w:rsidRDefault="00406AB1" w:rsidP="00F83152">
            <w:pPr>
              <w:contextualSpacing/>
              <w:jc w:val="center"/>
            </w:pPr>
            <w:r w:rsidRPr="00E40BFA">
              <w:t>Вік дітей</w:t>
            </w:r>
            <w:r>
              <w:t xml:space="preserve"> </w:t>
            </w:r>
          </w:p>
        </w:tc>
        <w:tc>
          <w:tcPr>
            <w:tcW w:w="3294" w:type="pct"/>
            <w:gridSpan w:val="3"/>
          </w:tcPr>
          <w:p w:rsidR="00406AB1" w:rsidRPr="00E40BFA" w:rsidRDefault="00406AB1" w:rsidP="00F83152">
            <w:pPr>
              <w:contextualSpacing/>
              <w:jc w:val="center"/>
            </w:pPr>
            <w:r w:rsidRPr="00E40BFA">
              <w:t>Середні показ</w:t>
            </w:r>
            <w:r>
              <w:t>ники окислювального гомеостазу</w:t>
            </w:r>
          </w:p>
        </w:tc>
        <w:tc>
          <w:tcPr>
            <w:tcW w:w="909" w:type="pct"/>
            <w:vMerge w:val="restart"/>
          </w:tcPr>
          <w:p w:rsidR="00406AB1" w:rsidRPr="00E40BFA" w:rsidRDefault="00406AB1" w:rsidP="00F83152">
            <w:pPr>
              <w:contextualSpacing/>
            </w:pPr>
          </w:p>
          <w:p w:rsidR="00406AB1" w:rsidRPr="00E40BFA" w:rsidRDefault="00406AB1" w:rsidP="00F83152">
            <w:pPr>
              <w:contextualSpacing/>
              <w:jc w:val="center"/>
            </w:pPr>
            <w:r w:rsidRPr="00E40BFA">
              <w:t>АПІ, %</w:t>
            </w:r>
          </w:p>
        </w:tc>
      </w:tr>
      <w:tr w:rsidR="00406AB1" w:rsidRPr="00E40BFA" w:rsidTr="00F83152">
        <w:trPr>
          <w:trHeight w:val="404"/>
        </w:trPr>
        <w:tc>
          <w:tcPr>
            <w:tcW w:w="797" w:type="pct"/>
            <w:gridSpan w:val="2"/>
            <w:vMerge/>
          </w:tcPr>
          <w:p w:rsidR="00406AB1" w:rsidRPr="00E40BFA" w:rsidRDefault="00406AB1" w:rsidP="00F83152">
            <w:pPr>
              <w:contextualSpacing/>
              <w:jc w:val="center"/>
            </w:pPr>
          </w:p>
        </w:tc>
        <w:tc>
          <w:tcPr>
            <w:tcW w:w="1357" w:type="pct"/>
          </w:tcPr>
          <w:p w:rsidR="00406AB1" w:rsidRPr="00E40BFA" w:rsidRDefault="00406AB1" w:rsidP="00F83152">
            <w:pPr>
              <w:contextualSpacing/>
              <w:jc w:val="center"/>
            </w:pPr>
            <w:r w:rsidRPr="00E40BFA">
              <w:t>ТБК-АП, мкмоль/л</w:t>
            </w:r>
          </w:p>
        </w:tc>
        <w:tc>
          <w:tcPr>
            <w:tcW w:w="968" w:type="pct"/>
          </w:tcPr>
          <w:p w:rsidR="00406AB1" w:rsidRPr="00E40BFA" w:rsidRDefault="00406AB1" w:rsidP="00F83152">
            <w:pPr>
              <w:contextualSpacing/>
              <w:jc w:val="center"/>
            </w:pPr>
            <w:r w:rsidRPr="00E40BFA">
              <w:t>Каталаза, у.о.</w:t>
            </w:r>
          </w:p>
        </w:tc>
        <w:tc>
          <w:tcPr>
            <w:tcW w:w="969" w:type="pct"/>
          </w:tcPr>
          <w:p w:rsidR="00406AB1" w:rsidRPr="00E40BFA" w:rsidRDefault="00406AB1" w:rsidP="00F83152">
            <w:pPr>
              <w:contextualSpacing/>
              <w:jc w:val="center"/>
            </w:pPr>
            <w:r w:rsidRPr="00E40BFA">
              <w:t>СОД, у.о./л</w:t>
            </w:r>
          </w:p>
        </w:tc>
        <w:tc>
          <w:tcPr>
            <w:tcW w:w="909" w:type="pct"/>
            <w:vMerge/>
          </w:tcPr>
          <w:p w:rsidR="00406AB1" w:rsidRPr="00E40BFA" w:rsidRDefault="00406AB1" w:rsidP="00F83152">
            <w:pPr>
              <w:contextualSpacing/>
              <w:jc w:val="center"/>
            </w:pPr>
          </w:p>
        </w:tc>
      </w:tr>
      <w:tr w:rsidR="00406AB1" w:rsidRPr="00E40BFA" w:rsidTr="00F83152">
        <w:tc>
          <w:tcPr>
            <w:tcW w:w="304" w:type="pct"/>
            <w:vMerge w:val="restart"/>
          </w:tcPr>
          <w:p w:rsidR="00406AB1" w:rsidRPr="00E40BFA" w:rsidRDefault="00406AB1" w:rsidP="00F83152">
            <w:pPr>
              <w:contextualSpacing/>
              <w:jc w:val="center"/>
            </w:pPr>
          </w:p>
          <w:p w:rsidR="00406AB1" w:rsidRPr="00E40BFA" w:rsidRDefault="00406AB1" w:rsidP="00F83152">
            <w:pPr>
              <w:contextualSpacing/>
              <w:jc w:val="center"/>
            </w:pPr>
            <w:r w:rsidRPr="00E40BFA">
              <w:t>КГ</w:t>
            </w:r>
          </w:p>
        </w:tc>
        <w:tc>
          <w:tcPr>
            <w:tcW w:w="493" w:type="pct"/>
          </w:tcPr>
          <w:p w:rsidR="00406AB1" w:rsidRPr="00E40BFA" w:rsidRDefault="00406AB1" w:rsidP="00F83152">
            <w:pPr>
              <w:contextualSpacing/>
              <w:jc w:val="center"/>
            </w:pPr>
            <w:r>
              <w:t xml:space="preserve">7-8 </w:t>
            </w:r>
          </w:p>
        </w:tc>
        <w:tc>
          <w:tcPr>
            <w:tcW w:w="1357" w:type="pct"/>
          </w:tcPr>
          <w:p w:rsidR="00406AB1" w:rsidRPr="00E40BFA" w:rsidRDefault="00406AB1" w:rsidP="00F83152">
            <w:pPr>
              <w:contextualSpacing/>
              <w:jc w:val="center"/>
            </w:pPr>
            <w:r w:rsidRPr="00E40BFA">
              <w:t>4,62±0,47</w:t>
            </w:r>
          </w:p>
        </w:tc>
        <w:tc>
          <w:tcPr>
            <w:tcW w:w="968" w:type="pct"/>
          </w:tcPr>
          <w:p w:rsidR="00406AB1" w:rsidRPr="00E40BFA" w:rsidRDefault="00406AB1" w:rsidP="00F83152">
            <w:pPr>
              <w:contextualSpacing/>
              <w:jc w:val="center"/>
            </w:pPr>
            <w:r w:rsidRPr="00E40BFA">
              <w:t>3,8±0,13</w:t>
            </w:r>
          </w:p>
        </w:tc>
        <w:tc>
          <w:tcPr>
            <w:tcW w:w="969" w:type="pct"/>
          </w:tcPr>
          <w:p w:rsidR="00406AB1" w:rsidRPr="00E40BFA" w:rsidRDefault="00406AB1" w:rsidP="00F83152">
            <w:pPr>
              <w:contextualSpacing/>
              <w:jc w:val="center"/>
            </w:pPr>
            <w:r w:rsidRPr="00E40BFA">
              <w:t>5,11±0,66</w:t>
            </w:r>
          </w:p>
        </w:tc>
        <w:tc>
          <w:tcPr>
            <w:tcW w:w="909" w:type="pct"/>
          </w:tcPr>
          <w:p w:rsidR="00406AB1" w:rsidRPr="00E40BFA" w:rsidRDefault="00406AB1" w:rsidP="00F83152">
            <w:pPr>
              <w:contextualSpacing/>
              <w:jc w:val="center"/>
            </w:pPr>
            <w:r w:rsidRPr="00E40BFA">
              <w:t>82,2±3,12</w:t>
            </w:r>
          </w:p>
        </w:tc>
      </w:tr>
      <w:tr w:rsidR="00406AB1" w:rsidRPr="00E40BFA" w:rsidTr="00F83152">
        <w:tc>
          <w:tcPr>
            <w:tcW w:w="304" w:type="pct"/>
            <w:vMerge/>
          </w:tcPr>
          <w:p w:rsidR="00406AB1" w:rsidRPr="00E40BFA" w:rsidRDefault="00406AB1" w:rsidP="00F83152">
            <w:pPr>
              <w:contextualSpacing/>
              <w:jc w:val="center"/>
            </w:pPr>
          </w:p>
        </w:tc>
        <w:tc>
          <w:tcPr>
            <w:tcW w:w="493" w:type="pct"/>
          </w:tcPr>
          <w:p w:rsidR="00406AB1" w:rsidRPr="00E40BFA" w:rsidRDefault="00406AB1" w:rsidP="00F83152">
            <w:pPr>
              <w:contextualSpacing/>
              <w:jc w:val="center"/>
            </w:pPr>
            <w:r>
              <w:t>11-12</w:t>
            </w:r>
          </w:p>
        </w:tc>
        <w:tc>
          <w:tcPr>
            <w:tcW w:w="1357" w:type="pct"/>
          </w:tcPr>
          <w:p w:rsidR="00406AB1" w:rsidRPr="00E40BFA" w:rsidRDefault="00406AB1" w:rsidP="00F83152">
            <w:pPr>
              <w:contextualSpacing/>
              <w:jc w:val="center"/>
            </w:pPr>
            <w:r w:rsidRPr="00E40BFA">
              <w:t>4,69±0,32</w:t>
            </w:r>
          </w:p>
        </w:tc>
        <w:tc>
          <w:tcPr>
            <w:tcW w:w="968" w:type="pct"/>
          </w:tcPr>
          <w:p w:rsidR="00406AB1" w:rsidRPr="00E40BFA" w:rsidRDefault="00406AB1" w:rsidP="00F83152">
            <w:pPr>
              <w:contextualSpacing/>
              <w:jc w:val="center"/>
            </w:pPr>
            <w:r w:rsidRPr="00E40BFA">
              <w:t>3,98±0,09</w:t>
            </w:r>
          </w:p>
        </w:tc>
        <w:tc>
          <w:tcPr>
            <w:tcW w:w="969" w:type="pct"/>
          </w:tcPr>
          <w:p w:rsidR="00406AB1" w:rsidRPr="00E40BFA" w:rsidRDefault="00406AB1" w:rsidP="00F83152">
            <w:pPr>
              <w:contextualSpacing/>
              <w:jc w:val="center"/>
            </w:pPr>
            <w:r w:rsidRPr="00E40BFA">
              <w:t>5,18±0,54</w:t>
            </w:r>
          </w:p>
        </w:tc>
        <w:tc>
          <w:tcPr>
            <w:tcW w:w="909" w:type="pct"/>
          </w:tcPr>
          <w:p w:rsidR="00406AB1" w:rsidRPr="00E40BFA" w:rsidRDefault="00406AB1" w:rsidP="00F83152">
            <w:pPr>
              <w:contextualSpacing/>
              <w:jc w:val="center"/>
            </w:pPr>
            <w:r w:rsidRPr="00E40BFA">
              <w:t>84,8±2,94</w:t>
            </w:r>
          </w:p>
        </w:tc>
      </w:tr>
      <w:tr w:rsidR="00406AB1" w:rsidRPr="00E40BFA" w:rsidTr="00F83152">
        <w:tc>
          <w:tcPr>
            <w:tcW w:w="304" w:type="pct"/>
            <w:vMerge/>
          </w:tcPr>
          <w:p w:rsidR="00406AB1" w:rsidRPr="00E40BFA" w:rsidRDefault="00406AB1" w:rsidP="00F83152">
            <w:pPr>
              <w:contextualSpacing/>
              <w:jc w:val="center"/>
            </w:pPr>
          </w:p>
        </w:tc>
        <w:tc>
          <w:tcPr>
            <w:tcW w:w="493" w:type="pct"/>
          </w:tcPr>
          <w:p w:rsidR="00406AB1" w:rsidRPr="00E40BFA" w:rsidRDefault="00406AB1" w:rsidP="00F83152">
            <w:pPr>
              <w:contextualSpacing/>
              <w:jc w:val="center"/>
            </w:pPr>
            <w:r>
              <w:t xml:space="preserve">14-15 </w:t>
            </w:r>
          </w:p>
        </w:tc>
        <w:tc>
          <w:tcPr>
            <w:tcW w:w="1357" w:type="pct"/>
          </w:tcPr>
          <w:p w:rsidR="00406AB1" w:rsidRPr="00E40BFA" w:rsidRDefault="00406AB1" w:rsidP="00F83152">
            <w:pPr>
              <w:contextualSpacing/>
              <w:jc w:val="center"/>
            </w:pPr>
            <w:r w:rsidRPr="00E40BFA">
              <w:t>4,69±0,33</w:t>
            </w:r>
          </w:p>
        </w:tc>
        <w:tc>
          <w:tcPr>
            <w:tcW w:w="968" w:type="pct"/>
          </w:tcPr>
          <w:p w:rsidR="00406AB1" w:rsidRPr="00E40BFA" w:rsidRDefault="00406AB1" w:rsidP="00F83152">
            <w:pPr>
              <w:contextualSpacing/>
              <w:jc w:val="center"/>
            </w:pPr>
            <w:r w:rsidRPr="00E40BFA">
              <w:t>3,95±0,07</w:t>
            </w:r>
          </w:p>
        </w:tc>
        <w:tc>
          <w:tcPr>
            <w:tcW w:w="969" w:type="pct"/>
          </w:tcPr>
          <w:p w:rsidR="00406AB1" w:rsidRPr="00E40BFA" w:rsidRDefault="00406AB1" w:rsidP="00F83152">
            <w:pPr>
              <w:contextualSpacing/>
              <w:jc w:val="center"/>
            </w:pPr>
            <w:r w:rsidRPr="00E40BFA">
              <w:t>5,16±0,59</w:t>
            </w:r>
          </w:p>
        </w:tc>
        <w:tc>
          <w:tcPr>
            <w:tcW w:w="909" w:type="pct"/>
          </w:tcPr>
          <w:p w:rsidR="00406AB1" w:rsidRPr="00E40BFA" w:rsidRDefault="00406AB1" w:rsidP="00F83152">
            <w:pPr>
              <w:contextualSpacing/>
              <w:jc w:val="center"/>
            </w:pPr>
            <w:r w:rsidRPr="00E40BFA">
              <w:t>84,2±2,63</w:t>
            </w:r>
          </w:p>
        </w:tc>
      </w:tr>
      <w:tr w:rsidR="00406AB1" w:rsidRPr="00E40BFA" w:rsidTr="00F83152">
        <w:tc>
          <w:tcPr>
            <w:tcW w:w="304" w:type="pct"/>
            <w:vMerge w:val="restart"/>
          </w:tcPr>
          <w:p w:rsidR="00406AB1" w:rsidRPr="00E40BFA" w:rsidRDefault="00406AB1" w:rsidP="00F83152">
            <w:pPr>
              <w:contextualSpacing/>
              <w:jc w:val="center"/>
            </w:pPr>
          </w:p>
          <w:p w:rsidR="00406AB1" w:rsidRPr="00E40BFA" w:rsidRDefault="00406AB1" w:rsidP="00F83152">
            <w:pPr>
              <w:contextualSpacing/>
              <w:jc w:val="center"/>
            </w:pPr>
            <w:r w:rsidRPr="00E40BFA">
              <w:t>ОГ</w:t>
            </w:r>
          </w:p>
        </w:tc>
        <w:tc>
          <w:tcPr>
            <w:tcW w:w="493" w:type="pct"/>
          </w:tcPr>
          <w:p w:rsidR="00406AB1" w:rsidRPr="00E40BFA" w:rsidRDefault="00406AB1" w:rsidP="00F83152">
            <w:pPr>
              <w:contextualSpacing/>
              <w:jc w:val="center"/>
            </w:pPr>
            <w:r>
              <w:t xml:space="preserve">7-8 </w:t>
            </w:r>
          </w:p>
        </w:tc>
        <w:tc>
          <w:tcPr>
            <w:tcW w:w="1357" w:type="pct"/>
          </w:tcPr>
          <w:p w:rsidR="00406AB1" w:rsidRPr="00E40BFA" w:rsidRDefault="00406AB1" w:rsidP="00F83152">
            <w:pPr>
              <w:contextualSpacing/>
              <w:jc w:val="center"/>
            </w:pPr>
            <w:r w:rsidRPr="00E40BFA">
              <w:t>6,83±0,54*</w:t>
            </w:r>
          </w:p>
        </w:tc>
        <w:tc>
          <w:tcPr>
            <w:tcW w:w="968" w:type="pct"/>
          </w:tcPr>
          <w:p w:rsidR="00406AB1" w:rsidRPr="00E40BFA" w:rsidRDefault="00406AB1" w:rsidP="00F83152">
            <w:pPr>
              <w:contextualSpacing/>
              <w:jc w:val="center"/>
            </w:pPr>
            <w:r w:rsidRPr="00E40BFA">
              <w:t>2,54±0,11*</w:t>
            </w:r>
          </w:p>
        </w:tc>
        <w:tc>
          <w:tcPr>
            <w:tcW w:w="969" w:type="pct"/>
          </w:tcPr>
          <w:p w:rsidR="00406AB1" w:rsidRPr="00E40BFA" w:rsidRDefault="00406AB1" w:rsidP="00F83152">
            <w:pPr>
              <w:contextualSpacing/>
              <w:jc w:val="center"/>
            </w:pPr>
            <w:r w:rsidRPr="00E40BFA">
              <w:t>3,34±0,28*</w:t>
            </w:r>
          </w:p>
        </w:tc>
        <w:tc>
          <w:tcPr>
            <w:tcW w:w="909" w:type="pct"/>
          </w:tcPr>
          <w:p w:rsidR="00406AB1" w:rsidRPr="00E40BFA" w:rsidRDefault="00406AB1" w:rsidP="00F83152">
            <w:pPr>
              <w:ind w:right="-161"/>
              <w:contextualSpacing/>
            </w:pPr>
            <w:r w:rsidRPr="00E40BFA">
              <w:t>37,76±2,93*</w:t>
            </w:r>
          </w:p>
        </w:tc>
      </w:tr>
      <w:tr w:rsidR="00406AB1" w:rsidRPr="00E40BFA" w:rsidTr="00F83152">
        <w:tc>
          <w:tcPr>
            <w:tcW w:w="304" w:type="pct"/>
            <w:vMerge/>
          </w:tcPr>
          <w:p w:rsidR="00406AB1" w:rsidRPr="00E40BFA" w:rsidRDefault="00406AB1" w:rsidP="00F83152">
            <w:pPr>
              <w:contextualSpacing/>
              <w:jc w:val="center"/>
            </w:pPr>
          </w:p>
        </w:tc>
        <w:tc>
          <w:tcPr>
            <w:tcW w:w="493" w:type="pct"/>
          </w:tcPr>
          <w:p w:rsidR="00406AB1" w:rsidRPr="00E40BFA" w:rsidRDefault="00406AB1" w:rsidP="00F83152">
            <w:pPr>
              <w:contextualSpacing/>
              <w:jc w:val="center"/>
            </w:pPr>
            <w:r>
              <w:t>11-12</w:t>
            </w:r>
          </w:p>
        </w:tc>
        <w:tc>
          <w:tcPr>
            <w:tcW w:w="1357" w:type="pct"/>
          </w:tcPr>
          <w:p w:rsidR="00406AB1" w:rsidRPr="00E40BFA" w:rsidRDefault="00406AB1" w:rsidP="00F83152">
            <w:pPr>
              <w:contextualSpacing/>
              <w:jc w:val="center"/>
            </w:pPr>
            <w:r w:rsidRPr="00E40BFA">
              <w:t>6,66±0,46*</w:t>
            </w:r>
          </w:p>
        </w:tc>
        <w:tc>
          <w:tcPr>
            <w:tcW w:w="968" w:type="pct"/>
          </w:tcPr>
          <w:p w:rsidR="00406AB1" w:rsidRPr="00E40BFA" w:rsidRDefault="00406AB1" w:rsidP="00F83152">
            <w:pPr>
              <w:contextualSpacing/>
              <w:jc w:val="center"/>
            </w:pPr>
            <w:r w:rsidRPr="00E40BFA">
              <w:t>2,52±0,14*</w:t>
            </w:r>
          </w:p>
        </w:tc>
        <w:tc>
          <w:tcPr>
            <w:tcW w:w="969" w:type="pct"/>
          </w:tcPr>
          <w:p w:rsidR="00406AB1" w:rsidRPr="00E40BFA" w:rsidRDefault="00406AB1" w:rsidP="00F83152">
            <w:pPr>
              <w:contextualSpacing/>
              <w:jc w:val="center"/>
            </w:pPr>
            <w:r w:rsidRPr="00E40BFA">
              <w:t>3,35±0,31*</w:t>
            </w:r>
          </w:p>
        </w:tc>
        <w:tc>
          <w:tcPr>
            <w:tcW w:w="909" w:type="pct"/>
          </w:tcPr>
          <w:p w:rsidR="00406AB1" w:rsidRPr="00E40BFA" w:rsidRDefault="00406AB1" w:rsidP="00F83152">
            <w:pPr>
              <w:contextualSpacing/>
              <w:jc w:val="center"/>
            </w:pPr>
            <w:r w:rsidRPr="00E40BFA">
              <w:t>38,93±2,71*</w:t>
            </w:r>
          </w:p>
        </w:tc>
      </w:tr>
      <w:tr w:rsidR="00406AB1" w:rsidRPr="00E40BFA" w:rsidTr="00F83152">
        <w:tc>
          <w:tcPr>
            <w:tcW w:w="304" w:type="pct"/>
            <w:vMerge/>
          </w:tcPr>
          <w:p w:rsidR="00406AB1" w:rsidRPr="00E40BFA" w:rsidRDefault="00406AB1" w:rsidP="00F83152">
            <w:pPr>
              <w:contextualSpacing/>
              <w:jc w:val="center"/>
            </w:pPr>
          </w:p>
        </w:tc>
        <w:tc>
          <w:tcPr>
            <w:tcW w:w="493" w:type="pct"/>
          </w:tcPr>
          <w:p w:rsidR="00406AB1" w:rsidRPr="00E40BFA" w:rsidRDefault="00406AB1" w:rsidP="00F83152">
            <w:pPr>
              <w:contextualSpacing/>
              <w:jc w:val="center"/>
            </w:pPr>
            <w:r>
              <w:t xml:space="preserve">14-15 </w:t>
            </w:r>
          </w:p>
        </w:tc>
        <w:tc>
          <w:tcPr>
            <w:tcW w:w="1357" w:type="pct"/>
          </w:tcPr>
          <w:p w:rsidR="00406AB1" w:rsidRPr="00E40BFA" w:rsidRDefault="00406AB1" w:rsidP="00F83152">
            <w:pPr>
              <w:contextualSpacing/>
              <w:jc w:val="center"/>
            </w:pPr>
            <w:r w:rsidRPr="00E40BFA">
              <w:t>6,65±0,42*</w:t>
            </w:r>
          </w:p>
        </w:tc>
        <w:tc>
          <w:tcPr>
            <w:tcW w:w="968" w:type="pct"/>
          </w:tcPr>
          <w:p w:rsidR="00406AB1" w:rsidRPr="00E40BFA" w:rsidRDefault="00406AB1" w:rsidP="00F83152">
            <w:pPr>
              <w:contextualSpacing/>
              <w:jc w:val="center"/>
            </w:pPr>
            <w:r w:rsidRPr="00E40BFA">
              <w:t>2,56±0,12*</w:t>
            </w:r>
          </w:p>
        </w:tc>
        <w:tc>
          <w:tcPr>
            <w:tcW w:w="969" w:type="pct"/>
          </w:tcPr>
          <w:p w:rsidR="00406AB1" w:rsidRPr="00E40BFA" w:rsidRDefault="00406AB1" w:rsidP="00F83152">
            <w:pPr>
              <w:contextualSpacing/>
              <w:jc w:val="center"/>
            </w:pPr>
            <w:r w:rsidRPr="00E40BFA">
              <w:t>3,32±0,29*</w:t>
            </w:r>
          </w:p>
        </w:tc>
        <w:tc>
          <w:tcPr>
            <w:tcW w:w="909" w:type="pct"/>
          </w:tcPr>
          <w:p w:rsidR="00406AB1" w:rsidRPr="00E40BFA" w:rsidRDefault="00406AB1" w:rsidP="00F83152">
            <w:pPr>
              <w:contextualSpacing/>
              <w:jc w:val="center"/>
            </w:pPr>
            <w:r w:rsidRPr="00E40BFA">
              <w:t>38,87±2,68*</w:t>
            </w:r>
          </w:p>
        </w:tc>
      </w:tr>
    </w:tbl>
    <w:p w:rsidR="00406AB1" w:rsidRPr="00BE080D" w:rsidRDefault="00406AB1" w:rsidP="00406AB1">
      <w:pPr>
        <w:ind w:left="-142"/>
        <w:contextualSpacing/>
        <w:rPr>
          <w:sz w:val="24"/>
        </w:rPr>
      </w:pPr>
      <w:r w:rsidRPr="00BE080D">
        <w:rPr>
          <w:sz w:val="24"/>
        </w:rPr>
        <w:t xml:space="preserve">Примітка: * </w:t>
      </w:r>
      <w:r>
        <w:rPr>
          <w:sz w:val="24"/>
        </w:rPr>
        <w:t>–</w:t>
      </w:r>
      <w:r w:rsidRPr="00BE080D">
        <w:rPr>
          <w:sz w:val="24"/>
        </w:rPr>
        <w:t xml:space="preserve"> достовірні відмін</w:t>
      </w:r>
      <w:r>
        <w:rPr>
          <w:sz w:val="24"/>
        </w:rPr>
        <w:t>ності,</w:t>
      </w:r>
      <w:r w:rsidRPr="00BE080D">
        <w:rPr>
          <w:sz w:val="24"/>
        </w:rPr>
        <w:t xml:space="preserve"> порівнян</w:t>
      </w:r>
      <w:r>
        <w:rPr>
          <w:sz w:val="24"/>
        </w:rPr>
        <w:t>о</w:t>
      </w:r>
      <w:r w:rsidRPr="00BE080D">
        <w:rPr>
          <w:sz w:val="24"/>
        </w:rPr>
        <w:t xml:space="preserve"> з КГ (р&lt;0,05).</w:t>
      </w:r>
    </w:p>
    <w:p w:rsidR="00406AB1" w:rsidRPr="0051163A" w:rsidRDefault="00406AB1" w:rsidP="00534FB5">
      <w:pPr>
        <w:ind w:firstLine="567"/>
        <w:contextualSpacing/>
        <w:rPr>
          <w:sz w:val="18"/>
          <w:szCs w:val="18"/>
        </w:rPr>
      </w:pPr>
    </w:p>
    <w:p w:rsidR="00534FB5" w:rsidRPr="00E40BFA" w:rsidRDefault="00534FB5" w:rsidP="00534FB5">
      <w:pPr>
        <w:ind w:firstLine="567"/>
        <w:contextualSpacing/>
      </w:pPr>
      <w:r w:rsidRPr="00E40BFA">
        <w:t>АПІ у дітей з вадами слуху в сере</w:t>
      </w:r>
      <w:r>
        <w:t xml:space="preserve">дньому був нижчий в 2,17 раза </w:t>
      </w:r>
      <w:r w:rsidRPr="00E40BFA">
        <w:t>(p</w:t>
      </w:r>
      <w:r>
        <w:t>&lt;</w:t>
      </w:r>
      <w:r w:rsidRPr="00E40BFA">
        <w:t>0,05)</w:t>
      </w:r>
      <w:r>
        <w:t>,</w:t>
      </w:r>
      <w:r w:rsidRPr="00E40BFA">
        <w:t xml:space="preserve"> порівнян</w:t>
      </w:r>
      <w:r>
        <w:t>о</w:t>
      </w:r>
      <w:r w:rsidRPr="00E40BFA">
        <w:t xml:space="preserve"> з дітьми першої групи здоров</w:t>
      </w:r>
      <w:r>
        <w:t>’</w:t>
      </w:r>
      <w:r w:rsidRPr="00E40BFA">
        <w:t>я без патології слуху, що вказує на зниження захисних сил тканин ротової порожнини.</w:t>
      </w:r>
    </w:p>
    <w:p w:rsidR="00534FB5" w:rsidRPr="00825204" w:rsidRDefault="00534FB5" w:rsidP="00534FB5">
      <w:pPr>
        <w:ind w:firstLine="567"/>
        <w:contextualSpacing/>
        <w:rPr>
          <w:spacing w:val="-2"/>
        </w:rPr>
      </w:pPr>
      <w:r w:rsidRPr="00825204">
        <w:rPr>
          <w:spacing w:val="-2"/>
        </w:rPr>
        <w:t>Аналізуючи отримані результати, можна зробити загальний висновок про те, що у дітей з вадами слуху відбувається порушення в системі ПОЛ-АОС.</w:t>
      </w:r>
    </w:p>
    <w:p w:rsidR="00534FB5" w:rsidRPr="00E40BFA" w:rsidRDefault="00534FB5" w:rsidP="00534FB5">
      <w:pPr>
        <w:ind w:firstLine="567"/>
        <w:contextualSpacing/>
      </w:pPr>
      <w:r w:rsidRPr="00E40BFA">
        <w:t xml:space="preserve">Таким чином, у </w:t>
      </w:r>
      <w:r>
        <w:t xml:space="preserve">дітей </w:t>
      </w:r>
      <w:r w:rsidR="006C493E">
        <w:t>із вродженою</w:t>
      </w:r>
      <w:r>
        <w:t xml:space="preserve"> глухотою</w:t>
      </w:r>
      <w:r w:rsidRPr="00E40BFA">
        <w:t xml:space="preserve">, порівняно з групою дітей без патології слуху, рівень ТБК-активних продуктів </w:t>
      </w:r>
      <w:r>
        <w:t>був підвищений</w:t>
      </w:r>
      <w:r w:rsidRPr="00E40BFA">
        <w:t>, а рівні каталази, супероксиддисмутази, антиоксидантно-пр</w:t>
      </w:r>
      <w:r>
        <w:t>ооксидантного індексу – знижені, що</w:t>
      </w:r>
      <w:r w:rsidRPr="00E40BFA">
        <w:t xml:space="preserve"> свідчить про дисбаланс </w:t>
      </w:r>
      <w:r>
        <w:t>у цих системах.</w:t>
      </w:r>
      <w:r w:rsidRPr="00E40BFA">
        <w:t xml:space="preserve"> </w:t>
      </w:r>
    </w:p>
    <w:p w:rsidR="00534FB5" w:rsidRPr="0046460A" w:rsidRDefault="00534FB5" w:rsidP="00534FB5">
      <w:pPr>
        <w:tabs>
          <w:tab w:val="left" w:pos="0"/>
        </w:tabs>
        <w:ind w:firstLine="709"/>
        <w:contextualSpacing/>
        <w:rPr>
          <w:b/>
        </w:rPr>
      </w:pPr>
      <w:r w:rsidRPr="00853C7D">
        <w:rPr>
          <w:b/>
        </w:rPr>
        <w:t>3.4.3. Стан місцевого імунітету ротової порожнин</w:t>
      </w:r>
    </w:p>
    <w:p w:rsidR="00534FB5" w:rsidRDefault="00534FB5" w:rsidP="00534FB5">
      <w:pPr>
        <w:ind w:firstLine="708"/>
        <w:contextualSpacing/>
      </w:pPr>
      <w:r>
        <w:t>Результати вивчення с</w:t>
      </w:r>
      <w:r w:rsidRPr="00E40BFA">
        <w:t>тан</w:t>
      </w:r>
      <w:r>
        <w:t>у</w:t>
      </w:r>
      <w:r w:rsidRPr="00E40BFA">
        <w:t xml:space="preserve"> місцевого імунітету</w:t>
      </w:r>
      <w:r w:rsidRPr="00E40BFA">
        <w:rPr>
          <w:b/>
        </w:rPr>
        <w:t xml:space="preserve"> </w:t>
      </w:r>
      <w:r w:rsidRPr="00E40BFA">
        <w:t>в ротовій рідині</w:t>
      </w:r>
      <w:r>
        <w:t xml:space="preserve"> дітей </w:t>
      </w:r>
      <w:r w:rsidR="006C493E">
        <w:t>із вродженою</w:t>
      </w:r>
      <w:r>
        <w:t xml:space="preserve"> глухотою та дітей з нормальним слухом, а саме</w:t>
      </w:r>
      <w:r w:rsidRPr="00E40BFA">
        <w:t xml:space="preserve"> </w:t>
      </w:r>
      <w:r>
        <w:t xml:space="preserve">вмісту </w:t>
      </w:r>
      <w:r w:rsidRPr="00E40BFA">
        <w:rPr>
          <w:lang w:val="en-US"/>
        </w:rPr>
        <w:t>sIgA</w:t>
      </w:r>
      <w:r>
        <w:t>, активності лізоциму, уреази, ступеня</w:t>
      </w:r>
      <w:r w:rsidRPr="00E40BFA">
        <w:t xml:space="preserve"> дисбіозу</w:t>
      </w:r>
      <w:r>
        <w:t xml:space="preserve"> </w:t>
      </w:r>
      <w:r w:rsidRPr="00072D8F">
        <w:t>представлен</w:t>
      </w:r>
      <w:r>
        <w:t>о</w:t>
      </w:r>
      <w:r w:rsidRPr="00072D8F">
        <w:t xml:space="preserve"> в таблиці</w:t>
      </w:r>
      <w:r>
        <w:t> </w:t>
      </w:r>
      <w:r w:rsidRPr="00072D8F">
        <w:t>3.4.3.1</w:t>
      </w:r>
      <w:r>
        <w:t>.</w:t>
      </w:r>
    </w:p>
    <w:p w:rsidR="00534FB5" w:rsidRDefault="00534FB5" w:rsidP="00534FB5">
      <w:pPr>
        <w:ind w:firstLine="708"/>
        <w:contextualSpacing/>
      </w:pPr>
    </w:p>
    <w:p w:rsidR="00825204" w:rsidRPr="00835A38" w:rsidRDefault="00825204" w:rsidP="00534FB5">
      <w:pPr>
        <w:ind w:firstLine="708"/>
        <w:contextualSpacing/>
      </w:pPr>
    </w:p>
    <w:p w:rsidR="00534FB5" w:rsidRPr="0051163A" w:rsidRDefault="00534FB5" w:rsidP="00F83152">
      <w:pPr>
        <w:ind w:firstLine="567"/>
        <w:contextualSpacing/>
        <w:jc w:val="right"/>
        <w:rPr>
          <w:i/>
        </w:rPr>
      </w:pPr>
      <w:r w:rsidRPr="0051163A">
        <w:rPr>
          <w:i/>
        </w:rPr>
        <w:lastRenderedPageBreak/>
        <w:t>Таблиця</w:t>
      </w:r>
      <w:r>
        <w:rPr>
          <w:i/>
        </w:rPr>
        <w:t> </w:t>
      </w:r>
      <w:r w:rsidRPr="0051163A">
        <w:rPr>
          <w:i/>
        </w:rPr>
        <w:t>3.4.3.1</w:t>
      </w:r>
    </w:p>
    <w:p w:rsidR="00534FB5" w:rsidRPr="0051163A" w:rsidRDefault="00534FB5" w:rsidP="00F83152">
      <w:pPr>
        <w:contextualSpacing/>
        <w:jc w:val="center"/>
        <w:rPr>
          <w:b/>
        </w:rPr>
      </w:pPr>
      <w:r w:rsidRPr="0051163A">
        <w:rPr>
          <w:b/>
        </w:rPr>
        <w:t>Показники місцевого імунітету ротової порожнини дітей контрольної та основної груп,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1617"/>
        <w:gridCol w:w="1878"/>
        <w:gridCol w:w="1878"/>
        <w:gridCol w:w="1880"/>
        <w:gridCol w:w="1637"/>
      </w:tblGrid>
      <w:tr w:rsidR="00534FB5" w:rsidRPr="00E40BFA" w:rsidTr="00534FB5">
        <w:tc>
          <w:tcPr>
            <w:tcW w:w="1201" w:type="pct"/>
            <w:gridSpan w:val="2"/>
            <w:vMerge w:val="restar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p>
          <w:p w:rsidR="00534FB5" w:rsidRPr="00E40BFA" w:rsidRDefault="00534FB5" w:rsidP="00F83152">
            <w:pPr>
              <w:contextualSpacing/>
              <w:jc w:val="center"/>
            </w:pPr>
            <w:r w:rsidRPr="00E40BFA">
              <w:t>Вік дітей</w:t>
            </w:r>
          </w:p>
        </w:tc>
        <w:tc>
          <w:tcPr>
            <w:tcW w:w="2944" w:type="pct"/>
            <w:gridSpan w:val="3"/>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 xml:space="preserve">Середні показники місцевого антимікробного імунітету, </w:t>
            </w:r>
          </w:p>
        </w:tc>
        <w:tc>
          <w:tcPr>
            <w:tcW w:w="856" w:type="pct"/>
            <w:vMerge w:val="restar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pPr>
          </w:p>
          <w:p w:rsidR="00534FB5" w:rsidRPr="00E40BFA" w:rsidRDefault="00534FB5" w:rsidP="00F83152">
            <w:pPr>
              <w:contextualSpacing/>
              <w:jc w:val="center"/>
            </w:pPr>
            <w:r w:rsidRPr="00E40BFA">
              <w:t>Ступінь дисбіозу</w:t>
            </w:r>
          </w:p>
          <w:p w:rsidR="00534FB5" w:rsidRPr="00E40BFA" w:rsidRDefault="00534FB5" w:rsidP="00F83152">
            <w:pPr>
              <w:contextualSpacing/>
              <w:jc w:val="center"/>
            </w:pPr>
          </w:p>
        </w:tc>
      </w:tr>
      <w:tr w:rsidR="00534FB5" w:rsidRPr="00E40BFA" w:rsidTr="00534FB5">
        <w:trPr>
          <w:trHeight w:val="260"/>
        </w:trPr>
        <w:tc>
          <w:tcPr>
            <w:tcW w:w="1201" w:type="pct"/>
            <w:gridSpan w:val="2"/>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rPr>
                <w:lang w:val="en-US"/>
              </w:rPr>
              <w:t>sIgA</w:t>
            </w:r>
            <w:r w:rsidRPr="00E40BFA">
              <w:t>,</w:t>
            </w:r>
          </w:p>
          <w:p w:rsidR="00534FB5" w:rsidRPr="00255469" w:rsidRDefault="00534FB5" w:rsidP="00F83152">
            <w:pPr>
              <w:contextualSpacing/>
              <w:jc w:val="center"/>
              <w:rPr>
                <w:spacing w:val="-20"/>
              </w:rPr>
            </w:pPr>
            <w:r w:rsidRPr="00255469">
              <w:rPr>
                <w:spacing w:val="-20"/>
              </w:rPr>
              <w:t>(мг</w:t>
            </w:r>
            <w:r>
              <w:rPr>
                <w:spacing w:val="-20"/>
              </w:rPr>
              <w:t>/</w:t>
            </w:r>
            <w:r w:rsidRPr="00255469">
              <w:rPr>
                <w:spacing w:val="-20"/>
              </w:rPr>
              <w:t>л)</w:t>
            </w:r>
          </w:p>
        </w:tc>
        <w:tc>
          <w:tcPr>
            <w:tcW w:w="981" w:type="pct"/>
            <w:tcBorders>
              <w:top w:val="single" w:sz="4" w:space="0" w:color="auto"/>
              <w:left w:val="single" w:sz="4" w:space="0" w:color="auto"/>
              <w:bottom w:val="single" w:sz="4" w:space="0" w:color="auto"/>
              <w:right w:val="single" w:sz="4" w:space="0" w:color="auto"/>
            </w:tcBorders>
          </w:tcPr>
          <w:p w:rsidR="00534FB5" w:rsidRDefault="00534FB5" w:rsidP="00F83152">
            <w:pPr>
              <w:contextualSpacing/>
              <w:jc w:val="center"/>
            </w:pPr>
            <w:r w:rsidRPr="00E40BFA">
              <w:t xml:space="preserve">Активність лізоциму, </w:t>
            </w:r>
          </w:p>
          <w:p w:rsidR="00534FB5" w:rsidRPr="00E40BFA" w:rsidRDefault="00534FB5" w:rsidP="00F83152">
            <w:pPr>
              <w:contextualSpacing/>
              <w:jc w:val="center"/>
            </w:pPr>
            <w:r w:rsidRPr="00255469">
              <w:rPr>
                <w:spacing w:val="-20"/>
              </w:rPr>
              <w:t>(у.о./мл)</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Активність уреази,</w:t>
            </w:r>
          </w:p>
          <w:p w:rsidR="00534FB5" w:rsidRPr="00255469" w:rsidRDefault="00534FB5" w:rsidP="00F83152">
            <w:pPr>
              <w:contextualSpacing/>
              <w:jc w:val="center"/>
              <w:rPr>
                <w:spacing w:val="-20"/>
              </w:rPr>
            </w:pPr>
            <w:r w:rsidRPr="00255469">
              <w:rPr>
                <w:spacing w:val="-20"/>
              </w:rPr>
              <w:t>(мкмоль/хв/л)</w:t>
            </w:r>
          </w:p>
        </w:tc>
        <w:tc>
          <w:tcPr>
            <w:tcW w:w="856" w:type="pct"/>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r>
      <w:tr w:rsidR="00534FB5" w:rsidRPr="00E40BFA" w:rsidTr="00534FB5">
        <w:trPr>
          <w:trHeight w:val="301"/>
        </w:trPr>
        <w:tc>
          <w:tcPr>
            <w:tcW w:w="356" w:type="pct"/>
            <w:vMerge w:val="restar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p>
          <w:p w:rsidR="00534FB5" w:rsidRPr="00E40BFA" w:rsidRDefault="00534FB5" w:rsidP="00F83152">
            <w:pPr>
              <w:contextualSpacing/>
              <w:jc w:val="center"/>
            </w:pPr>
            <w:r w:rsidRPr="00E40BFA">
              <w:t>КГ</w:t>
            </w: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7-8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115,04±2,33</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60,5±2,88</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2,78±0,18</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1,03±0,1</w:t>
            </w:r>
          </w:p>
        </w:tc>
      </w:tr>
      <w:tr w:rsidR="00534FB5" w:rsidRPr="00E40BFA" w:rsidTr="00534FB5">
        <w:trPr>
          <w:trHeight w:val="366"/>
        </w:trPr>
        <w:tc>
          <w:tcPr>
            <w:tcW w:w="356" w:type="pct"/>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11-12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112,24±5,36</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60,3±1,99</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2,98±0,13</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1,01±0,05</w:t>
            </w:r>
          </w:p>
        </w:tc>
      </w:tr>
      <w:tr w:rsidR="00534FB5" w:rsidRPr="00E40BFA" w:rsidTr="00534FB5">
        <w:tc>
          <w:tcPr>
            <w:tcW w:w="356" w:type="pct"/>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14-15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118,56±4,33</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59,8±3,50</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2,94±0,21</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1,06±0,12</w:t>
            </w:r>
          </w:p>
        </w:tc>
      </w:tr>
      <w:tr w:rsidR="00534FB5" w:rsidRPr="00E40BFA" w:rsidTr="00534FB5">
        <w:tc>
          <w:tcPr>
            <w:tcW w:w="356" w:type="pct"/>
            <w:vMerge w:val="restar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p>
          <w:p w:rsidR="00534FB5" w:rsidRPr="00E40BFA" w:rsidRDefault="00534FB5" w:rsidP="00F83152">
            <w:pPr>
              <w:contextualSpacing/>
              <w:jc w:val="center"/>
            </w:pPr>
            <w:r w:rsidRPr="00E40BFA">
              <w:t>ОГ</w:t>
            </w: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7-8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75,14±2,54*</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33,65±2,34*</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9,53±0,26**</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6,47±0,44**</w:t>
            </w:r>
          </w:p>
        </w:tc>
      </w:tr>
      <w:tr w:rsidR="00534FB5" w:rsidRPr="00E40BFA" w:rsidTr="00534FB5">
        <w:tc>
          <w:tcPr>
            <w:tcW w:w="356" w:type="pct"/>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11-12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75,56±2,89*</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33,45±2,17*</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9,50±0,56**</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6,02±0,54**</w:t>
            </w:r>
          </w:p>
        </w:tc>
      </w:tr>
      <w:tr w:rsidR="00534FB5" w:rsidRPr="00E40BFA" w:rsidTr="00534FB5">
        <w:tc>
          <w:tcPr>
            <w:tcW w:w="356" w:type="pct"/>
            <w:vMerge/>
            <w:tcBorders>
              <w:top w:val="single" w:sz="4" w:space="0" w:color="auto"/>
              <w:left w:val="single" w:sz="4" w:space="0" w:color="auto"/>
              <w:bottom w:val="single" w:sz="4" w:space="0" w:color="auto"/>
              <w:right w:val="single" w:sz="4" w:space="0" w:color="auto"/>
            </w:tcBorders>
            <w:vAlign w:val="center"/>
          </w:tcPr>
          <w:p w:rsidR="00534FB5" w:rsidRPr="00E40BFA" w:rsidRDefault="00534FB5" w:rsidP="00F83152">
            <w:pPr>
              <w:contextualSpacing/>
            </w:pPr>
          </w:p>
        </w:tc>
        <w:tc>
          <w:tcPr>
            <w:tcW w:w="844"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14-15 років</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75,45±2,72*</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33,65±2,22*</w:t>
            </w:r>
          </w:p>
        </w:tc>
        <w:tc>
          <w:tcPr>
            <w:tcW w:w="981"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9,53±0,25**</w:t>
            </w:r>
          </w:p>
        </w:tc>
        <w:tc>
          <w:tcPr>
            <w:tcW w:w="856" w:type="pct"/>
            <w:tcBorders>
              <w:top w:val="single" w:sz="4" w:space="0" w:color="auto"/>
              <w:left w:val="single" w:sz="4" w:space="0" w:color="auto"/>
              <w:bottom w:val="single" w:sz="4" w:space="0" w:color="auto"/>
              <w:right w:val="single" w:sz="4" w:space="0" w:color="auto"/>
            </w:tcBorders>
          </w:tcPr>
          <w:p w:rsidR="00534FB5" w:rsidRPr="00E40BFA" w:rsidRDefault="00534FB5" w:rsidP="00F83152">
            <w:pPr>
              <w:contextualSpacing/>
              <w:jc w:val="center"/>
            </w:pPr>
            <w:r w:rsidRPr="00E40BFA">
              <w:t>6,1±0,44**</w:t>
            </w:r>
          </w:p>
        </w:tc>
      </w:tr>
    </w:tbl>
    <w:p w:rsidR="00534FB5" w:rsidRPr="00BE080D" w:rsidRDefault="00534FB5" w:rsidP="00534FB5">
      <w:pPr>
        <w:spacing w:line="240" w:lineRule="atLeast"/>
        <w:ind w:left="-142"/>
        <w:contextualSpacing/>
        <w:rPr>
          <w:sz w:val="24"/>
        </w:rPr>
      </w:pPr>
      <w:r w:rsidRPr="00BE080D">
        <w:rPr>
          <w:sz w:val="24"/>
        </w:rPr>
        <w:t xml:space="preserve">Примітки: * </w:t>
      </w:r>
      <w:r>
        <w:rPr>
          <w:sz w:val="24"/>
        </w:rPr>
        <w:t>–</w:t>
      </w:r>
      <w:r w:rsidRPr="00BE080D">
        <w:rPr>
          <w:sz w:val="24"/>
        </w:rPr>
        <w:t xml:space="preserve"> достовірні відмін</w:t>
      </w:r>
      <w:r>
        <w:rPr>
          <w:sz w:val="24"/>
        </w:rPr>
        <w:t>ності,</w:t>
      </w:r>
      <w:r w:rsidRPr="00BE080D">
        <w:rPr>
          <w:sz w:val="24"/>
        </w:rPr>
        <w:t xml:space="preserve"> порівнян</w:t>
      </w:r>
      <w:r>
        <w:rPr>
          <w:sz w:val="24"/>
        </w:rPr>
        <w:t>о</w:t>
      </w:r>
      <w:r w:rsidRPr="00BE080D">
        <w:rPr>
          <w:sz w:val="24"/>
        </w:rPr>
        <w:t xml:space="preserve"> з КГ (р&lt;0,01); ** </w:t>
      </w:r>
      <w:r>
        <w:rPr>
          <w:sz w:val="24"/>
        </w:rPr>
        <w:t>–</w:t>
      </w:r>
      <w:r w:rsidRPr="00BE080D">
        <w:rPr>
          <w:sz w:val="24"/>
        </w:rPr>
        <w:t xml:space="preserve"> достовірні відмін</w:t>
      </w:r>
      <w:r>
        <w:rPr>
          <w:sz w:val="24"/>
        </w:rPr>
        <w:t>ності,</w:t>
      </w:r>
      <w:r w:rsidRPr="00BE080D">
        <w:rPr>
          <w:sz w:val="24"/>
        </w:rPr>
        <w:t xml:space="preserve"> порівнян</w:t>
      </w:r>
      <w:r>
        <w:rPr>
          <w:sz w:val="24"/>
        </w:rPr>
        <w:t>о</w:t>
      </w:r>
      <w:r w:rsidRPr="00BE080D">
        <w:rPr>
          <w:sz w:val="24"/>
        </w:rPr>
        <w:t xml:space="preserve"> з КГ (р&lt;0,001)</w:t>
      </w:r>
      <w:r>
        <w:rPr>
          <w:sz w:val="24"/>
        </w:rPr>
        <w:t>.</w:t>
      </w:r>
    </w:p>
    <w:p w:rsidR="00534FB5" w:rsidRDefault="00534FB5" w:rsidP="00534FB5">
      <w:pPr>
        <w:pStyle w:val="af8"/>
        <w:spacing w:after="0" w:line="360" w:lineRule="auto"/>
        <w:ind w:left="0" w:firstLine="567"/>
        <w:jc w:val="both"/>
        <w:rPr>
          <w:rFonts w:ascii="Times New Roman" w:hAnsi="Times New Roman"/>
          <w:sz w:val="28"/>
          <w:szCs w:val="28"/>
        </w:rPr>
      </w:pPr>
    </w:p>
    <w:p w:rsidR="00534FB5" w:rsidRDefault="00534FB5" w:rsidP="00534FB5">
      <w:pPr>
        <w:pStyle w:val="af8"/>
        <w:spacing w:after="0" w:line="360" w:lineRule="auto"/>
        <w:ind w:left="0" w:firstLine="567"/>
        <w:jc w:val="both"/>
        <w:rPr>
          <w:rFonts w:ascii="Times New Roman" w:hAnsi="Times New Roman"/>
          <w:sz w:val="28"/>
          <w:szCs w:val="28"/>
        </w:rPr>
      </w:pPr>
      <w:r>
        <w:rPr>
          <w:rFonts w:ascii="Times New Roman" w:hAnsi="Times New Roman"/>
          <w:sz w:val="28"/>
          <w:szCs w:val="28"/>
        </w:rPr>
        <w:t>Д</w:t>
      </w:r>
      <w:r w:rsidRPr="00072D8F">
        <w:rPr>
          <w:rFonts w:ascii="Times New Roman" w:hAnsi="Times New Roman"/>
          <w:sz w:val="28"/>
          <w:szCs w:val="28"/>
        </w:rPr>
        <w:t>ані</w:t>
      </w:r>
      <w:r>
        <w:rPr>
          <w:rFonts w:ascii="Times New Roman" w:hAnsi="Times New Roman"/>
          <w:sz w:val="28"/>
          <w:szCs w:val="28"/>
        </w:rPr>
        <w:t>, навед</w:t>
      </w:r>
      <w:r w:rsidR="00801491">
        <w:rPr>
          <w:rFonts w:ascii="Times New Roman" w:hAnsi="Times New Roman"/>
          <w:sz w:val="28"/>
          <w:szCs w:val="28"/>
        </w:rPr>
        <w:t>е</w:t>
      </w:r>
      <w:r>
        <w:rPr>
          <w:rFonts w:ascii="Times New Roman" w:hAnsi="Times New Roman"/>
          <w:sz w:val="28"/>
          <w:szCs w:val="28"/>
        </w:rPr>
        <w:t xml:space="preserve">ні </w:t>
      </w:r>
      <w:r w:rsidRPr="00072D8F">
        <w:rPr>
          <w:rFonts w:ascii="Times New Roman" w:hAnsi="Times New Roman"/>
          <w:sz w:val="28"/>
          <w:szCs w:val="28"/>
        </w:rPr>
        <w:t>в таблиці</w:t>
      </w:r>
      <w:r>
        <w:rPr>
          <w:rFonts w:ascii="Times New Roman" w:hAnsi="Times New Roman"/>
          <w:sz w:val="28"/>
          <w:szCs w:val="28"/>
        </w:rPr>
        <w:t> </w:t>
      </w:r>
      <w:r w:rsidRPr="00072D8F">
        <w:rPr>
          <w:rFonts w:ascii="Times New Roman" w:hAnsi="Times New Roman"/>
          <w:sz w:val="28"/>
          <w:szCs w:val="28"/>
        </w:rPr>
        <w:t>3.4.3.1</w:t>
      </w:r>
      <w:r>
        <w:rPr>
          <w:rFonts w:ascii="Times New Roman" w:hAnsi="Times New Roman"/>
          <w:sz w:val="28"/>
          <w:szCs w:val="28"/>
        </w:rPr>
        <w:t>,</w:t>
      </w:r>
      <w:r w:rsidRPr="00072D8F">
        <w:rPr>
          <w:rFonts w:ascii="Times New Roman" w:hAnsi="Times New Roman"/>
          <w:sz w:val="28"/>
          <w:szCs w:val="28"/>
        </w:rPr>
        <w:t xml:space="preserve"> свідчать про відсутність суттєвих відмінностей показників </w:t>
      </w:r>
      <w:r>
        <w:rPr>
          <w:rFonts w:ascii="Times New Roman" w:hAnsi="Times New Roman"/>
          <w:sz w:val="28"/>
          <w:szCs w:val="28"/>
        </w:rPr>
        <w:t>місцевого</w:t>
      </w:r>
      <w:r w:rsidRPr="00072D8F">
        <w:rPr>
          <w:rFonts w:ascii="Times New Roman" w:hAnsi="Times New Roman"/>
          <w:sz w:val="28"/>
          <w:szCs w:val="28"/>
        </w:rPr>
        <w:t xml:space="preserve"> імунітету в залежності від віку обстежених дітей. Проте порівняння показників місцевого імунітету ротової порожнини дітей відповідного віку КГ та ОГ виявило суттєву відмінність (p</w:t>
      </w:r>
      <w:r>
        <w:rPr>
          <w:rFonts w:ascii="Times New Roman" w:hAnsi="Times New Roman"/>
          <w:sz w:val="28"/>
          <w:szCs w:val="28"/>
        </w:rPr>
        <w:t>&lt;</w:t>
      </w:r>
      <w:r w:rsidRPr="00072D8F">
        <w:rPr>
          <w:rFonts w:ascii="Times New Roman" w:hAnsi="Times New Roman"/>
          <w:sz w:val="28"/>
          <w:szCs w:val="28"/>
        </w:rPr>
        <w:t>0,01) в</w:t>
      </w:r>
      <w:r>
        <w:rPr>
          <w:rFonts w:ascii="Times New Roman" w:hAnsi="Times New Roman"/>
          <w:sz w:val="28"/>
          <w:szCs w:val="28"/>
        </w:rPr>
        <w:t xml:space="preserve">ихідних даних. </w:t>
      </w:r>
    </w:p>
    <w:p w:rsidR="00534FB5" w:rsidRPr="00835A38" w:rsidRDefault="00534FB5" w:rsidP="00534FB5">
      <w:pPr>
        <w:pStyle w:val="af8"/>
        <w:spacing w:after="0" w:line="360" w:lineRule="auto"/>
        <w:ind w:left="0" w:firstLine="567"/>
        <w:jc w:val="both"/>
        <w:rPr>
          <w:rFonts w:ascii="Times New Roman" w:hAnsi="Times New Roman"/>
          <w:sz w:val="36"/>
          <w:szCs w:val="28"/>
        </w:rPr>
      </w:pPr>
      <w:r w:rsidRPr="00430CFC">
        <w:rPr>
          <w:rFonts w:ascii="Times New Roman" w:hAnsi="Times New Roman"/>
          <w:sz w:val="28"/>
        </w:rPr>
        <w:t xml:space="preserve">Так, у дітей </w:t>
      </w:r>
      <w:r>
        <w:rPr>
          <w:rFonts w:ascii="Times New Roman" w:hAnsi="Times New Roman"/>
          <w:sz w:val="28"/>
        </w:rPr>
        <w:t>і</w:t>
      </w:r>
      <w:r w:rsidRPr="00430CFC">
        <w:rPr>
          <w:rFonts w:ascii="Times New Roman" w:hAnsi="Times New Roman"/>
          <w:sz w:val="28"/>
        </w:rPr>
        <w:t>з вадами слуху кількість</w:t>
      </w:r>
      <w:r w:rsidRPr="00EC7E1F">
        <w:rPr>
          <w:rFonts w:ascii="Times New Roman" w:hAnsi="Times New Roman"/>
          <w:sz w:val="28"/>
        </w:rPr>
        <w:t xml:space="preserve"> </w:t>
      </w:r>
      <w:r w:rsidRPr="00EC7E1F">
        <w:rPr>
          <w:rStyle w:val="a9"/>
          <w:rFonts w:ascii="Times New Roman" w:hAnsi="Times New Roman"/>
          <w:bCs/>
          <w:i w:val="0"/>
          <w:iCs w:val="0"/>
          <w:color w:val="000000"/>
          <w:sz w:val="28"/>
          <w:szCs w:val="28"/>
        </w:rPr>
        <w:t>sIgA</w:t>
      </w:r>
      <w:r w:rsidRPr="00430CFC">
        <w:rPr>
          <w:rFonts w:ascii="Times New Roman" w:hAnsi="Times New Roman"/>
          <w:sz w:val="28"/>
        </w:rPr>
        <w:t xml:space="preserve"> була в 1,49-1,57</w:t>
      </w:r>
      <w:r>
        <w:rPr>
          <w:rFonts w:ascii="Times New Roman" w:hAnsi="Times New Roman"/>
          <w:sz w:val="28"/>
        </w:rPr>
        <w:t> </w:t>
      </w:r>
      <w:r w:rsidRPr="00430CFC">
        <w:rPr>
          <w:rFonts w:ascii="Times New Roman" w:hAnsi="Times New Roman"/>
          <w:sz w:val="28"/>
        </w:rPr>
        <w:t>раза нижч</w:t>
      </w:r>
      <w:r>
        <w:rPr>
          <w:rFonts w:ascii="Times New Roman" w:hAnsi="Times New Roman"/>
          <w:sz w:val="28"/>
        </w:rPr>
        <w:t>ою</w:t>
      </w:r>
      <w:r w:rsidRPr="00430CFC">
        <w:rPr>
          <w:rFonts w:ascii="Times New Roman" w:hAnsi="Times New Roman"/>
          <w:sz w:val="28"/>
        </w:rPr>
        <w:t xml:space="preserve"> (р</w:t>
      </w:r>
      <w:r>
        <w:rPr>
          <w:rFonts w:ascii="Times New Roman" w:hAnsi="Times New Roman"/>
          <w:sz w:val="28"/>
        </w:rPr>
        <w:t>&lt;</w:t>
      </w:r>
      <w:r w:rsidRPr="00430CFC">
        <w:rPr>
          <w:rFonts w:ascii="Times New Roman" w:hAnsi="Times New Roman"/>
          <w:sz w:val="28"/>
        </w:rPr>
        <w:t>0,01)</w:t>
      </w:r>
      <w:r>
        <w:rPr>
          <w:rFonts w:ascii="Times New Roman" w:hAnsi="Times New Roman"/>
          <w:sz w:val="28"/>
        </w:rPr>
        <w:t>,</w:t>
      </w:r>
      <w:r w:rsidRPr="00430CFC">
        <w:rPr>
          <w:rFonts w:ascii="Times New Roman" w:hAnsi="Times New Roman"/>
          <w:sz w:val="28"/>
        </w:rPr>
        <w:t xml:space="preserve"> порівнян</w:t>
      </w:r>
      <w:r>
        <w:rPr>
          <w:rFonts w:ascii="Times New Roman" w:hAnsi="Times New Roman"/>
          <w:sz w:val="28"/>
        </w:rPr>
        <w:t>о</w:t>
      </w:r>
      <w:r w:rsidRPr="00430CFC">
        <w:rPr>
          <w:rFonts w:ascii="Times New Roman" w:hAnsi="Times New Roman"/>
          <w:sz w:val="28"/>
        </w:rPr>
        <w:t xml:space="preserve"> з дітьми першої групи здоров</w:t>
      </w:r>
      <w:r>
        <w:rPr>
          <w:rFonts w:ascii="Times New Roman" w:hAnsi="Times New Roman"/>
          <w:sz w:val="28"/>
        </w:rPr>
        <w:t>’</w:t>
      </w:r>
      <w:r w:rsidRPr="00430CFC">
        <w:rPr>
          <w:rFonts w:ascii="Times New Roman" w:hAnsi="Times New Roman"/>
          <w:sz w:val="28"/>
        </w:rPr>
        <w:t>я, активність лізоциму була нижч</w:t>
      </w:r>
      <w:r>
        <w:rPr>
          <w:rFonts w:ascii="Times New Roman" w:hAnsi="Times New Roman"/>
          <w:sz w:val="28"/>
        </w:rPr>
        <w:t>а</w:t>
      </w:r>
      <w:r w:rsidRPr="00430CFC">
        <w:rPr>
          <w:rFonts w:ascii="Times New Roman" w:hAnsi="Times New Roman"/>
          <w:sz w:val="28"/>
        </w:rPr>
        <w:t xml:space="preserve"> в 1,77-1,8</w:t>
      </w:r>
      <w:r>
        <w:rPr>
          <w:rFonts w:ascii="Times New Roman" w:hAnsi="Times New Roman"/>
          <w:sz w:val="28"/>
        </w:rPr>
        <w:t> </w:t>
      </w:r>
      <w:r w:rsidRPr="00430CFC">
        <w:rPr>
          <w:rFonts w:ascii="Times New Roman" w:hAnsi="Times New Roman"/>
          <w:sz w:val="28"/>
        </w:rPr>
        <w:t>раз</w:t>
      </w:r>
      <w:r>
        <w:rPr>
          <w:rFonts w:ascii="Times New Roman" w:hAnsi="Times New Roman"/>
          <w:sz w:val="28"/>
        </w:rPr>
        <w:t>а</w:t>
      </w:r>
      <w:r w:rsidRPr="00430CFC">
        <w:rPr>
          <w:rFonts w:ascii="Times New Roman" w:hAnsi="Times New Roman"/>
          <w:sz w:val="28"/>
        </w:rPr>
        <w:t xml:space="preserve"> (р</w:t>
      </w:r>
      <w:r>
        <w:rPr>
          <w:rFonts w:ascii="Times New Roman" w:hAnsi="Times New Roman"/>
          <w:sz w:val="28"/>
        </w:rPr>
        <w:t>&lt;</w:t>
      </w:r>
      <w:r w:rsidRPr="00430CFC">
        <w:rPr>
          <w:rFonts w:ascii="Times New Roman" w:hAnsi="Times New Roman"/>
          <w:sz w:val="28"/>
        </w:rPr>
        <w:t>0,01), тоді як активність уреази була більшою</w:t>
      </w:r>
      <w:r>
        <w:rPr>
          <w:rFonts w:ascii="Times New Roman" w:hAnsi="Times New Roman"/>
          <w:sz w:val="28"/>
        </w:rPr>
        <w:t xml:space="preserve"> –</w:t>
      </w:r>
      <w:r w:rsidRPr="00430CFC">
        <w:rPr>
          <w:rFonts w:ascii="Times New Roman" w:hAnsi="Times New Roman"/>
          <w:sz w:val="28"/>
        </w:rPr>
        <w:t xml:space="preserve"> в середньому в 3,3</w:t>
      </w:r>
      <w:r>
        <w:rPr>
          <w:rFonts w:ascii="Times New Roman" w:hAnsi="Times New Roman"/>
          <w:sz w:val="28"/>
        </w:rPr>
        <w:t> </w:t>
      </w:r>
      <w:r w:rsidRPr="00430CFC">
        <w:rPr>
          <w:rFonts w:ascii="Times New Roman" w:hAnsi="Times New Roman"/>
          <w:sz w:val="28"/>
        </w:rPr>
        <w:t>раза (р</w:t>
      </w:r>
      <w:r>
        <w:rPr>
          <w:rFonts w:ascii="Times New Roman" w:hAnsi="Times New Roman"/>
          <w:sz w:val="28"/>
        </w:rPr>
        <w:t>&lt;</w:t>
      </w:r>
      <w:r w:rsidRPr="00430CFC">
        <w:rPr>
          <w:rFonts w:ascii="Times New Roman" w:hAnsi="Times New Roman"/>
          <w:sz w:val="28"/>
        </w:rPr>
        <w:t>0,001) (рис. 3.4.3.1, 3.4.3.2).</w:t>
      </w:r>
    </w:p>
    <w:p w:rsidR="00534FB5" w:rsidRDefault="00534FB5" w:rsidP="00534FB5">
      <w:pPr>
        <w:ind w:firstLine="567"/>
        <w:contextualSpacing/>
      </w:pPr>
    </w:p>
    <w:p w:rsidR="00401DCB" w:rsidRDefault="00FB0E9D" w:rsidP="00401DCB">
      <w:pPr>
        <w:pStyle w:val="af8"/>
        <w:spacing w:after="0" w:line="360" w:lineRule="auto"/>
        <w:ind w:left="0"/>
        <w:jc w:val="center"/>
        <w:rPr>
          <w:rFonts w:ascii="Times New Roman" w:hAnsi="Times New Roman"/>
          <w:sz w:val="28"/>
          <w:szCs w:val="28"/>
        </w:rPr>
      </w:pPr>
      <w:r w:rsidRPr="00FB0E9D">
        <w:rPr>
          <w:rFonts w:ascii="Times New Roman" w:hAnsi="Times New Roman"/>
          <w:noProof/>
          <w:lang w:val="ru-RU" w:eastAsia="ru-RU"/>
        </w:rPr>
        <w:lastRenderedPageBreak/>
        <w:drawing>
          <wp:inline distT="0" distB="0" distL="0" distR="0">
            <wp:extent cx="4391025" cy="25527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1DCB" w:rsidRPr="00401DCB" w:rsidRDefault="00401DCB" w:rsidP="00401DCB">
      <w:pPr>
        <w:pStyle w:val="af8"/>
        <w:spacing w:after="0" w:line="360" w:lineRule="auto"/>
        <w:ind w:left="0" w:firstLine="567"/>
        <w:jc w:val="both"/>
        <w:rPr>
          <w:rFonts w:ascii="Times New Roman" w:hAnsi="Times New Roman"/>
          <w:sz w:val="4"/>
          <w:szCs w:val="28"/>
        </w:rPr>
      </w:pPr>
    </w:p>
    <w:p w:rsidR="00534FB5" w:rsidRDefault="00534FB5" w:rsidP="00401DCB">
      <w:pPr>
        <w:pStyle w:val="af8"/>
        <w:spacing w:after="0" w:line="360" w:lineRule="auto"/>
        <w:ind w:left="0" w:firstLine="567"/>
        <w:jc w:val="both"/>
        <w:rPr>
          <w:rFonts w:ascii="Times New Roman" w:hAnsi="Times New Roman"/>
          <w:sz w:val="28"/>
          <w:szCs w:val="28"/>
        </w:rPr>
      </w:pPr>
      <w:r w:rsidRPr="00072D8F">
        <w:rPr>
          <w:rFonts w:ascii="Times New Roman" w:hAnsi="Times New Roman"/>
          <w:sz w:val="28"/>
          <w:szCs w:val="28"/>
        </w:rPr>
        <w:t>Рис.</w:t>
      </w:r>
      <w:r>
        <w:rPr>
          <w:rFonts w:ascii="Times New Roman" w:hAnsi="Times New Roman"/>
          <w:sz w:val="28"/>
          <w:szCs w:val="28"/>
        </w:rPr>
        <w:t> </w:t>
      </w:r>
      <w:r w:rsidRPr="00072D8F">
        <w:rPr>
          <w:rFonts w:ascii="Times New Roman" w:hAnsi="Times New Roman"/>
          <w:sz w:val="28"/>
          <w:szCs w:val="28"/>
        </w:rPr>
        <w:t>3.4.3.1</w:t>
      </w:r>
      <w:r>
        <w:rPr>
          <w:rFonts w:ascii="Times New Roman" w:hAnsi="Times New Roman"/>
          <w:sz w:val="28"/>
          <w:szCs w:val="28"/>
        </w:rPr>
        <w:t>.</w:t>
      </w:r>
      <w:r w:rsidRPr="00072D8F">
        <w:rPr>
          <w:rFonts w:ascii="Times New Roman" w:hAnsi="Times New Roman"/>
          <w:sz w:val="28"/>
          <w:szCs w:val="28"/>
        </w:rPr>
        <w:t xml:space="preserve"> Середні показники секреторного імуноглобуліну А і лізоциму ротової порожнини дітей КГ та ОГ.</w:t>
      </w:r>
    </w:p>
    <w:p w:rsidR="00534FB5" w:rsidRDefault="00534FB5" w:rsidP="00534FB5">
      <w:pPr>
        <w:pStyle w:val="af8"/>
        <w:spacing w:after="0" w:line="360" w:lineRule="auto"/>
        <w:ind w:left="0"/>
        <w:jc w:val="both"/>
        <w:rPr>
          <w:rFonts w:ascii="Times New Roman" w:hAnsi="Times New Roman"/>
          <w:sz w:val="28"/>
          <w:szCs w:val="28"/>
        </w:rPr>
      </w:pPr>
    </w:p>
    <w:p w:rsidR="00534FB5" w:rsidRPr="00072D8F" w:rsidRDefault="00534FB5" w:rsidP="00534FB5">
      <w:pPr>
        <w:ind w:firstLine="567"/>
        <w:contextualSpacing/>
      </w:pPr>
      <w:r w:rsidRPr="00E40BFA">
        <w:t xml:space="preserve">Співвідношення відносних уреази і лізоциму у </w:t>
      </w:r>
      <w:r>
        <w:t>ДВГ</w:t>
      </w:r>
      <w:r w:rsidRPr="00E40BFA">
        <w:t xml:space="preserve"> перевищувало в 5,67-6,47</w:t>
      </w:r>
      <w:r>
        <w:t> </w:t>
      </w:r>
      <w:r w:rsidRPr="00E40BFA">
        <w:t>раз</w:t>
      </w:r>
      <w:r>
        <w:t>а</w:t>
      </w:r>
      <w:r w:rsidRPr="00E40BFA">
        <w:t xml:space="preserve"> (р</w:t>
      </w:r>
      <w:r>
        <w:t>&lt;</w:t>
      </w:r>
      <w:r w:rsidRPr="00E40BFA">
        <w:t xml:space="preserve">0,001) показники </w:t>
      </w:r>
      <w:r w:rsidR="00F83152">
        <w:rPr>
          <w:lang w:val="ru-RU"/>
        </w:rPr>
        <w:t>КГ</w:t>
      </w:r>
      <w:r w:rsidRPr="00E40BFA">
        <w:t>, що свідчить про висок</w:t>
      </w:r>
      <w:r>
        <w:t>ий</w:t>
      </w:r>
      <w:r w:rsidRPr="00E40BFA">
        <w:t xml:space="preserve"> ступінь дисбактеріозу ротової порожн</w:t>
      </w:r>
      <w:r>
        <w:t>ини у дітей основної групи (</w:t>
      </w:r>
      <w:r w:rsidRPr="00E40BFA">
        <w:t>рис.</w:t>
      </w:r>
      <w:r>
        <w:t> </w:t>
      </w:r>
      <w:r w:rsidRPr="00E40BFA">
        <w:t>3.4.3.2).</w:t>
      </w:r>
    </w:p>
    <w:p w:rsidR="00534FB5" w:rsidRPr="003C7DF2" w:rsidRDefault="00534FB5" w:rsidP="00534FB5">
      <w:pPr>
        <w:pStyle w:val="af8"/>
        <w:spacing w:after="0" w:line="360" w:lineRule="auto"/>
        <w:ind w:left="0" w:firstLine="709"/>
        <w:jc w:val="both"/>
        <w:rPr>
          <w:rFonts w:ascii="Times New Roman" w:hAnsi="Times New Roman"/>
          <w:sz w:val="28"/>
          <w:szCs w:val="28"/>
        </w:rPr>
      </w:pPr>
    </w:p>
    <w:p w:rsidR="00534FB5" w:rsidRDefault="00FB0E9D" w:rsidP="00534FB5">
      <w:pPr>
        <w:contextualSpacing/>
        <w:jc w:val="center"/>
        <w:rPr>
          <w:lang w:val="ru-RU"/>
        </w:rPr>
      </w:pPr>
      <w:r w:rsidRPr="00FB0E9D">
        <w:rPr>
          <w:noProof/>
          <w:lang w:val="ru-RU"/>
        </w:rPr>
        <w:drawing>
          <wp:inline distT="0" distB="0" distL="0" distR="0">
            <wp:extent cx="4381500" cy="253365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34FB5" w:rsidRDefault="00534FB5" w:rsidP="00534FB5">
      <w:pPr>
        <w:ind w:firstLine="567"/>
        <w:contextualSpacing/>
      </w:pPr>
      <w:r w:rsidRPr="00E40BFA">
        <w:t>Рис.</w:t>
      </w:r>
      <w:r>
        <w:t> </w:t>
      </w:r>
      <w:r w:rsidRPr="00E40BFA">
        <w:t>3.4.3.2</w:t>
      </w:r>
      <w:r>
        <w:t>.</w:t>
      </w:r>
      <w:r w:rsidRPr="00E40BFA">
        <w:t xml:space="preserve"> Середні показники уреази та ступен</w:t>
      </w:r>
      <w:r>
        <w:t>я</w:t>
      </w:r>
      <w:r w:rsidRPr="00E40BFA">
        <w:t xml:space="preserve"> дисбіозу ротової порожнини дітей КГ та ОГ.</w:t>
      </w:r>
    </w:p>
    <w:p w:rsidR="00534FB5" w:rsidRPr="00072D8F" w:rsidRDefault="00534FB5" w:rsidP="00534FB5">
      <w:pPr>
        <w:ind w:firstLine="708"/>
        <w:contextualSpacing/>
      </w:pPr>
    </w:p>
    <w:p w:rsidR="00534FB5" w:rsidRDefault="00534FB5" w:rsidP="00534FB5">
      <w:pPr>
        <w:ind w:firstLine="708"/>
        <w:contextualSpacing/>
      </w:pPr>
      <w:r w:rsidRPr="002E1F4A">
        <w:t xml:space="preserve">Таким чином, можна зазначити, що </w:t>
      </w:r>
      <w:r>
        <w:t xml:space="preserve">у дітей </w:t>
      </w:r>
      <w:r w:rsidR="006C493E">
        <w:t>із вродженою</w:t>
      </w:r>
      <w:r w:rsidRPr="00E40BFA">
        <w:t xml:space="preserve"> глухотою</w:t>
      </w:r>
      <w:r w:rsidRPr="002E1F4A">
        <w:t xml:space="preserve"> в</w:t>
      </w:r>
      <w:r w:rsidRPr="00E40BFA">
        <w:t>иявлені порушення місцевого імунітету ткан</w:t>
      </w:r>
      <w:r>
        <w:t>ин ротової порожнини</w:t>
      </w:r>
      <w:r w:rsidRPr="00E40BFA">
        <w:t xml:space="preserve">. </w:t>
      </w:r>
      <w:r w:rsidRPr="00E40BFA">
        <w:lastRenderedPageBreak/>
        <w:t xml:space="preserve">Продукування </w:t>
      </w:r>
      <w:r w:rsidRPr="001E7C90">
        <w:rPr>
          <w:rStyle w:val="a9"/>
          <w:bCs/>
          <w:i w:val="0"/>
          <w:iCs w:val="0"/>
          <w:color w:val="000000"/>
        </w:rPr>
        <w:t>sIgA</w:t>
      </w:r>
      <w:r w:rsidRPr="00E40BFA">
        <w:t xml:space="preserve"> та активність лізоциму знижені в 1,53</w:t>
      </w:r>
      <w:r>
        <w:t> </w:t>
      </w:r>
      <w:r w:rsidRPr="00E40BFA">
        <w:t>ра</w:t>
      </w:r>
      <w:r>
        <w:t>за</w:t>
      </w:r>
      <w:r w:rsidRPr="00E40BFA">
        <w:t xml:space="preserve"> (p</w:t>
      </w:r>
      <w:r>
        <w:t>&lt;</w:t>
      </w:r>
      <w:r w:rsidRPr="00E40BFA">
        <w:t xml:space="preserve">0,05) та </w:t>
      </w:r>
      <w:r>
        <w:t>в 1,79 раза</w:t>
      </w:r>
      <w:r w:rsidRPr="00E40BFA">
        <w:t xml:space="preserve"> (p</w:t>
      </w:r>
      <w:r>
        <w:t>&lt;</w:t>
      </w:r>
      <w:r w:rsidRPr="00E40BFA">
        <w:t>0,001)</w:t>
      </w:r>
      <w:r w:rsidRPr="002F4593">
        <w:t xml:space="preserve"> </w:t>
      </w:r>
      <w:r w:rsidRPr="00E40BFA">
        <w:t>відповідно, тоді як активність уреази й показник ступен</w:t>
      </w:r>
      <w:r>
        <w:t>я</w:t>
      </w:r>
      <w:r w:rsidRPr="00E40BFA">
        <w:t xml:space="preserve"> дисбіозу підвищені в 3,28</w:t>
      </w:r>
      <w:r>
        <w:t> раза (p&lt;0,001) і 5,84 раза</w:t>
      </w:r>
      <w:r w:rsidRPr="00E40BFA">
        <w:t xml:space="preserve"> (p</w:t>
      </w:r>
      <w:r>
        <w:t>&lt;</w:t>
      </w:r>
      <w:r w:rsidRPr="00E40BFA">
        <w:t>0,001) відповідно</w:t>
      </w:r>
      <w:r>
        <w:t>,</w:t>
      </w:r>
      <w:r w:rsidRPr="00E40BFA">
        <w:t xml:space="preserve"> порівняно з дітьми першої групи здоров</w:t>
      </w:r>
      <w:r>
        <w:t>’</w:t>
      </w:r>
      <w:r w:rsidRPr="00E40BFA">
        <w:t xml:space="preserve">я без патології слуху. </w:t>
      </w:r>
    </w:p>
    <w:p w:rsidR="00534FB5" w:rsidRPr="00E40BFA" w:rsidRDefault="00534FB5" w:rsidP="00534FB5">
      <w:pPr>
        <w:ind w:firstLine="708"/>
        <w:contextualSpacing/>
      </w:pPr>
    </w:p>
    <w:p w:rsidR="00534FB5" w:rsidRPr="00853C7D" w:rsidRDefault="00534FB5" w:rsidP="00534FB5">
      <w:pPr>
        <w:ind w:firstLine="709"/>
        <w:contextualSpacing/>
        <w:rPr>
          <w:b/>
        </w:rPr>
      </w:pPr>
      <w:r w:rsidRPr="00853C7D">
        <w:rPr>
          <w:b/>
        </w:rPr>
        <w:t>3.5. Мікробіологічне дослідження мікробіо</w:t>
      </w:r>
      <w:r>
        <w:rPr>
          <w:b/>
        </w:rPr>
        <w:t xml:space="preserve">ценозу зубної бляшки у дітей </w:t>
      </w:r>
      <w:r w:rsidR="006C493E">
        <w:rPr>
          <w:b/>
        </w:rPr>
        <w:t>із вродженою</w:t>
      </w:r>
      <w:r w:rsidRPr="00853C7D">
        <w:rPr>
          <w:b/>
        </w:rPr>
        <w:t xml:space="preserve"> глухотою</w:t>
      </w:r>
      <w:r>
        <w:rPr>
          <w:b/>
        </w:rPr>
        <w:t xml:space="preserve"> та у дітей без патології слуху</w:t>
      </w:r>
    </w:p>
    <w:p w:rsidR="00534FB5" w:rsidRPr="00E40BFA" w:rsidRDefault="00534FB5" w:rsidP="00534FB5">
      <w:pPr>
        <w:contextualSpacing/>
        <w:rPr>
          <w:rFonts w:eastAsia="TimesNewRomanPSMT"/>
          <w:caps/>
        </w:rPr>
      </w:pPr>
    </w:p>
    <w:p w:rsidR="00534FB5" w:rsidRPr="00D05C89" w:rsidRDefault="00534FB5" w:rsidP="00534FB5">
      <w:pPr>
        <w:ind w:firstLine="708"/>
        <w:contextualSpacing/>
        <w:rPr>
          <w:rFonts w:eastAsia="TimesNewRomanPSMT"/>
        </w:rPr>
      </w:pPr>
      <w:r w:rsidRPr="00E40BFA">
        <w:rPr>
          <w:rFonts w:eastAsia="TimesNewRomanPSMT"/>
        </w:rPr>
        <w:t xml:space="preserve">У патогенезі стоматологічних захворювань важливу роль відіграють порушення мікробіоти, оскільки порожнина рота є екологічною системою, в якій зовнішні фактори динамічно взаємодіють </w:t>
      </w:r>
      <w:r>
        <w:rPr>
          <w:rFonts w:eastAsia="TimesNewRomanPSMT"/>
        </w:rPr>
        <w:t>і</w:t>
      </w:r>
      <w:r w:rsidRPr="00E40BFA">
        <w:rPr>
          <w:rFonts w:eastAsia="TimesNewRomanPSMT"/>
        </w:rPr>
        <w:t>з внутрішніми, зберігаючи при цьому стан рівноваги</w:t>
      </w:r>
      <w:r w:rsidRPr="00685B6A">
        <w:rPr>
          <w:rFonts w:eastAsia="TimesNewRomanPSMT"/>
        </w:rPr>
        <w:t xml:space="preserve"> [</w:t>
      </w:r>
      <w:r>
        <w:rPr>
          <w:rFonts w:eastAsia="TimesNewRomanPSMT"/>
        </w:rPr>
        <w:t>2</w:t>
      </w:r>
      <w:r w:rsidRPr="00685B6A">
        <w:rPr>
          <w:rFonts w:eastAsia="TimesNewRomanPSMT"/>
        </w:rPr>
        <w:t>]</w:t>
      </w:r>
      <w:r w:rsidRPr="00E40BFA">
        <w:rPr>
          <w:rFonts w:eastAsia="TimesNewRomanPSMT"/>
        </w:rPr>
        <w:t>. Дані літературних джерел свідчать, що з метою оптимізації стоматологічної допомоги та профілактики стоматологічних захворювань проводилис</w:t>
      </w:r>
      <w:r>
        <w:rPr>
          <w:rFonts w:eastAsia="TimesNewRomanPSMT"/>
        </w:rPr>
        <w:t>я</w:t>
      </w:r>
      <w:r w:rsidRPr="00E40BFA">
        <w:rPr>
          <w:rFonts w:eastAsia="TimesNewRomanPSMT"/>
        </w:rPr>
        <w:t xml:space="preserve"> дослідження складу мікробіоценозу порожнини рота у дітей, що страждають на захворювання шлунково-кишкового тракту, цукровий діабет, мають аномалії щелепно-лицевої </w:t>
      </w:r>
      <w:r>
        <w:rPr>
          <w:rFonts w:eastAsia="TimesNewRomanPSMT"/>
        </w:rPr>
        <w:t>ділянки</w:t>
      </w:r>
      <w:r w:rsidRPr="00E40BFA">
        <w:rPr>
          <w:rFonts w:eastAsia="TimesNewRomanPSMT"/>
        </w:rPr>
        <w:t xml:space="preserve"> та ін</w:t>
      </w:r>
      <w:r>
        <w:rPr>
          <w:rFonts w:eastAsia="TimesNewRomanPSMT"/>
        </w:rPr>
        <w:t xml:space="preserve"> </w:t>
      </w:r>
      <w:r w:rsidRPr="00182F38">
        <w:t>[</w:t>
      </w:r>
      <w:r>
        <w:t>35, 62,</w:t>
      </w:r>
      <w:r w:rsidRPr="00FD05EC">
        <w:t xml:space="preserve"> 150</w:t>
      </w:r>
      <w:r w:rsidRPr="00182F38">
        <w:t>]</w:t>
      </w:r>
      <w:r w:rsidRPr="00E40BFA">
        <w:rPr>
          <w:rFonts w:eastAsia="TimesNewRomanPSMT"/>
        </w:rPr>
        <w:t>. Однак особливості мікроекології порожнини рота у дітей зі слухов</w:t>
      </w:r>
      <w:r>
        <w:rPr>
          <w:rFonts w:eastAsia="TimesNewRomanPSMT"/>
        </w:rPr>
        <w:t>ою депривацією є мало вивченими.</w:t>
      </w:r>
    </w:p>
    <w:p w:rsidR="00534FB5" w:rsidRPr="00D05C89" w:rsidRDefault="00534FB5" w:rsidP="00534FB5">
      <w:pPr>
        <w:contextualSpacing/>
        <w:rPr>
          <w:b/>
        </w:rPr>
      </w:pPr>
      <w:r w:rsidRPr="00E40BFA">
        <w:tab/>
      </w:r>
      <w:r w:rsidRPr="00853C7D">
        <w:rPr>
          <w:b/>
        </w:rPr>
        <w:t>3.5.1. Характеристика мікробіо</w:t>
      </w:r>
      <w:r>
        <w:rPr>
          <w:b/>
        </w:rPr>
        <w:t xml:space="preserve">ценозу зубної бляшки у дітей </w:t>
      </w:r>
      <w:r w:rsidR="006C493E">
        <w:rPr>
          <w:b/>
        </w:rPr>
        <w:t>із вродженою</w:t>
      </w:r>
      <w:r w:rsidRPr="00853C7D">
        <w:rPr>
          <w:b/>
        </w:rPr>
        <w:t xml:space="preserve"> глухотою у порівнянні з дітьми без патології слуху</w:t>
      </w:r>
    </w:p>
    <w:p w:rsidR="00534FB5" w:rsidRPr="00E40BFA" w:rsidRDefault="00534FB5" w:rsidP="00534FB5">
      <w:pPr>
        <w:ind w:firstLine="708"/>
        <w:contextualSpacing/>
      </w:pPr>
      <w:r w:rsidRPr="00E40BFA">
        <w:t xml:space="preserve">Матеріалом для дослідження була мікрофлора зубного нальоту пришийкової ділянки зубів у пацієнтів основної та контрольної груп. Мікробіологічні дослідження включали визначення якісного та кількісного складу біоценозу зубної бляшки. </w:t>
      </w:r>
    </w:p>
    <w:p w:rsidR="00534FB5" w:rsidRPr="00D05C89" w:rsidRDefault="00534FB5" w:rsidP="00707363">
      <w:pPr>
        <w:ind w:firstLine="708"/>
        <w:contextualSpacing/>
      </w:pPr>
      <w:r w:rsidRPr="00E40BFA">
        <w:t xml:space="preserve">Встановлено, що мікробіоценози зубної бляшки у </w:t>
      </w:r>
      <w:r>
        <w:t>ДВГ</w:t>
      </w:r>
      <w:r w:rsidRPr="00E40BFA">
        <w:t xml:space="preserve"> та у практично здорових дітей складалис</w:t>
      </w:r>
      <w:r>
        <w:t>я</w:t>
      </w:r>
      <w:r w:rsidRPr="00E40BFA">
        <w:t xml:space="preserve"> з аеробної, факультативно-анаеробної та анаеробної мікрофлори.</w:t>
      </w:r>
      <w:r w:rsidR="00707363">
        <w:t xml:space="preserve"> На </w:t>
      </w:r>
      <w:r w:rsidR="00707363" w:rsidRPr="00E40BFA">
        <w:t>рис</w:t>
      </w:r>
      <w:r w:rsidR="00707363">
        <w:t>унку 3.5.1.1 видно, що ш</w:t>
      </w:r>
      <w:r w:rsidR="00707363" w:rsidRPr="00E40BFA">
        <w:t>тами бактерій та дріжджеподібних грибів персистували в асоціаціях з 2-6</w:t>
      </w:r>
      <w:r w:rsidR="00707363">
        <w:t>-ма</w:t>
      </w:r>
      <w:r w:rsidR="00707363" w:rsidRPr="00E40BFA">
        <w:t xml:space="preserve"> представник</w:t>
      </w:r>
      <w:r w:rsidR="00707363">
        <w:t>ами</w:t>
      </w:r>
      <w:r w:rsidR="00707363" w:rsidRPr="00E40BFA">
        <w:t xml:space="preserve"> мікробного світу.</w:t>
      </w:r>
    </w:p>
    <w:p w:rsidR="00534FB5" w:rsidRPr="00E40BFA" w:rsidRDefault="00534FB5" w:rsidP="00534FB5">
      <w:pPr>
        <w:ind w:firstLine="708"/>
        <w:contextualSpacing/>
      </w:pPr>
    </w:p>
    <w:p w:rsidR="00102697" w:rsidRPr="00401DCB" w:rsidRDefault="00597E77" w:rsidP="00401DCB">
      <w:pPr>
        <w:ind w:left="709"/>
      </w:pPr>
      <w:r w:rsidRPr="00597E77">
        <w:rPr>
          <w:color w:val="FF0000"/>
        </w:rPr>
      </w:r>
      <w:r w:rsidRPr="00597E77">
        <w:rPr>
          <w:color w:val="FF0000"/>
        </w:rPr>
        <w:pict>
          <v:group id="_x0000_s1033" editas="canvas" style="width:370.95pt;height:227.85pt;mso-position-horizontal-relative:char;mso-position-vertical-relative:line" coordsize="11890,51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890;height:5103" o:preferrelative="f">
              <v:fill o:detectmouseclick="t"/>
              <v:path o:extrusionok="t" o:connecttype="none"/>
              <o:lock v:ext="edit" text="t"/>
            </v:shape>
            <v:rect id="_x0000_s1034" style="position:absolute;top:62;width:8838;height:4662" strokeweight="33e-5mm"/>
            <v:rect id="_x0000_s1035" style="position:absolute;left:761;top:1059;width:6041;height:2666" filled="f" stroked="f"/>
            <v:line id="_x0000_s1036" style="position:absolute" from="761,3426" to="6802,3427" strokeweight="0"/>
            <v:line id="_x0000_s1038" style="position:absolute" from="761,2877" to="6802,2878" strokeweight="0"/>
            <v:line id="_x0000_s1040" style="position:absolute" from="761,2243" to="6802,2244" strokeweight="0"/>
            <v:line id="_x0000_s1042" style="position:absolute" from="761,1657" to="6802,1658" strokeweight="0"/>
            <v:line id="_x0000_s1044" style="position:absolute" from="761,1059" to="6802,1060" strokeweight="0"/>
            <v:rect id="_x0000_s1045" style="position:absolute;left:761;top:1059;width:6041;height:2666" filled="f" strokeweight=".25pt"/>
            <v:rect id="_x0000_s1046" style="position:absolute;left:1112;top:3651;width:468;height:74" stroked="f"/>
            <v:rect id="_x0000_s1047" style="position:absolute;left:1112;top:3651;width:468;height:74" fillcolor="#92d050" strokeweight="33e-5mm"/>
            <v:rect id="_x0000_s1048" style="position:absolute;left:4133;top:3700;width:468;height:25" stroked="f"/>
            <v:rect id="_x0000_s1049" style="position:absolute;left:4133;top:3700;width:468;height:25" fillcolor="#92d050" strokeweight="33e-5mm"/>
            <v:rect id="_x0000_s1050" style="position:absolute;left:1580;top:1258;width:457;height:2467" fillcolor="yellow" stroked="f"/>
            <v:rect id="_x0000_s1051" style="position:absolute;left:1580;top:1258;width:457;height:2467" filled="f" strokeweight="33e-5mm"/>
            <v:rect id="_x0000_s1052" style="position:absolute;left:4601;top:3277;width:457;height:448" fillcolor="yellow" stroked="f"/>
            <v:rect id="_x0000_s1053" style="position:absolute;left:4601;top:3277;width:457;height:448" filled="f" strokeweight="33e-5mm"/>
            <v:rect id="_x0000_s1054" style="position:absolute;left:2037;top:3302;width:468;height:423" fillcolor="#00b0f0" stroked="f"/>
            <v:rect id="_x0000_s1055" style="position:absolute;left:2037;top:3302;width:468;height:423" filled="f" strokeweight="33e-5mm"/>
            <v:rect id="_x0000_s1056" style="position:absolute;left:5058;top:1844;width:468;height:1881" fillcolor="#00b0f0" stroked="f"/>
            <v:rect id="_x0000_s1057" style="position:absolute;left:5058;top:1844;width:468;height:1881" filled="f" strokeweight="33e-5mm"/>
            <v:rect id="_x0000_s1058" style="position:absolute;left:5526;top:3190;width:456;height:535" stroked="f"/>
            <v:rect id="_x0000_s1059" style="position:absolute;left:5526;top:3190;width:456;height:535" fillcolor="red" strokeweight="33e-5mm"/>
            <v:rect id="_x0000_s1060" style="position:absolute;left:5982;top:3663;width:469;height:62" stroked="f"/>
            <v:rect id="_x0000_s1061" style="position:absolute;left:5982;top:3663;width:469;height:62" fillcolor="gray [1629]" strokeweight="33e-5mm"/>
            <v:line id="_x0000_s1062" style="position:absolute" from="761,1059" to="762,3725" strokeweight="0"/>
            <v:line id="_x0000_s1063" style="position:absolute" from="714,3725" to="761,3726" strokeweight="0"/>
            <v:line id="_x0000_s1064" style="position:absolute" from="714,3426" to="761,3427" strokeweight="0"/>
            <v:line id="_x0000_s1065" style="position:absolute" from="714,3127" to="761,3128" strokeweight="0"/>
            <v:line id="_x0000_s1066" style="position:absolute" from="714,2841" to="761,2842" strokeweight="0"/>
            <v:line id="_x0000_s1067" style="position:absolute" from="714,2542" to="761,2543" strokeweight="0"/>
            <v:line id="_x0000_s1068" style="position:absolute" from="714,2243" to="761,2244" strokeweight="0"/>
            <v:line id="_x0000_s1069" style="position:absolute" from="714,1944" to="761,1945" strokeweight="0"/>
            <v:line id="_x0000_s1070" style="position:absolute" from="714,1657" to="761,1658" strokeweight="0"/>
            <v:line id="_x0000_s1071" style="position:absolute" from="714,1358" to="761,1359" strokeweight="0"/>
            <v:line id="_x0000_s1072" style="position:absolute" from="714,1059" to="761,1060" strokeweight="0"/>
            <v:line id="_x0000_s1073" style="position:absolute" from="761,3725" to="6802,3726" strokeweight="0"/>
            <v:line id="_x0000_s1074" style="position:absolute;flip:y" from="761,3725" to="762,3788" strokeweight="0"/>
            <v:line id="_x0000_s1075" style="position:absolute;flip:y" from="3781,3725" to="3782,3788" strokeweight="0"/>
            <v:line id="_x0000_s1076" style="position:absolute;flip:y" from="6802,3725" to="6803,3788" strokeweight="0"/>
            <v:rect id="_x0000_s1077" style="position:absolute;left:1039;top:3113;width:625;height:541;mso-wrap-style:none" filled="f" stroked="f">
              <v:textbox style="mso-next-textbox:#_x0000_s1077;mso-fit-shape-to-text:t" inset="0,0,0,0">
                <w:txbxContent>
                  <w:p w:rsidR="004B1F33" w:rsidRDefault="004B1F33">
                    <w:r>
                      <w:rPr>
                        <w:rFonts w:ascii="Arial" w:hAnsi="Arial" w:cs="Arial"/>
                        <w:color w:val="000000"/>
                        <w:lang w:val="en-US"/>
                      </w:rPr>
                      <w:t>2,4</w:t>
                    </w:r>
                  </w:p>
                </w:txbxContent>
              </v:textbox>
            </v:rect>
            <v:rect id="_x0000_s1078" style="position:absolute;left:4324;top:3377;width:250;height:541;mso-wrap-style:none" filled="f" stroked="f">
              <v:textbox style="mso-next-textbox:#_x0000_s1078;mso-fit-shape-to-text:t" inset="0,0,0,0">
                <w:txbxContent>
                  <w:p w:rsidR="004B1F33" w:rsidRDefault="004B1F33">
                    <w:r>
                      <w:rPr>
                        <w:rFonts w:ascii="Arial" w:hAnsi="Arial" w:cs="Arial"/>
                        <w:color w:val="000000"/>
                        <w:lang w:val="en-US"/>
                      </w:rPr>
                      <w:t>1</w:t>
                    </w:r>
                  </w:p>
                </w:txbxContent>
              </v:textbox>
            </v:rect>
            <v:rect id="_x0000_s1079" style="position:absolute;left:1498;top:658;width:874;height:541;mso-wrap-style:none" filled="f" stroked="f">
              <v:textbox style="mso-next-textbox:#_x0000_s1079;mso-fit-shape-to-text:t" inset="0,0,0,0">
                <w:txbxContent>
                  <w:p w:rsidR="004B1F33" w:rsidRDefault="004B1F33">
                    <w:r>
                      <w:rPr>
                        <w:rFonts w:ascii="Arial" w:hAnsi="Arial" w:cs="Arial"/>
                        <w:color w:val="000000"/>
                        <w:lang w:val="en-US"/>
                      </w:rPr>
                      <w:t>83,3</w:t>
                    </w:r>
                  </w:p>
                </w:txbxContent>
              </v:textbox>
            </v:rect>
            <v:rect id="_x0000_s1080" style="position:absolute;left:4318;top:2866;width:873;height:540;mso-wrap-style:none" filled="f" stroked="f">
              <v:textbox style="mso-next-textbox:#_x0000_s1080;mso-fit-shape-to-text:t" inset="0,0,0,0">
                <w:txbxContent>
                  <w:p w:rsidR="004B1F33" w:rsidRDefault="004B1F33">
                    <w:r>
                      <w:rPr>
                        <w:rFonts w:ascii="Arial" w:hAnsi="Arial" w:cs="Arial"/>
                        <w:color w:val="000000"/>
                        <w:lang w:val="en-US"/>
                      </w:rPr>
                      <w:t>15,2</w:t>
                    </w:r>
                  </w:p>
                </w:txbxContent>
              </v:textbox>
            </v:rect>
            <v:rect id="_x0000_s1081" style="position:absolute;left:2032;top:2968;width:874;height:540;mso-wrap-style:none" filled="f" stroked="f">
              <v:textbox style="mso-next-textbox:#_x0000_s1081;mso-fit-shape-to-text:t" inset="0,0,0,0">
                <w:txbxContent>
                  <w:p w:rsidR="004B1F33" w:rsidRDefault="004B1F33">
                    <w:r>
                      <w:rPr>
                        <w:rFonts w:ascii="Arial" w:hAnsi="Arial" w:cs="Arial"/>
                        <w:color w:val="000000"/>
                        <w:lang w:val="en-US"/>
                      </w:rPr>
                      <w:t>14,3</w:t>
                    </w:r>
                  </w:p>
                </w:txbxContent>
              </v:textbox>
            </v:rect>
            <v:rect id="_x0000_s1082" style="position:absolute;left:4915;top:1258;width:874;height:540;mso-wrap-style:none" filled="f" stroked="f">
              <v:textbox style="mso-next-textbox:#_x0000_s1082;mso-fit-shape-to-text:t" inset="0,0,0,0">
                <w:txbxContent>
                  <w:p w:rsidR="004B1F33" w:rsidRDefault="004B1F33">
                    <w:r>
                      <w:rPr>
                        <w:rFonts w:ascii="Arial" w:hAnsi="Arial" w:cs="Arial"/>
                        <w:color w:val="000000"/>
                        <w:lang w:val="en-US"/>
                      </w:rPr>
                      <w:t>63,6</w:t>
                    </w:r>
                  </w:p>
                </w:txbxContent>
              </v:textbox>
            </v:rect>
            <v:rect id="_x0000_s1083" style="position:absolute;left:2681;top:3400;width:250;height:541;mso-wrap-style:none" filled="f" stroked="f">
              <v:textbox style="mso-next-textbox:#_x0000_s1083;mso-fit-shape-to-text:t" inset="0,0,0,0">
                <w:txbxContent>
                  <w:p w:rsidR="004B1F33" w:rsidRDefault="004B1F33">
                    <w:r>
                      <w:rPr>
                        <w:rFonts w:ascii="Arial" w:hAnsi="Arial" w:cs="Arial"/>
                        <w:color w:val="000000"/>
                        <w:lang w:val="en-US"/>
                      </w:rPr>
                      <w:t>0</w:t>
                    </w:r>
                  </w:p>
                </w:txbxContent>
              </v:textbox>
            </v:rect>
            <v:rect id="_x0000_s1084" style="position:absolute;left:5564;top:2866;width:874;height:540;mso-wrap-style:none" filled="f" stroked="f">
              <v:textbox style="mso-next-textbox:#_x0000_s1084;mso-fit-shape-to-text:t" inset="0,0,0,0">
                <w:txbxContent>
                  <w:p w:rsidR="004B1F33" w:rsidRDefault="004B1F33">
                    <w:r>
                      <w:rPr>
                        <w:rFonts w:ascii="Arial" w:hAnsi="Arial" w:cs="Arial"/>
                        <w:color w:val="000000"/>
                        <w:lang w:val="en-US"/>
                      </w:rPr>
                      <w:t>18,2</w:t>
                    </w:r>
                  </w:p>
                </w:txbxContent>
              </v:textbox>
            </v:rect>
            <v:rect id="_x0000_s1085" style="position:absolute;left:3144;top:3400;width:250;height:541;mso-wrap-style:none" filled="f" stroked="f">
              <v:textbox style="mso-next-textbox:#_x0000_s1085;mso-fit-shape-to-text:t" inset="0,0,0,0">
                <w:txbxContent>
                  <w:p w:rsidR="004B1F33" w:rsidRDefault="004B1F33">
                    <w:r>
                      <w:rPr>
                        <w:rFonts w:ascii="Arial" w:hAnsi="Arial" w:cs="Arial"/>
                        <w:color w:val="000000"/>
                        <w:lang w:val="en-US"/>
                      </w:rPr>
                      <w:t>0</w:t>
                    </w:r>
                  </w:p>
                </w:txbxContent>
              </v:textbox>
            </v:rect>
            <v:rect id="_x0000_s1086" style="position:absolute;left:6170;top:3339;width:250;height:537;mso-wrap-style:none" filled="f" stroked="f">
              <v:textbox style="mso-next-textbox:#_x0000_s1086" inset="0,0,0,0">
                <w:txbxContent>
                  <w:p w:rsidR="004B1F33" w:rsidRDefault="004B1F33">
                    <w:r>
                      <w:rPr>
                        <w:rFonts w:ascii="Arial" w:hAnsi="Arial" w:cs="Arial"/>
                        <w:color w:val="000000"/>
                        <w:lang w:val="en-US"/>
                      </w:rPr>
                      <w:t>2</w:t>
                    </w:r>
                  </w:p>
                </w:txbxContent>
              </v:textbox>
            </v:rect>
            <v:rect id="_x0000_s1087" style="position:absolute;left:566;top:3624;width:142;height:309;mso-wrap-style:none" filled="f" stroked="f">
              <v:textbox style="mso-next-textbox:#_x0000_s1087;mso-fit-shape-to-text:t" inset="0,0,0,0">
                <w:txbxContent>
                  <w:p w:rsidR="004B1F33" w:rsidRDefault="004B1F33">
                    <w:r>
                      <w:rPr>
                        <w:rFonts w:ascii="Arial" w:hAnsi="Arial" w:cs="Arial"/>
                        <w:color w:val="000000"/>
                        <w:sz w:val="16"/>
                        <w:szCs w:val="16"/>
                        <w:lang w:val="en-US"/>
                      </w:rPr>
                      <w:t>0</w:t>
                    </w:r>
                  </w:p>
                </w:txbxContent>
              </v:textbox>
            </v:rect>
            <v:rect id="_x0000_s1088" style="position:absolute;left:481;top:3325;width:285;height:309;mso-wrap-style:none" filled="f" stroked="f">
              <v:textbox style="mso-next-textbox:#_x0000_s1088;mso-fit-shape-to-text:t" inset="0,0,0,0">
                <w:txbxContent>
                  <w:p w:rsidR="004B1F33" w:rsidRDefault="004B1F33">
                    <w:r>
                      <w:rPr>
                        <w:rFonts w:ascii="Arial" w:hAnsi="Arial" w:cs="Arial"/>
                        <w:color w:val="000000"/>
                        <w:sz w:val="16"/>
                        <w:szCs w:val="16"/>
                        <w:lang w:val="en-US"/>
                      </w:rPr>
                      <w:t>10</w:t>
                    </w:r>
                  </w:p>
                </w:txbxContent>
              </v:textbox>
            </v:rect>
            <v:rect id="_x0000_s1089" style="position:absolute;left:481;top:3027;width:285;height:309;mso-wrap-style:none" filled="f" stroked="f">
              <v:textbox style="mso-next-textbox:#_x0000_s1089;mso-fit-shape-to-text:t" inset="0,0,0,0">
                <w:txbxContent>
                  <w:p w:rsidR="004B1F33" w:rsidRDefault="004B1F33">
                    <w:r>
                      <w:rPr>
                        <w:rFonts w:ascii="Arial" w:hAnsi="Arial" w:cs="Arial"/>
                        <w:color w:val="000000"/>
                        <w:sz w:val="16"/>
                        <w:szCs w:val="16"/>
                        <w:lang w:val="en-US"/>
                      </w:rPr>
                      <w:t>20</w:t>
                    </w:r>
                  </w:p>
                </w:txbxContent>
              </v:textbox>
            </v:rect>
            <v:rect id="_x0000_s1090" style="position:absolute;left:481;top:2741;width:285;height:309;mso-wrap-style:none" filled="f" stroked="f">
              <v:textbox style="mso-next-textbox:#_x0000_s1090;mso-fit-shape-to-text:t" inset="0,0,0,0">
                <w:txbxContent>
                  <w:p w:rsidR="004B1F33" w:rsidRDefault="004B1F33">
                    <w:r>
                      <w:rPr>
                        <w:rFonts w:ascii="Arial" w:hAnsi="Arial" w:cs="Arial"/>
                        <w:color w:val="000000"/>
                        <w:sz w:val="16"/>
                        <w:szCs w:val="16"/>
                        <w:lang w:val="en-US"/>
                      </w:rPr>
                      <w:t>30</w:t>
                    </w:r>
                  </w:p>
                </w:txbxContent>
              </v:textbox>
            </v:rect>
            <v:rect id="_x0000_s1091" style="position:absolute;left:481;top:2442;width:285;height:309;mso-wrap-style:none" filled="f" stroked="f">
              <v:textbox style="mso-next-textbox:#_x0000_s1091;mso-fit-shape-to-text:t" inset="0,0,0,0">
                <w:txbxContent>
                  <w:p w:rsidR="004B1F33" w:rsidRDefault="004B1F33">
                    <w:r>
                      <w:rPr>
                        <w:rFonts w:ascii="Arial" w:hAnsi="Arial" w:cs="Arial"/>
                        <w:color w:val="000000"/>
                        <w:sz w:val="16"/>
                        <w:szCs w:val="16"/>
                        <w:lang w:val="en-US"/>
                      </w:rPr>
                      <w:t>40</w:t>
                    </w:r>
                  </w:p>
                </w:txbxContent>
              </v:textbox>
            </v:rect>
            <v:rect id="_x0000_s1092" style="position:absolute;left:481;top:2144;width:285;height:310;mso-wrap-style:none" filled="f" stroked="f">
              <v:textbox style="mso-next-textbox:#_x0000_s1092;mso-fit-shape-to-text:t" inset="0,0,0,0">
                <w:txbxContent>
                  <w:p w:rsidR="004B1F33" w:rsidRDefault="004B1F33">
                    <w:r>
                      <w:rPr>
                        <w:rFonts w:ascii="Arial" w:hAnsi="Arial" w:cs="Arial"/>
                        <w:color w:val="000000"/>
                        <w:sz w:val="16"/>
                        <w:szCs w:val="16"/>
                        <w:lang w:val="en-US"/>
                      </w:rPr>
                      <w:t>50</w:t>
                    </w:r>
                  </w:p>
                </w:txbxContent>
              </v:textbox>
            </v:rect>
            <v:rect id="_x0000_s1093" style="position:absolute;left:481;top:1843;width:285;height:309;mso-wrap-style:none" filled="f" stroked="f">
              <v:textbox style="mso-next-textbox:#_x0000_s1093;mso-fit-shape-to-text:t" inset="0,0,0,0">
                <w:txbxContent>
                  <w:p w:rsidR="004B1F33" w:rsidRDefault="004B1F33">
                    <w:r>
                      <w:rPr>
                        <w:rFonts w:ascii="Arial" w:hAnsi="Arial" w:cs="Arial"/>
                        <w:color w:val="000000"/>
                        <w:sz w:val="16"/>
                        <w:szCs w:val="16"/>
                        <w:lang w:val="en-US"/>
                      </w:rPr>
                      <w:t>60</w:t>
                    </w:r>
                  </w:p>
                </w:txbxContent>
              </v:textbox>
            </v:rect>
            <v:rect id="_x0000_s1094" style="position:absolute;left:481;top:1558;width:285;height:309;mso-wrap-style:none" filled="f" stroked="f">
              <v:textbox style="mso-next-textbox:#_x0000_s1094;mso-fit-shape-to-text:t" inset="0,0,0,0">
                <w:txbxContent>
                  <w:p w:rsidR="004B1F33" w:rsidRDefault="004B1F33">
                    <w:r>
                      <w:rPr>
                        <w:rFonts w:ascii="Arial" w:hAnsi="Arial" w:cs="Arial"/>
                        <w:color w:val="000000"/>
                        <w:sz w:val="16"/>
                        <w:szCs w:val="16"/>
                        <w:lang w:val="en-US"/>
                      </w:rPr>
                      <w:t>70</w:t>
                    </w:r>
                  </w:p>
                </w:txbxContent>
              </v:textbox>
            </v:rect>
            <v:rect id="_x0000_s1095" style="position:absolute;left:481;top:1258;width:285;height:309;mso-wrap-style:none" filled="f" stroked="f">
              <v:textbox style="mso-next-textbox:#_x0000_s1095;mso-fit-shape-to-text:t" inset="0,0,0,0">
                <w:txbxContent>
                  <w:p w:rsidR="004B1F33" w:rsidRDefault="004B1F33">
                    <w:r>
                      <w:rPr>
                        <w:rFonts w:ascii="Arial" w:hAnsi="Arial" w:cs="Arial"/>
                        <w:color w:val="000000"/>
                        <w:sz w:val="16"/>
                        <w:szCs w:val="16"/>
                        <w:lang w:val="en-US"/>
                      </w:rPr>
                      <w:t>80</w:t>
                    </w:r>
                  </w:p>
                </w:txbxContent>
              </v:textbox>
            </v:rect>
            <v:rect id="_x0000_s1096" style="position:absolute;left:481;top:960;width:285;height:309;mso-wrap-style:none" filled="f" stroked="f">
              <v:textbox style="mso-next-textbox:#_x0000_s1096;mso-fit-shape-to-text:t" inset="0,0,0,0">
                <w:txbxContent>
                  <w:p w:rsidR="004B1F33" w:rsidRDefault="004B1F33">
                    <w:r>
                      <w:rPr>
                        <w:rFonts w:ascii="Arial" w:hAnsi="Arial" w:cs="Arial"/>
                        <w:color w:val="000000"/>
                        <w:sz w:val="16"/>
                        <w:szCs w:val="16"/>
                        <w:lang w:val="en-US"/>
                      </w:rPr>
                      <w:t>90</w:t>
                    </w:r>
                  </w:p>
                </w:txbxContent>
              </v:textbox>
            </v:rect>
            <v:rect id="_x0000_s1097" style="position:absolute;left:5096;top:3903;width:962;height:888;mso-wrap-style:none" filled="f" stroked="f">
              <v:textbox style="mso-next-textbox:#_x0000_s1097;mso-fit-shape-to-text:t" inset="0,0,0,0">
                <w:txbxContent>
                  <w:p w:rsidR="004B1F33" w:rsidRDefault="004B1F33">
                    <w:pPr>
                      <w:rPr>
                        <w:rFonts w:ascii="Arial" w:hAnsi="Arial" w:cs="Arial"/>
                        <w:color w:val="000000"/>
                        <w:sz w:val="18"/>
                        <w:szCs w:val="18"/>
                        <w:lang w:val="ru-RU"/>
                      </w:rPr>
                    </w:pPr>
                    <w:r>
                      <w:rPr>
                        <w:rFonts w:ascii="Arial" w:hAnsi="Arial" w:cs="Arial"/>
                        <w:color w:val="000000"/>
                        <w:sz w:val="18"/>
                        <w:szCs w:val="18"/>
                        <w:lang w:val="ru-RU"/>
                      </w:rPr>
                      <w:t>ДВГ, %</w:t>
                    </w:r>
                  </w:p>
                  <w:p w:rsidR="004B1F33" w:rsidRPr="00102697" w:rsidRDefault="004B1F33">
                    <w:pPr>
                      <w:rPr>
                        <w:lang w:val="ru-RU"/>
                      </w:rPr>
                    </w:pPr>
                  </w:p>
                </w:txbxContent>
              </v:textbox>
            </v:rect>
            <v:rect id="_x0000_s1098" style="position:absolute;left:1585;top:3903;width:1109;height:347;mso-wrap-style:none" filled="f" stroked="f">
              <v:textbox style="mso-next-textbox:#_x0000_s1098;mso-fit-shape-to-text:t" inset="0,0,0,0">
                <w:txbxContent>
                  <w:p w:rsidR="004B1F33" w:rsidRPr="00102697" w:rsidRDefault="004B1F33">
                    <w:pPr>
                      <w:rPr>
                        <w:lang w:val="ru-RU"/>
                      </w:rPr>
                    </w:pPr>
                    <w:r>
                      <w:rPr>
                        <w:rFonts w:ascii="Arial" w:hAnsi="Arial" w:cs="Arial"/>
                        <w:color w:val="000000"/>
                        <w:sz w:val="18"/>
                        <w:szCs w:val="18"/>
                        <w:lang w:val="en-US"/>
                      </w:rPr>
                      <w:t xml:space="preserve"> </w:t>
                    </w:r>
                    <w:r>
                      <w:rPr>
                        <w:rFonts w:ascii="Arial" w:hAnsi="Arial" w:cs="Arial"/>
                        <w:color w:val="000000"/>
                        <w:sz w:val="18"/>
                        <w:szCs w:val="18"/>
                        <w:lang w:val="ru-RU"/>
                      </w:rPr>
                      <w:t>ДНС, %</w:t>
                    </w:r>
                  </w:p>
                </w:txbxContent>
              </v:textbox>
            </v:rect>
            <v:rect id="_x0000_s1100" style="position:absolute;left:6919;top:2205;width:1764;height:1521" strokeweight="0"/>
            <v:rect id="_x0000_s1101" style="position:absolute;left:6977;top:2305;width:106;height:112" stroked="f"/>
            <v:rect id="_x0000_s1102" style="position:absolute;left:6977;top:2305;width:106;height:112" fillcolor="#92d050" strokeweight="33e-5mm"/>
            <v:rect id="_x0000_s1103" style="position:absolute;left:7145;top:2255;width:1892;height:347;mso-wrap-style:none" filled="f" stroked="f">
              <v:textbox style="mso-next-textbox:#_x0000_s1103;mso-fit-shape-to-text:t" inset="0,0,0,0">
                <w:txbxContent>
                  <w:p w:rsidR="004B1F33" w:rsidRDefault="004B1F33">
                    <w:r>
                      <w:rPr>
                        <w:rFonts w:ascii="Arial" w:hAnsi="Arial" w:cs="Arial"/>
                        <w:color w:val="000000"/>
                        <w:sz w:val="18"/>
                        <w:szCs w:val="18"/>
                        <w:lang w:val="en-US"/>
                      </w:rPr>
                      <w:t>2-компонентні</w:t>
                    </w:r>
                  </w:p>
                </w:txbxContent>
              </v:textbox>
            </v:rect>
            <v:rect id="_x0000_s1104" style="position:absolute;left:6977;top:2592;width:106;height:112" fillcolor="black" stroked="f"/>
            <v:rect id="_x0000_s1105" style="position:absolute;left:6977;top:2592;width:106;height:112" fillcolor="yellow" strokeweight="33e-5mm"/>
            <v:rect id="_x0000_s1106" style="position:absolute;left:7148;top:2541;width:1893;height:347;mso-wrap-style:none" filled="f" stroked="f">
              <v:textbox style="mso-next-textbox:#_x0000_s1106;mso-fit-shape-to-text:t" inset="0,0,0,0">
                <w:txbxContent>
                  <w:p w:rsidR="004B1F33" w:rsidRDefault="004B1F33">
                    <w:r>
                      <w:rPr>
                        <w:rFonts w:ascii="Arial" w:hAnsi="Arial" w:cs="Arial"/>
                        <w:color w:val="000000"/>
                        <w:sz w:val="18"/>
                        <w:szCs w:val="18"/>
                        <w:lang w:val="en-US"/>
                      </w:rPr>
                      <w:t>3-компонентні</w:t>
                    </w:r>
                  </w:p>
                </w:txbxContent>
              </v:textbox>
            </v:rect>
            <v:rect id="_x0000_s1107" style="position:absolute;left:6977;top:2878;width:106;height:112" fillcolor="black" stroked="f"/>
            <v:rect id="_x0000_s1108" style="position:absolute;left:6977;top:2878;width:106;height:112" fillcolor="#00b0f0" strokeweight="33e-5mm"/>
            <v:rect id="_x0000_s1109" style="position:absolute;left:7145;top:2823;width:1892;height:347;mso-wrap-style:none" filled="f" stroked="f">
              <v:textbox style="mso-next-textbox:#_x0000_s1109;mso-fit-shape-to-text:t" inset="0,0,0,0">
                <w:txbxContent>
                  <w:p w:rsidR="004B1F33" w:rsidRDefault="004B1F33">
                    <w:r>
                      <w:rPr>
                        <w:rFonts w:ascii="Arial" w:hAnsi="Arial" w:cs="Arial"/>
                        <w:color w:val="000000"/>
                        <w:sz w:val="18"/>
                        <w:szCs w:val="18"/>
                        <w:lang w:val="en-US"/>
                      </w:rPr>
                      <w:t>4-компонентні</w:t>
                    </w:r>
                  </w:p>
                </w:txbxContent>
              </v:textbox>
            </v:rect>
            <v:rect id="_x0000_s1110" style="position:absolute;left:6977;top:3165;width:106;height:112" fillcolor="black" stroked="f"/>
            <v:rect id="_x0000_s1111" style="position:absolute;left:6977;top:3165;width:106;height:112" fillcolor="red" strokeweight="33e-5mm"/>
            <v:rect id="_x0000_s1112" style="position:absolute;left:7145;top:3116;width:1892;height:348;mso-wrap-style:none" filled="f" stroked="f">
              <v:textbox style="mso-next-textbox:#_x0000_s1112;mso-fit-shape-to-text:t" inset="0,0,0,0">
                <w:txbxContent>
                  <w:p w:rsidR="004B1F33" w:rsidRDefault="004B1F33">
                    <w:r>
                      <w:rPr>
                        <w:rFonts w:ascii="Arial" w:hAnsi="Arial" w:cs="Arial"/>
                        <w:color w:val="000000"/>
                        <w:sz w:val="18"/>
                        <w:szCs w:val="18"/>
                        <w:lang w:val="en-US"/>
                      </w:rPr>
                      <w:t>5-компонентні</w:t>
                    </w:r>
                  </w:p>
                </w:txbxContent>
              </v:textbox>
            </v:rect>
            <v:rect id="_x0000_s1113" style="position:absolute;left:6977;top:3451;width:106;height:112" fillcolor="black" stroked="f"/>
            <v:rect id="_x0000_s1114" style="position:absolute;left:6977;top:3451;width:106;height:112" fillcolor="#7f7f7f [1612]" strokeweight="33e-5mm"/>
            <v:rect id="_x0000_s1115" style="position:absolute;left:7145;top:3399;width:1892;height:347;mso-wrap-style:none" filled="f" stroked="f">
              <v:textbox style="mso-next-textbox:#_x0000_s1115;mso-fit-shape-to-text:t" inset="0,0,0,0">
                <w:txbxContent>
                  <w:p w:rsidR="004B1F33" w:rsidRDefault="004B1F33">
                    <w:r>
                      <w:rPr>
                        <w:rFonts w:ascii="Arial" w:hAnsi="Arial" w:cs="Arial"/>
                        <w:color w:val="000000"/>
                        <w:sz w:val="18"/>
                        <w:szCs w:val="18"/>
                        <w:lang w:val="en-US"/>
                      </w:rPr>
                      <w:t>6-компонентні</w:t>
                    </w:r>
                  </w:p>
                </w:txbxContent>
              </v:textbox>
            </v:rect>
            <v:rect id="_x0000_s1116" style="position:absolute;left:917;top:128;width:8779;height:4663" filled="f" stroked="f" strokeweight="33e-5mm"/>
            <w10:wrap type="none"/>
            <w10:anchorlock/>
          </v:group>
        </w:pict>
      </w:r>
    </w:p>
    <w:p w:rsidR="00534FB5" w:rsidRDefault="00534FB5" w:rsidP="00534FB5">
      <w:pPr>
        <w:ind w:firstLine="709"/>
        <w:contextualSpacing/>
        <w:rPr>
          <w:bCs/>
          <w:color w:val="000000"/>
        </w:rPr>
      </w:pPr>
      <w:r w:rsidRPr="0071146D">
        <w:rPr>
          <w:bCs/>
          <w:color w:val="000000"/>
        </w:rPr>
        <w:t>Рис.</w:t>
      </w:r>
      <w:r>
        <w:t> </w:t>
      </w:r>
      <w:r w:rsidRPr="0071146D">
        <w:t>3.5.1.1</w:t>
      </w:r>
      <w:r>
        <w:t>.</w:t>
      </w:r>
      <w:r w:rsidRPr="0071146D">
        <w:rPr>
          <w:bCs/>
          <w:color w:val="000000"/>
        </w:rPr>
        <w:t xml:space="preserve"> Кількісна характеристика мікробних асоціацій, ізольованих </w:t>
      </w:r>
      <w:r>
        <w:rPr>
          <w:bCs/>
          <w:color w:val="000000"/>
        </w:rPr>
        <w:t xml:space="preserve">із зубної бляшки дітей </w:t>
      </w:r>
      <w:r w:rsidR="006C493E">
        <w:rPr>
          <w:bCs/>
          <w:color w:val="000000"/>
        </w:rPr>
        <w:t>із вродженою</w:t>
      </w:r>
      <w:r w:rsidRPr="0071146D">
        <w:rPr>
          <w:bCs/>
          <w:color w:val="000000"/>
        </w:rPr>
        <w:t xml:space="preserve"> глухотою та дітей контрольної групи.</w:t>
      </w:r>
    </w:p>
    <w:p w:rsidR="00534FB5" w:rsidRDefault="00534FB5" w:rsidP="00534FB5">
      <w:pPr>
        <w:ind w:firstLine="709"/>
        <w:contextualSpacing/>
        <w:rPr>
          <w:bCs/>
          <w:color w:val="000000"/>
        </w:rPr>
      </w:pPr>
    </w:p>
    <w:p w:rsidR="00534FB5" w:rsidRDefault="00534FB5" w:rsidP="00534FB5">
      <w:pPr>
        <w:ind w:firstLine="708"/>
        <w:contextualSpacing/>
      </w:pPr>
      <w:r w:rsidRPr="00CC55A5">
        <w:t xml:space="preserve">Двокомпонентні асоціації вилучено у поодиноких випадках у дітей обох груп, 3-компонентні мікробіоценози </w:t>
      </w:r>
      <w:r>
        <w:t>трапля</w:t>
      </w:r>
      <w:r w:rsidRPr="00CC55A5">
        <w:t>лис</w:t>
      </w:r>
      <w:r>
        <w:t>я</w:t>
      </w:r>
      <w:r w:rsidRPr="00CC55A5">
        <w:t xml:space="preserve"> у практично здорових дітей у 5,5</w:t>
      </w:r>
      <w:r>
        <w:t> </w:t>
      </w:r>
      <w:r w:rsidRPr="00CC55A5">
        <w:t>раз</w:t>
      </w:r>
      <w:r>
        <w:t>а</w:t>
      </w:r>
      <w:r w:rsidRPr="00CC55A5">
        <w:t xml:space="preserve"> частіше, ніж у </w:t>
      </w:r>
      <w:r>
        <w:t>ДВГ</w:t>
      </w:r>
      <w:r w:rsidRPr="00CC55A5">
        <w:t xml:space="preserve">. </w:t>
      </w:r>
      <w:r w:rsidRPr="00E40BFA">
        <w:t>Натомість асоціації з 4-6 ізолятів визначено у 83,8</w:t>
      </w:r>
      <w:r>
        <w:t> </w:t>
      </w:r>
      <w:r w:rsidRPr="00E40BFA">
        <w:t>% дітей основної групи проти 14,3</w:t>
      </w:r>
      <w:r>
        <w:t> </w:t>
      </w:r>
      <w:r w:rsidRPr="00E40BFA">
        <w:t>% обстежених контрольної групи (р</w:t>
      </w:r>
      <w:r>
        <w:t>&lt;</w:t>
      </w:r>
      <w:r w:rsidRPr="00E40BFA">
        <w:t>0,01).</w:t>
      </w:r>
    </w:p>
    <w:p w:rsidR="00DA4AE3" w:rsidRDefault="00534FB5" w:rsidP="00B946B3">
      <w:pPr>
        <w:ind w:firstLine="708"/>
        <w:contextualSpacing/>
      </w:pPr>
      <w:r>
        <w:t xml:space="preserve">Загалом у дітей </w:t>
      </w:r>
      <w:r w:rsidR="006C493E">
        <w:t>із вродженою</w:t>
      </w:r>
      <w:r w:rsidRPr="00E40BFA">
        <w:t xml:space="preserve"> глухотою вилучено 403</w:t>
      </w:r>
      <w:r>
        <w:t> </w:t>
      </w:r>
      <w:r w:rsidRPr="00E40BFA">
        <w:t xml:space="preserve">штами мікроорганізмів, що у середньому </w:t>
      </w:r>
      <w:r w:rsidRPr="00C94CD5">
        <w:t>становило (4,4</w:t>
      </w:r>
      <w:r w:rsidRPr="00C94CD5">
        <w:rPr>
          <w:rFonts w:eastAsia="TimesNewRomanPSMT"/>
        </w:rPr>
        <w:t>±0,7)</w:t>
      </w:r>
      <w:r w:rsidRPr="00E40BFA">
        <w:t xml:space="preserve"> ізоляти на одного обстеженого. У дітей групи порівняння ізольовано 131</w:t>
      </w:r>
      <w:r>
        <w:t> </w:t>
      </w:r>
      <w:r w:rsidRPr="00E40BFA">
        <w:t>вид мікроорганізмів</w:t>
      </w:r>
      <w:r w:rsidR="00F0756D">
        <w:t xml:space="preserve">, що </w:t>
      </w:r>
      <w:r w:rsidRPr="00E40BFA">
        <w:t>у середньому</w:t>
      </w:r>
      <w:r w:rsidR="00F0756D">
        <w:t xml:space="preserve"> </w:t>
      </w:r>
      <w:r w:rsidR="00F0756D" w:rsidRPr="00C94CD5">
        <w:t>становило</w:t>
      </w:r>
      <w:r w:rsidRPr="00E40BFA">
        <w:t xml:space="preserve"> (3,1</w:t>
      </w:r>
      <w:r w:rsidRPr="00E40BFA">
        <w:rPr>
          <w:rFonts w:eastAsia="TimesNewRomanPSMT"/>
        </w:rPr>
        <w:t>±0,4)</w:t>
      </w:r>
      <w:r w:rsidR="00F0756D">
        <w:t xml:space="preserve"> штам </w:t>
      </w:r>
      <w:r w:rsidR="00F0756D" w:rsidRPr="00E40BFA">
        <w:t>на одного обстеженого</w:t>
      </w:r>
      <w:r w:rsidRPr="00E40BFA">
        <w:t xml:space="preserve"> (р</w:t>
      </w:r>
      <w:r>
        <w:t>&lt;</w:t>
      </w:r>
      <w:r w:rsidRPr="00E40BFA">
        <w:t>0,01)</w:t>
      </w:r>
      <w:r w:rsidR="00B01D66">
        <w:rPr>
          <w:lang w:val="ru-RU"/>
        </w:rPr>
        <w:t xml:space="preserve"> </w:t>
      </w:r>
      <w:r w:rsidR="00B01D66">
        <w:t>(додаток </w:t>
      </w:r>
      <w:r w:rsidR="008C4F20">
        <w:rPr>
          <w:lang w:val="ru-RU"/>
        </w:rPr>
        <w:t>А</w:t>
      </w:r>
      <w:r w:rsidR="00B01D66">
        <w:t>)</w:t>
      </w:r>
      <w:r w:rsidRPr="00E40BFA">
        <w:t>.</w:t>
      </w:r>
    </w:p>
    <w:p w:rsidR="00B946B3" w:rsidRDefault="00146C1B" w:rsidP="00B946B3">
      <w:pPr>
        <w:ind w:firstLine="708"/>
        <w:contextualSpacing/>
      </w:pPr>
      <w:r>
        <w:t xml:space="preserve"> </w:t>
      </w:r>
      <w:r w:rsidR="00534FB5" w:rsidRPr="00E40BFA">
        <w:t>Структура мікробіоц</w:t>
      </w:r>
      <w:r w:rsidR="00534FB5">
        <w:t xml:space="preserve">енозів зубної бляшки у дітей </w:t>
      </w:r>
      <w:r w:rsidR="006C493E">
        <w:t>із вродженою</w:t>
      </w:r>
      <w:r w:rsidR="00534FB5" w:rsidRPr="00E40BFA">
        <w:t xml:space="preserve"> глухотою вирізнялас</w:t>
      </w:r>
      <w:r w:rsidR="00534FB5">
        <w:t>я</w:t>
      </w:r>
      <w:r w:rsidR="00534FB5" w:rsidRPr="00E40BFA">
        <w:t xml:space="preserve"> як у кількісному</w:t>
      </w:r>
      <w:r w:rsidR="00534FB5">
        <w:t>,</w:t>
      </w:r>
      <w:r w:rsidR="00534FB5" w:rsidRPr="00E40BFA">
        <w:t xml:space="preserve"> так і </w:t>
      </w:r>
      <w:r w:rsidR="00534FB5">
        <w:t xml:space="preserve">в </w:t>
      </w:r>
      <w:r w:rsidR="00534FB5" w:rsidRPr="00E40BFA">
        <w:t xml:space="preserve">якісному </w:t>
      </w:r>
      <w:r w:rsidR="00534FB5">
        <w:t>аспектах</w:t>
      </w:r>
      <w:r w:rsidR="00534FB5" w:rsidRPr="00E40BFA">
        <w:t>: видовий склад представляли 27</w:t>
      </w:r>
      <w:r w:rsidR="00534FB5">
        <w:t> </w:t>
      </w:r>
      <w:r w:rsidR="00534FB5" w:rsidRPr="00E40BFA">
        <w:t>родів бактерій та 2</w:t>
      </w:r>
      <w:r w:rsidR="00534FB5">
        <w:t> </w:t>
      </w:r>
      <w:r w:rsidR="00534FB5" w:rsidRPr="00E40BFA">
        <w:t xml:space="preserve">роди пліснявих </w:t>
      </w:r>
      <w:r w:rsidR="00534FB5">
        <w:t>і</w:t>
      </w:r>
      <w:r w:rsidR="00534FB5" w:rsidRPr="00E40BFA">
        <w:t xml:space="preserve"> дріжджеподібних грибів у серед</w:t>
      </w:r>
      <w:r w:rsidR="00534FB5">
        <w:t>ніх кількостях від lg 3,1 до lg </w:t>
      </w:r>
      <w:r w:rsidR="00534FB5" w:rsidRPr="00E40BFA">
        <w:t>(5,8</w:t>
      </w:r>
      <w:r w:rsidR="00534FB5" w:rsidRPr="00E40BFA">
        <w:rPr>
          <w:rFonts w:eastAsia="TimesNewRomanPSMT"/>
        </w:rPr>
        <w:t>±0,19)</w:t>
      </w:r>
      <w:r w:rsidR="00534FB5">
        <w:t> </w:t>
      </w:r>
      <w:r w:rsidR="00534FB5" w:rsidRPr="00E40BFA">
        <w:t>КУО/г. Суттєво меншим різноманіттям видового складу (ізольовано представників 13</w:t>
      </w:r>
      <w:r w:rsidR="00534FB5">
        <w:t xml:space="preserve">-ти </w:t>
      </w:r>
      <w:r w:rsidR="00534FB5" w:rsidRPr="00E40BFA">
        <w:lastRenderedPageBreak/>
        <w:t xml:space="preserve">родів бактерій </w:t>
      </w:r>
      <w:r w:rsidR="00534FB5">
        <w:t>і</w:t>
      </w:r>
      <w:r w:rsidR="00534FB5" w:rsidRPr="00E40BFA">
        <w:t xml:space="preserve"> 1</w:t>
      </w:r>
      <w:r w:rsidR="00534FB5">
        <w:t>-го</w:t>
      </w:r>
      <w:r w:rsidR="00534FB5" w:rsidRPr="00E40BFA">
        <w:t xml:space="preserve"> роду дріжджеподібних грибів)</w:t>
      </w:r>
      <w:r w:rsidR="008C4F20">
        <w:t xml:space="preserve"> </w:t>
      </w:r>
      <w:r w:rsidR="00534FB5" w:rsidRPr="00E40BFA">
        <w:t xml:space="preserve"> та щільністю заселення (максимальні показники становили lg</w:t>
      </w:r>
      <w:r w:rsidR="00534FB5">
        <w:t> </w:t>
      </w:r>
      <w:r w:rsidR="00534FB5" w:rsidRPr="00E40BFA">
        <w:t>(4,2</w:t>
      </w:r>
      <w:r w:rsidR="00534FB5" w:rsidRPr="00E40BFA">
        <w:rPr>
          <w:rFonts w:eastAsia="TimesNewRomanPSMT"/>
        </w:rPr>
        <w:t>±0,14)</w:t>
      </w:r>
      <w:r w:rsidR="00534FB5" w:rsidRPr="00E40BFA">
        <w:t xml:space="preserve"> КУО/г) характеризувалис</w:t>
      </w:r>
      <w:r w:rsidR="00534FB5">
        <w:t>я</w:t>
      </w:r>
      <w:r w:rsidR="00534FB5" w:rsidRPr="00E40BFA">
        <w:t xml:space="preserve"> мікробіоценози обстеженого біотопу </w:t>
      </w:r>
      <w:r w:rsidR="00534FB5">
        <w:t>в</w:t>
      </w:r>
      <w:r w:rsidR="00534FB5" w:rsidRPr="00E40BFA">
        <w:t xml:space="preserve"> </w:t>
      </w:r>
      <w:r w:rsidR="00534FB5">
        <w:t>дітей контрольної групи (додаток Б).</w:t>
      </w:r>
      <w:r>
        <w:t xml:space="preserve"> </w:t>
      </w:r>
    </w:p>
    <w:p w:rsidR="00DA4AE3" w:rsidRDefault="00534FB5" w:rsidP="00B946B3">
      <w:pPr>
        <w:ind w:firstLine="708"/>
        <w:contextualSpacing/>
      </w:pPr>
      <w:r w:rsidRPr="00055C2F">
        <w:t>Мікрофлора обстеженого біотопу у дітей контрольної групи у переважній більшості представлена грампозитивними бактеріями</w:t>
      </w:r>
      <w:r w:rsidR="00DA4AE3">
        <w:t xml:space="preserve"> </w:t>
      </w:r>
      <w:r w:rsidR="009C42EA">
        <w:t xml:space="preserve">               </w:t>
      </w:r>
      <w:r w:rsidRPr="00055C2F">
        <w:t>(</w:t>
      </w:r>
      <w:r w:rsidRPr="00E40BFA">
        <w:t>ά</w:t>
      </w:r>
      <w:r w:rsidR="009C42EA">
        <w:t> - </w:t>
      </w:r>
      <w:r w:rsidRPr="00055C2F">
        <w:t>гемолітичні стрептококи, аерококи, ентерококи, коринебактерії, лактобактерії, пептострептококи) та нейсеріями, вейллонеллами.</w:t>
      </w:r>
      <w:r w:rsidR="00146C1B">
        <w:t xml:space="preserve"> </w:t>
      </w:r>
    </w:p>
    <w:p w:rsidR="00B946B3" w:rsidRDefault="00534FB5" w:rsidP="00146C1B">
      <w:pPr>
        <w:ind w:firstLine="708"/>
        <w:contextualSpacing/>
      </w:pPr>
      <w:r w:rsidRPr="00E40BFA">
        <w:t xml:space="preserve">Пришийкову ділянку зубів у </w:t>
      </w:r>
      <w:r>
        <w:t>ДВГ</w:t>
      </w:r>
      <w:r w:rsidRPr="00E40BFA">
        <w:t>, окрім вказаних мікроорганізмів (за ви</w:t>
      </w:r>
      <w:r>
        <w:t>нятко</w:t>
      </w:r>
      <w:r w:rsidRPr="00E40BFA">
        <w:t>м аерококів), активно колонізували представники анаеробних грамнегативних бактерій (фузобактерії, бактероїди, превотели, порфиромонади) та актиноміцети.</w:t>
      </w:r>
      <w:r w:rsidR="00146C1B">
        <w:t xml:space="preserve"> </w:t>
      </w:r>
      <w:r w:rsidRPr="00E40BFA">
        <w:t xml:space="preserve"> Крім цього, у вказаної групи дітей виявлено у </w:t>
      </w:r>
      <w:r w:rsidRPr="00C94CD5">
        <w:t>10-20 %</w:t>
      </w:r>
      <w:r w:rsidRPr="00E40BFA">
        <w:t xml:space="preserve"> персистенцію ентеробактерій та неферментуючих грамнегативних бактерій (клебсієли, кишкові палички, ацинетобактер</w:t>
      </w:r>
      <w:r>
        <w:t>ії</w:t>
      </w:r>
      <w:r w:rsidRPr="00E40BFA">
        <w:t>, псевдомонади), які не входять до складу резидентної</w:t>
      </w:r>
      <w:r w:rsidRPr="00055C2F">
        <w:t xml:space="preserve"> </w:t>
      </w:r>
      <w:r w:rsidRPr="00E40BFA">
        <w:t>оральної мікрофлори. У 15</w:t>
      </w:r>
      <w:r>
        <w:t xml:space="preserve">-ти </w:t>
      </w:r>
      <w:r w:rsidRPr="00E40BFA">
        <w:t xml:space="preserve">обстежених дітей основної групи вилучено штами </w:t>
      </w:r>
      <w:r w:rsidRPr="00E40BFA">
        <w:rPr>
          <w:i/>
        </w:rPr>
        <w:t>S.</w:t>
      </w:r>
      <w:r>
        <w:rPr>
          <w:i/>
        </w:rPr>
        <w:t> </w:t>
      </w:r>
      <w:r w:rsidRPr="00E40BFA">
        <w:rPr>
          <w:i/>
        </w:rPr>
        <w:t>aureus</w:t>
      </w:r>
      <w:r w:rsidRPr="00E40BFA">
        <w:t xml:space="preserve"> та </w:t>
      </w:r>
      <w:r w:rsidRPr="00E40BFA">
        <w:rPr>
          <w:i/>
        </w:rPr>
        <w:t>S.</w:t>
      </w:r>
      <w:r>
        <w:rPr>
          <w:i/>
        </w:rPr>
        <w:t> </w:t>
      </w:r>
      <w:r w:rsidRPr="00E40BFA">
        <w:rPr>
          <w:i/>
        </w:rPr>
        <w:t>рyogеnеs</w:t>
      </w:r>
      <w:r w:rsidRPr="00E40BFA">
        <w:t xml:space="preserve"> у кількості lg</w:t>
      </w:r>
      <w:r>
        <w:t> </w:t>
      </w:r>
      <w:r w:rsidRPr="00E40BFA">
        <w:t>(3,2±0,06) та lg</w:t>
      </w:r>
      <w:r>
        <w:t> </w:t>
      </w:r>
      <w:r w:rsidRPr="00E40BFA">
        <w:t>(4,2</w:t>
      </w:r>
      <w:r w:rsidRPr="00E40BFA">
        <w:rPr>
          <w:rFonts w:eastAsia="TimesNewRomanPSMT"/>
        </w:rPr>
        <w:t>±0,29)</w:t>
      </w:r>
      <w:r w:rsidRPr="00E40BFA">
        <w:t xml:space="preserve"> КУО/г відповідно.</w:t>
      </w:r>
      <w:r>
        <w:t xml:space="preserve"> </w:t>
      </w:r>
    </w:p>
    <w:p w:rsidR="00B946B3" w:rsidRDefault="00534FB5" w:rsidP="00146C1B">
      <w:pPr>
        <w:ind w:firstLine="708"/>
        <w:contextualSpacing/>
      </w:pPr>
      <w:r>
        <w:t xml:space="preserve">Слід зазначити, що у дітей </w:t>
      </w:r>
      <w:r w:rsidR="006C493E">
        <w:t>із вродженою</w:t>
      </w:r>
      <w:r w:rsidRPr="00055C2F">
        <w:t xml:space="preserve"> глухотою щільність колонізації обстежених біотопів представниками резидентної мікрофлори</w:t>
      </w:r>
      <w:r w:rsidR="00146C1B">
        <w:t xml:space="preserve"> </w:t>
      </w:r>
      <w:r w:rsidRPr="00055C2F">
        <w:t>(</w:t>
      </w:r>
      <w:r w:rsidRPr="00E40BFA">
        <w:t>ά</w:t>
      </w:r>
      <w:r w:rsidRPr="00055C2F">
        <w:t>-гемолітичні стрептококи, ентерококи, нейсерії) була вища, ніж аналогічних ділянок у дітей контрольної групи (р</w:t>
      </w:r>
      <w:r>
        <w:t>&lt;</w:t>
      </w:r>
      <w:r w:rsidRPr="00055C2F">
        <w:t>0,05).</w:t>
      </w:r>
    </w:p>
    <w:p w:rsidR="00534FB5" w:rsidRPr="00043256" w:rsidRDefault="00146C1B" w:rsidP="00146C1B">
      <w:pPr>
        <w:ind w:firstLine="708"/>
        <w:contextualSpacing/>
      </w:pPr>
      <w:r>
        <w:t xml:space="preserve"> </w:t>
      </w:r>
      <w:r w:rsidR="00534FB5" w:rsidRPr="00055C2F">
        <w:t xml:space="preserve">Окремої уваги заслуговує видовий склад ізольованих </w:t>
      </w:r>
      <w:r w:rsidR="00534FB5" w:rsidRPr="00E40BFA">
        <w:t>ά</w:t>
      </w:r>
      <w:r w:rsidR="00534FB5" w:rsidRPr="00055C2F">
        <w:t>-гемолітичних стрептококів, які у дітей основної групи вилучено у 87,3</w:t>
      </w:r>
      <w:r w:rsidR="00534FB5">
        <w:t> </w:t>
      </w:r>
      <w:r w:rsidR="00534FB5" w:rsidRPr="00055C2F">
        <w:t>% обстежених та у 100</w:t>
      </w:r>
      <w:r w:rsidR="00534FB5">
        <w:t> </w:t>
      </w:r>
      <w:r w:rsidR="00534FB5" w:rsidRPr="00055C2F">
        <w:t>%</w:t>
      </w:r>
      <w:r w:rsidR="00534FB5">
        <w:t xml:space="preserve"> дітей групи порівняння (табл. </w:t>
      </w:r>
      <w:r w:rsidR="00534FB5" w:rsidRPr="00055C2F">
        <w:t>3.5.1.3)</w:t>
      </w:r>
      <w:r w:rsidR="00A5221F" w:rsidRPr="00043256">
        <w:t>.</w:t>
      </w:r>
    </w:p>
    <w:p w:rsidR="00A5221F" w:rsidRPr="00043256" w:rsidRDefault="00A5221F" w:rsidP="00534FB5">
      <w:pPr>
        <w:ind w:firstLine="708"/>
        <w:contextualSpacing/>
      </w:pPr>
    </w:p>
    <w:p w:rsidR="00A5221F" w:rsidRDefault="00A5221F" w:rsidP="00534FB5">
      <w:pPr>
        <w:ind w:firstLine="708"/>
        <w:contextualSpacing/>
      </w:pPr>
    </w:p>
    <w:p w:rsidR="00DA4AE3" w:rsidRDefault="00DA4AE3" w:rsidP="00534FB5">
      <w:pPr>
        <w:ind w:firstLine="708"/>
        <w:contextualSpacing/>
      </w:pPr>
    </w:p>
    <w:p w:rsidR="00B946B3" w:rsidRDefault="00B946B3" w:rsidP="00534FB5">
      <w:pPr>
        <w:ind w:firstLine="708"/>
        <w:contextualSpacing/>
      </w:pPr>
    </w:p>
    <w:p w:rsidR="00B946B3" w:rsidRDefault="00B946B3" w:rsidP="00534FB5">
      <w:pPr>
        <w:ind w:firstLine="708"/>
        <w:contextualSpacing/>
      </w:pPr>
    </w:p>
    <w:p w:rsidR="00DA4AE3" w:rsidRPr="00043256" w:rsidRDefault="00DA4AE3" w:rsidP="00534FB5">
      <w:pPr>
        <w:ind w:firstLine="708"/>
        <w:contextualSpacing/>
      </w:pPr>
    </w:p>
    <w:p w:rsidR="00534FB5" w:rsidRPr="00A33BB3" w:rsidRDefault="00534FB5" w:rsidP="00534FB5">
      <w:pPr>
        <w:ind w:firstLine="708"/>
        <w:contextualSpacing/>
        <w:jc w:val="right"/>
        <w:rPr>
          <w:i/>
        </w:rPr>
      </w:pPr>
      <w:r w:rsidRPr="00A33BB3">
        <w:rPr>
          <w:i/>
        </w:rPr>
        <w:lastRenderedPageBreak/>
        <w:t>Таблиця</w:t>
      </w:r>
      <w:r>
        <w:rPr>
          <w:i/>
        </w:rPr>
        <w:t> </w:t>
      </w:r>
      <w:r w:rsidRPr="00A33BB3">
        <w:rPr>
          <w:i/>
        </w:rPr>
        <w:t>3.5.1.3</w:t>
      </w:r>
    </w:p>
    <w:p w:rsidR="00534FB5" w:rsidRPr="00A33BB3" w:rsidRDefault="00534FB5" w:rsidP="00534FB5">
      <w:pPr>
        <w:contextualSpacing/>
        <w:jc w:val="center"/>
        <w:rPr>
          <w:b/>
        </w:rPr>
      </w:pPr>
      <w:r w:rsidRPr="00A33BB3">
        <w:rPr>
          <w:b/>
        </w:rPr>
        <w:t xml:space="preserve">Мікробіологічна характеристика ά-гемолітичних стрептококів, </w:t>
      </w:r>
      <w:r w:rsidRPr="00A33BB3">
        <w:rPr>
          <w:b/>
          <w:bCs/>
        </w:rPr>
        <w:t xml:space="preserve">ізольованих </w:t>
      </w:r>
      <w:r>
        <w:rPr>
          <w:b/>
          <w:bCs/>
        </w:rPr>
        <w:t>і</w:t>
      </w:r>
      <w:r w:rsidRPr="00A33BB3">
        <w:rPr>
          <w:b/>
          <w:bCs/>
        </w:rPr>
        <w:t>з</w:t>
      </w:r>
      <w:r>
        <w:rPr>
          <w:b/>
          <w:bCs/>
        </w:rPr>
        <w:t xml:space="preserve"> зубної бляшки дітей порівнюваних груп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1701"/>
        <w:gridCol w:w="1843"/>
        <w:gridCol w:w="1701"/>
        <w:gridCol w:w="1843"/>
      </w:tblGrid>
      <w:tr w:rsidR="00534FB5" w:rsidRPr="00E40BFA" w:rsidTr="00534FB5">
        <w:tc>
          <w:tcPr>
            <w:tcW w:w="648" w:type="dxa"/>
            <w:vMerge w:val="restart"/>
            <w:shd w:val="clear" w:color="auto" w:fill="auto"/>
            <w:vAlign w:val="center"/>
          </w:tcPr>
          <w:p w:rsidR="00534FB5" w:rsidRPr="00E40BFA" w:rsidRDefault="00534FB5" w:rsidP="00534FB5">
            <w:pPr>
              <w:spacing w:line="240" w:lineRule="atLeast"/>
              <w:contextualSpacing/>
              <w:jc w:val="center"/>
            </w:pPr>
            <w:r w:rsidRPr="00E40BFA">
              <w:t>№ п/п</w:t>
            </w:r>
          </w:p>
        </w:tc>
        <w:tc>
          <w:tcPr>
            <w:tcW w:w="1870" w:type="dxa"/>
            <w:vMerge w:val="restart"/>
            <w:shd w:val="clear" w:color="auto" w:fill="auto"/>
            <w:vAlign w:val="center"/>
          </w:tcPr>
          <w:p w:rsidR="00534FB5" w:rsidRPr="00E40BFA" w:rsidRDefault="00534FB5" w:rsidP="00534FB5">
            <w:pPr>
              <w:spacing w:line="240" w:lineRule="atLeast"/>
              <w:contextualSpacing/>
              <w:jc w:val="center"/>
            </w:pPr>
            <w:r w:rsidRPr="00E40BFA">
              <w:t>Види ά-гемолітичних стрептококів</w:t>
            </w:r>
          </w:p>
        </w:tc>
        <w:tc>
          <w:tcPr>
            <w:tcW w:w="7088" w:type="dxa"/>
            <w:gridSpan w:val="4"/>
            <w:shd w:val="clear" w:color="auto" w:fill="auto"/>
            <w:vAlign w:val="center"/>
          </w:tcPr>
          <w:p w:rsidR="00534FB5" w:rsidRPr="00E40BFA" w:rsidRDefault="00534FB5" w:rsidP="00534FB5">
            <w:pPr>
              <w:spacing w:line="240" w:lineRule="atLeast"/>
              <w:contextualSpacing/>
              <w:jc w:val="center"/>
            </w:pPr>
            <w:r w:rsidRPr="00E40BFA">
              <w:t>Частота вилучення та концентрація ά-гемолітичних стрептококів</w:t>
            </w:r>
          </w:p>
        </w:tc>
      </w:tr>
      <w:tr w:rsidR="00534FB5" w:rsidRPr="00E40BFA" w:rsidTr="00534FB5">
        <w:tc>
          <w:tcPr>
            <w:tcW w:w="648" w:type="dxa"/>
            <w:vMerge/>
            <w:shd w:val="clear" w:color="auto" w:fill="auto"/>
            <w:vAlign w:val="center"/>
          </w:tcPr>
          <w:p w:rsidR="00534FB5" w:rsidRPr="00E40BFA" w:rsidRDefault="00534FB5" w:rsidP="00534FB5">
            <w:pPr>
              <w:spacing w:line="240" w:lineRule="atLeast"/>
              <w:contextualSpacing/>
              <w:jc w:val="center"/>
            </w:pPr>
          </w:p>
        </w:tc>
        <w:tc>
          <w:tcPr>
            <w:tcW w:w="1870" w:type="dxa"/>
            <w:vMerge/>
            <w:shd w:val="clear" w:color="auto" w:fill="auto"/>
            <w:vAlign w:val="center"/>
          </w:tcPr>
          <w:p w:rsidR="00534FB5" w:rsidRPr="00E40BFA" w:rsidRDefault="00534FB5" w:rsidP="00534FB5">
            <w:pPr>
              <w:spacing w:line="240" w:lineRule="atLeast"/>
              <w:contextualSpacing/>
              <w:jc w:val="center"/>
            </w:pPr>
          </w:p>
        </w:tc>
        <w:tc>
          <w:tcPr>
            <w:tcW w:w="3544" w:type="dxa"/>
            <w:gridSpan w:val="2"/>
            <w:shd w:val="clear" w:color="auto" w:fill="auto"/>
            <w:vAlign w:val="center"/>
          </w:tcPr>
          <w:p w:rsidR="00534FB5" w:rsidRPr="00E40BFA" w:rsidRDefault="00534FB5" w:rsidP="00534FB5">
            <w:pPr>
              <w:spacing w:line="240" w:lineRule="atLeast"/>
              <w:contextualSpacing/>
              <w:jc w:val="center"/>
            </w:pPr>
            <w:r w:rsidRPr="00E40BFA">
              <w:rPr>
                <w:bCs/>
              </w:rPr>
              <w:t>Діти з вродженою глухотою (</w:t>
            </w:r>
            <w:r w:rsidRPr="00E40BFA">
              <w:rPr>
                <w:bCs/>
                <w:lang w:val="en-US"/>
              </w:rPr>
              <w:t>n</w:t>
            </w:r>
            <w:r w:rsidRPr="00E40BFA">
              <w:rPr>
                <w:bCs/>
              </w:rPr>
              <w:t>=99)</w:t>
            </w:r>
          </w:p>
        </w:tc>
        <w:tc>
          <w:tcPr>
            <w:tcW w:w="3544" w:type="dxa"/>
            <w:gridSpan w:val="2"/>
            <w:shd w:val="clear" w:color="auto" w:fill="auto"/>
            <w:vAlign w:val="center"/>
          </w:tcPr>
          <w:p w:rsidR="00534FB5" w:rsidRPr="00E40BFA" w:rsidRDefault="00534FB5" w:rsidP="00534FB5">
            <w:pPr>
              <w:spacing w:line="240" w:lineRule="atLeast"/>
              <w:contextualSpacing/>
              <w:jc w:val="center"/>
            </w:pPr>
            <w:r w:rsidRPr="00E40BFA">
              <w:rPr>
                <w:bCs/>
              </w:rPr>
              <w:t>Діти контрольної групи</w:t>
            </w:r>
            <w:r w:rsidRPr="00E40BFA">
              <w:rPr>
                <w:bCs/>
                <w:lang w:val="en-US"/>
              </w:rPr>
              <w:t xml:space="preserve"> </w:t>
            </w:r>
            <w:r w:rsidRPr="00E40BFA">
              <w:rPr>
                <w:bCs/>
              </w:rPr>
              <w:t>(</w:t>
            </w:r>
            <w:r w:rsidRPr="00E40BFA">
              <w:rPr>
                <w:bCs/>
                <w:lang w:val="en-US"/>
              </w:rPr>
              <w:t>n=42</w:t>
            </w:r>
            <w:r w:rsidRPr="00E40BFA">
              <w:rPr>
                <w:bCs/>
              </w:rPr>
              <w:t>)</w:t>
            </w:r>
          </w:p>
        </w:tc>
      </w:tr>
      <w:tr w:rsidR="00534FB5" w:rsidRPr="00E40BFA" w:rsidTr="00534FB5">
        <w:tc>
          <w:tcPr>
            <w:tcW w:w="648" w:type="dxa"/>
            <w:vMerge/>
            <w:shd w:val="clear" w:color="auto" w:fill="auto"/>
            <w:vAlign w:val="center"/>
          </w:tcPr>
          <w:p w:rsidR="00534FB5" w:rsidRPr="00E40BFA" w:rsidRDefault="00534FB5" w:rsidP="00534FB5">
            <w:pPr>
              <w:spacing w:line="240" w:lineRule="atLeast"/>
              <w:contextualSpacing/>
              <w:jc w:val="center"/>
            </w:pPr>
          </w:p>
        </w:tc>
        <w:tc>
          <w:tcPr>
            <w:tcW w:w="1870" w:type="dxa"/>
            <w:vMerge/>
            <w:shd w:val="clear" w:color="auto" w:fill="auto"/>
            <w:vAlign w:val="center"/>
          </w:tcPr>
          <w:p w:rsidR="00534FB5" w:rsidRPr="00E40BFA" w:rsidRDefault="00534FB5" w:rsidP="00534FB5">
            <w:pPr>
              <w:spacing w:line="240" w:lineRule="atLeast"/>
              <w:contextualSpacing/>
              <w:jc w:val="center"/>
            </w:pPr>
          </w:p>
        </w:tc>
        <w:tc>
          <w:tcPr>
            <w:tcW w:w="1701" w:type="dxa"/>
            <w:shd w:val="clear" w:color="auto" w:fill="auto"/>
            <w:vAlign w:val="center"/>
          </w:tcPr>
          <w:p w:rsidR="00534FB5" w:rsidRPr="00E40BFA" w:rsidRDefault="00534FB5" w:rsidP="00534FB5">
            <w:pPr>
              <w:spacing w:line="240" w:lineRule="atLeast"/>
              <w:contextualSpacing/>
              <w:jc w:val="center"/>
            </w:pPr>
            <w:r w:rsidRPr="00E40BFA">
              <w:t>частота вилучення (%)</w:t>
            </w:r>
          </w:p>
        </w:tc>
        <w:tc>
          <w:tcPr>
            <w:tcW w:w="1843" w:type="dxa"/>
            <w:shd w:val="clear" w:color="auto" w:fill="auto"/>
            <w:vAlign w:val="center"/>
          </w:tcPr>
          <w:p w:rsidR="00534FB5" w:rsidRPr="00E40BFA" w:rsidRDefault="00534FB5" w:rsidP="00534FB5">
            <w:pPr>
              <w:spacing w:line="240" w:lineRule="atLeast"/>
              <w:contextualSpacing/>
              <w:jc w:val="center"/>
            </w:pPr>
            <w:r w:rsidRPr="00E40BFA">
              <w:t>концентрація</w:t>
            </w:r>
          </w:p>
          <w:p w:rsidR="00534FB5" w:rsidRPr="00E40BFA" w:rsidRDefault="00534FB5" w:rsidP="00534FB5">
            <w:pPr>
              <w:spacing w:line="240" w:lineRule="atLeast"/>
              <w:contextualSpacing/>
              <w:jc w:val="center"/>
            </w:pPr>
            <w:r w:rsidRPr="00E40BFA">
              <w:t>lg КУО/г</w:t>
            </w:r>
          </w:p>
          <w:p w:rsidR="00534FB5" w:rsidRPr="00E40BFA" w:rsidRDefault="00534FB5" w:rsidP="00534FB5">
            <w:pPr>
              <w:spacing w:line="240" w:lineRule="atLeast"/>
              <w:contextualSpacing/>
              <w:jc w:val="center"/>
            </w:pPr>
            <w:r w:rsidRPr="00E40BFA">
              <w:t>(М±m)</w:t>
            </w:r>
          </w:p>
        </w:tc>
        <w:tc>
          <w:tcPr>
            <w:tcW w:w="1701" w:type="dxa"/>
            <w:shd w:val="clear" w:color="auto" w:fill="auto"/>
            <w:vAlign w:val="center"/>
          </w:tcPr>
          <w:p w:rsidR="00534FB5" w:rsidRPr="00E40BFA" w:rsidRDefault="00534FB5" w:rsidP="00534FB5">
            <w:pPr>
              <w:spacing w:line="240" w:lineRule="atLeast"/>
              <w:contextualSpacing/>
              <w:jc w:val="center"/>
            </w:pPr>
            <w:r w:rsidRPr="00E40BFA">
              <w:t>частота вилучення (%)</w:t>
            </w:r>
          </w:p>
        </w:tc>
        <w:tc>
          <w:tcPr>
            <w:tcW w:w="1843" w:type="dxa"/>
            <w:shd w:val="clear" w:color="auto" w:fill="auto"/>
            <w:vAlign w:val="center"/>
          </w:tcPr>
          <w:p w:rsidR="00534FB5" w:rsidRPr="00E40BFA" w:rsidRDefault="00534FB5" w:rsidP="00534FB5">
            <w:pPr>
              <w:spacing w:line="240" w:lineRule="atLeast"/>
              <w:contextualSpacing/>
              <w:jc w:val="center"/>
            </w:pPr>
            <w:r w:rsidRPr="00E40BFA">
              <w:t>концентрація</w:t>
            </w:r>
          </w:p>
          <w:p w:rsidR="00534FB5" w:rsidRPr="00E40BFA" w:rsidRDefault="00534FB5" w:rsidP="00534FB5">
            <w:pPr>
              <w:spacing w:line="240" w:lineRule="atLeast"/>
              <w:contextualSpacing/>
              <w:jc w:val="center"/>
            </w:pPr>
            <w:r w:rsidRPr="00E40BFA">
              <w:t>lg КУО/г</w:t>
            </w:r>
          </w:p>
          <w:p w:rsidR="00534FB5" w:rsidRPr="00E40BFA" w:rsidRDefault="00534FB5" w:rsidP="00534FB5">
            <w:pPr>
              <w:spacing w:line="240" w:lineRule="atLeast"/>
              <w:contextualSpacing/>
              <w:jc w:val="center"/>
            </w:pPr>
            <w:r w:rsidRPr="00E40BFA">
              <w:t>(М±m)</w:t>
            </w:r>
          </w:p>
        </w:tc>
      </w:tr>
      <w:tr w:rsidR="00534FB5" w:rsidRPr="00E40BFA" w:rsidTr="00534FB5">
        <w:tc>
          <w:tcPr>
            <w:tcW w:w="648" w:type="dxa"/>
            <w:shd w:val="clear" w:color="auto" w:fill="auto"/>
          </w:tcPr>
          <w:p w:rsidR="00534FB5" w:rsidRPr="00E40BFA" w:rsidRDefault="00534FB5" w:rsidP="00534FB5">
            <w:pPr>
              <w:spacing w:line="240" w:lineRule="atLeast"/>
              <w:contextualSpacing/>
              <w:rPr>
                <w:lang w:val="en-US"/>
              </w:rPr>
            </w:pPr>
            <w:r w:rsidRPr="00E40BFA">
              <w:rPr>
                <w:lang w:val="en-US"/>
              </w:rPr>
              <w:t>1</w:t>
            </w:r>
          </w:p>
        </w:tc>
        <w:tc>
          <w:tcPr>
            <w:tcW w:w="1870" w:type="dxa"/>
            <w:shd w:val="clear" w:color="auto" w:fill="auto"/>
          </w:tcPr>
          <w:p w:rsidR="00534FB5" w:rsidRPr="00E40BFA" w:rsidRDefault="00534FB5" w:rsidP="00534FB5">
            <w:pPr>
              <w:spacing w:line="240" w:lineRule="atLeast"/>
              <w:contextualSpacing/>
              <w:rPr>
                <w:i/>
              </w:rPr>
            </w:pPr>
            <w:r w:rsidRPr="00E40BFA">
              <w:rPr>
                <w:i/>
              </w:rPr>
              <w:t>S. mitis</w:t>
            </w:r>
          </w:p>
        </w:tc>
        <w:tc>
          <w:tcPr>
            <w:tcW w:w="1701" w:type="dxa"/>
            <w:shd w:val="clear" w:color="auto" w:fill="auto"/>
            <w:vAlign w:val="center"/>
          </w:tcPr>
          <w:p w:rsidR="00534FB5" w:rsidRPr="00E40BFA" w:rsidRDefault="00534FB5" w:rsidP="00534FB5">
            <w:pPr>
              <w:spacing w:line="240" w:lineRule="atLeast"/>
              <w:contextualSpacing/>
              <w:jc w:val="center"/>
            </w:pPr>
            <w:r w:rsidRPr="00E40BFA">
              <w:t>10,1</w:t>
            </w:r>
          </w:p>
        </w:tc>
        <w:tc>
          <w:tcPr>
            <w:tcW w:w="1843" w:type="dxa"/>
            <w:shd w:val="clear" w:color="auto" w:fill="auto"/>
            <w:vAlign w:val="center"/>
          </w:tcPr>
          <w:p w:rsidR="00534FB5" w:rsidRPr="00E40BFA" w:rsidRDefault="00534FB5" w:rsidP="00534FB5">
            <w:pPr>
              <w:spacing w:line="240" w:lineRule="atLeast"/>
              <w:contextualSpacing/>
              <w:jc w:val="center"/>
            </w:pPr>
            <w:r w:rsidRPr="00E40BFA">
              <w:t>3,9±0,55</w:t>
            </w:r>
          </w:p>
        </w:tc>
        <w:tc>
          <w:tcPr>
            <w:tcW w:w="1701" w:type="dxa"/>
            <w:shd w:val="clear" w:color="auto" w:fill="auto"/>
            <w:vAlign w:val="center"/>
          </w:tcPr>
          <w:p w:rsidR="00534FB5" w:rsidRPr="00E40BFA" w:rsidRDefault="00534FB5" w:rsidP="00534FB5">
            <w:pPr>
              <w:spacing w:line="240" w:lineRule="atLeast"/>
              <w:contextualSpacing/>
              <w:jc w:val="center"/>
            </w:pPr>
            <w:r w:rsidRPr="00E40BFA">
              <w:t>20,0</w:t>
            </w:r>
          </w:p>
        </w:tc>
        <w:tc>
          <w:tcPr>
            <w:tcW w:w="1843" w:type="dxa"/>
            <w:shd w:val="clear" w:color="auto" w:fill="auto"/>
            <w:vAlign w:val="center"/>
          </w:tcPr>
          <w:p w:rsidR="00534FB5" w:rsidRPr="00E40BFA" w:rsidRDefault="00534FB5" w:rsidP="00534FB5">
            <w:pPr>
              <w:spacing w:line="240" w:lineRule="atLeast"/>
              <w:contextualSpacing/>
              <w:jc w:val="center"/>
            </w:pPr>
            <w:r w:rsidRPr="00E40BFA">
              <w:t>3,6±0,07</w:t>
            </w:r>
          </w:p>
        </w:tc>
      </w:tr>
      <w:tr w:rsidR="00534FB5" w:rsidRPr="00E40BFA" w:rsidTr="00534FB5">
        <w:tc>
          <w:tcPr>
            <w:tcW w:w="648" w:type="dxa"/>
            <w:shd w:val="clear" w:color="auto" w:fill="auto"/>
          </w:tcPr>
          <w:p w:rsidR="00534FB5" w:rsidRPr="00E40BFA" w:rsidRDefault="00534FB5" w:rsidP="00534FB5">
            <w:pPr>
              <w:spacing w:line="240" w:lineRule="atLeast"/>
              <w:contextualSpacing/>
              <w:rPr>
                <w:lang w:val="en-US"/>
              </w:rPr>
            </w:pPr>
            <w:r w:rsidRPr="00E40BFA">
              <w:rPr>
                <w:lang w:val="en-US"/>
              </w:rPr>
              <w:t>2</w:t>
            </w:r>
          </w:p>
        </w:tc>
        <w:tc>
          <w:tcPr>
            <w:tcW w:w="1870" w:type="dxa"/>
            <w:shd w:val="clear" w:color="auto" w:fill="auto"/>
          </w:tcPr>
          <w:p w:rsidR="00534FB5" w:rsidRPr="00E40BFA" w:rsidRDefault="00534FB5" w:rsidP="00534FB5">
            <w:pPr>
              <w:spacing w:line="240" w:lineRule="atLeast"/>
              <w:contextualSpacing/>
              <w:rPr>
                <w:i/>
              </w:rPr>
            </w:pPr>
            <w:r w:rsidRPr="00E40BFA">
              <w:rPr>
                <w:i/>
              </w:rPr>
              <w:t>S. mutans</w:t>
            </w:r>
          </w:p>
        </w:tc>
        <w:tc>
          <w:tcPr>
            <w:tcW w:w="1701" w:type="dxa"/>
            <w:shd w:val="clear" w:color="auto" w:fill="auto"/>
            <w:vAlign w:val="center"/>
          </w:tcPr>
          <w:p w:rsidR="00534FB5" w:rsidRPr="00E40BFA" w:rsidRDefault="00534FB5" w:rsidP="00534FB5">
            <w:pPr>
              <w:spacing w:line="240" w:lineRule="atLeast"/>
              <w:contextualSpacing/>
              <w:jc w:val="center"/>
            </w:pPr>
            <w:r w:rsidRPr="00E40BFA">
              <w:t>39,4</w:t>
            </w:r>
          </w:p>
        </w:tc>
        <w:tc>
          <w:tcPr>
            <w:tcW w:w="1843" w:type="dxa"/>
            <w:shd w:val="clear" w:color="auto" w:fill="auto"/>
            <w:vAlign w:val="center"/>
          </w:tcPr>
          <w:p w:rsidR="00534FB5" w:rsidRPr="00E40BFA" w:rsidRDefault="00534FB5" w:rsidP="00534FB5">
            <w:pPr>
              <w:spacing w:line="240" w:lineRule="atLeast"/>
              <w:contextualSpacing/>
              <w:jc w:val="center"/>
            </w:pPr>
            <w:r w:rsidRPr="00E40BFA">
              <w:t>6,5±0,17</w:t>
            </w:r>
          </w:p>
        </w:tc>
        <w:tc>
          <w:tcPr>
            <w:tcW w:w="1701" w:type="dxa"/>
            <w:shd w:val="clear" w:color="auto" w:fill="auto"/>
            <w:vAlign w:val="center"/>
          </w:tcPr>
          <w:p w:rsidR="00534FB5" w:rsidRPr="00E40BFA" w:rsidRDefault="00534FB5" w:rsidP="00534FB5">
            <w:pPr>
              <w:spacing w:line="240" w:lineRule="atLeast"/>
              <w:contextualSpacing/>
              <w:jc w:val="center"/>
            </w:pPr>
            <w:r w:rsidRPr="00E40BFA">
              <w:t>20,0*</w:t>
            </w:r>
          </w:p>
        </w:tc>
        <w:tc>
          <w:tcPr>
            <w:tcW w:w="1843" w:type="dxa"/>
            <w:shd w:val="clear" w:color="auto" w:fill="auto"/>
            <w:vAlign w:val="center"/>
          </w:tcPr>
          <w:p w:rsidR="00534FB5" w:rsidRPr="00E40BFA" w:rsidRDefault="00534FB5" w:rsidP="00534FB5">
            <w:pPr>
              <w:spacing w:line="240" w:lineRule="atLeast"/>
              <w:contextualSpacing/>
              <w:jc w:val="center"/>
            </w:pPr>
            <w:r w:rsidRPr="00E40BFA">
              <w:t>3,9±0,15*</w:t>
            </w:r>
          </w:p>
        </w:tc>
      </w:tr>
      <w:tr w:rsidR="00534FB5" w:rsidRPr="00E40BFA" w:rsidTr="00534FB5">
        <w:tc>
          <w:tcPr>
            <w:tcW w:w="648" w:type="dxa"/>
            <w:shd w:val="clear" w:color="auto" w:fill="auto"/>
          </w:tcPr>
          <w:p w:rsidR="00534FB5" w:rsidRPr="00E40BFA" w:rsidRDefault="00534FB5" w:rsidP="00534FB5">
            <w:pPr>
              <w:spacing w:line="240" w:lineRule="atLeast"/>
              <w:contextualSpacing/>
              <w:rPr>
                <w:lang w:val="en-US"/>
              </w:rPr>
            </w:pPr>
            <w:r w:rsidRPr="00E40BFA">
              <w:rPr>
                <w:lang w:val="en-US"/>
              </w:rPr>
              <w:t>3</w:t>
            </w:r>
          </w:p>
        </w:tc>
        <w:tc>
          <w:tcPr>
            <w:tcW w:w="1870" w:type="dxa"/>
            <w:shd w:val="clear" w:color="auto" w:fill="auto"/>
          </w:tcPr>
          <w:p w:rsidR="00534FB5" w:rsidRPr="00E40BFA" w:rsidRDefault="00534FB5" w:rsidP="00534FB5">
            <w:pPr>
              <w:spacing w:line="240" w:lineRule="atLeast"/>
              <w:contextualSpacing/>
              <w:rPr>
                <w:i/>
              </w:rPr>
            </w:pPr>
            <w:r w:rsidRPr="00E40BFA">
              <w:rPr>
                <w:i/>
              </w:rPr>
              <w:t>S. oralis</w:t>
            </w:r>
          </w:p>
        </w:tc>
        <w:tc>
          <w:tcPr>
            <w:tcW w:w="1701" w:type="dxa"/>
            <w:shd w:val="clear" w:color="auto" w:fill="auto"/>
            <w:vAlign w:val="center"/>
          </w:tcPr>
          <w:p w:rsidR="00534FB5" w:rsidRPr="00E40BFA" w:rsidRDefault="00534FB5" w:rsidP="00534FB5">
            <w:pPr>
              <w:spacing w:line="240" w:lineRule="atLeast"/>
              <w:contextualSpacing/>
              <w:jc w:val="center"/>
            </w:pPr>
            <w:r w:rsidRPr="00E40BFA">
              <w:t>14,1</w:t>
            </w:r>
          </w:p>
        </w:tc>
        <w:tc>
          <w:tcPr>
            <w:tcW w:w="1843" w:type="dxa"/>
            <w:shd w:val="clear" w:color="auto" w:fill="auto"/>
            <w:vAlign w:val="center"/>
          </w:tcPr>
          <w:p w:rsidR="00534FB5" w:rsidRPr="00E40BFA" w:rsidRDefault="00534FB5" w:rsidP="00534FB5">
            <w:pPr>
              <w:spacing w:line="240" w:lineRule="atLeast"/>
              <w:contextualSpacing/>
              <w:jc w:val="center"/>
            </w:pPr>
            <w:r w:rsidRPr="00E40BFA">
              <w:t>4,2±0,37</w:t>
            </w:r>
          </w:p>
        </w:tc>
        <w:tc>
          <w:tcPr>
            <w:tcW w:w="1701" w:type="dxa"/>
            <w:shd w:val="clear" w:color="auto" w:fill="auto"/>
            <w:vAlign w:val="center"/>
          </w:tcPr>
          <w:p w:rsidR="00534FB5" w:rsidRPr="00E40BFA" w:rsidRDefault="00534FB5" w:rsidP="00534FB5">
            <w:pPr>
              <w:spacing w:line="240" w:lineRule="atLeast"/>
              <w:contextualSpacing/>
              <w:jc w:val="center"/>
            </w:pPr>
            <w:r w:rsidRPr="00E40BFA">
              <w:t>22,2</w:t>
            </w:r>
          </w:p>
        </w:tc>
        <w:tc>
          <w:tcPr>
            <w:tcW w:w="1843" w:type="dxa"/>
            <w:shd w:val="clear" w:color="auto" w:fill="auto"/>
            <w:vAlign w:val="center"/>
          </w:tcPr>
          <w:p w:rsidR="00534FB5" w:rsidRPr="00E40BFA" w:rsidRDefault="00534FB5" w:rsidP="00534FB5">
            <w:pPr>
              <w:spacing w:line="240" w:lineRule="atLeast"/>
              <w:contextualSpacing/>
              <w:jc w:val="center"/>
            </w:pPr>
            <w:r w:rsidRPr="00E40BFA">
              <w:t>4,2±0,19</w:t>
            </w:r>
          </w:p>
        </w:tc>
      </w:tr>
      <w:tr w:rsidR="00534FB5" w:rsidRPr="00E40BFA" w:rsidTr="00534FB5">
        <w:tc>
          <w:tcPr>
            <w:tcW w:w="648" w:type="dxa"/>
            <w:shd w:val="clear" w:color="auto" w:fill="auto"/>
          </w:tcPr>
          <w:p w:rsidR="00534FB5" w:rsidRPr="00E40BFA" w:rsidRDefault="00534FB5" w:rsidP="00534FB5">
            <w:pPr>
              <w:spacing w:line="240" w:lineRule="atLeast"/>
              <w:contextualSpacing/>
              <w:rPr>
                <w:lang w:val="en-US"/>
              </w:rPr>
            </w:pPr>
            <w:r w:rsidRPr="00E40BFA">
              <w:rPr>
                <w:lang w:val="en-US"/>
              </w:rPr>
              <w:t>4</w:t>
            </w:r>
          </w:p>
        </w:tc>
        <w:tc>
          <w:tcPr>
            <w:tcW w:w="1870" w:type="dxa"/>
            <w:shd w:val="clear" w:color="auto" w:fill="auto"/>
          </w:tcPr>
          <w:p w:rsidR="00534FB5" w:rsidRPr="00E40BFA" w:rsidRDefault="00534FB5" w:rsidP="00534FB5">
            <w:pPr>
              <w:spacing w:line="240" w:lineRule="atLeast"/>
              <w:contextualSpacing/>
              <w:rPr>
                <w:i/>
              </w:rPr>
            </w:pPr>
            <w:r w:rsidRPr="00E40BFA">
              <w:rPr>
                <w:i/>
              </w:rPr>
              <w:t>S. sаliva</w:t>
            </w:r>
            <w:r w:rsidRPr="00E40BFA">
              <w:rPr>
                <w:i/>
                <w:lang w:val="en-US"/>
              </w:rPr>
              <w:t>ri</w:t>
            </w:r>
            <w:r w:rsidRPr="00E40BFA">
              <w:rPr>
                <w:i/>
              </w:rPr>
              <w:t>us</w:t>
            </w:r>
          </w:p>
        </w:tc>
        <w:tc>
          <w:tcPr>
            <w:tcW w:w="1701" w:type="dxa"/>
            <w:shd w:val="clear" w:color="auto" w:fill="auto"/>
            <w:vAlign w:val="center"/>
          </w:tcPr>
          <w:p w:rsidR="00534FB5" w:rsidRPr="00E40BFA" w:rsidRDefault="00534FB5" w:rsidP="00534FB5">
            <w:pPr>
              <w:spacing w:line="240" w:lineRule="atLeast"/>
              <w:contextualSpacing/>
              <w:jc w:val="center"/>
            </w:pPr>
            <w:r w:rsidRPr="00E40BFA">
              <w:t>4,0</w:t>
            </w:r>
          </w:p>
        </w:tc>
        <w:tc>
          <w:tcPr>
            <w:tcW w:w="1843" w:type="dxa"/>
            <w:shd w:val="clear" w:color="auto" w:fill="auto"/>
            <w:vAlign w:val="center"/>
          </w:tcPr>
          <w:p w:rsidR="00534FB5" w:rsidRPr="00E40BFA" w:rsidRDefault="00534FB5" w:rsidP="00534FB5">
            <w:pPr>
              <w:spacing w:line="240" w:lineRule="atLeast"/>
              <w:contextualSpacing/>
              <w:jc w:val="center"/>
            </w:pPr>
            <w:r w:rsidRPr="00E40BFA">
              <w:t>4,5±1,02</w:t>
            </w:r>
          </w:p>
        </w:tc>
        <w:tc>
          <w:tcPr>
            <w:tcW w:w="1701" w:type="dxa"/>
            <w:shd w:val="clear" w:color="auto" w:fill="auto"/>
            <w:vAlign w:val="center"/>
          </w:tcPr>
          <w:p w:rsidR="00534FB5" w:rsidRPr="00E40BFA" w:rsidRDefault="00534FB5" w:rsidP="00534FB5">
            <w:pPr>
              <w:spacing w:line="240" w:lineRule="atLeast"/>
              <w:contextualSpacing/>
              <w:jc w:val="center"/>
            </w:pPr>
            <w:r w:rsidRPr="00E40BFA">
              <w:t>51,1*</w:t>
            </w:r>
          </w:p>
        </w:tc>
        <w:tc>
          <w:tcPr>
            <w:tcW w:w="1843" w:type="dxa"/>
            <w:shd w:val="clear" w:color="auto" w:fill="auto"/>
            <w:vAlign w:val="center"/>
          </w:tcPr>
          <w:p w:rsidR="00534FB5" w:rsidRPr="00E40BFA" w:rsidRDefault="00534FB5" w:rsidP="00534FB5">
            <w:pPr>
              <w:spacing w:line="240" w:lineRule="atLeast"/>
              <w:contextualSpacing/>
              <w:jc w:val="center"/>
            </w:pPr>
            <w:r w:rsidRPr="00E40BFA">
              <w:t>4,2±0,13</w:t>
            </w:r>
          </w:p>
        </w:tc>
      </w:tr>
      <w:tr w:rsidR="00534FB5" w:rsidRPr="00E40BFA" w:rsidTr="00534FB5">
        <w:tc>
          <w:tcPr>
            <w:tcW w:w="648" w:type="dxa"/>
            <w:shd w:val="clear" w:color="auto" w:fill="auto"/>
          </w:tcPr>
          <w:p w:rsidR="00534FB5" w:rsidRPr="00E40BFA" w:rsidRDefault="00534FB5" w:rsidP="00534FB5">
            <w:pPr>
              <w:spacing w:line="240" w:lineRule="atLeast"/>
              <w:contextualSpacing/>
              <w:rPr>
                <w:lang w:val="en-US"/>
              </w:rPr>
            </w:pPr>
            <w:r w:rsidRPr="00E40BFA">
              <w:rPr>
                <w:lang w:val="en-US"/>
              </w:rPr>
              <w:t>5</w:t>
            </w:r>
          </w:p>
        </w:tc>
        <w:tc>
          <w:tcPr>
            <w:tcW w:w="1870" w:type="dxa"/>
            <w:shd w:val="clear" w:color="auto" w:fill="auto"/>
          </w:tcPr>
          <w:p w:rsidR="00534FB5" w:rsidRPr="00E40BFA" w:rsidRDefault="00534FB5" w:rsidP="00534FB5">
            <w:pPr>
              <w:spacing w:line="240" w:lineRule="atLeast"/>
              <w:contextualSpacing/>
              <w:rPr>
                <w:i/>
              </w:rPr>
            </w:pPr>
            <w:r w:rsidRPr="00E40BFA">
              <w:rPr>
                <w:i/>
              </w:rPr>
              <w:t>S. sanguis</w:t>
            </w:r>
          </w:p>
        </w:tc>
        <w:tc>
          <w:tcPr>
            <w:tcW w:w="1701" w:type="dxa"/>
            <w:shd w:val="clear" w:color="auto" w:fill="auto"/>
            <w:vAlign w:val="center"/>
          </w:tcPr>
          <w:p w:rsidR="00534FB5" w:rsidRPr="00E40BFA" w:rsidRDefault="00534FB5" w:rsidP="00534FB5">
            <w:pPr>
              <w:spacing w:line="240" w:lineRule="atLeast"/>
              <w:contextualSpacing/>
              <w:jc w:val="center"/>
            </w:pPr>
            <w:r w:rsidRPr="00E40BFA">
              <w:t>18,2</w:t>
            </w:r>
          </w:p>
        </w:tc>
        <w:tc>
          <w:tcPr>
            <w:tcW w:w="1843" w:type="dxa"/>
            <w:shd w:val="clear" w:color="auto" w:fill="auto"/>
            <w:vAlign w:val="center"/>
          </w:tcPr>
          <w:p w:rsidR="00534FB5" w:rsidRPr="00E40BFA" w:rsidRDefault="00534FB5" w:rsidP="00534FB5">
            <w:pPr>
              <w:spacing w:line="240" w:lineRule="atLeast"/>
              <w:contextualSpacing/>
              <w:jc w:val="center"/>
            </w:pPr>
            <w:r w:rsidRPr="00E40BFA">
              <w:t>7,1±0,3</w:t>
            </w:r>
          </w:p>
        </w:tc>
        <w:tc>
          <w:tcPr>
            <w:tcW w:w="1701" w:type="dxa"/>
            <w:shd w:val="clear" w:color="auto" w:fill="auto"/>
            <w:vAlign w:val="center"/>
          </w:tcPr>
          <w:p w:rsidR="00534FB5" w:rsidRPr="00E40BFA" w:rsidRDefault="00534FB5" w:rsidP="00534FB5">
            <w:pPr>
              <w:spacing w:line="240" w:lineRule="atLeast"/>
              <w:contextualSpacing/>
              <w:jc w:val="center"/>
            </w:pPr>
            <w:r w:rsidRPr="00E40BFA">
              <w:t>40,0*</w:t>
            </w:r>
          </w:p>
        </w:tc>
        <w:tc>
          <w:tcPr>
            <w:tcW w:w="1843" w:type="dxa"/>
            <w:shd w:val="clear" w:color="auto" w:fill="auto"/>
            <w:vAlign w:val="center"/>
          </w:tcPr>
          <w:p w:rsidR="00534FB5" w:rsidRPr="00E40BFA" w:rsidRDefault="00534FB5" w:rsidP="00534FB5">
            <w:pPr>
              <w:spacing w:line="240" w:lineRule="atLeast"/>
              <w:contextualSpacing/>
              <w:jc w:val="center"/>
            </w:pPr>
            <w:r w:rsidRPr="00E40BFA">
              <w:t>4,3±0,19*</w:t>
            </w:r>
          </w:p>
        </w:tc>
      </w:tr>
    </w:tbl>
    <w:p w:rsidR="00534FB5" w:rsidRDefault="00534FB5" w:rsidP="00534FB5">
      <w:pPr>
        <w:ind w:left="-142"/>
        <w:contextualSpacing/>
        <w:rPr>
          <w:sz w:val="24"/>
        </w:rPr>
      </w:pPr>
      <w:r w:rsidRPr="00E57017">
        <w:rPr>
          <w:spacing w:val="-1"/>
          <w:sz w:val="24"/>
        </w:rPr>
        <w:t>Примітка:</w:t>
      </w:r>
      <w:r>
        <w:rPr>
          <w:spacing w:val="-1"/>
          <w:sz w:val="24"/>
        </w:rPr>
        <w:t xml:space="preserve"> </w:t>
      </w:r>
      <w:r w:rsidRPr="00E57017">
        <w:rPr>
          <w:spacing w:val="-1"/>
          <w:sz w:val="24"/>
        </w:rPr>
        <w:t>*</w:t>
      </w:r>
      <w:r w:rsidR="007626D6">
        <w:rPr>
          <w:spacing w:val="-1"/>
          <w:sz w:val="24"/>
        </w:rPr>
        <w:t xml:space="preserve"> </w:t>
      </w:r>
      <w:r w:rsidR="007626D6">
        <w:rPr>
          <w:sz w:val="24"/>
        </w:rPr>
        <w:t>–</w:t>
      </w:r>
      <w:r w:rsidRPr="00E57017">
        <w:rPr>
          <w:spacing w:val="-1"/>
          <w:sz w:val="24"/>
        </w:rPr>
        <w:t xml:space="preserve"> достовірна різниця між показниками </w:t>
      </w:r>
      <w:r w:rsidRPr="00E57017">
        <w:rPr>
          <w:sz w:val="24"/>
        </w:rPr>
        <w:t>(р</w:t>
      </w:r>
      <w:r>
        <w:rPr>
          <w:sz w:val="24"/>
        </w:rPr>
        <w:t>&lt;</w:t>
      </w:r>
      <w:r w:rsidRPr="00E57017">
        <w:rPr>
          <w:sz w:val="24"/>
        </w:rPr>
        <w:t>0,05).</w:t>
      </w:r>
    </w:p>
    <w:p w:rsidR="00534FB5" w:rsidRPr="00E57017" w:rsidRDefault="00534FB5" w:rsidP="00534FB5">
      <w:pPr>
        <w:ind w:left="-142"/>
        <w:contextualSpacing/>
        <w:rPr>
          <w:sz w:val="24"/>
        </w:rPr>
      </w:pPr>
    </w:p>
    <w:p w:rsidR="00534FB5" w:rsidRPr="00E40BFA" w:rsidRDefault="00534FB5" w:rsidP="00534FB5">
      <w:pPr>
        <w:ind w:firstLine="708"/>
        <w:contextualSpacing/>
      </w:pPr>
      <w:r w:rsidRPr="00E40BFA">
        <w:t xml:space="preserve">Статистичні відмінності визначено між персистенцією штамів </w:t>
      </w:r>
      <w:r>
        <w:rPr>
          <w:i/>
        </w:rPr>
        <w:t>S. </w:t>
      </w:r>
      <w:r w:rsidRPr="00E40BFA">
        <w:rPr>
          <w:i/>
        </w:rPr>
        <w:t>mutans, S.</w:t>
      </w:r>
      <w:r>
        <w:rPr>
          <w:i/>
        </w:rPr>
        <w:t> </w:t>
      </w:r>
      <w:r w:rsidRPr="00E40BFA">
        <w:rPr>
          <w:i/>
        </w:rPr>
        <w:t>sanguis</w:t>
      </w:r>
      <w:r w:rsidRPr="00E40BFA">
        <w:t xml:space="preserve"> як за частотою вилучення, так і за щільністю колонізації пришийкової ділянки зубів у дітей основної та контрольної груп. Так, знахідки штамів </w:t>
      </w:r>
      <w:r w:rsidRPr="00E40BFA">
        <w:rPr>
          <w:i/>
        </w:rPr>
        <w:t>S.</w:t>
      </w:r>
      <w:r>
        <w:rPr>
          <w:i/>
        </w:rPr>
        <w:t> </w:t>
      </w:r>
      <w:r w:rsidRPr="00E40BFA">
        <w:rPr>
          <w:i/>
        </w:rPr>
        <w:t>mutans</w:t>
      </w:r>
      <w:r w:rsidRPr="00E40BFA">
        <w:t xml:space="preserve"> були удвічі часті</w:t>
      </w:r>
      <w:r>
        <w:t xml:space="preserve">ші у концентрації, що </w:t>
      </w:r>
      <w:r w:rsidRPr="00E40BFA">
        <w:t>перевищувал</w:t>
      </w:r>
      <w:r>
        <w:t>а</w:t>
      </w:r>
      <w:r w:rsidRPr="00E40BFA">
        <w:t xml:space="preserve"> значення, одержані при обстеженні дітей групи порівняння (р</w:t>
      </w:r>
      <w:r>
        <w:t>&lt;</w:t>
      </w:r>
      <w:r w:rsidRPr="00E40BFA">
        <w:t xml:space="preserve">0,01). Штами </w:t>
      </w:r>
      <w:r w:rsidRPr="00E40BFA">
        <w:rPr>
          <w:i/>
        </w:rPr>
        <w:t>S.</w:t>
      </w:r>
      <w:r>
        <w:rPr>
          <w:i/>
        </w:rPr>
        <w:t> </w:t>
      </w:r>
      <w:r w:rsidRPr="00E40BFA">
        <w:rPr>
          <w:i/>
        </w:rPr>
        <w:t>sanguis</w:t>
      </w:r>
      <w:r w:rsidRPr="00834CDD">
        <w:rPr>
          <w:iCs/>
        </w:rPr>
        <w:t>,</w:t>
      </w:r>
      <w:r w:rsidRPr="00E40BFA">
        <w:t xml:space="preserve"> навпаки, част</w:t>
      </w:r>
      <w:r>
        <w:t>іше</w:t>
      </w:r>
      <w:r w:rsidRPr="00E40BFA">
        <w:t xml:space="preserve"> вилуч</w:t>
      </w:r>
      <w:r>
        <w:t>алися</w:t>
      </w:r>
      <w:r w:rsidRPr="00E40BFA">
        <w:t xml:space="preserve"> у дітей без патології слуху, але їх концентрація була нижча. Ізоляти </w:t>
      </w:r>
      <w:r w:rsidRPr="00E40BFA">
        <w:rPr>
          <w:i/>
        </w:rPr>
        <w:t>S. sаlivarius</w:t>
      </w:r>
      <w:r w:rsidRPr="00E40BFA">
        <w:t>, які є представниками автохтонної непатогенної мікрофл</w:t>
      </w:r>
      <w:r>
        <w:t>ори порожнини рота, у 12,8 раза</w:t>
      </w:r>
      <w:r w:rsidRPr="00E40BFA">
        <w:t xml:space="preserve"> рідше колонізува</w:t>
      </w:r>
      <w:r>
        <w:t xml:space="preserve">ли обстежені біотопи у дітей </w:t>
      </w:r>
      <w:r w:rsidR="006C493E">
        <w:t>із вродженою</w:t>
      </w:r>
      <w:r w:rsidRPr="00E40BFA">
        <w:t xml:space="preserve"> глухотою. </w:t>
      </w:r>
    </w:p>
    <w:p w:rsidR="00534FB5" w:rsidRPr="007374DE" w:rsidRDefault="00534FB5" w:rsidP="00534FB5">
      <w:pPr>
        <w:contextualSpacing/>
        <w:rPr>
          <w:b/>
        </w:rPr>
      </w:pPr>
      <w:r w:rsidRPr="00E40BFA">
        <w:tab/>
      </w:r>
      <w:r w:rsidRPr="00853C7D">
        <w:rPr>
          <w:b/>
        </w:rPr>
        <w:t>3.5.2. Характеристика вікових особливостей формування мікробіо</w:t>
      </w:r>
      <w:r>
        <w:rPr>
          <w:b/>
        </w:rPr>
        <w:t xml:space="preserve">ценозу зубної бляшки у дітей </w:t>
      </w:r>
      <w:r w:rsidR="006C493E">
        <w:rPr>
          <w:b/>
        </w:rPr>
        <w:t>із вродженою</w:t>
      </w:r>
      <w:r w:rsidRPr="00853C7D">
        <w:rPr>
          <w:b/>
        </w:rPr>
        <w:t xml:space="preserve"> глухотою у порівнянні з дітьми без патології слуху</w:t>
      </w:r>
    </w:p>
    <w:p w:rsidR="00534FB5" w:rsidRDefault="00534FB5" w:rsidP="00534FB5">
      <w:pPr>
        <w:ind w:firstLine="708"/>
        <w:contextualSpacing/>
      </w:pPr>
      <w:r w:rsidRPr="00E40BFA">
        <w:t xml:space="preserve">Результати дослідження частоти вилучення мікробних біоценозів з різною кількістю </w:t>
      </w:r>
      <w:r w:rsidR="00597E77" w:rsidRPr="004B1F33">
        <w:t>асоціацій</w:t>
      </w:r>
      <w:r w:rsidR="007626D6" w:rsidRPr="00E40BFA">
        <w:t xml:space="preserve"> </w:t>
      </w:r>
      <w:r w:rsidRPr="00E40BFA">
        <w:t>у дітей</w:t>
      </w:r>
      <w:r>
        <w:t>,</w:t>
      </w:r>
      <w:r w:rsidRPr="00E40BFA">
        <w:t xml:space="preserve"> залежно від </w:t>
      </w:r>
      <w:r>
        <w:t>віку,</w:t>
      </w:r>
      <w:r w:rsidRPr="00E40BFA">
        <w:t xml:space="preserve"> представлен</w:t>
      </w:r>
      <w:r>
        <w:t>о</w:t>
      </w:r>
      <w:r w:rsidRPr="00E40BFA">
        <w:t xml:space="preserve"> у таблиці</w:t>
      </w:r>
      <w:r>
        <w:t> 3.5.2.1.</w:t>
      </w:r>
      <w:r w:rsidRPr="00A33BB3">
        <w:t xml:space="preserve"> </w:t>
      </w:r>
    </w:p>
    <w:p w:rsidR="00534FB5" w:rsidRPr="00A33BB3" w:rsidRDefault="00534FB5" w:rsidP="00534FB5">
      <w:pPr>
        <w:ind w:firstLine="708"/>
        <w:jc w:val="right"/>
        <w:rPr>
          <w:i/>
        </w:rPr>
      </w:pPr>
      <w:r w:rsidRPr="00A33BB3">
        <w:rPr>
          <w:i/>
        </w:rPr>
        <w:lastRenderedPageBreak/>
        <w:t>Таблиця</w:t>
      </w:r>
      <w:r>
        <w:rPr>
          <w:i/>
        </w:rPr>
        <w:t> </w:t>
      </w:r>
      <w:r w:rsidRPr="00A33BB3">
        <w:rPr>
          <w:i/>
        </w:rPr>
        <w:t>3.5.2.1</w:t>
      </w:r>
    </w:p>
    <w:p w:rsidR="00534FB5" w:rsidRPr="00A5221F" w:rsidRDefault="00534FB5" w:rsidP="00A5221F">
      <w:pPr>
        <w:ind w:firstLine="708"/>
        <w:jc w:val="center"/>
        <w:rPr>
          <w:b/>
        </w:rPr>
      </w:pPr>
      <w:r w:rsidRPr="00A33BB3">
        <w:rPr>
          <w:b/>
          <w:bCs/>
          <w:color w:val="000000"/>
        </w:rPr>
        <w:t>Кількісна характеристика мікробних асоціацій, ізоль</w:t>
      </w:r>
      <w:r>
        <w:rPr>
          <w:b/>
          <w:bCs/>
          <w:color w:val="000000"/>
        </w:rPr>
        <w:t xml:space="preserve">ованих із зубної бляшки дітей </w:t>
      </w:r>
      <w:r w:rsidR="006C493E">
        <w:rPr>
          <w:b/>
          <w:bCs/>
          <w:color w:val="000000"/>
        </w:rPr>
        <w:t>із вродженою</w:t>
      </w:r>
      <w:r w:rsidRPr="00A33BB3">
        <w:rPr>
          <w:b/>
          <w:bCs/>
          <w:color w:val="000000"/>
        </w:rPr>
        <w:t xml:space="preserve"> глухотою та дітей контрольної групи у залежності від </w:t>
      </w:r>
      <w:r w:rsidRPr="00A33BB3">
        <w:rPr>
          <w:b/>
        </w:rPr>
        <w:t>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276"/>
        <w:gridCol w:w="1275"/>
        <w:gridCol w:w="1276"/>
        <w:gridCol w:w="1276"/>
        <w:gridCol w:w="1240"/>
      </w:tblGrid>
      <w:tr w:rsidR="00A5221F" w:rsidRPr="00FF47CE" w:rsidTr="00043256">
        <w:tc>
          <w:tcPr>
            <w:tcW w:w="1668" w:type="dxa"/>
            <w:vMerge w:val="restart"/>
            <w:shd w:val="clear" w:color="auto" w:fill="auto"/>
            <w:vAlign w:val="center"/>
          </w:tcPr>
          <w:p w:rsidR="00A5221F" w:rsidRPr="001D087A" w:rsidRDefault="00A5221F" w:rsidP="00A5221F">
            <w:pPr>
              <w:spacing w:line="240" w:lineRule="auto"/>
              <w:contextualSpacing/>
              <w:jc w:val="center"/>
            </w:pPr>
            <w:r w:rsidRPr="001D087A">
              <w:t>Групи обстежених дітей</w:t>
            </w:r>
          </w:p>
        </w:tc>
        <w:tc>
          <w:tcPr>
            <w:tcW w:w="1559" w:type="dxa"/>
            <w:vMerge w:val="restart"/>
            <w:shd w:val="clear" w:color="auto" w:fill="auto"/>
            <w:vAlign w:val="center"/>
          </w:tcPr>
          <w:p w:rsidR="00A5221F" w:rsidRPr="001D087A" w:rsidRDefault="00A5221F" w:rsidP="00A5221F">
            <w:pPr>
              <w:spacing w:line="240" w:lineRule="auto"/>
              <w:ind w:right="-108"/>
              <w:contextualSpacing/>
              <w:jc w:val="center"/>
            </w:pPr>
            <w:r w:rsidRPr="001D087A">
              <w:t>Підгрупи обстежених дітей</w:t>
            </w:r>
          </w:p>
        </w:tc>
        <w:tc>
          <w:tcPr>
            <w:tcW w:w="6343" w:type="dxa"/>
            <w:gridSpan w:val="5"/>
            <w:shd w:val="clear" w:color="auto" w:fill="auto"/>
            <w:vAlign w:val="center"/>
          </w:tcPr>
          <w:p w:rsidR="00A5221F" w:rsidRPr="001D087A" w:rsidRDefault="00A5221F" w:rsidP="00A5221F">
            <w:pPr>
              <w:spacing w:line="240" w:lineRule="auto"/>
              <w:contextualSpacing/>
              <w:jc w:val="center"/>
            </w:pPr>
            <w:r w:rsidRPr="001D087A">
              <w:t>Частота вилучення мікробних асоціацій, %</w:t>
            </w:r>
          </w:p>
        </w:tc>
      </w:tr>
      <w:tr w:rsidR="00A5221F" w:rsidRPr="00FF47CE" w:rsidTr="00043256">
        <w:tc>
          <w:tcPr>
            <w:tcW w:w="1668" w:type="dxa"/>
            <w:vMerge/>
            <w:shd w:val="clear" w:color="auto" w:fill="auto"/>
            <w:vAlign w:val="center"/>
          </w:tcPr>
          <w:p w:rsidR="00A5221F" w:rsidRPr="001D087A" w:rsidRDefault="00A5221F" w:rsidP="00A5221F">
            <w:pPr>
              <w:spacing w:line="240" w:lineRule="auto"/>
              <w:contextualSpacing/>
              <w:jc w:val="center"/>
            </w:pPr>
          </w:p>
        </w:tc>
        <w:tc>
          <w:tcPr>
            <w:tcW w:w="1559" w:type="dxa"/>
            <w:vMerge/>
            <w:shd w:val="clear" w:color="auto" w:fill="auto"/>
            <w:vAlign w:val="center"/>
          </w:tcPr>
          <w:p w:rsidR="00A5221F" w:rsidRPr="001D087A" w:rsidRDefault="00A5221F" w:rsidP="00A5221F">
            <w:pPr>
              <w:spacing w:line="240" w:lineRule="auto"/>
              <w:contextualSpacing/>
              <w:jc w:val="center"/>
            </w:pPr>
          </w:p>
        </w:tc>
        <w:tc>
          <w:tcPr>
            <w:tcW w:w="1276" w:type="dxa"/>
            <w:shd w:val="clear" w:color="auto" w:fill="auto"/>
            <w:vAlign w:val="center"/>
          </w:tcPr>
          <w:p w:rsidR="00A5221F" w:rsidRPr="001D087A" w:rsidRDefault="00A5221F" w:rsidP="007626D6">
            <w:pPr>
              <w:spacing w:line="240" w:lineRule="auto"/>
              <w:contextualSpacing/>
              <w:jc w:val="center"/>
            </w:pPr>
            <w:r>
              <w:t>2-ком</w:t>
            </w:r>
            <w:r w:rsidR="007626D6">
              <w:t>-</w:t>
            </w:r>
            <w:r>
              <w:t>понент</w:t>
            </w:r>
            <w:r w:rsidR="007626D6">
              <w:t>-</w:t>
            </w:r>
            <w:r w:rsidRPr="001D087A">
              <w:t>них</w:t>
            </w:r>
          </w:p>
        </w:tc>
        <w:tc>
          <w:tcPr>
            <w:tcW w:w="1275" w:type="dxa"/>
            <w:shd w:val="clear" w:color="auto" w:fill="auto"/>
            <w:vAlign w:val="center"/>
          </w:tcPr>
          <w:p w:rsidR="00A5221F" w:rsidRPr="001D087A" w:rsidRDefault="00A5221F" w:rsidP="007626D6">
            <w:pPr>
              <w:spacing w:line="240" w:lineRule="auto"/>
              <w:contextualSpacing/>
              <w:jc w:val="center"/>
            </w:pPr>
            <w:r>
              <w:t>3-ком</w:t>
            </w:r>
            <w:r w:rsidR="007626D6">
              <w:t>-</w:t>
            </w:r>
            <w:r>
              <w:t>понент</w:t>
            </w:r>
            <w:r w:rsidR="007626D6">
              <w:t>-</w:t>
            </w:r>
            <w:r w:rsidRPr="001D087A">
              <w:t>них</w:t>
            </w:r>
          </w:p>
        </w:tc>
        <w:tc>
          <w:tcPr>
            <w:tcW w:w="1276" w:type="dxa"/>
            <w:shd w:val="clear" w:color="auto" w:fill="auto"/>
            <w:vAlign w:val="center"/>
          </w:tcPr>
          <w:p w:rsidR="00A5221F" w:rsidRPr="001D087A" w:rsidRDefault="00A5221F" w:rsidP="007626D6">
            <w:pPr>
              <w:spacing w:line="240" w:lineRule="auto"/>
              <w:contextualSpacing/>
              <w:jc w:val="center"/>
            </w:pPr>
            <w:r>
              <w:t>4-ком</w:t>
            </w:r>
            <w:r w:rsidR="007626D6">
              <w:t>-</w:t>
            </w:r>
            <w:r>
              <w:t>понент</w:t>
            </w:r>
            <w:r w:rsidR="007626D6">
              <w:t>-</w:t>
            </w:r>
            <w:r w:rsidRPr="001D087A">
              <w:t>них</w:t>
            </w:r>
          </w:p>
        </w:tc>
        <w:tc>
          <w:tcPr>
            <w:tcW w:w="1276" w:type="dxa"/>
            <w:shd w:val="clear" w:color="auto" w:fill="auto"/>
            <w:vAlign w:val="center"/>
          </w:tcPr>
          <w:p w:rsidR="00A5221F" w:rsidRPr="001D087A" w:rsidRDefault="00A5221F" w:rsidP="007626D6">
            <w:pPr>
              <w:spacing w:line="240" w:lineRule="auto"/>
              <w:contextualSpacing/>
              <w:jc w:val="center"/>
            </w:pPr>
            <w:r>
              <w:t>5-ком</w:t>
            </w:r>
            <w:r w:rsidR="007626D6">
              <w:t>-</w:t>
            </w:r>
            <w:r>
              <w:t>понент</w:t>
            </w:r>
            <w:r w:rsidR="007626D6">
              <w:t>-</w:t>
            </w:r>
            <w:r w:rsidRPr="001D087A">
              <w:t>них</w:t>
            </w:r>
          </w:p>
        </w:tc>
        <w:tc>
          <w:tcPr>
            <w:tcW w:w="1240" w:type="dxa"/>
            <w:shd w:val="clear" w:color="auto" w:fill="auto"/>
            <w:vAlign w:val="center"/>
          </w:tcPr>
          <w:p w:rsidR="00A5221F" w:rsidRPr="001D087A" w:rsidRDefault="00A5221F" w:rsidP="007626D6">
            <w:pPr>
              <w:spacing w:line="240" w:lineRule="auto"/>
              <w:contextualSpacing/>
              <w:jc w:val="center"/>
            </w:pPr>
            <w:r>
              <w:t>6-ком</w:t>
            </w:r>
            <w:r w:rsidR="007626D6">
              <w:t>-понен-</w:t>
            </w:r>
            <w:r w:rsidR="007626D6" w:rsidRPr="001D087A">
              <w:t>них</w:t>
            </w:r>
          </w:p>
        </w:tc>
      </w:tr>
      <w:tr w:rsidR="00A5221F" w:rsidRPr="00FF47CE" w:rsidTr="00A5221F">
        <w:trPr>
          <w:trHeight w:val="351"/>
        </w:trPr>
        <w:tc>
          <w:tcPr>
            <w:tcW w:w="1668" w:type="dxa"/>
            <w:vMerge w:val="restart"/>
            <w:shd w:val="clear" w:color="auto" w:fill="auto"/>
          </w:tcPr>
          <w:p w:rsidR="00A5221F" w:rsidRPr="001D087A" w:rsidRDefault="00A5221F" w:rsidP="00045D33">
            <w:pPr>
              <w:spacing w:line="240" w:lineRule="auto"/>
              <w:contextualSpacing/>
              <w:jc w:val="center"/>
            </w:pPr>
            <w:r>
              <w:rPr>
                <w:lang w:val="ru-RU"/>
              </w:rPr>
              <w:t>ДВГ</w:t>
            </w:r>
            <w:r w:rsidRPr="001D087A">
              <w:t>,</w:t>
            </w:r>
          </w:p>
          <w:p w:rsidR="00A5221F" w:rsidRPr="001D087A" w:rsidRDefault="00A5221F" w:rsidP="00045D33">
            <w:pPr>
              <w:spacing w:line="240" w:lineRule="auto"/>
              <w:contextualSpacing/>
              <w:jc w:val="center"/>
            </w:pPr>
            <w:r w:rsidRPr="001D087A">
              <w:rPr>
                <w:lang w:val="en-US"/>
              </w:rPr>
              <w:t>n</w:t>
            </w:r>
            <w:r w:rsidRPr="001D087A">
              <w:rPr>
                <w:lang w:val="ru-RU"/>
              </w:rPr>
              <w:t>=</w:t>
            </w:r>
            <w:r w:rsidRPr="001D087A">
              <w:t>70</w:t>
            </w:r>
          </w:p>
        </w:tc>
        <w:tc>
          <w:tcPr>
            <w:tcW w:w="1559" w:type="dxa"/>
            <w:shd w:val="clear" w:color="auto" w:fill="auto"/>
          </w:tcPr>
          <w:p w:rsidR="00A5221F" w:rsidRPr="00A5221F" w:rsidRDefault="00A5221F" w:rsidP="00A5221F">
            <w:pPr>
              <w:spacing w:line="240" w:lineRule="auto"/>
              <w:contextualSpacing/>
              <w:jc w:val="center"/>
              <w:rPr>
                <w:lang w:val="ru-RU"/>
              </w:rPr>
            </w:pPr>
            <w:r>
              <w:t xml:space="preserve">ОГ </w:t>
            </w:r>
            <w:r>
              <w:rPr>
                <w:lang w:val="ru-RU"/>
              </w:rPr>
              <w:t>1</w:t>
            </w:r>
          </w:p>
        </w:tc>
        <w:tc>
          <w:tcPr>
            <w:tcW w:w="1276" w:type="dxa"/>
            <w:shd w:val="clear" w:color="auto" w:fill="auto"/>
          </w:tcPr>
          <w:p w:rsidR="00A5221F" w:rsidRPr="001D087A" w:rsidRDefault="00A5221F" w:rsidP="00A5221F">
            <w:pPr>
              <w:spacing w:line="240" w:lineRule="auto"/>
              <w:contextualSpacing/>
              <w:jc w:val="center"/>
            </w:pPr>
            <w:r w:rsidRPr="001D087A">
              <w:t>4,3</w:t>
            </w:r>
          </w:p>
        </w:tc>
        <w:tc>
          <w:tcPr>
            <w:tcW w:w="1275" w:type="dxa"/>
            <w:shd w:val="clear" w:color="auto" w:fill="auto"/>
          </w:tcPr>
          <w:p w:rsidR="00A5221F" w:rsidRPr="001D087A" w:rsidRDefault="00A5221F" w:rsidP="00A5221F">
            <w:pPr>
              <w:spacing w:line="240" w:lineRule="auto"/>
              <w:contextualSpacing/>
              <w:jc w:val="center"/>
            </w:pPr>
            <w:r w:rsidRPr="001D087A">
              <w:t>17,4</w:t>
            </w:r>
          </w:p>
        </w:tc>
        <w:tc>
          <w:tcPr>
            <w:tcW w:w="1276" w:type="dxa"/>
            <w:shd w:val="clear" w:color="auto" w:fill="auto"/>
          </w:tcPr>
          <w:p w:rsidR="00A5221F" w:rsidRPr="001D087A" w:rsidRDefault="00A5221F" w:rsidP="00A5221F">
            <w:pPr>
              <w:spacing w:line="240" w:lineRule="auto"/>
              <w:contextualSpacing/>
              <w:jc w:val="center"/>
            </w:pPr>
            <w:r w:rsidRPr="001D087A">
              <w:t>56,6</w:t>
            </w:r>
          </w:p>
        </w:tc>
        <w:tc>
          <w:tcPr>
            <w:tcW w:w="1276" w:type="dxa"/>
            <w:shd w:val="clear" w:color="auto" w:fill="auto"/>
          </w:tcPr>
          <w:p w:rsidR="00A5221F" w:rsidRPr="001D087A" w:rsidRDefault="00A5221F" w:rsidP="00A5221F">
            <w:pPr>
              <w:spacing w:line="240" w:lineRule="auto"/>
              <w:contextualSpacing/>
              <w:jc w:val="center"/>
            </w:pPr>
            <w:r w:rsidRPr="001D087A">
              <w:t>17,4</w:t>
            </w:r>
          </w:p>
        </w:tc>
        <w:tc>
          <w:tcPr>
            <w:tcW w:w="1240" w:type="dxa"/>
            <w:shd w:val="clear" w:color="auto" w:fill="auto"/>
          </w:tcPr>
          <w:p w:rsidR="00A5221F" w:rsidRPr="001D087A" w:rsidRDefault="00A5221F" w:rsidP="00A5221F">
            <w:pPr>
              <w:spacing w:line="240" w:lineRule="auto"/>
              <w:contextualSpacing/>
              <w:jc w:val="center"/>
            </w:pPr>
            <w:r w:rsidRPr="001D087A">
              <w:t>4,3</w:t>
            </w:r>
          </w:p>
        </w:tc>
      </w:tr>
      <w:tr w:rsidR="00A5221F" w:rsidRPr="00FF47CE" w:rsidTr="00A5221F">
        <w:trPr>
          <w:trHeight w:val="272"/>
        </w:trPr>
        <w:tc>
          <w:tcPr>
            <w:tcW w:w="1668" w:type="dxa"/>
            <w:vMerge/>
            <w:shd w:val="clear" w:color="auto" w:fill="auto"/>
          </w:tcPr>
          <w:p w:rsidR="00A5221F" w:rsidRPr="001D087A" w:rsidRDefault="00A5221F" w:rsidP="00045D33">
            <w:pPr>
              <w:spacing w:line="240" w:lineRule="auto"/>
              <w:contextualSpacing/>
              <w:jc w:val="center"/>
            </w:pPr>
          </w:p>
        </w:tc>
        <w:tc>
          <w:tcPr>
            <w:tcW w:w="1559" w:type="dxa"/>
            <w:shd w:val="clear" w:color="auto" w:fill="auto"/>
          </w:tcPr>
          <w:p w:rsidR="00A5221F" w:rsidRPr="00A5221F" w:rsidRDefault="00A5221F" w:rsidP="00A5221F">
            <w:pPr>
              <w:spacing w:line="240" w:lineRule="auto"/>
              <w:contextualSpacing/>
              <w:jc w:val="center"/>
              <w:rPr>
                <w:lang w:val="ru-RU"/>
              </w:rPr>
            </w:pPr>
            <w:r>
              <w:t xml:space="preserve">ОГ </w:t>
            </w:r>
            <w:r>
              <w:rPr>
                <w:lang w:val="ru-RU"/>
              </w:rPr>
              <w:t>2</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75" w:type="dxa"/>
            <w:shd w:val="clear" w:color="auto" w:fill="auto"/>
          </w:tcPr>
          <w:p w:rsidR="00A5221F" w:rsidRPr="001D087A" w:rsidRDefault="00A5221F" w:rsidP="00A5221F">
            <w:pPr>
              <w:spacing w:line="240" w:lineRule="auto"/>
              <w:contextualSpacing/>
              <w:jc w:val="center"/>
            </w:pPr>
            <w:r w:rsidRPr="001D087A">
              <w:t>14,3</w:t>
            </w:r>
          </w:p>
        </w:tc>
        <w:tc>
          <w:tcPr>
            <w:tcW w:w="1276" w:type="dxa"/>
            <w:shd w:val="clear" w:color="auto" w:fill="auto"/>
          </w:tcPr>
          <w:p w:rsidR="00A5221F" w:rsidRPr="001D087A" w:rsidRDefault="00A5221F" w:rsidP="00A5221F">
            <w:pPr>
              <w:spacing w:line="240" w:lineRule="auto"/>
              <w:contextualSpacing/>
              <w:jc w:val="center"/>
            </w:pPr>
            <w:r w:rsidRPr="001D087A">
              <w:t>66,7</w:t>
            </w:r>
          </w:p>
        </w:tc>
        <w:tc>
          <w:tcPr>
            <w:tcW w:w="1276" w:type="dxa"/>
            <w:shd w:val="clear" w:color="auto" w:fill="auto"/>
          </w:tcPr>
          <w:p w:rsidR="00A5221F" w:rsidRPr="001D087A" w:rsidRDefault="00A5221F" w:rsidP="00A5221F">
            <w:pPr>
              <w:spacing w:line="240" w:lineRule="auto"/>
              <w:contextualSpacing/>
              <w:jc w:val="center"/>
            </w:pPr>
            <w:r w:rsidRPr="001D087A">
              <w:t>19,0</w:t>
            </w:r>
          </w:p>
        </w:tc>
        <w:tc>
          <w:tcPr>
            <w:tcW w:w="1240" w:type="dxa"/>
            <w:shd w:val="clear" w:color="auto" w:fill="auto"/>
          </w:tcPr>
          <w:p w:rsidR="00A5221F" w:rsidRPr="001D087A" w:rsidRDefault="00A5221F" w:rsidP="00A5221F">
            <w:pPr>
              <w:spacing w:line="240" w:lineRule="auto"/>
              <w:contextualSpacing/>
              <w:jc w:val="center"/>
            </w:pPr>
            <w:r w:rsidRPr="001D087A">
              <w:t>-</w:t>
            </w:r>
          </w:p>
        </w:tc>
      </w:tr>
      <w:tr w:rsidR="00A5221F" w:rsidRPr="00FF47CE" w:rsidTr="00A5221F">
        <w:trPr>
          <w:trHeight w:val="361"/>
        </w:trPr>
        <w:tc>
          <w:tcPr>
            <w:tcW w:w="1668" w:type="dxa"/>
            <w:vMerge/>
            <w:shd w:val="clear" w:color="auto" w:fill="auto"/>
          </w:tcPr>
          <w:p w:rsidR="00A5221F" w:rsidRPr="001D087A" w:rsidRDefault="00A5221F" w:rsidP="00045D33">
            <w:pPr>
              <w:spacing w:line="240" w:lineRule="auto"/>
              <w:contextualSpacing/>
              <w:jc w:val="center"/>
            </w:pPr>
          </w:p>
        </w:tc>
        <w:tc>
          <w:tcPr>
            <w:tcW w:w="1559" w:type="dxa"/>
            <w:shd w:val="clear" w:color="auto" w:fill="auto"/>
          </w:tcPr>
          <w:p w:rsidR="00A5221F" w:rsidRPr="00A5221F" w:rsidRDefault="00A5221F" w:rsidP="00A5221F">
            <w:pPr>
              <w:spacing w:line="240" w:lineRule="auto"/>
              <w:contextualSpacing/>
              <w:jc w:val="center"/>
              <w:rPr>
                <w:lang w:val="ru-RU"/>
              </w:rPr>
            </w:pPr>
            <w:r>
              <w:t xml:space="preserve">ОГ </w:t>
            </w:r>
            <w:r>
              <w:rPr>
                <w:lang w:val="ru-RU"/>
              </w:rPr>
              <w:t>3</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75" w:type="dxa"/>
            <w:shd w:val="clear" w:color="auto" w:fill="auto"/>
          </w:tcPr>
          <w:p w:rsidR="00A5221F" w:rsidRPr="001D087A" w:rsidRDefault="00A5221F" w:rsidP="00A5221F">
            <w:pPr>
              <w:spacing w:line="240" w:lineRule="auto"/>
              <w:contextualSpacing/>
              <w:jc w:val="center"/>
            </w:pPr>
            <w:r w:rsidRPr="001D087A">
              <w:t>11,5</w:t>
            </w:r>
          </w:p>
        </w:tc>
        <w:tc>
          <w:tcPr>
            <w:tcW w:w="1276" w:type="dxa"/>
            <w:shd w:val="clear" w:color="auto" w:fill="auto"/>
          </w:tcPr>
          <w:p w:rsidR="00A5221F" w:rsidRPr="001D087A" w:rsidRDefault="00A5221F" w:rsidP="00A5221F">
            <w:pPr>
              <w:spacing w:line="240" w:lineRule="auto"/>
              <w:contextualSpacing/>
              <w:jc w:val="center"/>
            </w:pPr>
            <w:r w:rsidRPr="001D087A">
              <w:t>69,3</w:t>
            </w:r>
          </w:p>
        </w:tc>
        <w:tc>
          <w:tcPr>
            <w:tcW w:w="1276" w:type="dxa"/>
            <w:shd w:val="clear" w:color="auto" w:fill="auto"/>
          </w:tcPr>
          <w:p w:rsidR="00A5221F" w:rsidRPr="001D087A" w:rsidRDefault="00A5221F" w:rsidP="00A5221F">
            <w:pPr>
              <w:spacing w:line="240" w:lineRule="auto"/>
              <w:contextualSpacing/>
              <w:jc w:val="center"/>
            </w:pPr>
            <w:r w:rsidRPr="001D087A">
              <w:t>15,4</w:t>
            </w:r>
          </w:p>
        </w:tc>
        <w:tc>
          <w:tcPr>
            <w:tcW w:w="1240" w:type="dxa"/>
            <w:shd w:val="clear" w:color="auto" w:fill="auto"/>
          </w:tcPr>
          <w:p w:rsidR="00A5221F" w:rsidRPr="001D087A" w:rsidRDefault="00A5221F" w:rsidP="00A5221F">
            <w:pPr>
              <w:spacing w:line="240" w:lineRule="auto"/>
              <w:contextualSpacing/>
              <w:jc w:val="center"/>
            </w:pPr>
            <w:r w:rsidRPr="001D087A">
              <w:t>3,8</w:t>
            </w:r>
          </w:p>
        </w:tc>
      </w:tr>
      <w:tr w:rsidR="00A5221F" w:rsidRPr="001D087A" w:rsidTr="00043256">
        <w:tc>
          <w:tcPr>
            <w:tcW w:w="1668" w:type="dxa"/>
            <w:vMerge w:val="restart"/>
            <w:shd w:val="clear" w:color="auto" w:fill="auto"/>
          </w:tcPr>
          <w:p w:rsidR="00A5221F" w:rsidRPr="001D087A" w:rsidRDefault="00A5221F" w:rsidP="00045D33">
            <w:pPr>
              <w:spacing w:line="240" w:lineRule="auto"/>
              <w:contextualSpacing/>
              <w:jc w:val="center"/>
            </w:pPr>
            <w:r>
              <w:rPr>
                <w:lang w:val="ru-RU"/>
              </w:rPr>
              <w:t>ДНС</w:t>
            </w:r>
            <w:r w:rsidRPr="001D087A">
              <w:t>,</w:t>
            </w:r>
          </w:p>
          <w:p w:rsidR="00A5221F" w:rsidRPr="001D087A" w:rsidRDefault="00A5221F" w:rsidP="00045D33">
            <w:pPr>
              <w:spacing w:line="240" w:lineRule="auto"/>
              <w:contextualSpacing/>
              <w:jc w:val="center"/>
            </w:pPr>
            <w:r w:rsidRPr="001D087A">
              <w:rPr>
                <w:lang w:val="en-US"/>
              </w:rPr>
              <w:t>n=</w:t>
            </w:r>
            <w:r w:rsidRPr="001D087A">
              <w:t>32</w:t>
            </w:r>
          </w:p>
        </w:tc>
        <w:tc>
          <w:tcPr>
            <w:tcW w:w="1559" w:type="dxa"/>
            <w:shd w:val="clear" w:color="auto" w:fill="auto"/>
          </w:tcPr>
          <w:p w:rsidR="00A5221F" w:rsidRPr="00A5221F" w:rsidRDefault="00A5221F" w:rsidP="00A5221F">
            <w:pPr>
              <w:spacing w:line="240" w:lineRule="auto"/>
              <w:contextualSpacing/>
              <w:jc w:val="center"/>
              <w:rPr>
                <w:lang w:val="ru-RU"/>
              </w:rPr>
            </w:pPr>
            <w:r>
              <w:t xml:space="preserve">КГ </w:t>
            </w:r>
            <w:r>
              <w:rPr>
                <w:lang w:val="ru-RU"/>
              </w:rPr>
              <w:t>1</w:t>
            </w:r>
          </w:p>
        </w:tc>
        <w:tc>
          <w:tcPr>
            <w:tcW w:w="1276" w:type="dxa"/>
            <w:shd w:val="clear" w:color="auto" w:fill="auto"/>
          </w:tcPr>
          <w:p w:rsidR="00A5221F" w:rsidRPr="001D087A" w:rsidRDefault="00A5221F" w:rsidP="00A5221F">
            <w:pPr>
              <w:spacing w:line="240" w:lineRule="auto"/>
              <w:contextualSpacing/>
              <w:jc w:val="center"/>
            </w:pPr>
            <w:r w:rsidRPr="001D087A">
              <w:t>10,0</w:t>
            </w:r>
          </w:p>
        </w:tc>
        <w:tc>
          <w:tcPr>
            <w:tcW w:w="1275" w:type="dxa"/>
            <w:shd w:val="clear" w:color="auto" w:fill="auto"/>
          </w:tcPr>
          <w:p w:rsidR="00A5221F" w:rsidRPr="001D087A" w:rsidRDefault="00A5221F" w:rsidP="00A5221F">
            <w:pPr>
              <w:spacing w:line="240" w:lineRule="auto"/>
              <w:contextualSpacing/>
              <w:jc w:val="center"/>
            </w:pPr>
            <w:r w:rsidRPr="001D087A">
              <w:t>90,0</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40" w:type="dxa"/>
            <w:shd w:val="clear" w:color="auto" w:fill="auto"/>
          </w:tcPr>
          <w:p w:rsidR="00A5221F" w:rsidRPr="001D087A" w:rsidRDefault="00A5221F" w:rsidP="00A5221F">
            <w:pPr>
              <w:spacing w:line="240" w:lineRule="auto"/>
              <w:contextualSpacing/>
              <w:jc w:val="center"/>
            </w:pPr>
            <w:r w:rsidRPr="001D087A">
              <w:t>-</w:t>
            </w:r>
          </w:p>
        </w:tc>
      </w:tr>
      <w:tr w:rsidR="00A5221F" w:rsidRPr="001D087A" w:rsidTr="00043256">
        <w:tc>
          <w:tcPr>
            <w:tcW w:w="1668" w:type="dxa"/>
            <w:vMerge/>
            <w:shd w:val="clear" w:color="auto" w:fill="auto"/>
          </w:tcPr>
          <w:p w:rsidR="00A5221F" w:rsidRPr="001D087A" w:rsidRDefault="00A5221F" w:rsidP="00A5221F">
            <w:pPr>
              <w:spacing w:line="240" w:lineRule="auto"/>
              <w:contextualSpacing/>
            </w:pPr>
          </w:p>
        </w:tc>
        <w:tc>
          <w:tcPr>
            <w:tcW w:w="1559" w:type="dxa"/>
            <w:shd w:val="clear" w:color="auto" w:fill="auto"/>
          </w:tcPr>
          <w:p w:rsidR="00A5221F" w:rsidRPr="00A5221F" w:rsidRDefault="00A5221F" w:rsidP="00A5221F">
            <w:pPr>
              <w:spacing w:line="240" w:lineRule="auto"/>
              <w:contextualSpacing/>
              <w:jc w:val="center"/>
              <w:rPr>
                <w:lang w:val="ru-RU"/>
              </w:rPr>
            </w:pPr>
            <w:r>
              <w:t xml:space="preserve">КГ </w:t>
            </w:r>
            <w:r>
              <w:rPr>
                <w:lang w:val="ru-RU"/>
              </w:rPr>
              <w:t>2</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75" w:type="dxa"/>
            <w:shd w:val="clear" w:color="auto" w:fill="auto"/>
          </w:tcPr>
          <w:p w:rsidR="00A5221F" w:rsidRPr="001D087A" w:rsidRDefault="00A5221F" w:rsidP="00A5221F">
            <w:pPr>
              <w:spacing w:line="240" w:lineRule="auto"/>
              <w:contextualSpacing/>
              <w:jc w:val="center"/>
            </w:pPr>
            <w:r w:rsidRPr="001D087A">
              <w:t>90,0</w:t>
            </w:r>
          </w:p>
        </w:tc>
        <w:tc>
          <w:tcPr>
            <w:tcW w:w="1276" w:type="dxa"/>
            <w:shd w:val="clear" w:color="auto" w:fill="auto"/>
          </w:tcPr>
          <w:p w:rsidR="00A5221F" w:rsidRPr="001D087A" w:rsidRDefault="00A5221F" w:rsidP="00A5221F">
            <w:pPr>
              <w:spacing w:line="240" w:lineRule="auto"/>
              <w:contextualSpacing/>
              <w:jc w:val="center"/>
            </w:pPr>
            <w:r w:rsidRPr="001D087A">
              <w:t>10,0</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40" w:type="dxa"/>
            <w:shd w:val="clear" w:color="auto" w:fill="auto"/>
          </w:tcPr>
          <w:p w:rsidR="00A5221F" w:rsidRPr="001D087A" w:rsidRDefault="00A5221F" w:rsidP="00A5221F">
            <w:pPr>
              <w:spacing w:line="240" w:lineRule="auto"/>
              <w:contextualSpacing/>
              <w:jc w:val="center"/>
            </w:pPr>
            <w:r w:rsidRPr="001D087A">
              <w:t>-</w:t>
            </w:r>
          </w:p>
        </w:tc>
      </w:tr>
      <w:tr w:rsidR="00A5221F" w:rsidRPr="001D087A" w:rsidTr="00043256">
        <w:tc>
          <w:tcPr>
            <w:tcW w:w="1668" w:type="dxa"/>
            <w:vMerge/>
            <w:shd w:val="clear" w:color="auto" w:fill="auto"/>
          </w:tcPr>
          <w:p w:rsidR="00A5221F" w:rsidRPr="001D087A" w:rsidRDefault="00A5221F" w:rsidP="00A5221F">
            <w:pPr>
              <w:spacing w:line="240" w:lineRule="auto"/>
              <w:contextualSpacing/>
            </w:pPr>
          </w:p>
        </w:tc>
        <w:tc>
          <w:tcPr>
            <w:tcW w:w="1559" w:type="dxa"/>
            <w:shd w:val="clear" w:color="auto" w:fill="auto"/>
          </w:tcPr>
          <w:p w:rsidR="00A5221F" w:rsidRPr="00A5221F" w:rsidRDefault="00A5221F" w:rsidP="00A5221F">
            <w:pPr>
              <w:spacing w:line="240" w:lineRule="auto"/>
              <w:contextualSpacing/>
              <w:jc w:val="center"/>
              <w:rPr>
                <w:lang w:val="ru-RU"/>
              </w:rPr>
            </w:pPr>
            <w:r>
              <w:t xml:space="preserve">КГ </w:t>
            </w:r>
            <w:r>
              <w:rPr>
                <w:lang w:val="ru-RU"/>
              </w:rPr>
              <w:t>3</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75" w:type="dxa"/>
            <w:shd w:val="clear" w:color="auto" w:fill="auto"/>
          </w:tcPr>
          <w:p w:rsidR="00A5221F" w:rsidRPr="001D087A" w:rsidRDefault="00A5221F" w:rsidP="00A5221F">
            <w:pPr>
              <w:spacing w:line="240" w:lineRule="auto"/>
              <w:contextualSpacing/>
              <w:jc w:val="center"/>
            </w:pPr>
            <w:r w:rsidRPr="001D087A">
              <w:t>75,0</w:t>
            </w:r>
          </w:p>
        </w:tc>
        <w:tc>
          <w:tcPr>
            <w:tcW w:w="1276" w:type="dxa"/>
            <w:shd w:val="clear" w:color="auto" w:fill="auto"/>
          </w:tcPr>
          <w:p w:rsidR="00A5221F" w:rsidRPr="001D087A" w:rsidRDefault="00A5221F" w:rsidP="00A5221F">
            <w:pPr>
              <w:spacing w:line="240" w:lineRule="auto"/>
              <w:contextualSpacing/>
              <w:jc w:val="center"/>
            </w:pPr>
            <w:r w:rsidRPr="001D087A">
              <w:t>25,0</w:t>
            </w:r>
          </w:p>
        </w:tc>
        <w:tc>
          <w:tcPr>
            <w:tcW w:w="1276" w:type="dxa"/>
            <w:shd w:val="clear" w:color="auto" w:fill="auto"/>
          </w:tcPr>
          <w:p w:rsidR="00A5221F" w:rsidRPr="001D087A" w:rsidRDefault="00A5221F" w:rsidP="00A5221F">
            <w:pPr>
              <w:spacing w:line="240" w:lineRule="auto"/>
              <w:contextualSpacing/>
              <w:jc w:val="center"/>
            </w:pPr>
            <w:r w:rsidRPr="001D087A">
              <w:t>-</w:t>
            </w:r>
          </w:p>
        </w:tc>
        <w:tc>
          <w:tcPr>
            <w:tcW w:w="1240" w:type="dxa"/>
            <w:shd w:val="clear" w:color="auto" w:fill="auto"/>
          </w:tcPr>
          <w:p w:rsidR="00A5221F" w:rsidRPr="001D087A" w:rsidRDefault="00A5221F" w:rsidP="00A5221F">
            <w:pPr>
              <w:spacing w:line="240" w:lineRule="auto"/>
              <w:contextualSpacing/>
              <w:jc w:val="center"/>
            </w:pPr>
            <w:r w:rsidRPr="001D087A">
              <w:t>-</w:t>
            </w:r>
          </w:p>
        </w:tc>
      </w:tr>
    </w:tbl>
    <w:p w:rsidR="00A5221F" w:rsidRPr="00A5221F" w:rsidRDefault="00A5221F" w:rsidP="00534FB5">
      <w:pPr>
        <w:ind w:firstLine="567"/>
        <w:contextualSpacing/>
        <w:rPr>
          <w:lang w:val="ru-RU"/>
        </w:rPr>
      </w:pPr>
    </w:p>
    <w:p w:rsidR="00534FB5" w:rsidRDefault="00534FB5" w:rsidP="00534FB5">
      <w:pPr>
        <w:ind w:firstLine="709"/>
        <w:contextualSpacing/>
      </w:pPr>
      <w:r w:rsidRPr="00A33BB3">
        <w:t>Дані таблиці</w:t>
      </w:r>
      <w:r>
        <w:t> </w:t>
      </w:r>
      <w:r w:rsidRPr="00A33BB3">
        <w:t xml:space="preserve">3.5.2.1 свідчать про відсутність суттєвих розбіжностей між вилученням визначених мікробних асоціацій у </w:t>
      </w:r>
      <w:r>
        <w:t>ДВГ,</w:t>
      </w:r>
      <w:r w:rsidRPr="00A33BB3">
        <w:t xml:space="preserve"> залежно від віку. </w:t>
      </w:r>
      <w:r w:rsidRPr="00E40BFA">
        <w:t>У дітей контрольної групи простежується незначна тенденція до збільшення кількості персистуючих штамів у одного</w:t>
      </w:r>
      <w:r w:rsidRPr="00A33BB3">
        <w:t xml:space="preserve"> </w:t>
      </w:r>
      <w:r w:rsidRPr="00E40BFA">
        <w:t>обстеженого зі збільшенням віку та настанням періоду сформованого постійного прикусу.</w:t>
      </w:r>
    </w:p>
    <w:p w:rsidR="00534FB5" w:rsidRPr="00E40BFA" w:rsidRDefault="00534FB5" w:rsidP="00EB6AE8">
      <w:pPr>
        <w:ind w:firstLine="567"/>
        <w:contextualSpacing/>
      </w:pPr>
      <w:r w:rsidRPr="00A33BB3">
        <w:t>Аналіз результатів дослідження видового складу та щільності мікробної колонізації біоценозу зубної бляшки у дітей</w:t>
      </w:r>
      <w:r>
        <w:t>,</w:t>
      </w:r>
      <w:r w:rsidRPr="00A33BB3">
        <w:t xml:space="preserve"> залежно від віку</w:t>
      </w:r>
      <w:r>
        <w:t>,</w:t>
      </w:r>
      <w:r w:rsidRPr="00A33BB3">
        <w:t xml:space="preserve"> виявив суттєві розбіжності лише за частотою вилучення окремих видів мікроорганізмів (</w:t>
      </w:r>
      <w:r>
        <w:t>додаток В).</w:t>
      </w:r>
      <w:r w:rsidRPr="00A33BB3">
        <w:t xml:space="preserve"> </w:t>
      </w:r>
      <w:r w:rsidRPr="00E40BFA">
        <w:t>Так, представники родів коринебактерій, стафілококів, гемел та канд</w:t>
      </w:r>
      <w:r w:rsidR="00EB6AE8">
        <w:t>и</w:t>
      </w:r>
      <w:r w:rsidRPr="00E40BFA">
        <w:t xml:space="preserve">да вилучені </w:t>
      </w:r>
      <w:r>
        <w:t>тільки</w:t>
      </w:r>
      <w:r w:rsidRPr="00E40BFA">
        <w:t xml:space="preserve"> у дітей </w:t>
      </w:r>
      <w:r>
        <w:t>ОГ3</w:t>
      </w:r>
      <w:r w:rsidRPr="00E40BFA">
        <w:t xml:space="preserve">. З віком питома вага ізолятів </w:t>
      </w:r>
      <w:r w:rsidRPr="00E40BFA">
        <w:rPr>
          <w:i/>
        </w:rPr>
        <w:t>S.</w:t>
      </w:r>
      <w:r>
        <w:rPr>
          <w:i/>
        </w:rPr>
        <w:t> </w:t>
      </w:r>
      <w:r w:rsidRPr="00E40BFA">
        <w:rPr>
          <w:i/>
        </w:rPr>
        <w:t>mutans</w:t>
      </w:r>
      <w:r w:rsidRPr="00E40BFA">
        <w:t xml:space="preserve"> збільшується з 10</w:t>
      </w:r>
      <w:r>
        <w:t> </w:t>
      </w:r>
      <w:r w:rsidRPr="00E40BFA">
        <w:t>% (діти 7-8 років) до 33,3</w:t>
      </w:r>
      <w:r>
        <w:t> </w:t>
      </w:r>
      <w:r w:rsidRPr="00E40BFA">
        <w:t>% (14-15 років</w:t>
      </w:r>
      <w:r>
        <w:t>); нейсерій – з 10 % (I </w:t>
      </w:r>
      <w:r w:rsidRPr="00E40BFA">
        <w:t>груп</w:t>
      </w:r>
      <w:r>
        <w:t>а) до 40-41,7 % (IІ та ІІІ </w:t>
      </w:r>
      <w:r w:rsidRPr="00E40BFA">
        <w:t>групи відповідно (р</w:t>
      </w:r>
      <w:r>
        <w:t>&lt;</w:t>
      </w:r>
      <w:r w:rsidRPr="00E40BFA">
        <w:t>0,05).). Натомість частота колонізації вказаного біотопу лактобактеріями з віком поступово знижується (з 30</w:t>
      </w:r>
      <w:r>
        <w:t> </w:t>
      </w:r>
      <w:r w:rsidRPr="00E40BFA">
        <w:t>% до 8,3</w:t>
      </w:r>
      <w:r>
        <w:t> </w:t>
      </w:r>
      <w:r w:rsidRPr="00E40BFA">
        <w:t>%) (р</w:t>
      </w:r>
      <w:r>
        <w:t>&lt;</w:t>
      </w:r>
      <w:r w:rsidRPr="00E40BFA">
        <w:t>0,05).</w:t>
      </w:r>
    </w:p>
    <w:p w:rsidR="00534FB5" w:rsidRDefault="00534FB5" w:rsidP="00534FB5">
      <w:pPr>
        <w:ind w:firstLine="708"/>
        <w:contextualSpacing/>
      </w:pPr>
      <w:r w:rsidRPr="00E40BFA">
        <w:t>Вказана тенденція простежується у групах дітей зі збер</w:t>
      </w:r>
      <w:r>
        <w:t>еженою слуховою функцією (додаток Г).</w:t>
      </w:r>
      <w:r w:rsidRPr="00E40BFA">
        <w:t xml:space="preserve"> </w:t>
      </w:r>
    </w:p>
    <w:p w:rsidR="00534FB5" w:rsidRDefault="00534FB5" w:rsidP="00534FB5">
      <w:pPr>
        <w:ind w:firstLine="708"/>
        <w:contextualSpacing/>
        <w:rPr>
          <w:rFonts w:eastAsia="TimesNewRomanPSMT"/>
        </w:rPr>
      </w:pPr>
      <w:r>
        <w:t>Отже, можна підсумувати, що в</w:t>
      </w:r>
      <w:r w:rsidRPr="00206AA7">
        <w:rPr>
          <w:rFonts w:eastAsia="TimesNewRomanPSMT"/>
        </w:rPr>
        <w:t>иявлені ос</w:t>
      </w:r>
      <w:r>
        <w:rPr>
          <w:rFonts w:eastAsia="TimesNewRomanPSMT"/>
        </w:rPr>
        <w:t xml:space="preserve">обливості мікробіоценозу </w:t>
      </w:r>
      <w:r>
        <w:rPr>
          <w:rFonts w:eastAsia="TimesNewRomanPSMT"/>
        </w:rPr>
        <w:lastRenderedPageBreak/>
        <w:t>зубної бляшки</w:t>
      </w:r>
      <w:r w:rsidRPr="00206AA7">
        <w:rPr>
          <w:rFonts w:eastAsia="TimesNewRomanPSMT"/>
        </w:rPr>
        <w:t xml:space="preserve"> у дітей з вродженою глухотою </w:t>
      </w:r>
      <w:r>
        <w:rPr>
          <w:rFonts w:eastAsia="TimesNewRomanPSMT"/>
        </w:rPr>
        <w:t xml:space="preserve">є несприятливим прогностичним критерієм щодо їх стоматологічного статусу. Вказане потребує подальшого обґрунтування та розробки лікувально-профілактичних заходів, які адекватно запобігатимуть розвитку стоматологічних захворювань у дітей зі слуховою депривацією. </w:t>
      </w:r>
    </w:p>
    <w:p w:rsidR="00534FB5" w:rsidRPr="00751D9F" w:rsidRDefault="00534FB5" w:rsidP="00534FB5">
      <w:pPr>
        <w:contextualSpacing/>
        <w:rPr>
          <w:rFonts w:eastAsia="TimesNewRomanPSMT"/>
          <w:b/>
        </w:rPr>
      </w:pPr>
    </w:p>
    <w:p w:rsidR="00534FB5" w:rsidRDefault="00534FB5" w:rsidP="00534FB5">
      <w:pPr>
        <w:ind w:firstLine="709"/>
        <w:contextualSpacing/>
        <w:rPr>
          <w:b/>
        </w:rPr>
      </w:pPr>
      <w:r>
        <w:rPr>
          <w:b/>
        </w:rPr>
        <w:t>3.6</w:t>
      </w:r>
      <w:r w:rsidRPr="00EC7DE0">
        <w:rPr>
          <w:b/>
        </w:rPr>
        <w:t xml:space="preserve">. </w:t>
      </w:r>
      <w:r w:rsidRPr="000B4A0E">
        <w:rPr>
          <w:b/>
        </w:rPr>
        <w:t>Вивченн</w:t>
      </w:r>
      <w:r>
        <w:rPr>
          <w:b/>
        </w:rPr>
        <w:t xml:space="preserve">я </w:t>
      </w:r>
      <w:r w:rsidRPr="00EC7DE0">
        <w:rPr>
          <w:b/>
        </w:rPr>
        <w:t>психоемоційного статусу</w:t>
      </w:r>
      <w:r>
        <w:rPr>
          <w:b/>
        </w:rPr>
        <w:t xml:space="preserve"> та кореляційного зв’язку між порушенням психічного</w:t>
      </w:r>
      <w:r w:rsidRPr="00EC7DE0">
        <w:rPr>
          <w:b/>
        </w:rPr>
        <w:t xml:space="preserve"> </w:t>
      </w:r>
      <w:r>
        <w:rPr>
          <w:b/>
        </w:rPr>
        <w:t xml:space="preserve">та стоматологічного здоров’я </w:t>
      </w:r>
      <w:r w:rsidRPr="00EC7DE0">
        <w:rPr>
          <w:b/>
        </w:rPr>
        <w:t xml:space="preserve">дітей </w:t>
      </w:r>
      <w:r w:rsidR="00D81C50">
        <w:rPr>
          <w:b/>
        </w:rPr>
        <w:t>і</w:t>
      </w:r>
      <w:r w:rsidRPr="00EC7DE0">
        <w:rPr>
          <w:b/>
        </w:rPr>
        <w:t xml:space="preserve">з </w:t>
      </w:r>
      <w:r>
        <w:rPr>
          <w:b/>
        </w:rPr>
        <w:t>вродженою глухотою</w:t>
      </w:r>
    </w:p>
    <w:p w:rsidR="00534FB5" w:rsidRDefault="00534FB5" w:rsidP="00534FB5">
      <w:pPr>
        <w:ind w:firstLine="709"/>
        <w:contextualSpacing/>
        <w:jc w:val="center"/>
      </w:pPr>
      <w:r>
        <w:t xml:space="preserve"> </w:t>
      </w:r>
    </w:p>
    <w:p w:rsidR="00534FB5" w:rsidRDefault="00534FB5" w:rsidP="00534FB5">
      <w:pPr>
        <w:ind w:firstLine="567"/>
        <w:contextualSpacing/>
      </w:pPr>
      <w:r w:rsidRPr="002C29B4">
        <w:t xml:space="preserve">За сприяння співробітників кафедри </w:t>
      </w:r>
      <w:r w:rsidRPr="002C29B4">
        <w:rPr>
          <w:color w:val="000000"/>
          <w:lang w:eastAsia="uk-UA"/>
        </w:rPr>
        <w:t>психіатрії, наркології та медичної психології</w:t>
      </w:r>
      <w:r w:rsidRPr="002C29B4">
        <w:t xml:space="preserve"> Харківського національного медичного університету та психологічної служби інтернату було проведено</w:t>
      </w:r>
      <w:r>
        <w:t xml:space="preserve"> </w:t>
      </w:r>
      <w:r w:rsidRPr="002C29B4">
        <w:t xml:space="preserve">вивчення </w:t>
      </w:r>
      <w:r>
        <w:t xml:space="preserve">медичних </w:t>
      </w:r>
      <w:r w:rsidRPr="002C29B4">
        <w:t>карток дітей з вродженою глухотою, що навчалис</w:t>
      </w:r>
      <w:r>
        <w:t>я</w:t>
      </w:r>
      <w:r w:rsidRPr="002C29B4">
        <w:t xml:space="preserve"> в інтернаті</w:t>
      </w:r>
      <w:r>
        <w:t>,</w:t>
      </w:r>
      <w:r w:rsidRPr="002C29B4">
        <w:t xml:space="preserve"> з метою аналіз</w:t>
      </w:r>
      <w:r>
        <w:t>у їх</w:t>
      </w:r>
      <w:r w:rsidRPr="002C29B4">
        <w:t xml:space="preserve"> </w:t>
      </w:r>
      <w:r>
        <w:t>психічного здоров’я та виявлення наявних емоційних порушень</w:t>
      </w:r>
      <w:r w:rsidRPr="002C29B4">
        <w:t>.</w:t>
      </w:r>
      <w:r>
        <w:t xml:space="preserve"> </w:t>
      </w:r>
    </w:p>
    <w:p w:rsidR="00534FB5" w:rsidRPr="00B80A2D" w:rsidRDefault="00534FB5" w:rsidP="00B80A2D">
      <w:pPr>
        <w:ind w:firstLine="567"/>
        <w:contextualSpacing/>
        <w:rPr>
          <w:spacing w:val="-4"/>
        </w:rPr>
      </w:pPr>
      <w:r w:rsidRPr="00B80A2D">
        <w:rPr>
          <w:spacing w:val="-4"/>
        </w:rPr>
        <w:t>Проведений аналіз медичних карток 70</w:t>
      </w:r>
      <w:r w:rsidR="003670D1">
        <w:rPr>
          <w:spacing w:val="-4"/>
        </w:rPr>
        <w:t>-ти ДВГ віком від 7-м</w:t>
      </w:r>
      <w:r w:rsidR="00C45585" w:rsidRPr="00B80A2D">
        <w:rPr>
          <w:spacing w:val="-4"/>
        </w:rPr>
        <w:t>и до 15</w:t>
      </w:r>
      <w:r w:rsidRPr="00B80A2D">
        <w:rPr>
          <w:spacing w:val="-4"/>
        </w:rPr>
        <w:t xml:space="preserve">-ти років засвідчив, що порушення психічного здоров’я спостерігалося у </w:t>
      </w:r>
      <w:r w:rsidR="003670D1" w:rsidRPr="003670D1">
        <w:rPr>
          <w:spacing w:val="-4"/>
          <w:lang w:val="ru-RU"/>
        </w:rPr>
        <w:t>40</w:t>
      </w:r>
      <w:r w:rsidRPr="00B80A2D">
        <w:rPr>
          <w:spacing w:val="-4"/>
        </w:rPr>
        <w:t xml:space="preserve"> дітей, по</w:t>
      </w:r>
      <w:r w:rsidR="003670D1">
        <w:rPr>
          <w:spacing w:val="-4"/>
        </w:rPr>
        <w:t xml:space="preserve">рушення емоційної сфери – у </w:t>
      </w:r>
      <w:r w:rsidR="003670D1" w:rsidRPr="003670D1">
        <w:rPr>
          <w:spacing w:val="-4"/>
          <w:lang w:val="ru-RU"/>
        </w:rPr>
        <w:t>19</w:t>
      </w:r>
      <w:r w:rsidR="003670D1">
        <w:rPr>
          <w:spacing w:val="-4"/>
          <w:lang w:val="ru-RU"/>
        </w:rPr>
        <w:t>-ти</w:t>
      </w:r>
      <w:r w:rsidRPr="00B80A2D">
        <w:rPr>
          <w:spacing w:val="-4"/>
        </w:rPr>
        <w:t xml:space="preserve">. Проаналізувавши дані, отримані під час вивчення медичної документації ДВГ трьох досліджуваних вікових груп, було зроблено висновок про відсутність достовірної різниці поширеності порушень психічного та емоційного здоров’я між групами (див. табл. 3.6.1). </w:t>
      </w:r>
    </w:p>
    <w:p w:rsidR="00534FB5" w:rsidRPr="0061044D" w:rsidRDefault="00534FB5" w:rsidP="00534FB5">
      <w:pPr>
        <w:jc w:val="right"/>
        <w:rPr>
          <w:i/>
        </w:rPr>
      </w:pPr>
      <w:r w:rsidRPr="0061044D">
        <w:rPr>
          <w:i/>
        </w:rPr>
        <w:t>Т</w:t>
      </w:r>
      <w:r>
        <w:rPr>
          <w:i/>
        </w:rPr>
        <w:t>аблиця 3.6.1</w:t>
      </w:r>
    </w:p>
    <w:p w:rsidR="00534FB5" w:rsidRPr="008A15E3" w:rsidRDefault="00534FB5" w:rsidP="00B80A2D">
      <w:pPr>
        <w:spacing w:line="240" w:lineRule="auto"/>
        <w:contextualSpacing/>
        <w:jc w:val="center"/>
        <w:rPr>
          <w:b/>
        </w:rPr>
      </w:pPr>
      <w:r w:rsidRPr="008A15E3">
        <w:rPr>
          <w:b/>
        </w:rPr>
        <w:t>Розподіл поширеності порушень психічного</w:t>
      </w:r>
      <w:r>
        <w:rPr>
          <w:b/>
        </w:rPr>
        <w:t xml:space="preserve"> та емоційного</w:t>
      </w:r>
      <w:r w:rsidRPr="008A15E3">
        <w:rPr>
          <w:b/>
        </w:rPr>
        <w:t xml:space="preserve"> здоров</w:t>
      </w:r>
      <w:r>
        <w:rPr>
          <w:b/>
        </w:rPr>
        <w:t>’</w:t>
      </w:r>
      <w:r w:rsidRPr="008A15E3">
        <w:rPr>
          <w:b/>
        </w:rPr>
        <w:t>я</w:t>
      </w:r>
      <w:r>
        <w:rPr>
          <w:b/>
        </w:rPr>
        <w:t xml:space="preserve"> </w:t>
      </w:r>
      <w:r w:rsidRPr="008A15E3">
        <w:rPr>
          <w:b/>
        </w:rPr>
        <w:t>обстежених дітей з вродженою глухотою за віком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980"/>
        <w:gridCol w:w="1558"/>
        <w:gridCol w:w="1409"/>
        <w:gridCol w:w="1560"/>
        <w:gridCol w:w="1281"/>
        <w:gridCol w:w="1945"/>
      </w:tblGrid>
      <w:tr w:rsidR="005A5B6A" w:rsidRPr="00CE2E71" w:rsidTr="005A5B6A">
        <w:trPr>
          <w:trHeight w:val="549"/>
        </w:trPr>
        <w:tc>
          <w:tcPr>
            <w:tcW w:w="950" w:type="pct"/>
            <w:gridSpan w:val="2"/>
            <w:shd w:val="clear" w:color="auto" w:fill="auto"/>
          </w:tcPr>
          <w:p w:rsidR="005A5B6A" w:rsidRPr="005A5B6A" w:rsidRDefault="005A5B6A" w:rsidP="00B80A2D">
            <w:pPr>
              <w:spacing w:line="240" w:lineRule="auto"/>
              <w:contextualSpacing/>
              <w:jc w:val="center"/>
              <w:rPr>
                <w:spacing w:val="-10"/>
                <w:lang w:val="ru-RU"/>
              </w:rPr>
            </w:pPr>
            <w:r w:rsidRPr="005A5B6A">
              <w:rPr>
                <w:spacing w:val="-10"/>
              </w:rPr>
              <w:t>Групи ДВГ</w:t>
            </w:r>
            <w:r w:rsidRPr="005A5B6A">
              <w:rPr>
                <w:spacing w:val="-10"/>
                <w:lang w:val="ru-RU"/>
              </w:rPr>
              <w:t>,</w:t>
            </w:r>
          </w:p>
          <w:p w:rsidR="005A5B6A" w:rsidRPr="005A5B6A" w:rsidRDefault="005A5B6A" w:rsidP="00B80A2D">
            <w:pPr>
              <w:spacing w:line="240" w:lineRule="auto"/>
              <w:contextualSpacing/>
              <w:jc w:val="center"/>
              <w:rPr>
                <w:spacing w:val="-10"/>
                <w:lang w:val="en-US"/>
              </w:rPr>
            </w:pPr>
            <w:r w:rsidRPr="005A5B6A">
              <w:rPr>
                <w:spacing w:val="-10"/>
                <w:lang w:val="en-US"/>
              </w:rPr>
              <w:t>N=70</w:t>
            </w:r>
          </w:p>
        </w:tc>
        <w:tc>
          <w:tcPr>
            <w:tcW w:w="1550" w:type="pct"/>
            <w:gridSpan w:val="2"/>
            <w:shd w:val="clear" w:color="auto" w:fill="auto"/>
          </w:tcPr>
          <w:p w:rsidR="005A5B6A" w:rsidRPr="005A5B6A" w:rsidRDefault="005A5B6A" w:rsidP="005A5B6A">
            <w:pPr>
              <w:spacing w:line="240" w:lineRule="auto"/>
              <w:contextualSpacing/>
              <w:jc w:val="center"/>
              <w:rPr>
                <w:spacing w:val="-10"/>
              </w:rPr>
            </w:pPr>
            <w:r w:rsidRPr="005A5B6A">
              <w:rPr>
                <w:spacing w:val="-10"/>
              </w:rPr>
              <w:t xml:space="preserve">Поширеність порушень психічного здоров’я </w:t>
            </w:r>
          </w:p>
        </w:tc>
        <w:tc>
          <w:tcPr>
            <w:tcW w:w="1484" w:type="pct"/>
            <w:gridSpan w:val="2"/>
          </w:tcPr>
          <w:p w:rsidR="005A5B6A" w:rsidRPr="005A5B6A" w:rsidRDefault="005A5B6A" w:rsidP="00B80A2D">
            <w:pPr>
              <w:spacing w:line="240" w:lineRule="auto"/>
              <w:contextualSpacing/>
              <w:jc w:val="center"/>
              <w:rPr>
                <w:spacing w:val="-10"/>
              </w:rPr>
            </w:pPr>
            <w:r w:rsidRPr="005A5B6A">
              <w:rPr>
                <w:spacing w:val="-10"/>
              </w:rPr>
              <w:t>Поширеність емоційних порушень</w:t>
            </w:r>
          </w:p>
        </w:tc>
        <w:tc>
          <w:tcPr>
            <w:tcW w:w="1016" w:type="pct"/>
          </w:tcPr>
          <w:p w:rsidR="005A5B6A" w:rsidRPr="005A5B6A" w:rsidRDefault="005A5B6A" w:rsidP="00B80A2D">
            <w:pPr>
              <w:spacing w:line="240" w:lineRule="auto"/>
              <w:contextualSpacing/>
              <w:jc w:val="center"/>
              <w:rPr>
                <w:spacing w:val="-10"/>
              </w:rPr>
            </w:pPr>
            <w:r w:rsidRPr="005A5B6A">
              <w:rPr>
                <w:spacing w:val="-10"/>
                <w:lang w:val="en-US"/>
              </w:rPr>
              <w:t>Всього</w:t>
            </w:r>
          </w:p>
        </w:tc>
      </w:tr>
      <w:tr w:rsidR="00812D21" w:rsidRPr="00CE2E71" w:rsidTr="00812D21">
        <w:trPr>
          <w:trHeight w:val="411"/>
        </w:trPr>
        <w:tc>
          <w:tcPr>
            <w:tcW w:w="438" w:type="pct"/>
            <w:shd w:val="clear" w:color="auto" w:fill="auto"/>
          </w:tcPr>
          <w:p w:rsidR="00812D21" w:rsidRPr="005A5B6A" w:rsidRDefault="00812D21" w:rsidP="00B80A2D">
            <w:pPr>
              <w:contextualSpacing/>
              <w:jc w:val="center"/>
              <w:rPr>
                <w:spacing w:val="-10"/>
              </w:rPr>
            </w:pPr>
            <w:r w:rsidRPr="005A5B6A">
              <w:rPr>
                <w:spacing w:val="-10"/>
              </w:rPr>
              <w:t>Вік</w:t>
            </w:r>
          </w:p>
        </w:tc>
        <w:tc>
          <w:tcPr>
            <w:tcW w:w="512" w:type="pct"/>
            <w:shd w:val="clear" w:color="auto" w:fill="auto"/>
          </w:tcPr>
          <w:p w:rsidR="00812D21" w:rsidRPr="005A5B6A" w:rsidRDefault="00812D21" w:rsidP="00B80A2D">
            <w:pPr>
              <w:contextualSpacing/>
              <w:jc w:val="center"/>
              <w:rPr>
                <w:spacing w:val="-10"/>
                <w:lang w:val="en-US"/>
              </w:rPr>
            </w:pPr>
            <w:r>
              <w:rPr>
                <w:spacing w:val="-10"/>
                <w:lang w:val="en-US"/>
              </w:rPr>
              <w:t>N</w:t>
            </w:r>
          </w:p>
        </w:tc>
        <w:tc>
          <w:tcPr>
            <w:tcW w:w="814" w:type="pct"/>
            <w:shd w:val="clear" w:color="auto" w:fill="auto"/>
          </w:tcPr>
          <w:p w:rsidR="00812D21" w:rsidRPr="005A5B6A" w:rsidRDefault="00812D21" w:rsidP="00B80A2D">
            <w:pPr>
              <w:spacing w:line="240" w:lineRule="auto"/>
              <w:contextualSpacing/>
              <w:jc w:val="center"/>
              <w:rPr>
                <w:spacing w:val="-10"/>
              </w:rPr>
            </w:pPr>
            <w:r w:rsidRPr="005A5B6A">
              <w:rPr>
                <w:spacing w:val="-10"/>
              </w:rPr>
              <w:t xml:space="preserve">Абсолютне </w:t>
            </w:r>
          </w:p>
        </w:tc>
        <w:tc>
          <w:tcPr>
            <w:tcW w:w="736" w:type="pct"/>
            <w:shd w:val="clear" w:color="auto" w:fill="auto"/>
          </w:tcPr>
          <w:p w:rsidR="00812D21" w:rsidRPr="005A5B6A" w:rsidRDefault="00812D21" w:rsidP="00B80A2D">
            <w:pPr>
              <w:spacing w:line="240" w:lineRule="auto"/>
              <w:contextualSpacing/>
              <w:jc w:val="center"/>
              <w:rPr>
                <w:spacing w:val="-10"/>
              </w:rPr>
            </w:pPr>
            <w:r w:rsidRPr="005A5B6A">
              <w:rPr>
                <w:spacing w:val="-10"/>
              </w:rPr>
              <w:t>%</w:t>
            </w:r>
          </w:p>
        </w:tc>
        <w:tc>
          <w:tcPr>
            <w:tcW w:w="815" w:type="pct"/>
          </w:tcPr>
          <w:p w:rsidR="00812D21" w:rsidRPr="005A5B6A" w:rsidRDefault="00812D21" w:rsidP="00B80A2D">
            <w:pPr>
              <w:spacing w:line="240" w:lineRule="auto"/>
              <w:contextualSpacing/>
              <w:jc w:val="center"/>
              <w:rPr>
                <w:spacing w:val="-10"/>
                <w:lang w:val="en-US"/>
              </w:rPr>
            </w:pPr>
            <w:r w:rsidRPr="005A5B6A">
              <w:rPr>
                <w:spacing w:val="-10"/>
              </w:rPr>
              <w:t xml:space="preserve">Абсолютне </w:t>
            </w:r>
          </w:p>
        </w:tc>
        <w:tc>
          <w:tcPr>
            <w:tcW w:w="669" w:type="pct"/>
          </w:tcPr>
          <w:p w:rsidR="00812D21" w:rsidRPr="005A5B6A" w:rsidRDefault="00812D21" w:rsidP="00B80A2D">
            <w:pPr>
              <w:spacing w:line="240" w:lineRule="auto"/>
              <w:contextualSpacing/>
              <w:jc w:val="center"/>
              <w:rPr>
                <w:spacing w:val="-10"/>
              </w:rPr>
            </w:pPr>
            <w:r w:rsidRPr="005A5B6A">
              <w:rPr>
                <w:spacing w:val="-10"/>
              </w:rPr>
              <w:t>%</w:t>
            </w:r>
          </w:p>
        </w:tc>
        <w:tc>
          <w:tcPr>
            <w:tcW w:w="1016" w:type="pct"/>
          </w:tcPr>
          <w:p w:rsidR="00812D21" w:rsidRPr="005A5B6A" w:rsidRDefault="00812D21" w:rsidP="00B80A2D">
            <w:pPr>
              <w:contextualSpacing/>
              <w:jc w:val="center"/>
              <w:rPr>
                <w:spacing w:val="-10"/>
              </w:rPr>
            </w:pPr>
            <w:r w:rsidRPr="005A5B6A">
              <w:rPr>
                <w:spacing w:val="-10"/>
              </w:rPr>
              <w:t>%</w:t>
            </w:r>
          </w:p>
        </w:tc>
      </w:tr>
      <w:tr w:rsidR="00812D21" w:rsidRPr="00CE2E71" w:rsidTr="001751A7">
        <w:trPr>
          <w:trHeight w:val="385"/>
        </w:trPr>
        <w:tc>
          <w:tcPr>
            <w:tcW w:w="438" w:type="pct"/>
            <w:shd w:val="clear" w:color="auto" w:fill="auto"/>
          </w:tcPr>
          <w:p w:rsidR="00812D21" w:rsidRPr="005A5B6A" w:rsidRDefault="00812D21" w:rsidP="001751A7">
            <w:pPr>
              <w:spacing w:line="240" w:lineRule="auto"/>
              <w:contextualSpacing/>
              <w:jc w:val="center"/>
              <w:rPr>
                <w:spacing w:val="-10"/>
              </w:rPr>
            </w:pPr>
            <w:r w:rsidRPr="005A5B6A">
              <w:rPr>
                <w:spacing w:val="-10"/>
              </w:rPr>
              <w:t>7-8</w:t>
            </w:r>
          </w:p>
        </w:tc>
        <w:tc>
          <w:tcPr>
            <w:tcW w:w="512" w:type="pct"/>
            <w:shd w:val="clear" w:color="auto" w:fill="auto"/>
          </w:tcPr>
          <w:p w:rsidR="00812D21" w:rsidRPr="005A5B6A" w:rsidRDefault="00812D21" w:rsidP="001751A7">
            <w:pPr>
              <w:spacing w:line="240" w:lineRule="auto"/>
              <w:contextualSpacing/>
              <w:jc w:val="center"/>
              <w:rPr>
                <w:spacing w:val="-10"/>
              </w:rPr>
            </w:pPr>
            <w:r w:rsidRPr="005A5B6A">
              <w:rPr>
                <w:spacing w:val="-10"/>
              </w:rPr>
              <w:t>23</w:t>
            </w:r>
          </w:p>
        </w:tc>
        <w:tc>
          <w:tcPr>
            <w:tcW w:w="814" w:type="pct"/>
            <w:shd w:val="clear" w:color="auto" w:fill="auto"/>
          </w:tcPr>
          <w:p w:rsidR="00812D21" w:rsidRPr="005A5B6A" w:rsidRDefault="00812D21" w:rsidP="001751A7">
            <w:pPr>
              <w:spacing w:line="240" w:lineRule="auto"/>
              <w:contextualSpacing/>
              <w:jc w:val="center"/>
              <w:rPr>
                <w:spacing w:val="-10"/>
              </w:rPr>
            </w:pPr>
            <w:r w:rsidRPr="005A5B6A">
              <w:rPr>
                <w:spacing w:val="-10"/>
              </w:rPr>
              <w:t>13</w:t>
            </w:r>
          </w:p>
        </w:tc>
        <w:tc>
          <w:tcPr>
            <w:tcW w:w="736" w:type="pct"/>
            <w:shd w:val="clear" w:color="auto" w:fill="auto"/>
          </w:tcPr>
          <w:p w:rsidR="00812D21" w:rsidRPr="005A5B6A" w:rsidRDefault="00812D21" w:rsidP="001751A7">
            <w:pPr>
              <w:spacing w:line="240" w:lineRule="auto"/>
              <w:contextualSpacing/>
              <w:jc w:val="center"/>
              <w:rPr>
                <w:spacing w:val="-10"/>
              </w:rPr>
            </w:pPr>
            <w:r w:rsidRPr="005A5B6A">
              <w:rPr>
                <w:spacing w:val="-10"/>
              </w:rPr>
              <w:t>56,52</w:t>
            </w:r>
          </w:p>
        </w:tc>
        <w:tc>
          <w:tcPr>
            <w:tcW w:w="815" w:type="pct"/>
          </w:tcPr>
          <w:p w:rsidR="00812D21" w:rsidRPr="005A5B6A" w:rsidRDefault="00812D21" w:rsidP="001751A7">
            <w:pPr>
              <w:spacing w:line="240" w:lineRule="auto"/>
              <w:contextualSpacing/>
              <w:jc w:val="center"/>
              <w:rPr>
                <w:spacing w:val="-10"/>
              </w:rPr>
            </w:pPr>
            <w:r w:rsidRPr="005A5B6A">
              <w:rPr>
                <w:spacing w:val="-10"/>
              </w:rPr>
              <w:t>6</w:t>
            </w:r>
          </w:p>
        </w:tc>
        <w:tc>
          <w:tcPr>
            <w:tcW w:w="669" w:type="pct"/>
          </w:tcPr>
          <w:p w:rsidR="00812D21" w:rsidRPr="005A5B6A" w:rsidRDefault="00812D21" w:rsidP="001751A7">
            <w:pPr>
              <w:spacing w:line="240" w:lineRule="auto"/>
              <w:contextualSpacing/>
              <w:jc w:val="center"/>
              <w:rPr>
                <w:spacing w:val="-10"/>
              </w:rPr>
            </w:pPr>
            <w:r w:rsidRPr="005A5B6A">
              <w:rPr>
                <w:spacing w:val="-10"/>
              </w:rPr>
              <w:t>26,09</w:t>
            </w:r>
          </w:p>
        </w:tc>
        <w:tc>
          <w:tcPr>
            <w:tcW w:w="1016" w:type="pct"/>
          </w:tcPr>
          <w:p w:rsidR="00812D21" w:rsidRPr="005A5B6A" w:rsidRDefault="00812D21" w:rsidP="001751A7">
            <w:pPr>
              <w:spacing w:line="240" w:lineRule="auto"/>
              <w:contextualSpacing/>
              <w:jc w:val="center"/>
              <w:rPr>
                <w:spacing w:val="-10"/>
              </w:rPr>
            </w:pPr>
            <w:r w:rsidRPr="005A5B6A">
              <w:rPr>
                <w:spacing w:val="-10"/>
              </w:rPr>
              <w:t>82,61</w:t>
            </w:r>
          </w:p>
        </w:tc>
      </w:tr>
      <w:tr w:rsidR="00812D21" w:rsidRPr="00CE2E71" w:rsidTr="00812D21">
        <w:trPr>
          <w:trHeight w:val="393"/>
        </w:trPr>
        <w:tc>
          <w:tcPr>
            <w:tcW w:w="438" w:type="pct"/>
            <w:shd w:val="clear" w:color="auto" w:fill="auto"/>
          </w:tcPr>
          <w:p w:rsidR="00812D21" w:rsidRPr="005A5B6A" w:rsidRDefault="00812D21" w:rsidP="001751A7">
            <w:pPr>
              <w:spacing w:line="240" w:lineRule="auto"/>
              <w:contextualSpacing/>
              <w:jc w:val="center"/>
              <w:rPr>
                <w:spacing w:val="-10"/>
              </w:rPr>
            </w:pPr>
            <w:r w:rsidRPr="005A5B6A">
              <w:rPr>
                <w:spacing w:val="-10"/>
              </w:rPr>
              <w:t>11-12</w:t>
            </w:r>
          </w:p>
        </w:tc>
        <w:tc>
          <w:tcPr>
            <w:tcW w:w="512" w:type="pct"/>
            <w:shd w:val="clear" w:color="auto" w:fill="auto"/>
          </w:tcPr>
          <w:p w:rsidR="00812D21" w:rsidRPr="005A5B6A" w:rsidRDefault="00812D21" w:rsidP="001751A7">
            <w:pPr>
              <w:spacing w:line="240" w:lineRule="auto"/>
              <w:contextualSpacing/>
              <w:jc w:val="center"/>
              <w:rPr>
                <w:spacing w:val="-10"/>
              </w:rPr>
            </w:pPr>
            <w:r w:rsidRPr="005A5B6A">
              <w:rPr>
                <w:spacing w:val="-10"/>
              </w:rPr>
              <w:t>21</w:t>
            </w:r>
          </w:p>
        </w:tc>
        <w:tc>
          <w:tcPr>
            <w:tcW w:w="814" w:type="pct"/>
            <w:shd w:val="clear" w:color="auto" w:fill="auto"/>
          </w:tcPr>
          <w:p w:rsidR="00812D21" w:rsidRPr="005A5B6A" w:rsidRDefault="00812D21" w:rsidP="001751A7">
            <w:pPr>
              <w:spacing w:line="240" w:lineRule="auto"/>
              <w:contextualSpacing/>
              <w:jc w:val="center"/>
              <w:rPr>
                <w:spacing w:val="-10"/>
              </w:rPr>
            </w:pPr>
            <w:r w:rsidRPr="005A5B6A">
              <w:rPr>
                <w:spacing w:val="-10"/>
              </w:rPr>
              <w:t>11</w:t>
            </w:r>
          </w:p>
        </w:tc>
        <w:tc>
          <w:tcPr>
            <w:tcW w:w="736" w:type="pct"/>
            <w:shd w:val="clear" w:color="auto" w:fill="auto"/>
          </w:tcPr>
          <w:p w:rsidR="00812D21" w:rsidRPr="005A5B6A" w:rsidRDefault="00812D21" w:rsidP="001751A7">
            <w:pPr>
              <w:spacing w:line="240" w:lineRule="auto"/>
              <w:contextualSpacing/>
              <w:jc w:val="center"/>
              <w:rPr>
                <w:spacing w:val="-10"/>
              </w:rPr>
            </w:pPr>
            <w:r w:rsidRPr="005A5B6A">
              <w:rPr>
                <w:spacing w:val="-10"/>
              </w:rPr>
              <w:t>52,38</w:t>
            </w:r>
          </w:p>
        </w:tc>
        <w:tc>
          <w:tcPr>
            <w:tcW w:w="815" w:type="pct"/>
          </w:tcPr>
          <w:p w:rsidR="00812D21" w:rsidRPr="005A5B6A" w:rsidRDefault="00812D21" w:rsidP="001751A7">
            <w:pPr>
              <w:spacing w:line="240" w:lineRule="auto"/>
              <w:contextualSpacing/>
              <w:jc w:val="center"/>
              <w:rPr>
                <w:spacing w:val="-10"/>
              </w:rPr>
            </w:pPr>
            <w:r w:rsidRPr="005A5B6A">
              <w:rPr>
                <w:spacing w:val="-10"/>
              </w:rPr>
              <w:t>6</w:t>
            </w:r>
          </w:p>
        </w:tc>
        <w:tc>
          <w:tcPr>
            <w:tcW w:w="669" w:type="pct"/>
          </w:tcPr>
          <w:p w:rsidR="00812D21" w:rsidRPr="005A5B6A" w:rsidRDefault="00812D21" w:rsidP="001751A7">
            <w:pPr>
              <w:spacing w:line="240" w:lineRule="auto"/>
              <w:contextualSpacing/>
              <w:jc w:val="center"/>
              <w:rPr>
                <w:spacing w:val="-10"/>
              </w:rPr>
            </w:pPr>
            <w:r w:rsidRPr="005A5B6A">
              <w:rPr>
                <w:spacing w:val="-10"/>
              </w:rPr>
              <w:t>28,57</w:t>
            </w:r>
          </w:p>
        </w:tc>
        <w:tc>
          <w:tcPr>
            <w:tcW w:w="1016" w:type="pct"/>
          </w:tcPr>
          <w:p w:rsidR="00812D21" w:rsidRPr="005A5B6A" w:rsidRDefault="00812D21" w:rsidP="001751A7">
            <w:pPr>
              <w:spacing w:line="240" w:lineRule="auto"/>
              <w:contextualSpacing/>
              <w:jc w:val="center"/>
              <w:rPr>
                <w:spacing w:val="-10"/>
              </w:rPr>
            </w:pPr>
            <w:r w:rsidRPr="005A5B6A">
              <w:rPr>
                <w:spacing w:val="-10"/>
              </w:rPr>
              <w:t>80,95</w:t>
            </w:r>
          </w:p>
        </w:tc>
      </w:tr>
      <w:tr w:rsidR="00812D21" w:rsidRPr="00CE2E71" w:rsidTr="001751A7">
        <w:trPr>
          <w:trHeight w:val="257"/>
        </w:trPr>
        <w:tc>
          <w:tcPr>
            <w:tcW w:w="438" w:type="pct"/>
            <w:shd w:val="clear" w:color="auto" w:fill="auto"/>
          </w:tcPr>
          <w:p w:rsidR="00812D21" w:rsidRPr="005A5B6A" w:rsidRDefault="00812D21" w:rsidP="001751A7">
            <w:pPr>
              <w:spacing w:line="240" w:lineRule="auto"/>
              <w:contextualSpacing/>
              <w:jc w:val="center"/>
              <w:rPr>
                <w:spacing w:val="-10"/>
              </w:rPr>
            </w:pPr>
            <w:r w:rsidRPr="005A5B6A">
              <w:rPr>
                <w:spacing w:val="-10"/>
              </w:rPr>
              <w:t>14-15</w:t>
            </w:r>
          </w:p>
        </w:tc>
        <w:tc>
          <w:tcPr>
            <w:tcW w:w="512" w:type="pct"/>
            <w:shd w:val="clear" w:color="auto" w:fill="auto"/>
          </w:tcPr>
          <w:p w:rsidR="00812D21" w:rsidRPr="005A5B6A" w:rsidRDefault="00812D21" w:rsidP="001751A7">
            <w:pPr>
              <w:spacing w:line="240" w:lineRule="auto"/>
              <w:contextualSpacing/>
              <w:jc w:val="center"/>
              <w:rPr>
                <w:spacing w:val="-10"/>
              </w:rPr>
            </w:pPr>
            <w:r w:rsidRPr="005A5B6A">
              <w:rPr>
                <w:spacing w:val="-10"/>
              </w:rPr>
              <w:t>26</w:t>
            </w:r>
          </w:p>
        </w:tc>
        <w:tc>
          <w:tcPr>
            <w:tcW w:w="814" w:type="pct"/>
            <w:shd w:val="clear" w:color="auto" w:fill="auto"/>
          </w:tcPr>
          <w:p w:rsidR="00812D21" w:rsidRPr="005A5B6A" w:rsidRDefault="00812D21" w:rsidP="001751A7">
            <w:pPr>
              <w:spacing w:line="240" w:lineRule="auto"/>
              <w:contextualSpacing/>
              <w:jc w:val="center"/>
              <w:rPr>
                <w:spacing w:val="-10"/>
              </w:rPr>
            </w:pPr>
            <w:r w:rsidRPr="005A5B6A">
              <w:rPr>
                <w:spacing w:val="-10"/>
              </w:rPr>
              <w:t>16</w:t>
            </w:r>
          </w:p>
        </w:tc>
        <w:tc>
          <w:tcPr>
            <w:tcW w:w="736" w:type="pct"/>
            <w:shd w:val="clear" w:color="auto" w:fill="auto"/>
          </w:tcPr>
          <w:p w:rsidR="00812D21" w:rsidRPr="005A5B6A" w:rsidRDefault="00812D21" w:rsidP="001751A7">
            <w:pPr>
              <w:spacing w:line="240" w:lineRule="auto"/>
              <w:contextualSpacing/>
              <w:jc w:val="center"/>
              <w:rPr>
                <w:spacing w:val="-10"/>
              </w:rPr>
            </w:pPr>
            <w:r w:rsidRPr="005A5B6A">
              <w:rPr>
                <w:spacing w:val="-10"/>
              </w:rPr>
              <w:t>61,54</w:t>
            </w:r>
          </w:p>
        </w:tc>
        <w:tc>
          <w:tcPr>
            <w:tcW w:w="815" w:type="pct"/>
          </w:tcPr>
          <w:p w:rsidR="00812D21" w:rsidRPr="005A5B6A" w:rsidRDefault="00812D21" w:rsidP="001751A7">
            <w:pPr>
              <w:spacing w:line="240" w:lineRule="auto"/>
              <w:contextualSpacing/>
              <w:jc w:val="center"/>
              <w:rPr>
                <w:spacing w:val="-10"/>
              </w:rPr>
            </w:pPr>
            <w:r w:rsidRPr="005A5B6A">
              <w:rPr>
                <w:spacing w:val="-10"/>
              </w:rPr>
              <w:t>7</w:t>
            </w:r>
          </w:p>
        </w:tc>
        <w:tc>
          <w:tcPr>
            <w:tcW w:w="669" w:type="pct"/>
          </w:tcPr>
          <w:p w:rsidR="00812D21" w:rsidRPr="005A5B6A" w:rsidRDefault="00812D21" w:rsidP="001751A7">
            <w:pPr>
              <w:spacing w:line="240" w:lineRule="auto"/>
              <w:contextualSpacing/>
              <w:jc w:val="center"/>
              <w:rPr>
                <w:spacing w:val="-10"/>
              </w:rPr>
            </w:pPr>
            <w:r w:rsidRPr="005A5B6A">
              <w:rPr>
                <w:spacing w:val="-10"/>
              </w:rPr>
              <w:t>26,92</w:t>
            </w:r>
          </w:p>
        </w:tc>
        <w:tc>
          <w:tcPr>
            <w:tcW w:w="1016" w:type="pct"/>
          </w:tcPr>
          <w:p w:rsidR="00812D21" w:rsidRPr="005A5B6A" w:rsidRDefault="00812D21" w:rsidP="001751A7">
            <w:pPr>
              <w:spacing w:line="240" w:lineRule="auto"/>
              <w:contextualSpacing/>
              <w:jc w:val="center"/>
              <w:rPr>
                <w:spacing w:val="-10"/>
              </w:rPr>
            </w:pPr>
            <w:r w:rsidRPr="005A5B6A">
              <w:rPr>
                <w:spacing w:val="-10"/>
              </w:rPr>
              <w:t>88,46</w:t>
            </w:r>
          </w:p>
        </w:tc>
      </w:tr>
    </w:tbl>
    <w:p w:rsidR="00534FB5" w:rsidRDefault="00534FB5" w:rsidP="00B80A2D">
      <w:pPr>
        <w:spacing w:line="240" w:lineRule="auto"/>
        <w:ind w:left="-142"/>
        <w:contextualSpacing/>
        <w:rPr>
          <w:sz w:val="24"/>
        </w:rPr>
      </w:pPr>
      <w:r w:rsidRPr="00E57017">
        <w:rPr>
          <w:spacing w:val="-1"/>
          <w:sz w:val="24"/>
        </w:rPr>
        <w:t>Примітка:</w:t>
      </w:r>
      <w:r>
        <w:rPr>
          <w:spacing w:val="-1"/>
          <w:sz w:val="24"/>
        </w:rPr>
        <w:t xml:space="preserve"> </w:t>
      </w:r>
      <w:r w:rsidRPr="00E57017">
        <w:rPr>
          <w:spacing w:val="-1"/>
          <w:sz w:val="24"/>
        </w:rPr>
        <w:t xml:space="preserve">* </w:t>
      </w:r>
      <w:r w:rsidR="007626D6">
        <w:rPr>
          <w:sz w:val="24"/>
        </w:rPr>
        <w:t xml:space="preserve">– </w:t>
      </w:r>
      <w:r w:rsidRPr="00E57017">
        <w:rPr>
          <w:spacing w:val="-1"/>
          <w:sz w:val="24"/>
        </w:rPr>
        <w:t xml:space="preserve">достовірна різниця між показниками </w:t>
      </w:r>
      <w:r w:rsidRPr="00E57017">
        <w:rPr>
          <w:sz w:val="24"/>
        </w:rPr>
        <w:t>(р&gt;0,05).</w:t>
      </w:r>
    </w:p>
    <w:p w:rsidR="00534FB5" w:rsidRPr="00E57017" w:rsidRDefault="00534FB5" w:rsidP="00534FB5">
      <w:pPr>
        <w:ind w:left="-142"/>
        <w:contextualSpacing/>
        <w:rPr>
          <w:sz w:val="24"/>
        </w:rPr>
      </w:pPr>
    </w:p>
    <w:p w:rsidR="00534FB5" w:rsidRDefault="00534FB5" w:rsidP="00534FB5">
      <w:pPr>
        <w:ind w:firstLine="567"/>
        <w:contextualSpacing/>
      </w:pPr>
      <w:r>
        <w:t xml:space="preserve">У таблиці 3.6.2 </w:t>
      </w:r>
      <w:r w:rsidRPr="002C29B4">
        <w:t>наведен</w:t>
      </w:r>
      <w:r>
        <w:t>о</w:t>
      </w:r>
      <w:r w:rsidRPr="002C29B4">
        <w:t xml:space="preserve"> дані </w:t>
      </w:r>
      <w:r>
        <w:t>пошир</w:t>
      </w:r>
      <w:r w:rsidRPr="002C29B4">
        <w:t>еності порушень</w:t>
      </w:r>
      <w:r>
        <w:t xml:space="preserve"> психічного та емоційного здоров’я </w:t>
      </w:r>
      <w:r w:rsidRPr="002C29B4">
        <w:t>у ДВГ</w:t>
      </w:r>
      <w:r>
        <w:t>,</w:t>
      </w:r>
      <w:r w:rsidRPr="002C29B4">
        <w:t xml:space="preserve"> незалежно від віку обстежених дітей.</w:t>
      </w:r>
    </w:p>
    <w:p w:rsidR="00534FB5" w:rsidRPr="00D320EC" w:rsidRDefault="00534FB5" w:rsidP="00534FB5">
      <w:pPr>
        <w:jc w:val="right"/>
        <w:rPr>
          <w:i/>
        </w:rPr>
      </w:pPr>
      <w:r w:rsidRPr="00D320EC">
        <w:rPr>
          <w:i/>
        </w:rPr>
        <w:t>Таблиця 3.6.2</w:t>
      </w:r>
    </w:p>
    <w:p w:rsidR="00534FB5" w:rsidRPr="00D320EC" w:rsidRDefault="00534FB5" w:rsidP="00534FB5">
      <w:pPr>
        <w:spacing w:line="240" w:lineRule="auto"/>
        <w:ind w:firstLine="567"/>
        <w:contextualSpacing/>
        <w:jc w:val="center"/>
        <w:rPr>
          <w:b/>
        </w:rPr>
      </w:pPr>
      <w:r w:rsidRPr="00D320EC">
        <w:rPr>
          <w:b/>
        </w:rPr>
        <w:t xml:space="preserve">Поширеність різних видів порушень психічного та емоційного здоров’я обстежених дітей з вродженою глухотою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4"/>
        <w:gridCol w:w="6802"/>
      </w:tblGrid>
      <w:tr w:rsidR="00477DAE" w:rsidRPr="00D320EC" w:rsidTr="00B42657">
        <w:trPr>
          <w:trHeight w:val="360"/>
        </w:trPr>
        <w:tc>
          <w:tcPr>
            <w:tcW w:w="499" w:type="pct"/>
            <w:vMerge w:val="restart"/>
            <w:shd w:val="clear" w:color="auto" w:fill="auto"/>
          </w:tcPr>
          <w:p w:rsidR="00477DAE" w:rsidRPr="00D320EC" w:rsidRDefault="00477DAE" w:rsidP="00534FB5">
            <w:pPr>
              <w:spacing w:line="240" w:lineRule="auto"/>
              <w:contextualSpacing/>
              <w:jc w:val="center"/>
              <w:rPr>
                <w:spacing w:val="-20"/>
              </w:rPr>
            </w:pPr>
            <w:r w:rsidRPr="00D320EC">
              <w:rPr>
                <w:spacing w:val="-20"/>
              </w:rPr>
              <w:t>№ п/п</w:t>
            </w:r>
          </w:p>
        </w:tc>
        <w:tc>
          <w:tcPr>
            <w:tcW w:w="960" w:type="pct"/>
            <w:shd w:val="clear" w:color="auto" w:fill="auto"/>
          </w:tcPr>
          <w:p w:rsidR="00477DAE" w:rsidRPr="00D320EC" w:rsidRDefault="00477DAE" w:rsidP="00477DAE">
            <w:pPr>
              <w:spacing w:line="240" w:lineRule="auto"/>
              <w:contextualSpacing/>
              <w:jc w:val="center"/>
              <w:rPr>
                <w:spacing w:val="-20"/>
              </w:rPr>
            </w:pPr>
            <w:r w:rsidRPr="00D320EC">
              <w:rPr>
                <w:spacing w:val="-20"/>
              </w:rPr>
              <w:t xml:space="preserve">Поширеність,  </w:t>
            </w:r>
          </w:p>
          <w:p w:rsidR="00477DAE" w:rsidRPr="00D320EC" w:rsidRDefault="00477DAE" w:rsidP="00477DAE">
            <w:pPr>
              <w:spacing w:line="240" w:lineRule="auto"/>
              <w:contextualSpacing/>
              <w:jc w:val="center"/>
              <w:rPr>
                <w:spacing w:val="-20"/>
                <w:lang w:val="en-US"/>
              </w:rPr>
            </w:pPr>
            <w:r w:rsidRPr="00D320EC">
              <w:rPr>
                <w:spacing w:val="-20"/>
                <w:lang w:val="en-US"/>
              </w:rPr>
              <w:t>N=70</w:t>
            </w:r>
            <w:r w:rsidRPr="00D320EC">
              <w:rPr>
                <w:spacing w:val="-20"/>
              </w:rPr>
              <w:t xml:space="preserve"> </w:t>
            </w:r>
          </w:p>
        </w:tc>
        <w:tc>
          <w:tcPr>
            <w:tcW w:w="3541" w:type="pct"/>
            <w:vMerge w:val="restart"/>
            <w:shd w:val="clear" w:color="auto" w:fill="auto"/>
          </w:tcPr>
          <w:p w:rsidR="00B42657" w:rsidRPr="00D320EC" w:rsidRDefault="00B42657" w:rsidP="00534FB5">
            <w:pPr>
              <w:spacing w:line="240" w:lineRule="auto"/>
              <w:contextualSpacing/>
              <w:jc w:val="center"/>
              <w:rPr>
                <w:spacing w:val="-20"/>
              </w:rPr>
            </w:pPr>
          </w:p>
          <w:p w:rsidR="00477DAE" w:rsidRPr="00D320EC" w:rsidRDefault="00477DAE" w:rsidP="00534FB5">
            <w:pPr>
              <w:spacing w:line="240" w:lineRule="auto"/>
              <w:contextualSpacing/>
              <w:jc w:val="center"/>
              <w:rPr>
                <w:spacing w:val="-20"/>
              </w:rPr>
            </w:pPr>
            <w:r w:rsidRPr="00D320EC">
              <w:rPr>
                <w:spacing w:val="-20"/>
              </w:rPr>
              <w:t xml:space="preserve">Вид порушення </w:t>
            </w:r>
          </w:p>
        </w:tc>
      </w:tr>
      <w:tr w:rsidR="00477DAE" w:rsidRPr="00D320EC" w:rsidTr="00B42657">
        <w:trPr>
          <w:trHeight w:val="299"/>
        </w:trPr>
        <w:tc>
          <w:tcPr>
            <w:tcW w:w="499" w:type="pct"/>
            <w:vMerge/>
            <w:shd w:val="clear" w:color="auto" w:fill="auto"/>
          </w:tcPr>
          <w:p w:rsidR="00477DAE" w:rsidRPr="00D320EC" w:rsidRDefault="00477DAE" w:rsidP="00534FB5">
            <w:pPr>
              <w:spacing w:line="240" w:lineRule="auto"/>
              <w:contextualSpacing/>
              <w:jc w:val="center"/>
              <w:rPr>
                <w:spacing w:val="-20"/>
              </w:rPr>
            </w:pPr>
          </w:p>
        </w:tc>
        <w:tc>
          <w:tcPr>
            <w:tcW w:w="960" w:type="pct"/>
            <w:shd w:val="clear" w:color="auto" w:fill="auto"/>
          </w:tcPr>
          <w:p w:rsidR="00477DAE" w:rsidRPr="00D320EC" w:rsidRDefault="00477DAE" w:rsidP="00477DAE">
            <w:pPr>
              <w:contextualSpacing/>
              <w:jc w:val="center"/>
              <w:rPr>
                <w:spacing w:val="-20"/>
              </w:rPr>
            </w:pPr>
            <w:r w:rsidRPr="00D320EC">
              <w:rPr>
                <w:b/>
                <w:spacing w:val="-20"/>
              </w:rPr>
              <w:t>%</w:t>
            </w:r>
          </w:p>
        </w:tc>
        <w:tc>
          <w:tcPr>
            <w:tcW w:w="3541" w:type="pct"/>
            <w:vMerge/>
            <w:shd w:val="clear" w:color="auto" w:fill="auto"/>
          </w:tcPr>
          <w:p w:rsidR="00477DAE" w:rsidRPr="00D320EC" w:rsidRDefault="00477DAE" w:rsidP="00534FB5">
            <w:pPr>
              <w:spacing w:line="240" w:lineRule="auto"/>
              <w:contextualSpacing/>
              <w:jc w:val="center"/>
              <w:rPr>
                <w:spacing w:val="-20"/>
              </w:rPr>
            </w:pPr>
          </w:p>
        </w:tc>
      </w:tr>
      <w:tr w:rsidR="00477DAE" w:rsidRPr="00D320EC" w:rsidTr="00B42657">
        <w:trPr>
          <w:trHeight w:val="471"/>
        </w:trPr>
        <w:tc>
          <w:tcPr>
            <w:tcW w:w="499" w:type="pct"/>
            <w:shd w:val="clear" w:color="auto" w:fill="auto"/>
          </w:tcPr>
          <w:p w:rsidR="00477DAE" w:rsidRPr="00D320EC" w:rsidRDefault="00477DAE" w:rsidP="00B42657">
            <w:pPr>
              <w:spacing w:line="240" w:lineRule="auto"/>
              <w:contextualSpacing/>
              <w:jc w:val="left"/>
              <w:rPr>
                <w:b/>
                <w:spacing w:val="-20"/>
                <w:lang w:val="en-US"/>
              </w:rPr>
            </w:pPr>
            <w:r w:rsidRPr="00D320EC">
              <w:rPr>
                <w:b/>
                <w:spacing w:val="-20"/>
                <w:lang w:val="en-US"/>
              </w:rPr>
              <w:t>I</w:t>
            </w:r>
          </w:p>
        </w:tc>
        <w:tc>
          <w:tcPr>
            <w:tcW w:w="960" w:type="pct"/>
            <w:shd w:val="clear" w:color="auto" w:fill="auto"/>
          </w:tcPr>
          <w:p w:rsidR="00477DAE" w:rsidRPr="00D320EC" w:rsidRDefault="00477DAE" w:rsidP="00477DAE">
            <w:pPr>
              <w:spacing w:line="240" w:lineRule="auto"/>
              <w:contextualSpacing/>
              <w:jc w:val="center"/>
              <w:rPr>
                <w:b/>
                <w:spacing w:val="-20"/>
                <w:lang w:val="en-US"/>
              </w:rPr>
            </w:pPr>
            <w:r w:rsidRPr="00D320EC">
              <w:rPr>
                <w:b/>
                <w:spacing w:val="-20"/>
                <w:lang w:val="en-US"/>
              </w:rPr>
              <w:t>84,1</w:t>
            </w:r>
          </w:p>
        </w:tc>
        <w:tc>
          <w:tcPr>
            <w:tcW w:w="3541" w:type="pct"/>
            <w:shd w:val="clear" w:color="auto" w:fill="auto"/>
          </w:tcPr>
          <w:p w:rsidR="00477DAE" w:rsidRPr="00D320EC" w:rsidRDefault="00477DAE" w:rsidP="00477DAE">
            <w:pPr>
              <w:rPr>
                <w:b/>
              </w:rPr>
            </w:pPr>
            <w:r w:rsidRPr="00D320EC">
              <w:rPr>
                <w:b/>
              </w:rPr>
              <w:t>Порушення психічного та емоційного здоров’я ДВГ</w:t>
            </w:r>
          </w:p>
        </w:tc>
      </w:tr>
      <w:tr w:rsidR="00477DAE" w:rsidRPr="00D320EC" w:rsidTr="00B42657">
        <w:trPr>
          <w:trHeight w:val="371"/>
        </w:trPr>
        <w:tc>
          <w:tcPr>
            <w:tcW w:w="499" w:type="pct"/>
            <w:shd w:val="clear" w:color="auto" w:fill="auto"/>
          </w:tcPr>
          <w:p w:rsidR="00477DAE" w:rsidRPr="00D320EC" w:rsidRDefault="00477DAE" w:rsidP="00B42657">
            <w:pPr>
              <w:spacing w:line="240" w:lineRule="auto"/>
              <w:contextualSpacing/>
              <w:jc w:val="left"/>
              <w:rPr>
                <w:b/>
                <w:spacing w:val="-20"/>
              </w:rPr>
            </w:pPr>
            <w:r w:rsidRPr="00D320EC">
              <w:rPr>
                <w:b/>
                <w:spacing w:val="-20"/>
              </w:rPr>
              <w:t>1.</w:t>
            </w:r>
          </w:p>
        </w:tc>
        <w:tc>
          <w:tcPr>
            <w:tcW w:w="960" w:type="pct"/>
            <w:shd w:val="clear" w:color="auto" w:fill="auto"/>
          </w:tcPr>
          <w:p w:rsidR="00477DAE" w:rsidRPr="00D320EC" w:rsidRDefault="00477DAE" w:rsidP="00477DAE">
            <w:pPr>
              <w:spacing w:line="240" w:lineRule="auto"/>
              <w:contextualSpacing/>
              <w:jc w:val="center"/>
              <w:rPr>
                <w:b/>
                <w:spacing w:val="-20"/>
              </w:rPr>
            </w:pPr>
            <w:r w:rsidRPr="00D320EC">
              <w:rPr>
                <w:b/>
                <w:spacing w:val="-20"/>
              </w:rPr>
              <w:t>57,1</w:t>
            </w:r>
          </w:p>
        </w:tc>
        <w:tc>
          <w:tcPr>
            <w:tcW w:w="3541" w:type="pct"/>
            <w:shd w:val="clear" w:color="auto" w:fill="auto"/>
          </w:tcPr>
          <w:p w:rsidR="00477DAE" w:rsidRPr="00D320EC" w:rsidRDefault="00477DAE" w:rsidP="00534FB5">
            <w:pPr>
              <w:spacing w:line="240" w:lineRule="auto"/>
              <w:contextualSpacing/>
              <w:rPr>
                <w:b/>
                <w:spacing w:val="-20"/>
              </w:rPr>
            </w:pPr>
            <w:r w:rsidRPr="00D320EC">
              <w:rPr>
                <w:b/>
                <w:spacing w:val="-20"/>
              </w:rPr>
              <w:t>Порушення психічного здоров’я</w:t>
            </w:r>
          </w:p>
        </w:tc>
      </w:tr>
      <w:tr w:rsidR="00B42657" w:rsidRPr="00D320EC" w:rsidTr="00B42657">
        <w:trPr>
          <w:trHeight w:val="371"/>
        </w:trPr>
        <w:tc>
          <w:tcPr>
            <w:tcW w:w="499" w:type="pct"/>
            <w:shd w:val="clear" w:color="auto" w:fill="auto"/>
          </w:tcPr>
          <w:p w:rsidR="00B42657" w:rsidRPr="00D320EC" w:rsidRDefault="00B42657" w:rsidP="00B42657">
            <w:pPr>
              <w:spacing w:line="240" w:lineRule="auto"/>
              <w:contextualSpacing/>
              <w:jc w:val="left"/>
              <w:rPr>
                <w:b/>
                <w:spacing w:val="-20"/>
              </w:rPr>
            </w:pPr>
            <w:r w:rsidRPr="00D320EC">
              <w:rPr>
                <w:b/>
                <w:spacing w:val="-20"/>
              </w:rPr>
              <w:t>1.1</w:t>
            </w:r>
          </w:p>
        </w:tc>
        <w:tc>
          <w:tcPr>
            <w:tcW w:w="960" w:type="pct"/>
            <w:shd w:val="clear" w:color="auto" w:fill="auto"/>
          </w:tcPr>
          <w:p w:rsidR="00B42657" w:rsidRPr="00D320EC" w:rsidRDefault="00B42657" w:rsidP="00477DAE">
            <w:pPr>
              <w:spacing w:line="240" w:lineRule="auto"/>
              <w:contextualSpacing/>
              <w:jc w:val="center"/>
              <w:rPr>
                <w:b/>
                <w:spacing w:val="-20"/>
              </w:rPr>
            </w:pPr>
            <w:r w:rsidRPr="00D320EC">
              <w:rPr>
                <w:b/>
                <w:spacing w:val="-20"/>
              </w:rPr>
              <w:t>27,2</w:t>
            </w:r>
          </w:p>
        </w:tc>
        <w:tc>
          <w:tcPr>
            <w:tcW w:w="3541" w:type="pct"/>
            <w:shd w:val="clear" w:color="auto" w:fill="auto"/>
          </w:tcPr>
          <w:p w:rsidR="00B42657" w:rsidRPr="00D320EC" w:rsidRDefault="00B42657" w:rsidP="00534FB5">
            <w:pPr>
              <w:spacing w:line="240" w:lineRule="auto"/>
              <w:contextualSpacing/>
              <w:rPr>
                <w:b/>
                <w:spacing w:val="-20"/>
              </w:rPr>
            </w:pPr>
            <w:r w:rsidRPr="00D320EC">
              <w:rPr>
                <w:b/>
                <w:snapToGrid w:val="0"/>
              </w:rPr>
              <w:t>Неврозоподібні розлади</w:t>
            </w:r>
          </w:p>
        </w:tc>
      </w:tr>
      <w:tr w:rsidR="00477DAE" w:rsidRPr="00D320EC" w:rsidTr="00B42657">
        <w:trPr>
          <w:trHeight w:val="322"/>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1.1</w:t>
            </w:r>
            <w:r w:rsidR="00B42657" w:rsidRPr="00D320EC">
              <w:rPr>
                <w:spacing w:val="-20"/>
              </w:rPr>
              <w:t>.1</w:t>
            </w:r>
          </w:p>
        </w:tc>
        <w:tc>
          <w:tcPr>
            <w:tcW w:w="960" w:type="pct"/>
            <w:shd w:val="clear" w:color="auto" w:fill="auto"/>
          </w:tcPr>
          <w:p w:rsidR="00477DAE" w:rsidRPr="00D320EC" w:rsidRDefault="00477DAE" w:rsidP="00477DAE">
            <w:pPr>
              <w:spacing w:line="240" w:lineRule="auto"/>
              <w:contextualSpacing/>
              <w:jc w:val="center"/>
              <w:rPr>
                <w:spacing w:val="-20"/>
              </w:rPr>
            </w:pPr>
            <w:r w:rsidRPr="00D320EC">
              <w:rPr>
                <w:spacing w:val="-20"/>
              </w:rPr>
              <w:t>27,2 </w:t>
            </w:r>
          </w:p>
        </w:tc>
        <w:tc>
          <w:tcPr>
            <w:tcW w:w="3541" w:type="pct"/>
            <w:shd w:val="clear" w:color="auto" w:fill="auto"/>
          </w:tcPr>
          <w:p w:rsidR="00477DAE" w:rsidRPr="00D320EC" w:rsidRDefault="00477DAE" w:rsidP="00534FB5">
            <w:pPr>
              <w:spacing w:line="240" w:lineRule="auto"/>
              <w:contextualSpacing/>
              <w:rPr>
                <w:caps/>
                <w:spacing w:val="-20"/>
                <w:lang w:eastAsia="uk-UA"/>
              </w:rPr>
            </w:pPr>
            <w:r w:rsidRPr="00D320EC">
              <w:rPr>
                <w:spacing w:val="-20"/>
              </w:rPr>
              <w:t>Астено-невротичний синдром (</w:t>
            </w:r>
            <w:r w:rsidRPr="00D320EC">
              <w:rPr>
                <w:spacing w:val="-20"/>
                <w:lang w:val="en-US"/>
              </w:rPr>
              <w:t>F06.6</w:t>
            </w:r>
            <w:r w:rsidRPr="00D320EC">
              <w:rPr>
                <w:spacing w:val="-20"/>
              </w:rPr>
              <w:t>)</w:t>
            </w:r>
            <w:r w:rsidRPr="00D320EC">
              <w:rPr>
                <w:b/>
                <w:bCs/>
                <w:caps/>
                <w:spacing w:val="-20"/>
                <w:lang w:eastAsia="uk-UA"/>
              </w:rPr>
              <w:t xml:space="preserve"> </w:t>
            </w:r>
          </w:p>
        </w:tc>
      </w:tr>
      <w:tr w:rsidR="00B42657" w:rsidRPr="00D320EC" w:rsidTr="00B42657">
        <w:trPr>
          <w:trHeight w:val="322"/>
        </w:trPr>
        <w:tc>
          <w:tcPr>
            <w:tcW w:w="499" w:type="pct"/>
            <w:shd w:val="clear" w:color="auto" w:fill="auto"/>
          </w:tcPr>
          <w:p w:rsidR="00B42657" w:rsidRPr="00D320EC" w:rsidRDefault="00B42657" w:rsidP="00B42657">
            <w:pPr>
              <w:spacing w:line="240" w:lineRule="auto"/>
              <w:contextualSpacing/>
              <w:jc w:val="left"/>
              <w:rPr>
                <w:b/>
                <w:spacing w:val="-20"/>
              </w:rPr>
            </w:pPr>
            <w:r w:rsidRPr="00D320EC">
              <w:rPr>
                <w:b/>
                <w:spacing w:val="-20"/>
              </w:rPr>
              <w:t>1.2</w:t>
            </w:r>
          </w:p>
        </w:tc>
        <w:tc>
          <w:tcPr>
            <w:tcW w:w="960" w:type="pct"/>
            <w:shd w:val="clear" w:color="auto" w:fill="auto"/>
          </w:tcPr>
          <w:p w:rsidR="00B42657" w:rsidRPr="00D320EC" w:rsidRDefault="00B42657" w:rsidP="00477DAE">
            <w:pPr>
              <w:spacing w:line="240" w:lineRule="auto"/>
              <w:contextualSpacing/>
              <w:jc w:val="center"/>
              <w:rPr>
                <w:b/>
                <w:spacing w:val="-20"/>
              </w:rPr>
            </w:pPr>
            <w:r w:rsidRPr="00D320EC">
              <w:rPr>
                <w:b/>
                <w:spacing w:val="-20"/>
              </w:rPr>
              <w:t>13,2</w:t>
            </w:r>
          </w:p>
        </w:tc>
        <w:tc>
          <w:tcPr>
            <w:tcW w:w="3541" w:type="pct"/>
            <w:shd w:val="clear" w:color="auto" w:fill="auto"/>
          </w:tcPr>
          <w:p w:rsidR="00B42657" w:rsidRPr="00D320EC" w:rsidRDefault="00B42657" w:rsidP="00534FB5">
            <w:pPr>
              <w:spacing w:line="240" w:lineRule="auto"/>
              <w:contextualSpacing/>
              <w:rPr>
                <w:b/>
                <w:spacing w:val="-20"/>
              </w:rPr>
            </w:pPr>
            <w:r w:rsidRPr="00D320EC">
              <w:rPr>
                <w:b/>
              </w:rPr>
              <w:t>Невротичні та стресобумовлені розлади</w:t>
            </w:r>
          </w:p>
        </w:tc>
      </w:tr>
      <w:tr w:rsidR="00477DAE" w:rsidRPr="00D320EC" w:rsidTr="00B42657">
        <w:trPr>
          <w:trHeight w:val="272"/>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1.2</w:t>
            </w:r>
            <w:r w:rsidR="00B42657" w:rsidRPr="00D320EC">
              <w:rPr>
                <w:spacing w:val="-20"/>
              </w:rPr>
              <w:t>.1</w:t>
            </w:r>
          </w:p>
        </w:tc>
        <w:tc>
          <w:tcPr>
            <w:tcW w:w="960" w:type="pct"/>
            <w:shd w:val="clear" w:color="auto" w:fill="auto"/>
          </w:tcPr>
          <w:p w:rsidR="00477DAE" w:rsidRPr="00D320EC" w:rsidRDefault="00477DAE" w:rsidP="00477DAE">
            <w:pPr>
              <w:spacing w:line="240" w:lineRule="auto"/>
              <w:contextualSpacing/>
              <w:jc w:val="center"/>
              <w:rPr>
                <w:spacing w:val="-20"/>
              </w:rPr>
            </w:pPr>
            <w:r w:rsidRPr="00D320EC">
              <w:rPr>
                <w:spacing w:val="-20"/>
              </w:rPr>
              <w:t>7,1 </w:t>
            </w:r>
          </w:p>
        </w:tc>
        <w:tc>
          <w:tcPr>
            <w:tcW w:w="3541" w:type="pct"/>
            <w:shd w:val="clear" w:color="auto" w:fill="auto"/>
          </w:tcPr>
          <w:p w:rsidR="00477DAE" w:rsidRPr="00D320EC" w:rsidRDefault="00477DAE" w:rsidP="00534FB5">
            <w:pPr>
              <w:spacing w:line="240" w:lineRule="auto"/>
              <w:contextualSpacing/>
              <w:rPr>
                <w:spacing w:val="-20"/>
              </w:rPr>
            </w:pPr>
            <w:r w:rsidRPr="00D320EC">
              <w:rPr>
                <w:spacing w:val="-20"/>
              </w:rPr>
              <w:t>Неврастенія (</w:t>
            </w:r>
            <w:r w:rsidRPr="00D320EC">
              <w:rPr>
                <w:spacing w:val="-20"/>
                <w:lang w:val="en-US"/>
              </w:rPr>
              <w:t>F</w:t>
            </w:r>
            <w:r w:rsidRPr="00D320EC">
              <w:rPr>
                <w:spacing w:val="-20"/>
              </w:rPr>
              <w:t>48.0)</w:t>
            </w:r>
          </w:p>
        </w:tc>
      </w:tr>
      <w:tr w:rsidR="00477DAE" w:rsidRPr="00D320EC" w:rsidTr="00B42657">
        <w:trPr>
          <w:trHeight w:val="1482"/>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w:t>
            </w:r>
            <w:r w:rsidR="00B42657" w:rsidRPr="00D320EC">
              <w:rPr>
                <w:spacing w:val="-20"/>
              </w:rPr>
              <w:t>2.2</w:t>
            </w:r>
          </w:p>
        </w:tc>
        <w:tc>
          <w:tcPr>
            <w:tcW w:w="960" w:type="pct"/>
            <w:shd w:val="clear" w:color="auto" w:fill="auto"/>
          </w:tcPr>
          <w:p w:rsidR="00477DAE" w:rsidRPr="00D320EC" w:rsidRDefault="00477DAE" w:rsidP="00534FB5">
            <w:pPr>
              <w:spacing w:line="240" w:lineRule="auto"/>
              <w:contextualSpacing/>
              <w:jc w:val="center"/>
              <w:rPr>
                <w:spacing w:val="-20"/>
              </w:rPr>
            </w:pPr>
            <w:r w:rsidRPr="00D320EC">
              <w:rPr>
                <w:spacing w:val="-20"/>
              </w:rPr>
              <w:t>6,1 </w:t>
            </w:r>
          </w:p>
          <w:p w:rsidR="00477DAE" w:rsidRPr="00D320EC" w:rsidRDefault="00477DAE" w:rsidP="00477DAE">
            <w:pPr>
              <w:pStyle w:val="3"/>
              <w:shd w:val="clear" w:color="auto" w:fill="FFFFFF"/>
              <w:spacing w:before="0" w:after="0" w:line="240" w:lineRule="auto"/>
              <w:contextualSpacing/>
              <w:rPr>
                <w:spacing w:val="-20"/>
              </w:rPr>
            </w:pPr>
          </w:p>
        </w:tc>
        <w:tc>
          <w:tcPr>
            <w:tcW w:w="3541" w:type="pct"/>
            <w:shd w:val="clear" w:color="auto" w:fill="auto"/>
          </w:tcPr>
          <w:p w:rsidR="00477DAE" w:rsidRPr="00D320EC" w:rsidRDefault="00477DAE" w:rsidP="00534FB5">
            <w:pPr>
              <w:spacing w:line="240" w:lineRule="auto"/>
              <w:contextualSpacing/>
              <w:rPr>
                <w:spacing w:val="-20"/>
              </w:rPr>
            </w:pPr>
            <w:r w:rsidRPr="00D320EC">
              <w:rPr>
                <w:spacing w:val="-20"/>
              </w:rPr>
              <w:t>Панічний розлад (епізодична пароксизмальна тривога).</w:t>
            </w:r>
          </w:p>
          <w:p w:rsidR="00477DAE" w:rsidRPr="00D320EC" w:rsidRDefault="00477DAE" w:rsidP="00534FB5">
            <w:pPr>
              <w:spacing w:line="240" w:lineRule="auto"/>
              <w:contextualSpacing/>
              <w:rPr>
                <w:spacing w:val="-20"/>
              </w:rPr>
            </w:pPr>
            <w:r w:rsidRPr="00D320EC">
              <w:rPr>
                <w:spacing w:val="-20"/>
              </w:rPr>
              <w:t>Залежно від інтенсивності:</w:t>
            </w:r>
          </w:p>
          <w:p w:rsidR="00477DAE" w:rsidRPr="00D320EC" w:rsidRDefault="00477DAE" w:rsidP="00534FB5">
            <w:pPr>
              <w:spacing w:line="240" w:lineRule="auto"/>
              <w:contextualSpacing/>
              <w:rPr>
                <w:spacing w:val="-20"/>
              </w:rPr>
            </w:pPr>
            <w:r w:rsidRPr="00D320EC">
              <w:rPr>
                <w:spacing w:val="-20"/>
              </w:rPr>
              <w:t>- панічний розлад середньої ваги – щонайменше 4 напади протягом місяця (F41.00);</w:t>
            </w:r>
          </w:p>
          <w:p w:rsidR="00477DAE" w:rsidRPr="00D320EC" w:rsidRDefault="00477DAE" w:rsidP="00534FB5">
            <w:pPr>
              <w:spacing w:line="240" w:lineRule="auto"/>
              <w:contextualSpacing/>
              <w:rPr>
                <w:spacing w:val="-20"/>
              </w:rPr>
            </w:pPr>
            <w:r w:rsidRPr="00D320EC">
              <w:rPr>
                <w:spacing w:val="-20"/>
              </w:rPr>
              <w:t>- тяжкий панічний розлад – щонайменше 4 напади на тиждень протягом місяця (F41.01).</w:t>
            </w:r>
          </w:p>
        </w:tc>
      </w:tr>
      <w:tr w:rsidR="00B42657" w:rsidRPr="00D320EC" w:rsidTr="00B42657">
        <w:trPr>
          <w:trHeight w:val="438"/>
        </w:trPr>
        <w:tc>
          <w:tcPr>
            <w:tcW w:w="499" w:type="pct"/>
            <w:shd w:val="clear" w:color="auto" w:fill="auto"/>
          </w:tcPr>
          <w:p w:rsidR="00B42657" w:rsidRPr="00D320EC" w:rsidRDefault="00B42657" w:rsidP="00B42657">
            <w:pPr>
              <w:spacing w:line="240" w:lineRule="auto"/>
              <w:contextualSpacing/>
              <w:jc w:val="left"/>
              <w:rPr>
                <w:b/>
                <w:spacing w:val="-20"/>
              </w:rPr>
            </w:pPr>
            <w:r w:rsidRPr="00D320EC">
              <w:rPr>
                <w:b/>
                <w:spacing w:val="-20"/>
              </w:rPr>
              <w:t>1.3</w:t>
            </w:r>
          </w:p>
        </w:tc>
        <w:tc>
          <w:tcPr>
            <w:tcW w:w="960" w:type="pct"/>
            <w:shd w:val="clear" w:color="auto" w:fill="auto"/>
          </w:tcPr>
          <w:p w:rsidR="00B42657" w:rsidRPr="00D320EC" w:rsidRDefault="00B42657" w:rsidP="00534FB5">
            <w:pPr>
              <w:spacing w:line="240" w:lineRule="auto"/>
              <w:contextualSpacing/>
              <w:jc w:val="center"/>
              <w:rPr>
                <w:b/>
                <w:spacing w:val="-20"/>
              </w:rPr>
            </w:pPr>
            <w:r w:rsidRPr="00D320EC">
              <w:rPr>
                <w:b/>
                <w:spacing w:val="-20"/>
              </w:rPr>
              <w:t>16,7</w:t>
            </w:r>
          </w:p>
        </w:tc>
        <w:tc>
          <w:tcPr>
            <w:tcW w:w="3541" w:type="pct"/>
            <w:shd w:val="clear" w:color="auto" w:fill="auto"/>
          </w:tcPr>
          <w:p w:rsidR="00B42657" w:rsidRPr="00D320EC" w:rsidRDefault="00B42657" w:rsidP="00534FB5">
            <w:pPr>
              <w:spacing w:line="240" w:lineRule="auto"/>
              <w:contextualSpacing/>
              <w:rPr>
                <w:b/>
                <w:spacing w:val="-20"/>
              </w:rPr>
            </w:pPr>
            <w:r w:rsidRPr="00D320EC">
              <w:rPr>
                <w:b/>
              </w:rPr>
              <w:t>Р</w:t>
            </w:r>
            <w:r w:rsidRPr="00D320EC">
              <w:rPr>
                <w:b/>
                <w:vanish/>
              </w:rPr>
              <w:t>Р</w:t>
            </w:r>
            <w:r w:rsidRPr="00D320EC">
              <w:rPr>
                <w:b/>
              </w:rPr>
              <w:t>озлади особистості й поведінки</w:t>
            </w:r>
          </w:p>
        </w:tc>
      </w:tr>
      <w:tr w:rsidR="00477DAE" w:rsidRPr="00D320EC" w:rsidTr="00B42657">
        <w:trPr>
          <w:trHeight w:val="379"/>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w:t>
            </w:r>
            <w:r w:rsidR="00B42657" w:rsidRPr="00D320EC">
              <w:rPr>
                <w:spacing w:val="-20"/>
              </w:rPr>
              <w:t>3.1</w:t>
            </w:r>
          </w:p>
        </w:tc>
        <w:tc>
          <w:tcPr>
            <w:tcW w:w="960" w:type="pct"/>
            <w:shd w:val="clear" w:color="auto" w:fill="auto"/>
          </w:tcPr>
          <w:p w:rsidR="00477DAE" w:rsidRPr="00D320EC" w:rsidRDefault="00477DAE" w:rsidP="00477DAE">
            <w:pPr>
              <w:spacing w:line="240" w:lineRule="auto"/>
              <w:contextualSpacing/>
              <w:jc w:val="center"/>
              <w:rPr>
                <w:spacing w:val="-20"/>
              </w:rPr>
            </w:pPr>
            <w:r w:rsidRPr="00D320EC">
              <w:rPr>
                <w:spacing w:val="-20"/>
              </w:rPr>
              <w:t>6,0 </w:t>
            </w:r>
          </w:p>
        </w:tc>
        <w:tc>
          <w:tcPr>
            <w:tcW w:w="3541" w:type="pct"/>
            <w:shd w:val="clear" w:color="auto" w:fill="auto"/>
          </w:tcPr>
          <w:p w:rsidR="00477DAE" w:rsidRPr="00D320EC" w:rsidRDefault="00477DAE" w:rsidP="00534FB5">
            <w:pPr>
              <w:pStyle w:val="af7"/>
              <w:spacing w:before="0" w:beforeAutospacing="0" w:after="0" w:afterAutospacing="0"/>
              <w:contextualSpacing/>
              <w:textAlignment w:val="baseline"/>
              <w:rPr>
                <w:spacing w:val="-20"/>
                <w:sz w:val="28"/>
                <w:szCs w:val="28"/>
                <w:lang w:val="uk-UA" w:eastAsia="uk-UA"/>
              </w:rPr>
            </w:pPr>
            <w:r w:rsidRPr="00D320EC">
              <w:rPr>
                <w:spacing w:val="-20"/>
                <w:sz w:val="28"/>
                <w:szCs w:val="28"/>
                <w:lang w:val="uk-UA"/>
              </w:rPr>
              <w:t>Фобічний тривожний розлад в дитячому віці</w:t>
            </w:r>
            <w:r w:rsidRPr="00D320EC">
              <w:rPr>
                <w:spacing w:val="-20"/>
                <w:sz w:val="28"/>
                <w:szCs w:val="28"/>
              </w:rPr>
              <w:t xml:space="preserve"> (F93.1)</w:t>
            </w:r>
          </w:p>
        </w:tc>
      </w:tr>
      <w:tr w:rsidR="00477DAE" w:rsidRPr="00D320EC" w:rsidTr="00B42657">
        <w:trPr>
          <w:trHeight w:val="366"/>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w:t>
            </w:r>
            <w:r w:rsidR="00B42657" w:rsidRPr="00D320EC">
              <w:rPr>
                <w:spacing w:val="-20"/>
              </w:rPr>
              <w:t>3.2</w:t>
            </w:r>
          </w:p>
        </w:tc>
        <w:tc>
          <w:tcPr>
            <w:tcW w:w="960" w:type="pct"/>
            <w:shd w:val="clear" w:color="auto" w:fill="auto"/>
          </w:tcPr>
          <w:p w:rsidR="00477DAE" w:rsidRPr="00D320EC" w:rsidRDefault="00477DAE" w:rsidP="00477DAE">
            <w:pPr>
              <w:spacing w:line="240" w:lineRule="auto"/>
              <w:contextualSpacing/>
              <w:jc w:val="center"/>
              <w:rPr>
                <w:spacing w:val="-20"/>
              </w:rPr>
            </w:pPr>
            <w:r w:rsidRPr="00D320EC">
              <w:rPr>
                <w:spacing w:val="-20"/>
              </w:rPr>
              <w:t xml:space="preserve">5,4 </w:t>
            </w:r>
          </w:p>
        </w:tc>
        <w:tc>
          <w:tcPr>
            <w:tcW w:w="3541" w:type="pct"/>
            <w:shd w:val="clear" w:color="auto" w:fill="auto"/>
          </w:tcPr>
          <w:p w:rsidR="00477DAE" w:rsidRPr="00D320EC" w:rsidRDefault="00477DAE" w:rsidP="00534FB5">
            <w:pPr>
              <w:spacing w:line="240" w:lineRule="auto"/>
              <w:contextualSpacing/>
              <w:rPr>
                <w:spacing w:val="-20"/>
              </w:rPr>
            </w:pPr>
            <w:r w:rsidRPr="00D320EC">
              <w:rPr>
                <w:spacing w:val="-20"/>
              </w:rPr>
              <w:t xml:space="preserve">Емоційно нестійкі розлади особистості (F60.3) </w:t>
            </w:r>
          </w:p>
        </w:tc>
      </w:tr>
      <w:tr w:rsidR="00477DAE" w:rsidRPr="00D320EC" w:rsidTr="00B42657">
        <w:trPr>
          <w:trHeight w:val="454"/>
        </w:trPr>
        <w:tc>
          <w:tcPr>
            <w:tcW w:w="499" w:type="pct"/>
            <w:shd w:val="clear" w:color="auto" w:fill="auto"/>
          </w:tcPr>
          <w:p w:rsidR="00477DAE" w:rsidRPr="00D320EC" w:rsidRDefault="00477DAE" w:rsidP="00B42657">
            <w:pPr>
              <w:spacing w:line="240" w:lineRule="auto"/>
              <w:contextualSpacing/>
              <w:jc w:val="left"/>
              <w:rPr>
                <w:spacing w:val="-20"/>
              </w:rPr>
            </w:pPr>
            <w:r w:rsidRPr="00D320EC">
              <w:rPr>
                <w:spacing w:val="-20"/>
              </w:rPr>
              <w:t>1.</w:t>
            </w:r>
            <w:r w:rsidR="00B42657" w:rsidRPr="00D320EC">
              <w:rPr>
                <w:spacing w:val="-20"/>
              </w:rPr>
              <w:t>3.3</w:t>
            </w:r>
          </w:p>
        </w:tc>
        <w:tc>
          <w:tcPr>
            <w:tcW w:w="960" w:type="pct"/>
            <w:shd w:val="clear" w:color="auto" w:fill="auto"/>
          </w:tcPr>
          <w:p w:rsidR="00477DAE" w:rsidRPr="00D320EC" w:rsidRDefault="00477DAE" w:rsidP="00534FB5">
            <w:pPr>
              <w:spacing w:line="240" w:lineRule="auto"/>
              <w:contextualSpacing/>
              <w:jc w:val="center"/>
              <w:rPr>
                <w:spacing w:val="-20"/>
              </w:rPr>
            </w:pPr>
            <w:r w:rsidRPr="00D320EC">
              <w:rPr>
                <w:spacing w:val="-20"/>
              </w:rPr>
              <w:t>5,</w:t>
            </w:r>
            <w:r w:rsidRPr="00D320EC">
              <w:rPr>
                <w:spacing w:val="-20"/>
                <w:lang w:val="en-US"/>
              </w:rPr>
              <w:t>3</w:t>
            </w:r>
            <w:r w:rsidRPr="00D320EC">
              <w:rPr>
                <w:spacing w:val="-20"/>
              </w:rPr>
              <w:t> </w:t>
            </w:r>
          </w:p>
          <w:p w:rsidR="00477DAE" w:rsidRPr="00D320EC" w:rsidRDefault="00477DAE" w:rsidP="00477DAE">
            <w:pPr>
              <w:spacing w:line="240" w:lineRule="auto"/>
              <w:contextualSpacing/>
              <w:jc w:val="center"/>
              <w:rPr>
                <w:spacing w:val="-20"/>
              </w:rPr>
            </w:pPr>
          </w:p>
        </w:tc>
        <w:tc>
          <w:tcPr>
            <w:tcW w:w="3541" w:type="pct"/>
            <w:shd w:val="clear" w:color="auto" w:fill="auto"/>
          </w:tcPr>
          <w:p w:rsidR="00477DAE" w:rsidRPr="00D320EC" w:rsidRDefault="00477DAE" w:rsidP="00534FB5">
            <w:pPr>
              <w:spacing w:line="240" w:lineRule="auto"/>
              <w:contextualSpacing/>
              <w:rPr>
                <w:spacing w:val="-20"/>
              </w:rPr>
            </w:pPr>
            <w:r w:rsidRPr="00D320EC">
              <w:rPr>
                <w:spacing w:val="-20"/>
              </w:rPr>
              <w:t>Генералізований тривожний розлад дитячого віку (</w:t>
            </w:r>
            <w:r w:rsidRPr="00D320EC">
              <w:rPr>
                <w:spacing w:val="-20"/>
                <w:lang w:val="en-US"/>
              </w:rPr>
              <w:t>F</w:t>
            </w:r>
            <w:r w:rsidRPr="00D320EC">
              <w:rPr>
                <w:spacing w:val="-20"/>
              </w:rPr>
              <w:t>93.80)</w:t>
            </w:r>
          </w:p>
        </w:tc>
      </w:tr>
      <w:tr w:rsidR="00477DAE" w:rsidRPr="00D320EC" w:rsidTr="00B42657">
        <w:trPr>
          <w:trHeight w:val="131"/>
        </w:trPr>
        <w:tc>
          <w:tcPr>
            <w:tcW w:w="499" w:type="pct"/>
            <w:shd w:val="clear" w:color="auto" w:fill="auto"/>
          </w:tcPr>
          <w:p w:rsidR="00477DAE" w:rsidRPr="00D320EC" w:rsidRDefault="00477DAE" w:rsidP="00B42657">
            <w:pPr>
              <w:spacing w:line="240" w:lineRule="auto"/>
              <w:contextualSpacing/>
              <w:jc w:val="left"/>
              <w:rPr>
                <w:b/>
                <w:spacing w:val="-20"/>
              </w:rPr>
            </w:pPr>
            <w:r w:rsidRPr="00D320EC">
              <w:rPr>
                <w:b/>
                <w:spacing w:val="-20"/>
              </w:rPr>
              <w:t>2.</w:t>
            </w:r>
          </w:p>
        </w:tc>
        <w:tc>
          <w:tcPr>
            <w:tcW w:w="960" w:type="pct"/>
            <w:shd w:val="clear" w:color="auto" w:fill="auto"/>
          </w:tcPr>
          <w:p w:rsidR="00477DAE" w:rsidRPr="00D320EC" w:rsidRDefault="00477DAE" w:rsidP="00477DAE">
            <w:pPr>
              <w:spacing w:line="240" w:lineRule="auto"/>
              <w:contextualSpacing/>
              <w:jc w:val="center"/>
              <w:rPr>
                <w:b/>
                <w:spacing w:val="-20"/>
              </w:rPr>
            </w:pPr>
            <w:r w:rsidRPr="00D320EC">
              <w:rPr>
                <w:b/>
                <w:spacing w:val="-20"/>
              </w:rPr>
              <w:t>27 </w:t>
            </w:r>
          </w:p>
        </w:tc>
        <w:tc>
          <w:tcPr>
            <w:tcW w:w="3541" w:type="pct"/>
            <w:shd w:val="clear" w:color="auto" w:fill="auto"/>
          </w:tcPr>
          <w:p w:rsidR="00477DAE" w:rsidRPr="00D320EC" w:rsidRDefault="00477DAE" w:rsidP="00534FB5">
            <w:pPr>
              <w:spacing w:line="240" w:lineRule="auto"/>
              <w:contextualSpacing/>
              <w:rPr>
                <w:b/>
                <w:spacing w:val="-20"/>
              </w:rPr>
            </w:pPr>
            <w:r w:rsidRPr="00D320EC">
              <w:rPr>
                <w:b/>
                <w:spacing w:val="-20"/>
              </w:rPr>
              <w:t>Емоційні порушення</w:t>
            </w:r>
          </w:p>
        </w:tc>
      </w:tr>
    </w:tbl>
    <w:p w:rsidR="00534FB5" w:rsidRPr="00D320EC" w:rsidRDefault="00534FB5" w:rsidP="00534FB5">
      <w:pPr>
        <w:ind w:firstLine="426"/>
        <w:contextualSpacing/>
      </w:pPr>
    </w:p>
    <w:p w:rsidR="00534FB5" w:rsidRPr="00D320EC" w:rsidRDefault="00534FB5" w:rsidP="00534FB5">
      <w:pPr>
        <w:ind w:firstLine="426"/>
        <w:contextualSpacing/>
      </w:pPr>
      <w:r w:rsidRPr="00D320EC">
        <w:t xml:space="preserve">У дітей зі слуховою депривацією молодшого шкільного віку, а також підлітків [33], спостерігалися функціональні нервово-психічні розлади, викликані дією гострих швидкоплинних та тривалих хронічних психічних факторів – психогенні непсихотичні психічні розлади. </w:t>
      </w:r>
    </w:p>
    <w:p w:rsidR="00534FB5" w:rsidRPr="00D320EC" w:rsidRDefault="007A6750" w:rsidP="00534FB5">
      <w:pPr>
        <w:ind w:firstLine="426"/>
        <w:contextualSpacing/>
      </w:pPr>
      <w:r w:rsidRPr="00D320EC">
        <w:t>У дітей із вродженою глухотою</w:t>
      </w:r>
      <w:r w:rsidR="00534FB5" w:rsidRPr="00D320EC">
        <w:t xml:space="preserve"> здебільшого переважали </w:t>
      </w:r>
      <w:r w:rsidR="00534FB5" w:rsidRPr="00D320EC">
        <w:rPr>
          <w:snapToGrid w:val="0"/>
        </w:rPr>
        <w:t>неврозоподібні розлади (код F06</w:t>
      </w:r>
      <w:r w:rsidR="00B42657" w:rsidRPr="00D320EC">
        <w:rPr>
          <w:snapToGrid w:val="0"/>
        </w:rPr>
        <w:t xml:space="preserve"> за МКХ-10) – 27,2 %</w:t>
      </w:r>
      <w:r w:rsidR="00534FB5" w:rsidRPr="00D320EC">
        <w:rPr>
          <w:snapToGrid w:val="0"/>
        </w:rPr>
        <w:t>, на другому місці –</w:t>
      </w:r>
      <w:r w:rsidR="00F90FD7">
        <w:t xml:space="preserve"> </w:t>
      </w:r>
      <w:r w:rsidR="00534FB5" w:rsidRPr="00D320EC">
        <w:t xml:space="preserve">розлади особистості й поведінки </w:t>
      </w:r>
      <w:r w:rsidR="00534FB5" w:rsidRPr="00D320EC">
        <w:rPr>
          <w:snapToGrid w:val="0"/>
        </w:rPr>
        <w:t xml:space="preserve">(коди </w:t>
      </w:r>
      <w:r w:rsidRPr="00D320EC">
        <w:rPr>
          <w:snapToGrid w:val="0"/>
        </w:rPr>
        <w:t>F6 і F9 за МКХ-10) – 16,7 %</w:t>
      </w:r>
      <w:r w:rsidR="00F90FD7">
        <w:rPr>
          <w:snapToGrid w:val="0"/>
        </w:rPr>
        <w:t xml:space="preserve">, </w:t>
      </w:r>
      <w:r w:rsidR="00F90FD7" w:rsidRPr="00D320EC">
        <w:t xml:space="preserve">невротичні та </w:t>
      </w:r>
      <w:r w:rsidR="00F90FD7" w:rsidRPr="00D320EC">
        <w:lastRenderedPageBreak/>
        <w:t>стресобумовлені розлади (</w:t>
      </w:r>
      <w:r w:rsidR="00F90FD7" w:rsidRPr="00D320EC">
        <w:rPr>
          <w:snapToGrid w:val="0"/>
        </w:rPr>
        <w:t xml:space="preserve">код F4 за МКХ-10) </w:t>
      </w:r>
      <w:r w:rsidR="00F90FD7" w:rsidRPr="00D320EC">
        <w:t xml:space="preserve">були на третьому місці </w:t>
      </w:r>
      <w:r w:rsidR="00F90FD7" w:rsidRPr="00D320EC">
        <w:rPr>
          <w:snapToGrid w:val="0"/>
        </w:rPr>
        <w:t>– 13,2 %</w:t>
      </w:r>
      <w:r w:rsidR="00F90FD7">
        <w:t>.</w:t>
      </w:r>
      <w:r w:rsidR="00534FB5" w:rsidRPr="00D320EC">
        <w:rPr>
          <w:snapToGrid w:val="0"/>
        </w:rPr>
        <w:t xml:space="preserve"> Таким чином, у ДВГ </w:t>
      </w:r>
      <w:r w:rsidR="00534FB5" w:rsidRPr="00D320EC">
        <w:t>психогенні непсихотичні психічні розлади най</w:t>
      </w:r>
      <w:r w:rsidR="00534FB5" w:rsidRPr="00D320EC">
        <w:rPr>
          <w:snapToGrid w:val="0"/>
        </w:rPr>
        <w:t>частіше мали характер астено-невротичних розладів.</w:t>
      </w:r>
    </w:p>
    <w:p w:rsidR="00534FB5" w:rsidRPr="00D320EC" w:rsidRDefault="00534FB5" w:rsidP="00534FB5">
      <w:pPr>
        <w:ind w:firstLine="567"/>
        <w:contextualSpacing/>
      </w:pPr>
      <w:r w:rsidRPr="00D320EC">
        <w:t>Більшість ДВГ (27,2 %), що навчалися в інтернаті, мали астено-невротичний синдром (АНС). Діти з АНС характеризувалися швидкою стомлюваністю, непосидючістю, запальністю, примхливістю. В деяких випадках спостерігалася агресія до навколишніх. Діти скаржилися на нудоту, блювання, запаморочення і навіть непритомність під час руху в транспорті. У дітей молодшого шкільного віку ставалися поодинокі випадки енурезу. У дітей з важкими проявами синдрому були скарги на біль в шиї, нервові тики, судоми в руках та ногах, порушення чутливості, пам’яті. Діти з важким АНС відзначали часті головні болі, особливо після фізичного навантаження. Такі діти мали порушення пізнавальної сфери, утруднення при засвоєнні шкільної програми та підготовки домашніх завдань. На заняттях діти з АНС виявляли дратівливість, траплялися випадки, коли діти навіть впадали в депресію, на порожньому місці влаштовували істерику, розв’язували конфлікти з іншими дітьми, не реагували на зауваження вихователів та педагогів. У цих дітей гіперактивність поєднувалася з розсіяністю. Були випадки, коли діти з АНС завдавали собі болю, билися головою, падали на землю. У той же час взаємодія з цими дітьми була утруднена у зв’язку з тим, що виховання та роз’яснення не було ефективним.</w:t>
      </w:r>
    </w:p>
    <w:p w:rsidR="00534FB5" w:rsidRPr="00D320EC" w:rsidRDefault="00534FB5" w:rsidP="00534FB5">
      <w:pPr>
        <w:ind w:firstLine="567"/>
        <w:contextualSpacing/>
      </w:pPr>
      <w:r w:rsidRPr="00D320EC">
        <w:t xml:space="preserve">Серед дітей з вродженою глухотою 7,1 % становлять діти, яким був встановлений діагноз неврастенія – невротичний розлад, який характеризувався вегетативним, соматичним та емоційним порушенням. Стан ДВГ, яким був встановлений діагноз неврастенія характеризувався, з одного боку, підвищенням нервової збуджуваності, а з другого, – виснажуваністю. Основні симптоми у ДВГ з неврастенією були: неадекватна реакція на зовнішні емоційні стимули, агресія, проблеми зі сном, зниження фізичної та розумової витривалості, труднощі в зосередженні уваги, </w:t>
      </w:r>
      <w:r w:rsidRPr="00D320EC">
        <w:lastRenderedPageBreak/>
        <w:t>порушення настрою, часте незадоволення власними діями та діями інших людей. Такі симптоми у ДВГ здебільшого були пов’язані з тривалим емоційним стресом, перевантаженням нервової системи тощо. У ДВГ були представлені реактивні неврастенії і неврози виснаження. Діти з підвищеною нервовою збудливістю сприймали будь-яку ситуацію як подразнюючу, не могли контролювати власні емоції, у них підвищувалася плаксивість та дратівливість. ДВГ з діагнозом неврастенія з труднощами терпіли очікування, виявляли гіперреактивність на звичайні подразники, мали проблеми зі сном. У дітей цієї групи виявлено яскраву вегето-судинну нестійкість. Розумові здібності, здатність до запам’ятовування та інтелектуальна продуктивність у ДВГ, які страждали на неврастенію, були знижені.</w:t>
      </w:r>
    </w:p>
    <w:p w:rsidR="00534FB5" w:rsidRPr="00D320EC" w:rsidRDefault="00534FB5" w:rsidP="00534FB5">
      <w:pPr>
        <w:ind w:firstLine="567"/>
        <w:contextualSpacing/>
      </w:pPr>
      <w:r w:rsidRPr="00D320EC">
        <w:t xml:space="preserve">6,1 % дітей зі слуховими вадами страждали на панічний розлад (епізодична пароксизмальна тривога), основною ознакою якої є часті спонтанні напади сильного хвилювання (паніки), які діти не пов’язували з однією конкретною ситуацією й тому не могли їх передбачити. ДВГ скаржилися на </w:t>
      </w:r>
      <w:r w:rsidR="007626D6">
        <w:t>раптове</w:t>
      </w:r>
      <w:r w:rsidR="007626D6" w:rsidRPr="00D320EC">
        <w:t xml:space="preserve"> </w:t>
      </w:r>
      <w:r w:rsidRPr="00D320EC">
        <w:t xml:space="preserve">загальне нездужання, серцебиття, біль у грудях, відчуття недостатності повітря, порушення сприйняття реальності, запаморочення тощо, що опосередковано викликало страх вмерти, втратити контролю на ситуацією та навіть збожеволіти. Здебільшого приступ минав за декілька хвилин, хоча іноді панічні атаки тривали і довший час, кратність і характер перебігу атак були досить варіабельні.  </w:t>
      </w:r>
    </w:p>
    <w:p w:rsidR="00534FB5" w:rsidRPr="00D320EC" w:rsidRDefault="00534FB5" w:rsidP="00534FB5">
      <w:pPr>
        <w:ind w:firstLine="567"/>
        <w:contextualSpacing/>
        <w:rPr>
          <w:sz w:val="24"/>
          <w:szCs w:val="24"/>
          <w:lang w:eastAsia="uk-UA"/>
        </w:rPr>
      </w:pPr>
      <w:r w:rsidRPr="00D320EC">
        <w:t xml:space="preserve">У дітей з особливими потребами в 6 % випадків було діагностовано фобічні тривожні розлади. Ці розлади характерні для дітей, схильних до переживань, «застрягання» у неприємних відчуттях. Фобічні тривожні розлади характеризувалися наявністю страхів, які були присутні постійно або з’являлися з певною періодичністю без будь-якої причини, неочікувано або у відповідь на незначну подразнюючу обставину. Страхи за своєю важкістю носили аномальний характер. Хвилювання у ДВГ з фобічними тривожними </w:t>
      </w:r>
      <w:r w:rsidRPr="00D320EC">
        <w:lastRenderedPageBreak/>
        <w:t>розладами було різко виражене. При стиканні з об’єктом страху дитина починала різко кричати, плакати, впадати у ступор або, навпаки, виявляла рухове збудження. Діти після припинення реакції довгий час не могли заспокоїтися. У деяких дітей ці фобії поширювалися на страх виходити з інтернату, страх контактувати зі здоровими однолітками, страх засинати у темряві тощо. Наявність фобічних тривожних розладів у ДВГ утруднювала соціальну адаптацію.</w:t>
      </w:r>
    </w:p>
    <w:p w:rsidR="00534FB5" w:rsidRPr="00D320EC" w:rsidRDefault="00534FB5" w:rsidP="00534FB5">
      <w:pPr>
        <w:ind w:firstLine="567"/>
        <w:contextualSpacing/>
      </w:pPr>
      <w:r w:rsidRPr="00D320EC">
        <w:t xml:space="preserve">5,4 % обстежених дітей із інтернату страждали на емоційно нестійкі розлади особистості. Такі діти виявляли значну імпульсивність, знижений контроль над своїми діями, порушення настрою, виражали свої емоції яскравими спалахами гніву, реагували на звичайні події бурхливо. Навіть незначний зовнішній подразник у таких дітей викликав шквал гніву та емоцій, вони вирізнялися мстивістю, сильними виявами злості. Повсякденні життєві ситуації діти з емоційно нестійкими розладами особистості сприймали як нещастя. Вони вважали, що однокласники, вчителі та родичі їх не цінують, не розуміють і не сприймають їх важливу роль. </w:t>
      </w:r>
    </w:p>
    <w:p w:rsidR="00534FB5" w:rsidRPr="00D320EC" w:rsidRDefault="00534FB5" w:rsidP="00534FB5">
      <w:pPr>
        <w:ind w:firstLine="567"/>
        <w:contextualSpacing/>
        <w:rPr>
          <w:bCs/>
          <w:shd w:val="clear" w:color="auto" w:fill="FFFFFF"/>
        </w:rPr>
      </w:pPr>
      <w:r w:rsidRPr="00D320EC">
        <w:rPr>
          <w:bCs/>
          <w:shd w:val="clear" w:color="auto" w:fill="FFFFFF"/>
        </w:rPr>
        <w:t xml:space="preserve">Окрім того, у </w:t>
      </w:r>
      <w:r w:rsidRPr="00D320EC">
        <w:t>5,3 %</w:t>
      </w:r>
      <w:r w:rsidRPr="00D320EC">
        <w:rPr>
          <w:bCs/>
          <w:shd w:val="clear" w:color="auto" w:fill="FFFFFF"/>
        </w:rPr>
        <w:t xml:space="preserve"> ДВГ виявлено генералізований тривожний розлад дитячого віку. Діти з цим розладом виявляли виражене занепокоєння, хвилювання, мали негативні передчуття, які були пов’язані одночасно з різними подіями або заняттями і займали більшість часу дитини. Діти скаржилися на утруднення управління своїм хвилюванням. Тривоги поєднувалися з іншими симптомами, такими як відчуття напруги, зниження витримки, непосидючість, неможливість релаксації, швидка втомлюваність, проблеми з концентрацією уваги, відчуття відсутності думок в голові, легка збудливість під дією зовнішніх стимулів, підвищення м’язового тонусу, проблеми зі сном. Особливим у таких дітей було те, що тривоги виникали не поодиноко, а групами. Хвилювання та фізичні симптоми призводили до неможливості відновлення організму між стресовими ситуаціями. У таких індивідів розвивався дистрес, що перешкоджав встановленню нормальних </w:t>
      </w:r>
      <w:r w:rsidRPr="00D320EC">
        <w:rPr>
          <w:bCs/>
          <w:shd w:val="clear" w:color="auto" w:fill="FFFFFF"/>
        </w:rPr>
        <w:lastRenderedPageBreak/>
        <w:t>контактів з навколишнім світом, заважав навчанню тощо.</w:t>
      </w:r>
    </w:p>
    <w:p w:rsidR="00534FB5" w:rsidRPr="00D320EC" w:rsidRDefault="00534FB5" w:rsidP="00534FB5">
      <w:pPr>
        <w:ind w:firstLine="567"/>
        <w:contextualSpacing/>
        <w:rPr>
          <w:bCs/>
          <w:shd w:val="clear" w:color="auto" w:fill="FFFFFF"/>
        </w:rPr>
      </w:pPr>
      <w:r w:rsidRPr="00D320EC">
        <w:rPr>
          <w:bCs/>
          <w:shd w:val="clear" w:color="auto" w:fill="FFFFFF"/>
        </w:rPr>
        <w:t xml:space="preserve">У 27 % дітей з вродженою глухотою спостерігалися емоційні порушення, які виявлялися в особливих відносинах з іншими людьми і в складності внутрішніх переживань дитини. </w:t>
      </w:r>
    </w:p>
    <w:p w:rsidR="00534FB5" w:rsidRPr="00D320EC" w:rsidRDefault="00534FB5" w:rsidP="00534FB5">
      <w:pPr>
        <w:ind w:firstLine="567"/>
        <w:contextualSpacing/>
        <w:rPr>
          <w:bCs/>
          <w:shd w:val="clear" w:color="auto" w:fill="FFFFFF"/>
        </w:rPr>
      </w:pPr>
      <w:r w:rsidRPr="00D320EC">
        <w:rPr>
          <w:bCs/>
          <w:shd w:val="clear" w:color="auto" w:fill="FFFFFF"/>
        </w:rPr>
        <w:t xml:space="preserve">Тільки у 15,9 % ДВГ не було виявлено розладів при запам’ятовуванні, порушень уваги, емоційної, вольової сфери, проблем із мисленням. Такі діти в умовах основного дефекту зберігали адекватні зв’язки з оточенням та зовнішнім світом, а також виявляли емоційну стійкість у стресових ситуаціях. </w:t>
      </w:r>
    </w:p>
    <w:p w:rsidR="00534FB5" w:rsidRPr="00D320EC" w:rsidRDefault="00534FB5" w:rsidP="00534FB5">
      <w:pPr>
        <w:ind w:firstLine="567"/>
        <w:contextualSpacing/>
        <w:rPr>
          <w:bCs/>
          <w:shd w:val="clear" w:color="auto" w:fill="FFFFFF"/>
        </w:rPr>
      </w:pPr>
      <w:r w:rsidRPr="00D320EC">
        <w:rPr>
          <w:bCs/>
          <w:shd w:val="clear" w:color="auto" w:fill="FFFFFF"/>
        </w:rPr>
        <w:t>Питання розгляду взаємозв’язку психічного і соматичного здоров’я дітей завжди залишалося актуальною темою. У дітей з вродженою глухотою виявлені значні порушення стоматологічного й психічного здоров’я та емоційної сфери.</w:t>
      </w:r>
    </w:p>
    <w:p w:rsidR="00534FB5" w:rsidRPr="00D320EC" w:rsidRDefault="00534FB5" w:rsidP="001D2DAC">
      <w:pPr>
        <w:ind w:firstLine="567"/>
        <w:contextualSpacing/>
        <w:rPr>
          <w:bCs/>
          <w:shd w:val="clear" w:color="auto" w:fill="FFFFFF"/>
        </w:rPr>
      </w:pPr>
      <w:r w:rsidRPr="00D320EC">
        <w:rPr>
          <w:bCs/>
          <w:shd w:val="clear" w:color="auto" w:fill="FFFFFF"/>
        </w:rPr>
        <w:t>Наступною ланкою нашого дослідження став розрахунок кореляційного зв’язку між:</w:t>
      </w:r>
      <w:r w:rsidR="001D2DAC">
        <w:rPr>
          <w:bCs/>
          <w:shd w:val="clear" w:color="auto" w:fill="FFFFFF"/>
        </w:rPr>
        <w:t xml:space="preserve"> </w:t>
      </w:r>
      <w:r w:rsidRPr="00D320EC">
        <w:rPr>
          <w:bCs/>
          <w:shd w:val="clear" w:color="auto" w:fill="FFFFFF"/>
        </w:rPr>
        <w:t>інтенсивністю карієсу (за показниками КПВз+кпз та КПВз) і наявністю порушення психічного та емоційного здоров’я ДВГ;</w:t>
      </w:r>
      <w:r w:rsidR="001D2DAC">
        <w:rPr>
          <w:bCs/>
          <w:shd w:val="clear" w:color="auto" w:fill="FFFFFF"/>
        </w:rPr>
        <w:t xml:space="preserve"> </w:t>
      </w:r>
      <w:r w:rsidRPr="00D320EC">
        <w:rPr>
          <w:bCs/>
          <w:shd w:val="clear" w:color="auto" w:fill="FFFFFF"/>
        </w:rPr>
        <w:t xml:space="preserve">індексом </w:t>
      </w:r>
      <w:r w:rsidRPr="00D320EC">
        <w:rPr>
          <w:bCs/>
          <w:shd w:val="clear" w:color="auto" w:fill="FFFFFF"/>
          <w:lang w:val="en-US"/>
        </w:rPr>
        <w:t>PMA</w:t>
      </w:r>
      <w:r w:rsidRPr="00D320EC">
        <w:rPr>
          <w:bCs/>
          <w:shd w:val="clear" w:color="auto" w:fill="FFFFFF"/>
        </w:rPr>
        <w:t xml:space="preserve"> і наявністю порушень психічного та емоційного здоров’я ДВГ.  </w:t>
      </w:r>
    </w:p>
    <w:p w:rsidR="00534FB5" w:rsidRDefault="00534FB5" w:rsidP="00534FB5">
      <w:pPr>
        <w:ind w:firstLine="567"/>
        <w:contextualSpacing/>
        <w:rPr>
          <w:bCs/>
          <w:shd w:val="clear" w:color="auto" w:fill="FFFFFF"/>
        </w:rPr>
      </w:pPr>
      <w:r w:rsidRPr="00D320EC">
        <w:rPr>
          <w:bCs/>
          <w:shd w:val="clear" w:color="auto" w:fill="FFFFFF"/>
        </w:rPr>
        <w:t>Для розрахунку кореляційного зв’язку використовували коефіцієнт кореляції Пірсона (</w:t>
      </w:r>
      <w:r w:rsidRPr="00D320EC">
        <w:rPr>
          <w:bCs/>
          <w:shd w:val="clear" w:color="auto" w:fill="FFFFFF"/>
          <w:lang w:val="en-US"/>
        </w:rPr>
        <w:t>r</w:t>
      </w:r>
      <w:r w:rsidRPr="00D320EC">
        <w:rPr>
          <w:bCs/>
          <w:shd w:val="clear" w:color="auto" w:fill="FFFFFF"/>
        </w:rPr>
        <w:t>), розрахунки проводили за допомогою пакету програм «</w:t>
      </w:r>
      <w:r w:rsidRPr="00D320EC">
        <w:rPr>
          <w:bCs/>
          <w:shd w:val="clear" w:color="auto" w:fill="FFFFFF"/>
          <w:lang w:val="en-US"/>
        </w:rPr>
        <w:t>Statistica</w:t>
      </w:r>
      <w:r w:rsidRPr="00D320EC">
        <w:rPr>
          <w:bCs/>
          <w:shd w:val="clear" w:color="auto" w:fill="FFFFFF"/>
        </w:rPr>
        <w:t> 8.0».</w:t>
      </w:r>
    </w:p>
    <w:p w:rsidR="00534FB5" w:rsidRPr="0061044D" w:rsidRDefault="00534FB5" w:rsidP="00534FB5">
      <w:pPr>
        <w:jc w:val="right"/>
        <w:rPr>
          <w:i/>
        </w:rPr>
      </w:pPr>
      <w:r>
        <w:rPr>
          <w:i/>
        </w:rPr>
        <w:t>Таблиця 3.6.3</w:t>
      </w:r>
    </w:p>
    <w:p w:rsidR="00534FB5" w:rsidRPr="00021CEE" w:rsidRDefault="00534FB5" w:rsidP="00534FB5">
      <w:pPr>
        <w:spacing w:after="200" w:line="276" w:lineRule="auto"/>
        <w:ind w:firstLine="567"/>
        <w:contextualSpacing/>
        <w:jc w:val="center"/>
        <w:rPr>
          <w:b/>
        </w:rPr>
      </w:pPr>
      <w:r>
        <w:rPr>
          <w:b/>
        </w:rPr>
        <w:t xml:space="preserve">Кореляційний зв’язок між порушеннями психічного, емоційного та стоматологічного </w:t>
      </w:r>
      <w:r w:rsidRPr="00A70B94">
        <w:rPr>
          <w:b/>
        </w:rPr>
        <w:t>здоров</w:t>
      </w:r>
      <w:r>
        <w:rPr>
          <w:b/>
        </w:rPr>
        <w:t>’</w:t>
      </w:r>
      <w:r w:rsidRPr="00A70B94">
        <w:rPr>
          <w:b/>
        </w:rPr>
        <w:t>я</w:t>
      </w:r>
      <w:r>
        <w:rPr>
          <w:b/>
        </w:rPr>
        <w:t xml:space="preserve"> </w:t>
      </w:r>
      <w:r w:rsidRPr="00A70B94">
        <w:rPr>
          <w:b/>
        </w:rPr>
        <w:t xml:space="preserve">обстежених дітей з вродженою глухотою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4129"/>
        <w:gridCol w:w="4218"/>
      </w:tblGrid>
      <w:tr w:rsidR="00534FB5" w:rsidRPr="00441518" w:rsidTr="00534FB5">
        <w:trPr>
          <w:trHeight w:val="429"/>
        </w:trPr>
        <w:tc>
          <w:tcPr>
            <w:tcW w:w="0" w:type="auto"/>
            <w:vMerge w:val="restart"/>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Вік дітей</w:t>
            </w:r>
            <w:r w:rsidR="007626D6">
              <w:rPr>
                <w:bCs/>
                <w:shd w:val="clear" w:color="auto" w:fill="FFFFFF"/>
              </w:rPr>
              <w:t>, років</w:t>
            </w:r>
          </w:p>
        </w:tc>
        <w:tc>
          <w:tcPr>
            <w:tcW w:w="0" w:type="auto"/>
            <w:gridSpan w:val="2"/>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Коефіцієнт кореляції Пірсона (</w:t>
            </w:r>
            <w:r w:rsidRPr="00441518">
              <w:rPr>
                <w:bCs/>
                <w:shd w:val="clear" w:color="auto" w:fill="FFFFFF"/>
                <w:lang w:val="en-US"/>
              </w:rPr>
              <w:t>r</w:t>
            </w:r>
            <w:r w:rsidRPr="00441518">
              <w:rPr>
                <w:bCs/>
                <w:shd w:val="clear" w:color="auto" w:fill="FFFFFF"/>
              </w:rPr>
              <w:t>)</w:t>
            </w:r>
          </w:p>
        </w:tc>
      </w:tr>
      <w:tr w:rsidR="00534FB5" w:rsidRPr="00441518" w:rsidTr="00534FB5">
        <w:trPr>
          <w:trHeight w:val="685"/>
        </w:trPr>
        <w:tc>
          <w:tcPr>
            <w:tcW w:w="0" w:type="auto"/>
            <w:vMerge/>
            <w:shd w:val="clear" w:color="auto" w:fill="auto"/>
          </w:tcPr>
          <w:p w:rsidR="00534FB5" w:rsidRPr="00441518" w:rsidRDefault="00534FB5" w:rsidP="00534FB5">
            <w:pPr>
              <w:contextualSpacing/>
              <w:jc w:val="center"/>
              <w:rPr>
                <w:b/>
                <w:bCs/>
                <w:shd w:val="clear" w:color="auto" w:fill="FFFFFF"/>
              </w:rPr>
            </w:pPr>
          </w:p>
        </w:tc>
        <w:tc>
          <w:tcPr>
            <w:tcW w:w="4129" w:type="dxa"/>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Інтенсивніст</w:t>
            </w:r>
            <w:r>
              <w:rPr>
                <w:bCs/>
                <w:shd w:val="clear" w:color="auto" w:fill="FFFFFF"/>
              </w:rPr>
              <w:t>ь</w:t>
            </w:r>
            <w:r w:rsidRPr="00441518">
              <w:rPr>
                <w:bCs/>
                <w:shd w:val="clear" w:color="auto" w:fill="FFFFFF"/>
              </w:rPr>
              <w:t xml:space="preserve"> карієсу / Психічне</w:t>
            </w:r>
            <w:r>
              <w:rPr>
                <w:bCs/>
                <w:shd w:val="clear" w:color="auto" w:fill="FFFFFF"/>
              </w:rPr>
              <w:t xml:space="preserve"> та емоційне </w:t>
            </w:r>
            <w:r w:rsidRPr="00441518">
              <w:rPr>
                <w:bCs/>
                <w:shd w:val="clear" w:color="auto" w:fill="FFFFFF"/>
              </w:rPr>
              <w:t>здоров</w:t>
            </w:r>
            <w:r>
              <w:rPr>
                <w:bCs/>
                <w:shd w:val="clear" w:color="auto" w:fill="FFFFFF"/>
              </w:rPr>
              <w:t>’</w:t>
            </w:r>
            <w:r w:rsidRPr="00441518">
              <w:rPr>
                <w:bCs/>
                <w:shd w:val="clear" w:color="auto" w:fill="FFFFFF"/>
              </w:rPr>
              <w:t>я</w:t>
            </w:r>
          </w:p>
        </w:tc>
        <w:tc>
          <w:tcPr>
            <w:tcW w:w="4218" w:type="dxa"/>
            <w:shd w:val="clear" w:color="auto" w:fill="auto"/>
          </w:tcPr>
          <w:p w:rsidR="00534FB5" w:rsidRDefault="00534FB5" w:rsidP="00534FB5">
            <w:pPr>
              <w:contextualSpacing/>
              <w:jc w:val="center"/>
              <w:rPr>
                <w:bCs/>
                <w:shd w:val="clear" w:color="auto" w:fill="FFFFFF"/>
              </w:rPr>
            </w:pPr>
            <w:r w:rsidRPr="00441518">
              <w:rPr>
                <w:bCs/>
                <w:shd w:val="clear" w:color="auto" w:fill="FFFFFF"/>
              </w:rPr>
              <w:t xml:space="preserve">Індекс </w:t>
            </w:r>
            <w:r w:rsidRPr="00441518">
              <w:rPr>
                <w:bCs/>
                <w:shd w:val="clear" w:color="auto" w:fill="FFFFFF"/>
                <w:lang w:val="en-US"/>
              </w:rPr>
              <w:t>PMA</w:t>
            </w:r>
            <w:r w:rsidRPr="00441518">
              <w:rPr>
                <w:bCs/>
                <w:shd w:val="clear" w:color="auto" w:fill="FFFFFF"/>
              </w:rPr>
              <w:t xml:space="preserve"> / </w:t>
            </w:r>
          </w:p>
          <w:p w:rsidR="00534FB5" w:rsidRPr="00441518" w:rsidRDefault="00534FB5" w:rsidP="00534FB5">
            <w:pPr>
              <w:contextualSpacing/>
              <w:jc w:val="center"/>
              <w:rPr>
                <w:bCs/>
                <w:shd w:val="clear" w:color="auto" w:fill="FFFFFF"/>
              </w:rPr>
            </w:pPr>
            <w:r w:rsidRPr="00441518">
              <w:rPr>
                <w:bCs/>
                <w:shd w:val="clear" w:color="auto" w:fill="FFFFFF"/>
              </w:rPr>
              <w:t xml:space="preserve">Психічне </w:t>
            </w:r>
            <w:r>
              <w:rPr>
                <w:bCs/>
                <w:shd w:val="clear" w:color="auto" w:fill="FFFFFF"/>
              </w:rPr>
              <w:t xml:space="preserve">та емоційне </w:t>
            </w:r>
            <w:r w:rsidRPr="00441518">
              <w:rPr>
                <w:bCs/>
                <w:shd w:val="clear" w:color="auto" w:fill="FFFFFF"/>
              </w:rPr>
              <w:t>здоров</w:t>
            </w:r>
            <w:r>
              <w:rPr>
                <w:bCs/>
                <w:shd w:val="clear" w:color="auto" w:fill="FFFFFF"/>
              </w:rPr>
              <w:t>’</w:t>
            </w:r>
            <w:r w:rsidRPr="00441518">
              <w:rPr>
                <w:bCs/>
                <w:shd w:val="clear" w:color="auto" w:fill="FFFFFF"/>
              </w:rPr>
              <w:t>я</w:t>
            </w:r>
          </w:p>
        </w:tc>
      </w:tr>
      <w:tr w:rsidR="00534FB5" w:rsidRPr="00441518" w:rsidTr="00534FB5">
        <w:trPr>
          <w:trHeight w:val="429"/>
        </w:trPr>
        <w:tc>
          <w:tcPr>
            <w:tcW w:w="0" w:type="auto"/>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7-8</w:t>
            </w:r>
          </w:p>
        </w:tc>
        <w:tc>
          <w:tcPr>
            <w:tcW w:w="4129" w:type="dxa"/>
            <w:shd w:val="clear" w:color="auto" w:fill="auto"/>
          </w:tcPr>
          <w:p w:rsidR="00534FB5" w:rsidRPr="00441518" w:rsidRDefault="00534FB5" w:rsidP="00534FB5">
            <w:pPr>
              <w:contextualSpacing/>
              <w:jc w:val="center"/>
              <w:rPr>
                <w:bCs/>
                <w:shd w:val="clear" w:color="auto" w:fill="FFFFFF"/>
                <w:lang w:val="en-US"/>
              </w:rPr>
            </w:pPr>
            <w:r w:rsidRPr="00441518">
              <w:rPr>
                <w:bCs/>
                <w:shd w:val="clear" w:color="auto" w:fill="FFFFFF"/>
                <w:lang w:val="en-US"/>
              </w:rPr>
              <w:t>r</w:t>
            </w:r>
            <w:r w:rsidRPr="00441518">
              <w:rPr>
                <w:bCs/>
                <w:shd w:val="clear" w:color="auto" w:fill="FFFFFF"/>
              </w:rPr>
              <w:t xml:space="preserve">=0,74, </w:t>
            </w:r>
            <w:r w:rsidRPr="00441518">
              <w:rPr>
                <w:bCs/>
                <w:shd w:val="clear" w:color="auto" w:fill="FFFFFF"/>
                <w:lang w:val="en-US"/>
              </w:rPr>
              <w:t>p</w:t>
            </w:r>
            <w:r w:rsidRPr="00441518">
              <w:rPr>
                <w:bCs/>
                <w:shd w:val="clear" w:color="auto" w:fill="FFFFFF"/>
              </w:rPr>
              <w:t>&lt;0,0</w:t>
            </w:r>
            <w:r w:rsidRPr="00441518">
              <w:rPr>
                <w:bCs/>
                <w:shd w:val="clear" w:color="auto" w:fill="FFFFFF"/>
                <w:lang w:val="en-US"/>
              </w:rPr>
              <w:t>5, n=23</w:t>
            </w:r>
          </w:p>
        </w:tc>
        <w:tc>
          <w:tcPr>
            <w:tcW w:w="4218" w:type="dxa"/>
            <w:shd w:val="clear" w:color="auto" w:fill="auto"/>
          </w:tcPr>
          <w:p w:rsidR="00534FB5" w:rsidRPr="00441518" w:rsidRDefault="00534FB5" w:rsidP="00534FB5">
            <w:pPr>
              <w:contextualSpacing/>
              <w:jc w:val="center"/>
              <w:rPr>
                <w:bCs/>
                <w:shd w:val="clear" w:color="auto" w:fill="FFFFFF"/>
                <w:lang w:val="en-US"/>
              </w:rPr>
            </w:pPr>
            <w:r w:rsidRPr="00441518">
              <w:rPr>
                <w:bCs/>
                <w:shd w:val="clear" w:color="auto" w:fill="FFFFFF"/>
                <w:lang w:val="en-US"/>
              </w:rPr>
              <w:t>r</w:t>
            </w:r>
            <w:r w:rsidRPr="00441518">
              <w:rPr>
                <w:bCs/>
                <w:shd w:val="clear" w:color="auto" w:fill="FFFFFF"/>
              </w:rPr>
              <w:t>=0,82</w:t>
            </w:r>
            <w:r w:rsidRPr="00441518">
              <w:rPr>
                <w:bCs/>
                <w:shd w:val="clear" w:color="auto" w:fill="FFFFFF"/>
                <w:lang w:val="en-US"/>
              </w:rPr>
              <w:t>, p&lt;0,05, n=23</w:t>
            </w:r>
          </w:p>
        </w:tc>
      </w:tr>
      <w:tr w:rsidR="00534FB5" w:rsidRPr="00441518" w:rsidTr="00534FB5">
        <w:trPr>
          <w:trHeight w:val="429"/>
        </w:trPr>
        <w:tc>
          <w:tcPr>
            <w:tcW w:w="0" w:type="auto"/>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11-12</w:t>
            </w:r>
          </w:p>
        </w:tc>
        <w:tc>
          <w:tcPr>
            <w:tcW w:w="4129" w:type="dxa"/>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lang w:val="en-US"/>
              </w:rPr>
              <w:t>r</w:t>
            </w:r>
            <w:r w:rsidRPr="00441518">
              <w:rPr>
                <w:bCs/>
                <w:shd w:val="clear" w:color="auto" w:fill="FFFFFF"/>
              </w:rPr>
              <w:t xml:space="preserve">=0,64, </w:t>
            </w:r>
            <w:r w:rsidRPr="00441518">
              <w:rPr>
                <w:bCs/>
                <w:shd w:val="clear" w:color="auto" w:fill="FFFFFF"/>
                <w:lang w:val="en-US"/>
              </w:rPr>
              <w:t>p</w:t>
            </w:r>
            <w:r w:rsidRPr="00441518">
              <w:rPr>
                <w:bCs/>
                <w:shd w:val="clear" w:color="auto" w:fill="FFFFFF"/>
              </w:rPr>
              <w:t>&lt;0,0</w:t>
            </w:r>
            <w:r w:rsidRPr="00441518">
              <w:rPr>
                <w:bCs/>
                <w:shd w:val="clear" w:color="auto" w:fill="FFFFFF"/>
                <w:lang w:val="en-US"/>
              </w:rPr>
              <w:t>5, n=21</w:t>
            </w:r>
          </w:p>
        </w:tc>
        <w:tc>
          <w:tcPr>
            <w:tcW w:w="4218" w:type="dxa"/>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lang w:val="en-US"/>
              </w:rPr>
              <w:t>r</w:t>
            </w:r>
            <w:r w:rsidRPr="00441518">
              <w:rPr>
                <w:bCs/>
                <w:shd w:val="clear" w:color="auto" w:fill="FFFFFF"/>
              </w:rPr>
              <w:t xml:space="preserve">=0,69, </w:t>
            </w:r>
            <w:r w:rsidRPr="00441518">
              <w:rPr>
                <w:bCs/>
                <w:shd w:val="clear" w:color="auto" w:fill="FFFFFF"/>
                <w:lang w:val="en-US"/>
              </w:rPr>
              <w:t>p</w:t>
            </w:r>
            <w:r w:rsidRPr="00441518">
              <w:rPr>
                <w:bCs/>
                <w:shd w:val="clear" w:color="auto" w:fill="FFFFFF"/>
              </w:rPr>
              <w:t>&lt;0,0</w:t>
            </w:r>
            <w:r w:rsidRPr="00441518">
              <w:rPr>
                <w:bCs/>
                <w:shd w:val="clear" w:color="auto" w:fill="FFFFFF"/>
                <w:lang w:val="en-US"/>
              </w:rPr>
              <w:t>5, n=21</w:t>
            </w:r>
          </w:p>
        </w:tc>
      </w:tr>
      <w:tr w:rsidR="00534FB5" w:rsidRPr="00441518" w:rsidTr="00534FB5">
        <w:trPr>
          <w:trHeight w:val="429"/>
        </w:trPr>
        <w:tc>
          <w:tcPr>
            <w:tcW w:w="0" w:type="auto"/>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rPr>
              <w:t>14-15</w:t>
            </w:r>
          </w:p>
        </w:tc>
        <w:tc>
          <w:tcPr>
            <w:tcW w:w="4129" w:type="dxa"/>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lang w:val="en-US"/>
              </w:rPr>
              <w:t>r</w:t>
            </w:r>
            <w:r w:rsidRPr="00441518">
              <w:rPr>
                <w:bCs/>
                <w:shd w:val="clear" w:color="auto" w:fill="FFFFFF"/>
              </w:rPr>
              <w:t xml:space="preserve">=0,56, </w:t>
            </w:r>
            <w:r w:rsidRPr="00441518">
              <w:rPr>
                <w:bCs/>
                <w:shd w:val="clear" w:color="auto" w:fill="FFFFFF"/>
                <w:lang w:val="en-US"/>
              </w:rPr>
              <w:t>p</w:t>
            </w:r>
            <w:r w:rsidRPr="00441518">
              <w:rPr>
                <w:bCs/>
                <w:shd w:val="clear" w:color="auto" w:fill="FFFFFF"/>
              </w:rPr>
              <w:t>&lt;0,0</w:t>
            </w:r>
            <w:r w:rsidRPr="00441518">
              <w:rPr>
                <w:bCs/>
                <w:shd w:val="clear" w:color="auto" w:fill="FFFFFF"/>
                <w:lang w:val="en-US"/>
              </w:rPr>
              <w:t>5, n=26</w:t>
            </w:r>
          </w:p>
        </w:tc>
        <w:tc>
          <w:tcPr>
            <w:tcW w:w="4218" w:type="dxa"/>
            <w:shd w:val="clear" w:color="auto" w:fill="auto"/>
          </w:tcPr>
          <w:p w:rsidR="00534FB5" w:rsidRPr="00441518" w:rsidRDefault="00534FB5" w:rsidP="00534FB5">
            <w:pPr>
              <w:contextualSpacing/>
              <w:jc w:val="center"/>
              <w:rPr>
                <w:bCs/>
                <w:shd w:val="clear" w:color="auto" w:fill="FFFFFF"/>
              </w:rPr>
            </w:pPr>
            <w:r w:rsidRPr="00441518">
              <w:rPr>
                <w:bCs/>
                <w:shd w:val="clear" w:color="auto" w:fill="FFFFFF"/>
                <w:lang w:val="en-US"/>
              </w:rPr>
              <w:t>r</w:t>
            </w:r>
            <w:r w:rsidRPr="00441518">
              <w:rPr>
                <w:bCs/>
                <w:shd w:val="clear" w:color="auto" w:fill="FFFFFF"/>
              </w:rPr>
              <w:t xml:space="preserve">=0,55, </w:t>
            </w:r>
            <w:r w:rsidRPr="00441518">
              <w:rPr>
                <w:bCs/>
                <w:shd w:val="clear" w:color="auto" w:fill="FFFFFF"/>
                <w:lang w:val="en-US"/>
              </w:rPr>
              <w:t>p</w:t>
            </w:r>
            <w:r w:rsidRPr="00441518">
              <w:rPr>
                <w:bCs/>
                <w:shd w:val="clear" w:color="auto" w:fill="FFFFFF"/>
              </w:rPr>
              <w:t>&lt;0,0</w:t>
            </w:r>
            <w:r w:rsidRPr="00441518">
              <w:rPr>
                <w:bCs/>
                <w:shd w:val="clear" w:color="auto" w:fill="FFFFFF"/>
                <w:lang w:val="en-US"/>
              </w:rPr>
              <w:t>5, n=26</w:t>
            </w:r>
          </w:p>
        </w:tc>
      </w:tr>
    </w:tbl>
    <w:p w:rsidR="00534FB5" w:rsidRDefault="00534FB5" w:rsidP="00534FB5">
      <w:pPr>
        <w:contextualSpacing/>
        <w:rPr>
          <w:bCs/>
          <w:shd w:val="clear" w:color="auto" w:fill="FFFFFF"/>
        </w:rPr>
      </w:pPr>
    </w:p>
    <w:p w:rsidR="00534FB5" w:rsidRDefault="00534FB5" w:rsidP="00534FB5">
      <w:pPr>
        <w:ind w:firstLine="567"/>
        <w:contextualSpacing/>
        <w:rPr>
          <w:bCs/>
          <w:shd w:val="clear" w:color="auto" w:fill="FFFFFF"/>
        </w:rPr>
      </w:pPr>
      <w:r w:rsidRPr="00544FF7">
        <w:rPr>
          <w:bCs/>
          <w:shd w:val="clear" w:color="auto" w:fill="FFFFFF"/>
        </w:rPr>
        <w:t>З табл</w:t>
      </w:r>
      <w:r>
        <w:rPr>
          <w:bCs/>
          <w:shd w:val="clear" w:color="auto" w:fill="FFFFFF"/>
        </w:rPr>
        <w:t>иці 3.6.3</w:t>
      </w:r>
      <w:r w:rsidRPr="00544FF7">
        <w:rPr>
          <w:bCs/>
          <w:shd w:val="clear" w:color="auto" w:fill="FFFFFF"/>
        </w:rPr>
        <w:t xml:space="preserve"> видно, що в процесі кореляційного аналізу в групі ДВГ</w:t>
      </w:r>
      <w:r w:rsidR="00145565">
        <w:rPr>
          <w:bCs/>
          <w:shd w:val="clear" w:color="auto" w:fill="FFFFFF"/>
        </w:rPr>
        <w:t xml:space="preserve"> </w:t>
      </w:r>
      <w:r w:rsidRPr="00544FF7">
        <w:rPr>
          <w:bCs/>
          <w:shd w:val="clear" w:color="auto" w:fill="FFFFFF"/>
        </w:rPr>
        <w:t xml:space="preserve"> 7</w:t>
      </w:r>
      <w:r>
        <w:rPr>
          <w:bCs/>
          <w:shd w:val="clear" w:color="auto" w:fill="FFFFFF"/>
        </w:rPr>
        <w:t xml:space="preserve">-8 </w:t>
      </w:r>
      <w:r w:rsidRPr="00544FF7">
        <w:rPr>
          <w:bCs/>
          <w:shd w:val="clear" w:color="auto" w:fill="FFFFFF"/>
        </w:rPr>
        <w:t>років був виявлений сильний позитивний зв</w:t>
      </w:r>
      <w:r>
        <w:rPr>
          <w:bCs/>
          <w:shd w:val="clear" w:color="auto" w:fill="FFFFFF"/>
        </w:rPr>
        <w:t>’</w:t>
      </w:r>
      <w:r w:rsidRPr="00544FF7">
        <w:rPr>
          <w:bCs/>
          <w:shd w:val="clear" w:color="auto" w:fill="FFFFFF"/>
        </w:rPr>
        <w:t>я</w:t>
      </w:r>
      <w:r>
        <w:rPr>
          <w:bCs/>
          <w:shd w:val="clear" w:color="auto" w:fill="FFFFFF"/>
        </w:rPr>
        <w:t>зок між інтенсивністю карієсу і</w:t>
      </w:r>
      <w:r w:rsidRPr="00544FF7">
        <w:rPr>
          <w:bCs/>
          <w:shd w:val="clear" w:color="auto" w:fill="FFFFFF"/>
        </w:rPr>
        <w:t xml:space="preserve"> наявністю психічного</w:t>
      </w:r>
      <w:r>
        <w:rPr>
          <w:bCs/>
          <w:shd w:val="clear" w:color="auto" w:fill="FFFFFF"/>
        </w:rPr>
        <w:t xml:space="preserve"> та емоційного</w:t>
      </w:r>
      <w:r w:rsidRPr="00544FF7">
        <w:rPr>
          <w:bCs/>
          <w:shd w:val="clear" w:color="auto" w:fill="FFFFFF"/>
        </w:rPr>
        <w:t xml:space="preserve"> порушення (</w:t>
      </w:r>
      <w:r w:rsidRPr="00544FF7">
        <w:rPr>
          <w:bCs/>
          <w:shd w:val="clear" w:color="auto" w:fill="FFFFFF"/>
          <w:lang w:val="en-US"/>
        </w:rPr>
        <w:t>r</w:t>
      </w:r>
      <w:r w:rsidRPr="00544FF7">
        <w:rPr>
          <w:bCs/>
          <w:shd w:val="clear" w:color="auto" w:fill="FFFFFF"/>
        </w:rPr>
        <w:t xml:space="preserve">=0,74, </w:t>
      </w:r>
      <w:r w:rsidRPr="00544FF7">
        <w:rPr>
          <w:bCs/>
          <w:shd w:val="clear" w:color="auto" w:fill="FFFFFF"/>
          <w:lang w:val="en-US"/>
        </w:rPr>
        <w:t>p</w:t>
      </w:r>
      <w:r w:rsidRPr="00544FF7">
        <w:rPr>
          <w:bCs/>
          <w:shd w:val="clear" w:color="auto" w:fill="FFFFFF"/>
        </w:rPr>
        <w:t>&lt;0,05)</w:t>
      </w:r>
      <w:r>
        <w:rPr>
          <w:bCs/>
          <w:shd w:val="clear" w:color="auto" w:fill="FFFFFF"/>
        </w:rPr>
        <w:t xml:space="preserve">, а </w:t>
      </w:r>
      <w:r w:rsidRPr="00544FF7">
        <w:rPr>
          <w:bCs/>
          <w:shd w:val="clear" w:color="auto" w:fill="FFFFFF"/>
        </w:rPr>
        <w:t>та</w:t>
      </w:r>
      <w:r>
        <w:rPr>
          <w:bCs/>
          <w:shd w:val="clear" w:color="auto" w:fill="FFFFFF"/>
        </w:rPr>
        <w:t>кож</w:t>
      </w:r>
      <w:r w:rsidRPr="00544FF7">
        <w:rPr>
          <w:bCs/>
          <w:shd w:val="clear" w:color="auto" w:fill="FFFFFF"/>
        </w:rPr>
        <w:t xml:space="preserve"> </w:t>
      </w:r>
      <w:r>
        <w:rPr>
          <w:bCs/>
          <w:shd w:val="clear" w:color="auto" w:fill="FFFFFF"/>
        </w:rPr>
        <w:t xml:space="preserve">між </w:t>
      </w:r>
      <w:r w:rsidRPr="00544FF7">
        <w:rPr>
          <w:bCs/>
          <w:shd w:val="clear" w:color="auto" w:fill="FFFFFF"/>
        </w:rPr>
        <w:t xml:space="preserve">індексом </w:t>
      </w:r>
      <w:r w:rsidRPr="00544FF7">
        <w:rPr>
          <w:bCs/>
          <w:shd w:val="clear" w:color="auto" w:fill="FFFFFF"/>
          <w:lang w:val="en-US"/>
        </w:rPr>
        <w:t>PMA</w:t>
      </w:r>
      <w:r>
        <w:rPr>
          <w:bCs/>
          <w:shd w:val="clear" w:color="auto" w:fill="FFFFFF"/>
        </w:rPr>
        <w:t xml:space="preserve"> і</w:t>
      </w:r>
      <w:r w:rsidRPr="00544FF7">
        <w:rPr>
          <w:bCs/>
          <w:shd w:val="clear" w:color="auto" w:fill="FFFFFF"/>
        </w:rPr>
        <w:t xml:space="preserve"> наявністю психічного</w:t>
      </w:r>
      <w:r>
        <w:rPr>
          <w:bCs/>
          <w:shd w:val="clear" w:color="auto" w:fill="FFFFFF"/>
        </w:rPr>
        <w:t xml:space="preserve"> та емоційного</w:t>
      </w:r>
      <w:r w:rsidRPr="00544FF7">
        <w:rPr>
          <w:bCs/>
          <w:shd w:val="clear" w:color="auto" w:fill="FFFFFF"/>
        </w:rPr>
        <w:t xml:space="preserve"> </w:t>
      </w:r>
      <w:r>
        <w:rPr>
          <w:bCs/>
          <w:shd w:val="clear" w:color="auto" w:fill="FFFFFF"/>
        </w:rPr>
        <w:t>порушення</w:t>
      </w:r>
      <w:r w:rsidRPr="00544FF7">
        <w:rPr>
          <w:bCs/>
          <w:shd w:val="clear" w:color="auto" w:fill="FFFFFF"/>
        </w:rPr>
        <w:t xml:space="preserve"> (</w:t>
      </w:r>
      <w:r w:rsidRPr="00544FF7">
        <w:rPr>
          <w:bCs/>
          <w:shd w:val="clear" w:color="auto" w:fill="FFFFFF"/>
          <w:lang w:val="en-US"/>
        </w:rPr>
        <w:t>r</w:t>
      </w:r>
      <w:r>
        <w:rPr>
          <w:bCs/>
          <w:shd w:val="clear" w:color="auto" w:fill="FFFFFF"/>
        </w:rPr>
        <w:t xml:space="preserve">=0,82, </w:t>
      </w:r>
      <w:r w:rsidRPr="00544FF7">
        <w:rPr>
          <w:bCs/>
          <w:shd w:val="clear" w:color="auto" w:fill="FFFFFF"/>
          <w:lang w:val="en-US"/>
        </w:rPr>
        <w:t>p</w:t>
      </w:r>
      <w:r w:rsidRPr="00544FF7">
        <w:rPr>
          <w:bCs/>
          <w:shd w:val="clear" w:color="auto" w:fill="FFFFFF"/>
        </w:rPr>
        <w:t>&lt;0,05)</w:t>
      </w:r>
      <w:r>
        <w:rPr>
          <w:bCs/>
          <w:shd w:val="clear" w:color="auto" w:fill="FFFFFF"/>
        </w:rPr>
        <w:t xml:space="preserve">. </w:t>
      </w:r>
      <w:r w:rsidRPr="00544FF7">
        <w:rPr>
          <w:bCs/>
          <w:shd w:val="clear" w:color="auto" w:fill="FFFFFF"/>
        </w:rPr>
        <w:t>В групі дітей з порушенням слуху 11-12</w:t>
      </w:r>
      <w:r>
        <w:rPr>
          <w:bCs/>
          <w:shd w:val="clear" w:color="auto" w:fill="FFFFFF"/>
        </w:rPr>
        <w:t xml:space="preserve"> та 14-15</w:t>
      </w:r>
      <w:r w:rsidRPr="00544FF7">
        <w:rPr>
          <w:bCs/>
          <w:shd w:val="clear" w:color="auto" w:fill="FFFFFF"/>
        </w:rPr>
        <w:t xml:space="preserve"> років був виявлений помірний позитивний зв</w:t>
      </w:r>
      <w:r>
        <w:rPr>
          <w:bCs/>
          <w:shd w:val="clear" w:color="auto" w:fill="FFFFFF"/>
        </w:rPr>
        <w:t>’</w:t>
      </w:r>
      <w:r w:rsidRPr="00544FF7">
        <w:rPr>
          <w:bCs/>
          <w:shd w:val="clear" w:color="auto" w:fill="FFFFFF"/>
        </w:rPr>
        <w:t>я</w:t>
      </w:r>
      <w:r>
        <w:rPr>
          <w:bCs/>
          <w:shd w:val="clear" w:color="auto" w:fill="FFFFFF"/>
        </w:rPr>
        <w:t>зок між інтенсивністю карієсу і</w:t>
      </w:r>
      <w:r w:rsidRPr="00544FF7">
        <w:rPr>
          <w:bCs/>
          <w:shd w:val="clear" w:color="auto" w:fill="FFFFFF"/>
        </w:rPr>
        <w:t xml:space="preserve"> наявністю психічного </w:t>
      </w:r>
      <w:r>
        <w:rPr>
          <w:bCs/>
          <w:shd w:val="clear" w:color="auto" w:fill="FFFFFF"/>
        </w:rPr>
        <w:t xml:space="preserve">й емоційного </w:t>
      </w:r>
      <w:r w:rsidRPr="00544FF7">
        <w:rPr>
          <w:bCs/>
          <w:shd w:val="clear" w:color="auto" w:fill="FFFFFF"/>
        </w:rPr>
        <w:t>порушення (</w:t>
      </w:r>
      <w:r w:rsidRPr="00544FF7">
        <w:rPr>
          <w:bCs/>
          <w:shd w:val="clear" w:color="auto" w:fill="FFFFFF"/>
          <w:lang w:val="en-US"/>
        </w:rPr>
        <w:t>r</w:t>
      </w:r>
      <w:r w:rsidRPr="00544FF7">
        <w:rPr>
          <w:bCs/>
          <w:shd w:val="clear" w:color="auto" w:fill="FFFFFF"/>
        </w:rPr>
        <w:t xml:space="preserve">=0,64, </w:t>
      </w:r>
      <w:r w:rsidRPr="00544FF7">
        <w:rPr>
          <w:bCs/>
          <w:shd w:val="clear" w:color="auto" w:fill="FFFFFF"/>
          <w:lang w:val="en-US"/>
        </w:rPr>
        <w:t>p</w:t>
      </w:r>
      <w:r w:rsidRPr="00544FF7">
        <w:rPr>
          <w:bCs/>
          <w:shd w:val="clear" w:color="auto" w:fill="FFFFFF"/>
        </w:rPr>
        <w:t>&lt;0,05</w:t>
      </w:r>
      <w:r>
        <w:rPr>
          <w:bCs/>
          <w:shd w:val="clear" w:color="auto" w:fill="FFFFFF"/>
        </w:rPr>
        <w:t xml:space="preserve">; </w:t>
      </w:r>
      <w:r w:rsidRPr="00544FF7">
        <w:rPr>
          <w:bCs/>
          <w:shd w:val="clear" w:color="auto" w:fill="FFFFFF"/>
          <w:lang w:val="en-US"/>
        </w:rPr>
        <w:t>r</w:t>
      </w:r>
      <w:r>
        <w:rPr>
          <w:bCs/>
          <w:shd w:val="clear" w:color="auto" w:fill="FFFFFF"/>
        </w:rPr>
        <w:t xml:space="preserve">=0,56, </w:t>
      </w:r>
      <w:r w:rsidRPr="00544FF7">
        <w:rPr>
          <w:bCs/>
          <w:shd w:val="clear" w:color="auto" w:fill="FFFFFF"/>
          <w:lang w:val="en-US"/>
        </w:rPr>
        <w:t>p</w:t>
      </w:r>
      <w:r w:rsidRPr="00544FF7">
        <w:rPr>
          <w:bCs/>
          <w:shd w:val="clear" w:color="auto" w:fill="FFFFFF"/>
        </w:rPr>
        <w:t xml:space="preserve">&lt;0,05) та індексом </w:t>
      </w:r>
      <w:r w:rsidRPr="00544FF7">
        <w:rPr>
          <w:bCs/>
          <w:shd w:val="clear" w:color="auto" w:fill="FFFFFF"/>
          <w:lang w:val="en-US"/>
        </w:rPr>
        <w:t>PMA</w:t>
      </w:r>
      <w:r>
        <w:rPr>
          <w:bCs/>
          <w:shd w:val="clear" w:color="auto" w:fill="FFFFFF"/>
        </w:rPr>
        <w:t xml:space="preserve"> і</w:t>
      </w:r>
      <w:r w:rsidRPr="00544FF7">
        <w:rPr>
          <w:bCs/>
          <w:shd w:val="clear" w:color="auto" w:fill="FFFFFF"/>
        </w:rPr>
        <w:t xml:space="preserve"> наявністю психічного</w:t>
      </w:r>
      <w:r>
        <w:rPr>
          <w:bCs/>
          <w:shd w:val="clear" w:color="auto" w:fill="FFFFFF"/>
        </w:rPr>
        <w:t xml:space="preserve"> й емоційного</w:t>
      </w:r>
      <w:r w:rsidRPr="00544FF7">
        <w:rPr>
          <w:bCs/>
          <w:shd w:val="clear" w:color="auto" w:fill="FFFFFF"/>
        </w:rPr>
        <w:t xml:space="preserve"> </w:t>
      </w:r>
      <w:r>
        <w:rPr>
          <w:bCs/>
          <w:shd w:val="clear" w:color="auto" w:fill="FFFFFF"/>
        </w:rPr>
        <w:t>порушення</w:t>
      </w:r>
      <w:r w:rsidRPr="00544FF7">
        <w:rPr>
          <w:bCs/>
          <w:shd w:val="clear" w:color="auto" w:fill="FFFFFF"/>
        </w:rPr>
        <w:t xml:space="preserve"> (</w:t>
      </w:r>
      <w:r w:rsidRPr="00544FF7">
        <w:rPr>
          <w:bCs/>
          <w:shd w:val="clear" w:color="auto" w:fill="FFFFFF"/>
          <w:lang w:val="en-US"/>
        </w:rPr>
        <w:t>r</w:t>
      </w:r>
      <w:r w:rsidRPr="00544FF7">
        <w:rPr>
          <w:bCs/>
          <w:shd w:val="clear" w:color="auto" w:fill="FFFFFF"/>
        </w:rPr>
        <w:t xml:space="preserve">=0,69, </w:t>
      </w:r>
      <w:r w:rsidRPr="00544FF7">
        <w:rPr>
          <w:bCs/>
          <w:shd w:val="clear" w:color="auto" w:fill="FFFFFF"/>
          <w:lang w:val="en-US"/>
        </w:rPr>
        <w:t>p</w:t>
      </w:r>
      <w:r w:rsidRPr="00544FF7">
        <w:rPr>
          <w:bCs/>
          <w:shd w:val="clear" w:color="auto" w:fill="FFFFFF"/>
        </w:rPr>
        <w:t>&lt;0,05</w:t>
      </w:r>
      <w:r>
        <w:rPr>
          <w:bCs/>
          <w:shd w:val="clear" w:color="auto" w:fill="FFFFFF"/>
        </w:rPr>
        <w:t xml:space="preserve">; </w:t>
      </w:r>
      <w:r w:rsidRPr="00544FF7">
        <w:rPr>
          <w:bCs/>
          <w:shd w:val="clear" w:color="auto" w:fill="FFFFFF"/>
          <w:lang w:val="en-US"/>
        </w:rPr>
        <w:t>r</w:t>
      </w:r>
      <w:r w:rsidRPr="00544FF7">
        <w:rPr>
          <w:bCs/>
          <w:shd w:val="clear" w:color="auto" w:fill="FFFFFF"/>
        </w:rPr>
        <w:t xml:space="preserve">=0,55, </w:t>
      </w:r>
      <w:r w:rsidRPr="00544FF7">
        <w:rPr>
          <w:bCs/>
          <w:shd w:val="clear" w:color="auto" w:fill="FFFFFF"/>
          <w:lang w:val="en-US"/>
        </w:rPr>
        <w:t>p</w:t>
      </w:r>
      <w:r w:rsidRPr="00544FF7">
        <w:rPr>
          <w:bCs/>
          <w:shd w:val="clear" w:color="auto" w:fill="FFFFFF"/>
        </w:rPr>
        <w:t xml:space="preserve">&lt;0,05). </w:t>
      </w:r>
    </w:p>
    <w:p w:rsidR="00534FB5" w:rsidRPr="00441518" w:rsidRDefault="00534FB5" w:rsidP="002875F3">
      <w:pPr>
        <w:ind w:firstLine="567"/>
        <w:contextualSpacing/>
      </w:pPr>
      <w:r>
        <w:rPr>
          <w:bCs/>
          <w:shd w:val="clear" w:color="auto" w:fill="FFFFFF"/>
        </w:rPr>
        <w:t>Таким чином, можна зробити висновок про значну поширеність (84,1 %) порушень психічного та емо</w:t>
      </w:r>
      <w:r w:rsidR="00145565">
        <w:rPr>
          <w:bCs/>
          <w:shd w:val="clear" w:color="auto" w:fill="FFFFFF"/>
        </w:rPr>
        <w:t>ційного здоров’я в групі дітей 7-15</w:t>
      </w:r>
      <w:r>
        <w:rPr>
          <w:bCs/>
          <w:shd w:val="clear" w:color="auto" w:fill="FFFFFF"/>
        </w:rPr>
        <w:t xml:space="preserve"> років з вродженою глухотою. В структурі порушень психічного здоров’я</w:t>
      </w:r>
      <w:r>
        <w:t xml:space="preserve"> переважали астено-невротичні розлади (27,2 %)</w:t>
      </w:r>
      <w:r>
        <w:rPr>
          <w:snapToGrid w:val="0"/>
        </w:rPr>
        <w:t>, на другому місці –</w:t>
      </w:r>
      <w:r w:rsidR="00145565">
        <w:t xml:space="preserve"> </w:t>
      </w:r>
      <w:r>
        <w:t xml:space="preserve">розлади особистості й </w:t>
      </w:r>
      <w:r w:rsidRPr="00410F8F">
        <w:t xml:space="preserve">поведінки </w:t>
      </w:r>
      <w:r>
        <w:rPr>
          <w:snapToGrid w:val="0"/>
        </w:rPr>
        <w:t>(16,7 %)</w:t>
      </w:r>
      <w:r w:rsidR="00145565">
        <w:rPr>
          <w:snapToGrid w:val="0"/>
        </w:rPr>
        <w:t xml:space="preserve">, </w:t>
      </w:r>
      <w:r w:rsidR="00145565">
        <w:t>невротичні та стресобумовлені розлади</w:t>
      </w:r>
      <w:r w:rsidR="00145565">
        <w:rPr>
          <w:snapToGrid w:val="0"/>
        </w:rPr>
        <w:t xml:space="preserve"> </w:t>
      </w:r>
      <w:r w:rsidR="00145565">
        <w:t xml:space="preserve">займали третє місце </w:t>
      </w:r>
      <w:r w:rsidR="00145565">
        <w:rPr>
          <w:snapToGrid w:val="0"/>
        </w:rPr>
        <w:t>(13,2 %)</w:t>
      </w:r>
      <w:r>
        <w:rPr>
          <w:snapToGrid w:val="0"/>
        </w:rPr>
        <w:t>. Порушенням емоційної сфери страждали 27 % дітей з особливими потребами. У дітей з вродженою глухотою встановлено прямий кореляційний зв’язок між інтенсивністю карієсу, важкі</w:t>
      </w:r>
      <w:r w:rsidR="00D450C1">
        <w:rPr>
          <w:snapToGrid w:val="0"/>
        </w:rPr>
        <w:t>стю захворювань тканин пародонта</w:t>
      </w:r>
      <w:r>
        <w:rPr>
          <w:snapToGrid w:val="0"/>
        </w:rPr>
        <w:t xml:space="preserve"> (за індексом </w:t>
      </w:r>
      <w:r>
        <w:rPr>
          <w:snapToGrid w:val="0"/>
          <w:lang w:val="en-US"/>
        </w:rPr>
        <w:t>PMA</w:t>
      </w:r>
      <w:r>
        <w:rPr>
          <w:snapToGrid w:val="0"/>
        </w:rPr>
        <w:t xml:space="preserve">) і порушенням психічного та емоційного здоров’я. А це підтверджує наявність тісного зв’язку між </w:t>
      </w:r>
      <w:r>
        <w:rPr>
          <w:bCs/>
          <w:shd w:val="clear" w:color="auto" w:fill="FFFFFF"/>
        </w:rPr>
        <w:t xml:space="preserve">психічним, емоційним і </w:t>
      </w:r>
      <w:r w:rsidR="00D320EC">
        <w:rPr>
          <w:bCs/>
          <w:shd w:val="clear" w:color="auto" w:fill="FFFFFF"/>
        </w:rPr>
        <w:t>стоматологічним</w:t>
      </w:r>
      <w:r>
        <w:rPr>
          <w:bCs/>
          <w:shd w:val="clear" w:color="auto" w:fill="FFFFFF"/>
        </w:rPr>
        <w:t xml:space="preserve"> здоров’ям дітей з вродженою глухотою.</w:t>
      </w:r>
    </w:p>
    <w:p w:rsidR="00534FB5" w:rsidRDefault="00534FB5" w:rsidP="00534FB5">
      <w:pPr>
        <w:ind w:firstLine="708"/>
        <w:contextualSpacing/>
        <w:sectPr w:rsidR="00534FB5" w:rsidSect="00534FB5">
          <w:pgSz w:w="11906" w:h="16838"/>
          <w:pgMar w:top="1134" w:right="850" w:bottom="1134" w:left="1701" w:header="680" w:footer="708" w:gutter="0"/>
          <w:cols w:space="708"/>
          <w:docGrid w:linePitch="381"/>
        </w:sectPr>
      </w:pPr>
      <w:r>
        <w:rPr>
          <w:rFonts w:eastAsia="TimesNewRomanPSMT"/>
        </w:rPr>
        <w:t>Підсумовуючи дані, наведені в третьому розділі, можна</w:t>
      </w:r>
      <w:r w:rsidRPr="00A51567">
        <w:rPr>
          <w:shd w:val="clear" w:color="auto" w:fill="FFFFFF"/>
        </w:rPr>
        <w:t xml:space="preserve"> </w:t>
      </w:r>
      <w:r>
        <w:rPr>
          <w:shd w:val="clear" w:color="auto" w:fill="FFFFFF"/>
        </w:rPr>
        <w:t xml:space="preserve">зробити висновок, що у дітей </w:t>
      </w:r>
      <w:r w:rsidR="006C493E">
        <w:rPr>
          <w:shd w:val="clear" w:color="auto" w:fill="FFFFFF"/>
        </w:rPr>
        <w:t>із вродженою</w:t>
      </w:r>
      <w:r w:rsidRPr="00A51567">
        <w:rPr>
          <w:shd w:val="clear" w:color="auto" w:fill="FFFFFF"/>
        </w:rPr>
        <w:t xml:space="preserve"> глухотою </w:t>
      </w:r>
      <w:r>
        <w:rPr>
          <w:shd w:val="clear" w:color="auto" w:fill="FFFFFF"/>
        </w:rPr>
        <w:t>спостеріг</w:t>
      </w:r>
      <w:r w:rsidRPr="00A51567">
        <w:rPr>
          <w:shd w:val="clear" w:color="auto" w:fill="FFFFFF"/>
        </w:rPr>
        <w:t xml:space="preserve">ається </w:t>
      </w:r>
      <w:r>
        <w:rPr>
          <w:shd w:val="clear" w:color="auto" w:fill="FFFFFF"/>
        </w:rPr>
        <w:t>значна пошире</w:t>
      </w:r>
      <w:r w:rsidRPr="00A51567">
        <w:rPr>
          <w:shd w:val="clear" w:color="auto" w:fill="FFFFFF"/>
        </w:rPr>
        <w:t>ність та інтенсивність каріозного процесу на т</w:t>
      </w:r>
      <w:r w:rsidR="00145565">
        <w:rPr>
          <w:shd w:val="clear" w:color="auto" w:fill="FFFFFF"/>
        </w:rPr>
        <w:t>лі</w:t>
      </w:r>
      <w:r w:rsidRPr="00A51567">
        <w:rPr>
          <w:shd w:val="clear" w:color="auto" w:fill="FFFFFF"/>
        </w:rPr>
        <w:t xml:space="preserve"> </w:t>
      </w:r>
      <w:r w:rsidR="00D320EC">
        <w:rPr>
          <w:shd w:val="clear" w:color="auto" w:fill="FFFFFF"/>
        </w:rPr>
        <w:t>поганого та задовільного</w:t>
      </w:r>
      <w:r w:rsidRPr="00A51567">
        <w:rPr>
          <w:shd w:val="clear" w:color="auto" w:fill="FFFFFF"/>
        </w:rPr>
        <w:t xml:space="preserve"> рівня гігієни. </w:t>
      </w:r>
      <w:r>
        <w:rPr>
          <w:shd w:val="clear" w:color="auto" w:fill="FFFFFF"/>
        </w:rPr>
        <w:t xml:space="preserve">Виявлено </w:t>
      </w:r>
      <w:r w:rsidRPr="00A51567">
        <w:rPr>
          <w:shd w:val="clear" w:color="auto" w:fill="FFFFFF"/>
        </w:rPr>
        <w:t>висок</w:t>
      </w:r>
      <w:r>
        <w:rPr>
          <w:shd w:val="clear" w:color="auto" w:fill="FFFFFF"/>
        </w:rPr>
        <w:t>у</w:t>
      </w:r>
      <w:r w:rsidRPr="00A51567">
        <w:rPr>
          <w:shd w:val="clear" w:color="auto" w:fill="FFFFFF"/>
        </w:rPr>
        <w:t xml:space="preserve"> </w:t>
      </w:r>
      <w:r>
        <w:rPr>
          <w:shd w:val="clear" w:color="auto" w:fill="FFFFFF"/>
        </w:rPr>
        <w:t>пошир</w:t>
      </w:r>
      <w:r w:rsidRPr="00A51567">
        <w:rPr>
          <w:shd w:val="clear" w:color="auto" w:fill="FFFFFF"/>
        </w:rPr>
        <w:t>ені</w:t>
      </w:r>
      <w:r>
        <w:rPr>
          <w:shd w:val="clear" w:color="auto" w:fill="FFFFFF"/>
        </w:rPr>
        <w:t>сть захворювань тканин пародонта</w:t>
      </w:r>
      <w:r w:rsidRPr="00A51567">
        <w:rPr>
          <w:shd w:val="clear" w:color="auto" w:fill="FFFFFF"/>
        </w:rPr>
        <w:t xml:space="preserve">. У </w:t>
      </w:r>
      <w:r>
        <w:rPr>
          <w:shd w:val="clear" w:color="auto" w:fill="FFFFFF"/>
        </w:rPr>
        <w:t>ДВГ</w:t>
      </w:r>
      <w:r w:rsidRPr="00A51567">
        <w:rPr>
          <w:shd w:val="clear" w:color="auto" w:fill="FFFFFF"/>
        </w:rPr>
        <w:t xml:space="preserve"> на фоні</w:t>
      </w:r>
      <w:r>
        <w:rPr>
          <w:shd w:val="clear" w:color="auto" w:fill="FFFFFF"/>
        </w:rPr>
        <w:t xml:space="preserve"> </w:t>
      </w:r>
      <w:r>
        <w:rPr>
          <w:bCs/>
          <w:shd w:val="clear" w:color="auto" w:fill="FFFFFF"/>
        </w:rPr>
        <w:t>значної поширеності (84,1 %) порушень психічного та емоційного здоров’я (</w:t>
      </w:r>
      <w:r>
        <w:t>астено-невротичні розлади – 27,2 %</w:t>
      </w:r>
      <w:r>
        <w:rPr>
          <w:snapToGrid w:val="0"/>
        </w:rPr>
        <w:t>,</w:t>
      </w:r>
      <w:r>
        <w:t xml:space="preserve"> невротичні та стресобумовлені розлади</w:t>
      </w:r>
      <w:r>
        <w:rPr>
          <w:snapToGrid w:val="0"/>
        </w:rPr>
        <w:t xml:space="preserve"> – 13,2 %</w:t>
      </w:r>
      <w:r>
        <w:t xml:space="preserve">, розлади особистості і </w:t>
      </w:r>
      <w:r w:rsidRPr="00410F8F">
        <w:t>поведінки</w:t>
      </w:r>
      <w:r>
        <w:t xml:space="preserve"> – </w:t>
      </w:r>
      <w:r>
        <w:rPr>
          <w:snapToGrid w:val="0"/>
        </w:rPr>
        <w:t>16,7 %, порушення емоційної сфери – 27 %)</w:t>
      </w:r>
      <w:r w:rsidRPr="00A51567">
        <w:t xml:space="preserve"> </w:t>
      </w:r>
      <w:r>
        <w:t>відбувається</w:t>
      </w:r>
      <w:r w:rsidRPr="00A51567">
        <w:t xml:space="preserve"> </w:t>
      </w:r>
      <w:r w:rsidRPr="00A51567">
        <w:lastRenderedPageBreak/>
        <w:t>порушення функції слинних залоз, що проявляється у вигляді</w:t>
      </w:r>
      <w:r w:rsidRPr="00A51567">
        <w:rPr>
          <w:shd w:val="clear" w:color="auto" w:fill="FFFFFF"/>
        </w:rPr>
        <w:t xml:space="preserve"> зниження швидкості слиновиділення, </w:t>
      </w:r>
      <w:r w:rsidRPr="00A51567">
        <w:t>п</w:t>
      </w:r>
      <w:r>
        <w:t>ідвищення значення показника Δ</w:t>
      </w:r>
      <w:r w:rsidRPr="00A51567">
        <w:t>pH. Окрім того, бул</w:t>
      </w:r>
      <w:r>
        <w:t>о</w:t>
      </w:r>
      <w:r w:rsidRPr="00A51567">
        <w:t xml:space="preserve"> виявлен</w:t>
      </w:r>
      <w:r>
        <w:t xml:space="preserve">о </w:t>
      </w:r>
      <w:r w:rsidRPr="00A51567">
        <w:t xml:space="preserve">порушення в системі ПОЛ-АОС та місцевому імунітеті тканин ротової порожнини. </w:t>
      </w:r>
      <w:r>
        <w:t>Щоб</w:t>
      </w:r>
      <w:r w:rsidRPr="00A51567">
        <w:t>ільш</w:t>
      </w:r>
      <w:r>
        <w:t>е</w:t>
      </w:r>
      <w:r w:rsidRPr="00A51567">
        <w:t>, наявні відмін</w:t>
      </w:r>
      <w:r>
        <w:t>н</w:t>
      </w:r>
      <w:r w:rsidRPr="00A51567">
        <w:t>ості якісного та кількісного складу мікробіоценозу зубної бляшки. Вивчення частоти вилучення та щільності мікробної колонізації окремих представників мікробіоценозів показало істотне збільшення персистенції у вказаному біотопі як представників резидентної мікрофлори порожнини рота</w:t>
      </w:r>
      <w:r>
        <w:t>,</w:t>
      </w:r>
      <w:r w:rsidRPr="00A51567">
        <w:t xml:space="preserve"> так і облігатних анаеробних бактерій (</w:t>
      </w:r>
      <w:r w:rsidRPr="00A51567">
        <w:rPr>
          <w:i/>
        </w:rPr>
        <w:t>Fusobacterium spp</w:t>
      </w:r>
      <w:r w:rsidRPr="00A51567">
        <w:t xml:space="preserve">, </w:t>
      </w:r>
      <w:r w:rsidRPr="00A51567">
        <w:rPr>
          <w:i/>
        </w:rPr>
        <w:t>Bacteroides spp</w:t>
      </w:r>
      <w:r w:rsidRPr="00A51567">
        <w:t xml:space="preserve">, </w:t>
      </w:r>
      <w:r w:rsidRPr="00A51567">
        <w:rPr>
          <w:i/>
        </w:rPr>
        <w:t>Prevotella spp</w:t>
      </w:r>
      <w:r w:rsidRPr="00A51567">
        <w:t xml:space="preserve">, </w:t>
      </w:r>
      <w:r w:rsidRPr="00A51567">
        <w:rPr>
          <w:i/>
        </w:rPr>
        <w:t>Porphyromonas spp</w:t>
      </w:r>
      <w:r w:rsidRPr="00A51567">
        <w:t>), ентеробактерій, неферментуючих грамнегативних бактерій (</w:t>
      </w:r>
      <w:r w:rsidRPr="00A51567">
        <w:rPr>
          <w:i/>
        </w:rPr>
        <w:t>Acinetobacter spp, P.</w:t>
      </w:r>
      <w:r>
        <w:rPr>
          <w:i/>
        </w:rPr>
        <w:t> </w:t>
      </w:r>
      <w:r w:rsidRPr="00A51567">
        <w:rPr>
          <w:i/>
        </w:rPr>
        <w:t>аeruginosa</w:t>
      </w:r>
      <w:r w:rsidRPr="00A51567">
        <w:t xml:space="preserve">), </w:t>
      </w:r>
      <w:r w:rsidRPr="00A51567">
        <w:rPr>
          <w:i/>
        </w:rPr>
        <w:t>S.</w:t>
      </w:r>
      <w:r>
        <w:rPr>
          <w:i/>
        </w:rPr>
        <w:t> </w:t>
      </w:r>
      <w:r w:rsidRPr="00A51567">
        <w:rPr>
          <w:i/>
        </w:rPr>
        <w:t>aureus</w:t>
      </w:r>
      <w:r w:rsidRPr="00A51567">
        <w:t xml:space="preserve"> та </w:t>
      </w:r>
      <w:r w:rsidRPr="00A51567">
        <w:rPr>
          <w:i/>
        </w:rPr>
        <w:t>S.</w:t>
      </w:r>
      <w:r>
        <w:rPr>
          <w:i/>
        </w:rPr>
        <w:t> </w:t>
      </w:r>
      <w:r w:rsidRPr="00A51567">
        <w:rPr>
          <w:i/>
        </w:rPr>
        <w:t>рyogеnеs.</w:t>
      </w:r>
      <w:r w:rsidRPr="00A51567">
        <w:t xml:space="preserve"> Вилучення карієсогенних штамів </w:t>
      </w:r>
      <w:r w:rsidRPr="00A51567">
        <w:rPr>
          <w:i/>
        </w:rPr>
        <w:t>S.</w:t>
      </w:r>
      <w:r>
        <w:rPr>
          <w:i/>
        </w:rPr>
        <w:t> </w:t>
      </w:r>
      <w:r w:rsidRPr="00A51567">
        <w:rPr>
          <w:i/>
        </w:rPr>
        <w:t>mutans</w:t>
      </w:r>
      <w:r w:rsidRPr="00A51567">
        <w:t xml:space="preserve"> були удвічі частіш</w:t>
      </w:r>
      <w:r>
        <w:t>і</w:t>
      </w:r>
      <w:r w:rsidRPr="00A51567">
        <w:t xml:space="preserve"> у концентрації, яка статистично перевищувал</w:t>
      </w:r>
      <w:r>
        <w:t>а</w:t>
      </w:r>
      <w:r w:rsidRPr="00A51567">
        <w:t xml:space="preserve"> значення, одержані при обстеженні дітей групи порівняння (lg (6,5±0,17) КУО/г проти lg (3,9±0,15) КУО/г) (р&lt;0,01). </w:t>
      </w:r>
      <w:r>
        <w:rPr>
          <w:snapToGrid w:val="0"/>
        </w:rPr>
        <w:t>У дітей з вродженою глухотою встановлено прямий кореляційний зв’язок між інтенсивністю карієсу, важкі</w:t>
      </w:r>
      <w:r w:rsidR="00D450C1">
        <w:rPr>
          <w:snapToGrid w:val="0"/>
        </w:rPr>
        <w:t>стю захворювань тканин пародонта</w:t>
      </w:r>
      <w:r>
        <w:rPr>
          <w:snapToGrid w:val="0"/>
        </w:rPr>
        <w:t xml:space="preserve"> (за індексом </w:t>
      </w:r>
      <w:r>
        <w:rPr>
          <w:snapToGrid w:val="0"/>
          <w:lang w:val="en-US"/>
        </w:rPr>
        <w:t>PMA</w:t>
      </w:r>
      <w:r>
        <w:rPr>
          <w:snapToGrid w:val="0"/>
        </w:rPr>
        <w:t xml:space="preserve">) і порушенням психічного та емоційного здоров’я. А це підтверджує наявність тісного зв’язку між </w:t>
      </w:r>
      <w:r>
        <w:rPr>
          <w:bCs/>
          <w:shd w:val="clear" w:color="auto" w:fill="FFFFFF"/>
        </w:rPr>
        <w:t xml:space="preserve">психічним, емоційним і </w:t>
      </w:r>
      <w:r w:rsidR="00D320EC">
        <w:rPr>
          <w:bCs/>
          <w:shd w:val="clear" w:color="auto" w:fill="FFFFFF"/>
        </w:rPr>
        <w:t>стоматологічним</w:t>
      </w:r>
      <w:r>
        <w:rPr>
          <w:bCs/>
          <w:shd w:val="clear" w:color="auto" w:fill="FFFFFF"/>
        </w:rPr>
        <w:t xml:space="preserve"> здоров’ям дітей з вродженою глухотою.</w:t>
      </w:r>
      <w:r>
        <w:t xml:space="preserve"> </w:t>
      </w:r>
      <w:r w:rsidRPr="00A51567">
        <w:t>Отже, можна зробити висновок, що зміни ст</w:t>
      </w:r>
      <w:r>
        <w:t xml:space="preserve">оматологічного статусу дітей </w:t>
      </w:r>
      <w:r w:rsidR="006C493E">
        <w:t>із вродженою</w:t>
      </w:r>
      <w:r w:rsidRPr="00A51567">
        <w:t xml:space="preserve"> глухотою</w:t>
      </w:r>
      <w:r>
        <w:t xml:space="preserve"> </w:t>
      </w:r>
      <w:r w:rsidRPr="00A51567">
        <w:t>обумовлені насамперед впливом ендогенних факторів, що підкреслює необхідність розробки і впровадження методів системної профілактики.</w:t>
      </w:r>
    </w:p>
    <w:p w:rsidR="00534FB5" w:rsidRDefault="00534FB5" w:rsidP="00534FB5">
      <w:pPr>
        <w:contextualSpacing/>
        <w:jc w:val="center"/>
        <w:rPr>
          <w:b/>
        </w:rPr>
      </w:pPr>
      <w:r w:rsidRPr="00974FCA">
        <w:rPr>
          <w:b/>
        </w:rPr>
        <w:lastRenderedPageBreak/>
        <w:t>РОЗДІЛ 4</w:t>
      </w:r>
    </w:p>
    <w:p w:rsidR="00534FB5" w:rsidRDefault="00534FB5" w:rsidP="00534FB5">
      <w:pPr>
        <w:contextualSpacing/>
        <w:jc w:val="center"/>
        <w:rPr>
          <w:b/>
        </w:rPr>
      </w:pPr>
      <w:r>
        <w:rPr>
          <w:b/>
        </w:rPr>
        <w:t>РЕЗУЛЬТАТИ ВИВЧЕННЯ ЕФЕКТИВНОСТІ ЗАПРОПОНОВАНОГО ЛІКУВАЛЬНО-ПРОФІЛАКТИЧНОГО КОМПЛЕКСУ</w:t>
      </w:r>
    </w:p>
    <w:p w:rsidR="00534FB5" w:rsidRPr="000135A5" w:rsidRDefault="00534FB5" w:rsidP="00534FB5">
      <w:pPr>
        <w:contextualSpacing/>
        <w:jc w:val="center"/>
        <w:rPr>
          <w:b/>
          <w:sz w:val="22"/>
        </w:rPr>
      </w:pPr>
    </w:p>
    <w:p w:rsidR="00534FB5" w:rsidRPr="00B67973" w:rsidRDefault="00534FB5" w:rsidP="00534FB5">
      <w:pPr>
        <w:ind w:firstLine="567"/>
        <w:contextualSpacing/>
        <w:rPr>
          <w:b/>
        </w:rPr>
      </w:pPr>
      <w:r>
        <w:rPr>
          <w:b/>
        </w:rPr>
        <w:t>4.1</w:t>
      </w:r>
      <w:r w:rsidRPr="00B67973">
        <w:rPr>
          <w:b/>
        </w:rPr>
        <w:t>. Динаміка зміни стану гі</w:t>
      </w:r>
      <w:r>
        <w:rPr>
          <w:b/>
        </w:rPr>
        <w:t xml:space="preserve">гієни порожнини рота у дітей </w:t>
      </w:r>
      <w:r w:rsidR="006C493E">
        <w:rPr>
          <w:b/>
        </w:rPr>
        <w:t>із вродженою</w:t>
      </w:r>
      <w:r w:rsidRPr="00B67973">
        <w:rPr>
          <w:b/>
        </w:rPr>
        <w:t xml:space="preserve"> глухотою під дією лікувально-профілактичних заходів</w:t>
      </w:r>
    </w:p>
    <w:p w:rsidR="00534FB5" w:rsidRPr="000135A5" w:rsidRDefault="00534FB5" w:rsidP="00534FB5">
      <w:pPr>
        <w:ind w:firstLine="567"/>
        <w:contextualSpacing/>
        <w:rPr>
          <w:sz w:val="22"/>
        </w:rPr>
      </w:pPr>
    </w:p>
    <w:p w:rsidR="00534FB5" w:rsidRDefault="00534FB5" w:rsidP="00534FB5">
      <w:pPr>
        <w:ind w:firstLine="709"/>
        <w:contextualSpacing/>
      </w:pPr>
      <w:r>
        <w:t>У таблиці 4.1.1</w:t>
      </w:r>
      <w:r w:rsidRPr="00E40BFA">
        <w:t xml:space="preserve"> наведен</w:t>
      </w:r>
      <w:r>
        <w:t>о</w:t>
      </w:r>
      <w:r w:rsidRPr="00E40BFA">
        <w:t xml:space="preserve"> дані динаміки </w:t>
      </w:r>
      <w:r>
        <w:t>зміни індексу гігієни (Федоров </w:t>
      </w:r>
      <w:r w:rsidRPr="00E40BFA">
        <w:t>Ю.</w:t>
      </w:r>
      <w:r>
        <w:t> </w:t>
      </w:r>
      <w:r w:rsidRPr="00E40BFA">
        <w:t>А., Володкіна В.</w:t>
      </w:r>
      <w:r>
        <w:t> </w:t>
      </w:r>
      <w:r w:rsidRPr="00E40BFA">
        <w:t>В., 1971)</w:t>
      </w:r>
      <w:r>
        <w:t xml:space="preserve"> у</w:t>
      </w:r>
      <w:r w:rsidRPr="00E40BFA">
        <w:t xml:space="preserve"> дітей</w:t>
      </w:r>
      <w:r>
        <w:t xml:space="preserve"> ОГ та КГ на етапах лікування.</w:t>
      </w:r>
      <w:r w:rsidRPr="00E40BFA">
        <w:t xml:space="preserve"> </w:t>
      </w:r>
    </w:p>
    <w:p w:rsidR="00534FB5" w:rsidRPr="000135A5" w:rsidRDefault="00534FB5" w:rsidP="00534FB5">
      <w:pPr>
        <w:contextualSpacing/>
        <w:rPr>
          <w:sz w:val="22"/>
        </w:rPr>
      </w:pPr>
    </w:p>
    <w:p w:rsidR="00534FB5" w:rsidRPr="00391306" w:rsidRDefault="00534FB5" w:rsidP="00534FB5">
      <w:pPr>
        <w:tabs>
          <w:tab w:val="left" w:pos="4253"/>
        </w:tabs>
        <w:ind w:firstLine="709"/>
        <w:contextualSpacing/>
        <w:jc w:val="right"/>
        <w:rPr>
          <w:i/>
        </w:rPr>
      </w:pPr>
      <w:r>
        <w:rPr>
          <w:i/>
        </w:rPr>
        <w:t>Таблиця 4.1</w:t>
      </w:r>
      <w:r w:rsidRPr="00391306">
        <w:rPr>
          <w:i/>
        </w:rPr>
        <w:t>.1</w:t>
      </w:r>
      <w:r>
        <w:rPr>
          <w:i/>
        </w:rPr>
        <w:t xml:space="preserve"> </w:t>
      </w:r>
    </w:p>
    <w:p w:rsidR="00534FB5" w:rsidRPr="00391306" w:rsidRDefault="00534FB5" w:rsidP="00534FB5">
      <w:pPr>
        <w:tabs>
          <w:tab w:val="left" w:pos="4253"/>
        </w:tabs>
        <w:spacing w:line="240" w:lineRule="auto"/>
        <w:ind w:firstLine="709"/>
        <w:contextualSpacing/>
        <w:jc w:val="center"/>
        <w:rPr>
          <w:b/>
        </w:rPr>
      </w:pPr>
      <w:r w:rsidRPr="00391306">
        <w:rPr>
          <w:b/>
        </w:rPr>
        <w:t>Динаміка зміни індексу гігієни (Федоров</w:t>
      </w:r>
      <w:r>
        <w:rPr>
          <w:b/>
        </w:rPr>
        <w:t> </w:t>
      </w:r>
      <w:r w:rsidRPr="00391306">
        <w:rPr>
          <w:b/>
        </w:rPr>
        <w:t>Ю.</w:t>
      </w:r>
      <w:r>
        <w:rPr>
          <w:b/>
        </w:rPr>
        <w:t> </w:t>
      </w:r>
      <w:r w:rsidRPr="00391306">
        <w:rPr>
          <w:b/>
        </w:rPr>
        <w:t>А., Володкіна</w:t>
      </w:r>
      <w:r>
        <w:rPr>
          <w:b/>
        </w:rPr>
        <w:t> </w:t>
      </w:r>
      <w:r w:rsidRPr="00391306">
        <w:rPr>
          <w:b/>
        </w:rPr>
        <w:t>В.</w:t>
      </w:r>
      <w:r>
        <w:rPr>
          <w:b/>
        </w:rPr>
        <w:t> </w:t>
      </w:r>
      <w:r w:rsidRPr="00391306">
        <w:rPr>
          <w:b/>
        </w:rPr>
        <w:t>В., 1971) у дітей 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1841"/>
        <w:gridCol w:w="1987"/>
        <w:gridCol w:w="1983"/>
        <w:gridCol w:w="2092"/>
      </w:tblGrid>
      <w:tr w:rsidR="00534FB5" w:rsidRPr="00E40BFA" w:rsidTr="00534FB5">
        <w:tc>
          <w:tcPr>
            <w:tcW w:w="871" w:type="pct"/>
            <w:vMerge w:val="restart"/>
          </w:tcPr>
          <w:p w:rsidR="00534FB5" w:rsidRPr="00E40BFA" w:rsidRDefault="00534FB5" w:rsidP="00534FB5">
            <w:pPr>
              <w:spacing w:line="240" w:lineRule="auto"/>
              <w:contextualSpacing/>
              <w:jc w:val="center"/>
            </w:pPr>
            <w:r>
              <w:t xml:space="preserve">Групи обстежених </w:t>
            </w:r>
          </w:p>
        </w:tc>
        <w:tc>
          <w:tcPr>
            <w:tcW w:w="4129" w:type="pct"/>
            <w:gridSpan w:val="4"/>
          </w:tcPr>
          <w:p w:rsidR="00534FB5" w:rsidRPr="00E40BFA" w:rsidRDefault="00534FB5" w:rsidP="00534FB5">
            <w:pPr>
              <w:spacing w:line="240" w:lineRule="auto"/>
              <w:contextualSpacing/>
              <w:jc w:val="center"/>
            </w:pPr>
            <w:r>
              <w:t xml:space="preserve">Індекс гігієни, </w:t>
            </w:r>
            <w:r w:rsidRPr="00D82918">
              <w:rPr>
                <w:lang w:val="en-US"/>
              </w:rPr>
              <w:t>M</w:t>
            </w:r>
            <w:r w:rsidRPr="00D82918">
              <w:t>±</w:t>
            </w:r>
            <w:r w:rsidRPr="00D82918">
              <w:rPr>
                <w:lang w:val="en-US"/>
              </w:rPr>
              <w:t>m</w:t>
            </w:r>
          </w:p>
        </w:tc>
      </w:tr>
      <w:tr w:rsidR="00534FB5" w:rsidRPr="00E40BFA" w:rsidTr="00534FB5">
        <w:trPr>
          <w:trHeight w:val="396"/>
        </w:trPr>
        <w:tc>
          <w:tcPr>
            <w:tcW w:w="871" w:type="pct"/>
            <w:vMerge/>
            <w:tcBorders>
              <w:bottom w:val="single" w:sz="4" w:space="0" w:color="auto"/>
            </w:tcBorders>
          </w:tcPr>
          <w:p w:rsidR="00534FB5" w:rsidRPr="00E40BFA" w:rsidRDefault="00534FB5" w:rsidP="00534FB5">
            <w:pPr>
              <w:spacing w:line="240" w:lineRule="auto"/>
              <w:contextualSpacing/>
              <w:jc w:val="center"/>
            </w:pPr>
          </w:p>
        </w:tc>
        <w:tc>
          <w:tcPr>
            <w:tcW w:w="962" w:type="pct"/>
            <w:tcBorders>
              <w:bottom w:val="single" w:sz="4" w:space="0" w:color="auto"/>
            </w:tcBorders>
          </w:tcPr>
          <w:p w:rsidR="00534FB5" w:rsidRPr="00E40BFA" w:rsidRDefault="00534FB5" w:rsidP="00534FB5">
            <w:pPr>
              <w:spacing w:line="240" w:lineRule="auto"/>
              <w:contextualSpacing/>
              <w:jc w:val="center"/>
            </w:pPr>
            <w:r w:rsidRPr="00E40BFA">
              <w:t>До лікування</w:t>
            </w:r>
          </w:p>
        </w:tc>
        <w:tc>
          <w:tcPr>
            <w:tcW w:w="1038" w:type="pct"/>
            <w:tcBorders>
              <w:bottom w:val="single" w:sz="4" w:space="0" w:color="auto"/>
            </w:tcBorders>
          </w:tcPr>
          <w:p w:rsidR="00534FB5" w:rsidRPr="00E40BFA" w:rsidRDefault="00534FB5" w:rsidP="00534FB5">
            <w:pPr>
              <w:spacing w:line="240" w:lineRule="auto"/>
              <w:ind w:left="-107" w:right="-143"/>
              <w:contextualSpacing/>
              <w:jc w:val="center"/>
            </w:pPr>
            <w:r w:rsidRPr="00E40BFA">
              <w:t>Через 1 місяць</w:t>
            </w:r>
          </w:p>
        </w:tc>
        <w:tc>
          <w:tcPr>
            <w:tcW w:w="1036" w:type="pct"/>
            <w:tcBorders>
              <w:bottom w:val="single" w:sz="4" w:space="0" w:color="auto"/>
            </w:tcBorders>
          </w:tcPr>
          <w:p w:rsidR="00534FB5" w:rsidRPr="00E40BFA" w:rsidRDefault="00534FB5" w:rsidP="00534FB5">
            <w:pPr>
              <w:spacing w:line="240" w:lineRule="auto"/>
              <w:ind w:left="-109" w:right="-214"/>
              <w:contextualSpacing/>
              <w:jc w:val="center"/>
            </w:pPr>
            <w:r w:rsidRPr="00E40BFA">
              <w:t>Через 6 місяців</w:t>
            </w:r>
          </w:p>
        </w:tc>
        <w:tc>
          <w:tcPr>
            <w:tcW w:w="1093" w:type="pct"/>
            <w:tcBorders>
              <w:bottom w:val="single" w:sz="4" w:space="0" w:color="auto"/>
            </w:tcBorders>
          </w:tcPr>
          <w:p w:rsidR="00534FB5" w:rsidRPr="00E40BFA" w:rsidRDefault="00534FB5" w:rsidP="00534FB5">
            <w:pPr>
              <w:spacing w:line="240" w:lineRule="auto"/>
              <w:ind w:left="-108"/>
              <w:contextualSpacing/>
              <w:jc w:val="center"/>
            </w:pPr>
            <w:r w:rsidRPr="00E40BFA">
              <w:t>Через 12 місяців</w:t>
            </w:r>
          </w:p>
        </w:tc>
      </w:tr>
      <w:tr w:rsidR="00534FB5" w:rsidRPr="00E40BFA" w:rsidTr="00534FB5">
        <w:tc>
          <w:tcPr>
            <w:tcW w:w="871" w:type="pct"/>
          </w:tcPr>
          <w:p w:rsidR="00534FB5" w:rsidRPr="00E40BFA" w:rsidRDefault="00534FB5" w:rsidP="00534FB5">
            <w:pPr>
              <w:spacing w:line="240" w:lineRule="auto"/>
              <w:contextualSpacing/>
            </w:pPr>
            <w:r w:rsidRPr="00E40BFA">
              <w:t>КГ1</w:t>
            </w:r>
          </w:p>
        </w:tc>
        <w:tc>
          <w:tcPr>
            <w:tcW w:w="962" w:type="pct"/>
          </w:tcPr>
          <w:p w:rsidR="00534FB5" w:rsidRPr="00512C3D" w:rsidRDefault="00534FB5" w:rsidP="00534FB5">
            <w:pPr>
              <w:spacing w:line="240" w:lineRule="auto"/>
              <w:contextualSpacing/>
            </w:pPr>
            <w:r w:rsidRPr="00512C3D">
              <w:t>1,63±0,15</w:t>
            </w:r>
          </w:p>
        </w:tc>
        <w:tc>
          <w:tcPr>
            <w:tcW w:w="1038" w:type="pct"/>
          </w:tcPr>
          <w:p w:rsidR="00534FB5" w:rsidRPr="00E40BFA" w:rsidRDefault="00534FB5" w:rsidP="00534FB5">
            <w:pPr>
              <w:spacing w:line="240" w:lineRule="auto"/>
              <w:contextualSpacing/>
              <w:jc w:val="center"/>
            </w:pPr>
            <w:r w:rsidRPr="00E40BFA">
              <w:t>-</w:t>
            </w:r>
          </w:p>
        </w:tc>
        <w:tc>
          <w:tcPr>
            <w:tcW w:w="1036" w:type="pct"/>
          </w:tcPr>
          <w:p w:rsidR="00534FB5" w:rsidRPr="00E40BFA" w:rsidRDefault="00534FB5" w:rsidP="00534FB5">
            <w:pPr>
              <w:spacing w:line="240" w:lineRule="auto"/>
              <w:contextualSpacing/>
              <w:jc w:val="center"/>
            </w:pPr>
            <w:r w:rsidRPr="00E40BFA">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BD6432">
        <w:trPr>
          <w:trHeight w:val="464"/>
        </w:trPr>
        <w:tc>
          <w:tcPr>
            <w:tcW w:w="871" w:type="pct"/>
          </w:tcPr>
          <w:p w:rsidR="00534FB5" w:rsidRPr="00E40BFA" w:rsidRDefault="00534FB5" w:rsidP="00534FB5">
            <w:pPr>
              <w:spacing w:line="240" w:lineRule="auto"/>
              <w:contextualSpacing/>
            </w:pPr>
            <w:r w:rsidRPr="00E40BFA">
              <w:t>ОГ1а</w:t>
            </w:r>
          </w:p>
        </w:tc>
        <w:tc>
          <w:tcPr>
            <w:tcW w:w="962" w:type="pct"/>
          </w:tcPr>
          <w:p w:rsidR="00534FB5" w:rsidRPr="00512C3D" w:rsidRDefault="00534FB5" w:rsidP="00534FB5">
            <w:pPr>
              <w:spacing w:line="240" w:lineRule="auto"/>
              <w:contextualSpacing/>
            </w:pPr>
            <w:r w:rsidRPr="00512C3D">
              <w:t>3,14±0,23</w:t>
            </w:r>
          </w:p>
          <w:p w:rsidR="00534FB5" w:rsidRPr="00512C3D" w:rsidRDefault="00534FB5" w:rsidP="00534FB5">
            <w:pPr>
              <w:spacing w:line="240" w:lineRule="auto"/>
              <w:contextualSpacing/>
            </w:pPr>
            <w:r w:rsidRPr="00512C3D">
              <w:t>Р</w:t>
            </w:r>
            <w:r w:rsidRPr="00512C3D">
              <w:rPr>
                <w:vertAlign w:val="subscript"/>
              </w:rPr>
              <w:t>2</w:t>
            </w:r>
            <w:r w:rsidRPr="00512C3D">
              <w:t>&lt;0,01</w:t>
            </w:r>
          </w:p>
        </w:tc>
        <w:tc>
          <w:tcPr>
            <w:tcW w:w="1038" w:type="pct"/>
          </w:tcPr>
          <w:p w:rsidR="00534FB5" w:rsidRPr="00512C3D" w:rsidRDefault="00534FB5" w:rsidP="00534FB5">
            <w:pPr>
              <w:spacing w:line="240" w:lineRule="auto"/>
              <w:contextualSpacing/>
            </w:pPr>
            <w:r w:rsidRPr="00512C3D">
              <w:t>1,97±0,2</w:t>
            </w:r>
          </w:p>
          <w:p w:rsidR="00534FB5" w:rsidRPr="00512C3D" w:rsidRDefault="00534FB5" w:rsidP="00534FB5">
            <w:pPr>
              <w:spacing w:line="240" w:lineRule="auto"/>
              <w:contextualSpacing/>
            </w:pPr>
            <w:r w:rsidRPr="00512C3D">
              <w:t>Р</w:t>
            </w:r>
            <w:r w:rsidRPr="00512C3D">
              <w:rPr>
                <w:vertAlign w:val="subscript"/>
              </w:rPr>
              <w:t>2</w:t>
            </w:r>
            <w:r w:rsidRPr="00512C3D">
              <w:t>&gt;0,05</w:t>
            </w:r>
          </w:p>
        </w:tc>
        <w:tc>
          <w:tcPr>
            <w:tcW w:w="1036" w:type="pct"/>
          </w:tcPr>
          <w:p w:rsidR="00534FB5" w:rsidRPr="00512C3D" w:rsidRDefault="00534FB5" w:rsidP="00534FB5">
            <w:pPr>
              <w:spacing w:line="240" w:lineRule="auto"/>
              <w:contextualSpacing/>
            </w:pPr>
            <w:r w:rsidRPr="00512C3D">
              <w:t>1,86±0,28</w:t>
            </w:r>
          </w:p>
          <w:p w:rsidR="00534FB5" w:rsidRPr="00512C3D" w:rsidRDefault="00534FB5" w:rsidP="00534FB5">
            <w:pPr>
              <w:spacing w:line="240" w:lineRule="auto"/>
              <w:contextualSpacing/>
            </w:pPr>
            <w:r w:rsidRPr="00512C3D">
              <w:t>Р</w:t>
            </w:r>
            <w:r w:rsidRPr="00512C3D">
              <w:rPr>
                <w:vertAlign w:val="subscript"/>
              </w:rPr>
              <w:t>2</w:t>
            </w:r>
            <w:r w:rsidRPr="00512C3D">
              <w:t>&gt;0,05</w:t>
            </w:r>
          </w:p>
        </w:tc>
        <w:tc>
          <w:tcPr>
            <w:tcW w:w="1093" w:type="pct"/>
          </w:tcPr>
          <w:p w:rsidR="00534FB5" w:rsidRPr="00E40BFA" w:rsidRDefault="00534FB5" w:rsidP="00534FB5">
            <w:pPr>
              <w:spacing w:line="240" w:lineRule="auto"/>
              <w:contextualSpacing/>
            </w:pPr>
            <w:r w:rsidRPr="00E40BFA">
              <w:t>1,58±0,11</w:t>
            </w:r>
          </w:p>
          <w:p w:rsidR="00534FB5" w:rsidRPr="00E40BFA" w:rsidRDefault="00534FB5" w:rsidP="00534FB5">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ОГ1б</w:t>
            </w:r>
          </w:p>
        </w:tc>
        <w:tc>
          <w:tcPr>
            <w:tcW w:w="962" w:type="pct"/>
          </w:tcPr>
          <w:p w:rsidR="00534FB5" w:rsidRPr="00512C3D" w:rsidRDefault="00534FB5" w:rsidP="00534FB5">
            <w:pPr>
              <w:spacing w:line="240" w:lineRule="auto"/>
              <w:contextualSpacing/>
            </w:pPr>
            <w:r w:rsidRPr="00512C3D">
              <w:t>3,13±0,27</w:t>
            </w:r>
          </w:p>
          <w:p w:rsidR="00534FB5" w:rsidRPr="00512C3D" w:rsidRDefault="00534FB5" w:rsidP="00534FB5">
            <w:pPr>
              <w:spacing w:line="240" w:lineRule="auto"/>
              <w:contextualSpacing/>
            </w:pPr>
            <w:r w:rsidRPr="00512C3D">
              <w:t>Р</w:t>
            </w:r>
            <w:r w:rsidRPr="00512C3D">
              <w:rPr>
                <w:vertAlign w:val="subscript"/>
              </w:rPr>
              <w:t>1</w:t>
            </w:r>
            <w:r w:rsidRPr="00512C3D">
              <w:t>&lt;0,01</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38" w:type="pct"/>
          </w:tcPr>
          <w:p w:rsidR="00534FB5" w:rsidRPr="00512C3D" w:rsidRDefault="00534FB5" w:rsidP="00534FB5">
            <w:pPr>
              <w:spacing w:line="240" w:lineRule="auto"/>
              <w:contextualSpacing/>
            </w:pPr>
            <w:r w:rsidRPr="00512C3D">
              <w:t>1,74±0,15</w:t>
            </w:r>
          </w:p>
          <w:p w:rsidR="00534FB5" w:rsidRPr="00512C3D" w:rsidRDefault="00534FB5" w:rsidP="00534FB5">
            <w:pPr>
              <w:spacing w:line="240" w:lineRule="auto"/>
              <w:contextualSpacing/>
            </w:pPr>
            <w:r w:rsidRPr="00512C3D">
              <w:t>Р</w:t>
            </w:r>
            <w:r w:rsidRPr="00512C3D">
              <w:rPr>
                <w:vertAlign w:val="subscript"/>
              </w:rPr>
              <w:t>1</w:t>
            </w:r>
            <w:r w:rsidRPr="00512C3D">
              <w:t>&gt;0,05</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36" w:type="pct"/>
          </w:tcPr>
          <w:p w:rsidR="00534FB5" w:rsidRPr="00512C3D" w:rsidRDefault="00534FB5" w:rsidP="00534FB5">
            <w:pPr>
              <w:spacing w:line="240" w:lineRule="auto"/>
              <w:contextualSpacing/>
            </w:pPr>
            <w:r w:rsidRPr="00512C3D">
              <w:t>1,51±0,17</w:t>
            </w:r>
          </w:p>
          <w:p w:rsidR="00534FB5" w:rsidRPr="00512C3D" w:rsidRDefault="00534FB5" w:rsidP="00534FB5">
            <w:pPr>
              <w:spacing w:line="240" w:lineRule="auto"/>
              <w:contextualSpacing/>
            </w:pPr>
            <w:r w:rsidRPr="00512C3D">
              <w:t>Р</w:t>
            </w:r>
            <w:r w:rsidRPr="00512C3D">
              <w:rPr>
                <w:vertAlign w:val="subscript"/>
              </w:rPr>
              <w:t>1</w:t>
            </w:r>
            <w:r w:rsidRPr="00512C3D">
              <w:t>&gt;0,05</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93" w:type="pct"/>
          </w:tcPr>
          <w:p w:rsidR="00534FB5" w:rsidRPr="00E40BFA" w:rsidRDefault="00512C3D" w:rsidP="00534FB5">
            <w:pPr>
              <w:spacing w:line="240" w:lineRule="auto"/>
              <w:contextualSpacing/>
            </w:pPr>
            <w:r>
              <w:t>1,35±0,14</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00512C3D" w:rsidRPr="00E40BFA">
              <w:t>&gt;</w:t>
            </w:r>
            <w:r w:rsidRPr="00E40BFA">
              <w:t>0,05</w:t>
            </w:r>
          </w:p>
        </w:tc>
      </w:tr>
      <w:tr w:rsidR="00534FB5" w:rsidRPr="00E40BFA" w:rsidTr="00534FB5">
        <w:tc>
          <w:tcPr>
            <w:tcW w:w="871" w:type="pct"/>
          </w:tcPr>
          <w:p w:rsidR="00534FB5" w:rsidRPr="00E40BFA" w:rsidRDefault="00534FB5" w:rsidP="00534FB5">
            <w:pPr>
              <w:spacing w:line="240" w:lineRule="auto"/>
              <w:contextualSpacing/>
            </w:pPr>
            <w:r w:rsidRPr="00E40BFA">
              <w:t>КГ2</w:t>
            </w:r>
          </w:p>
        </w:tc>
        <w:tc>
          <w:tcPr>
            <w:tcW w:w="962" w:type="pct"/>
          </w:tcPr>
          <w:p w:rsidR="00534FB5" w:rsidRPr="00512C3D" w:rsidRDefault="00534FB5" w:rsidP="00534FB5">
            <w:pPr>
              <w:spacing w:line="240" w:lineRule="auto"/>
              <w:contextualSpacing/>
            </w:pPr>
            <w:r w:rsidRPr="00512C3D">
              <w:t>1,83±0,14</w:t>
            </w:r>
          </w:p>
        </w:tc>
        <w:tc>
          <w:tcPr>
            <w:tcW w:w="1038" w:type="pct"/>
          </w:tcPr>
          <w:p w:rsidR="00534FB5" w:rsidRPr="00512C3D" w:rsidRDefault="00534FB5" w:rsidP="00534FB5">
            <w:pPr>
              <w:spacing w:line="240" w:lineRule="auto"/>
              <w:contextualSpacing/>
              <w:jc w:val="center"/>
            </w:pPr>
            <w:r w:rsidRPr="00512C3D">
              <w:t>-</w:t>
            </w:r>
          </w:p>
        </w:tc>
        <w:tc>
          <w:tcPr>
            <w:tcW w:w="1036" w:type="pct"/>
          </w:tcPr>
          <w:p w:rsidR="00534FB5" w:rsidRPr="00512C3D" w:rsidRDefault="00534FB5" w:rsidP="00534FB5">
            <w:pPr>
              <w:spacing w:line="240" w:lineRule="auto"/>
              <w:contextualSpacing/>
              <w:jc w:val="center"/>
            </w:pPr>
            <w:r w:rsidRPr="00512C3D">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ОГ2а</w:t>
            </w:r>
          </w:p>
        </w:tc>
        <w:tc>
          <w:tcPr>
            <w:tcW w:w="962" w:type="pct"/>
          </w:tcPr>
          <w:p w:rsidR="00534FB5" w:rsidRPr="00512C3D" w:rsidRDefault="00534FB5" w:rsidP="00534FB5">
            <w:pPr>
              <w:spacing w:line="240" w:lineRule="auto"/>
              <w:contextualSpacing/>
            </w:pPr>
            <w:r w:rsidRPr="00512C3D">
              <w:t>2,65±0,16</w:t>
            </w:r>
          </w:p>
          <w:p w:rsidR="00534FB5" w:rsidRPr="00512C3D" w:rsidRDefault="00534FB5" w:rsidP="00BD6432">
            <w:pPr>
              <w:spacing w:line="240" w:lineRule="auto"/>
              <w:contextualSpacing/>
            </w:pPr>
            <w:r w:rsidRPr="00512C3D">
              <w:t>Р</w:t>
            </w:r>
            <w:r w:rsidRPr="00512C3D">
              <w:rPr>
                <w:vertAlign w:val="subscript"/>
              </w:rPr>
              <w:t>2</w:t>
            </w:r>
            <w:r w:rsidRPr="00512C3D">
              <w:t>&lt;0,01</w:t>
            </w:r>
          </w:p>
        </w:tc>
        <w:tc>
          <w:tcPr>
            <w:tcW w:w="1038" w:type="pct"/>
          </w:tcPr>
          <w:p w:rsidR="00534FB5" w:rsidRPr="00512C3D" w:rsidRDefault="00512C3D" w:rsidP="00534FB5">
            <w:pPr>
              <w:spacing w:line="240" w:lineRule="auto"/>
              <w:contextualSpacing/>
            </w:pPr>
            <w:r w:rsidRPr="00512C3D">
              <w:t>2,07±0,17</w:t>
            </w:r>
          </w:p>
          <w:p w:rsidR="00534FB5" w:rsidRPr="00512C3D" w:rsidRDefault="00534FB5" w:rsidP="00BD6432">
            <w:pPr>
              <w:spacing w:line="240" w:lineRule="auto"/>
              <w:contextualSpacing/>
            </w:pPr>
            <w:r w:rsidRPr="00512C3D">
              <w:t>Р</w:t>
            </w:r>
            <w:r w:rsidRPr="00512C3D">
              <w:rPr>
                <w:vertAlign w:val="subscript"/>
              </w:rPr>
              <w:t>2</w:t>
            </w:r>
            <w:r w:rsidRPr="00512C3D">
              <w:t>&gt;0,05</w:t>
            </w:r>
          </w:p>
        </w:tc>
        <w:tc>
          <w:tcPr>
            <w:tcW w:w="1036" w:type="pct"/>
          </w:tcPr>
          <w:p w:rsidR="00534FB5" w:rsidRPr="00512C3D" w:rsidRDefault="00534FB5" w:rsidP="00534FB5">
            <w:pPr>
              <w:spacing w:line="240" w:lineRule="auto"/>
              <w:contextualSpacing/>
            </w:pPr>
            <w:r w:rsidRPr="00512C3D">
              <w:t>1,97±0,19</w:t>
            </w:r>
          </w:p>
          <w:p w:rsidR="00534FB5" w:rsidRPr="00512C3D" w:rsidRDefault="00534FB5" w:rsidP="00BD6432">
            <w:pPr>
              <w:spacing w:line="240" w:lineRule="auto"/>
              <w:contextualSpacing/>
            </w:pPr>
            <w:r w:rsidRPr="00512C3D">
              <w:t>Р</w:t>
            </w:r>
            <w:r w:rsidRPr="00512C3D">
              <w:rPr>
                <w:vertAlign w:val="subscript"/>
              </w:rPr>
              <w:t>2</w:t>
            </w:r>
            <w:r w:rsidRPr="00512C3D">
              <w:t>&gt;0,05</w:t>
            </w:r>
          </w:p>
        </w:tc>
        <w:tc>
          <w:tcPr>
            <w:tcW w:w="1093" w:type="pct"/>
          </w:tcPr>
          <w:p w:rsidR="00534FB5" w:rsidRPr="00E40BFA" w:rsidRDefault="00512C3D" w:rsidP="00534FB5">
            <w:pPr>
              <w:spacing w:line="240" w:lineRule="auto"/>
              <w:contextualSpacing/>
            </w:pPr>
            <w:r>
              <w:t>1,76±0,23</w:t>
            </w:r>
          </w:p>
          <w:p w:rsidR="00534FB5" w:rsidRPr="00E40BFA" w:rsidRDefault="00534FB5" w:rsidP="00BD6432">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ОГ2б</w:t>
            </w:r>
          </w:p>
        </w:tc>
        <w:tc>
          <w:tcPr>
            <w:tcW w:w="962" w:type="pct"/>
          </w:tcPr>
          <w:p w:rsidR="00534FB5" w:rsidRPr="00512C3D" w:rsidRDefault="00534FB5" w:rsidP="00534FB5">
            <w:pPr>
              <w:spacing w:line="240" w:lineRule="auto"/>
              <w:contextualSpacing/>
            </w:pPr>
            <w:r w:rsidRPr="00512C3D">
              <w:t>2,67±0,20</w:t>
            </w:r>
          </w:p>
          <w:p w:rsidR="00534FB5" w:rsidRPr="00512C3D" w:rsidRDefault="00534FB5" w:rsidP="00534FB5">
            <w:pPr>
              <w:spacing w:line="240" w:lineRule="auto"/>
              <w:contextualSpacing/>
            </w:pPr>
            <w:r w:rsidRPr="00512C3D">
              <w:t>Р</w:t>
            </w:r>
            <w:r w:rsidRPr="00512C3D">
              <w:rPr>
                <w:vertAlign w:val="subscript"/>
              </w:rPr>
              <w:t>1</w:t>
            </w:r>
            <w:r w:rsidRPr="00512C3D">
              <w:t>&lt;0,01</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38" w:type="pct"/>
          </w:tcPr>
          <w:p w:rsidR="00534FB5" w:rsidRPr="00512C3D" w:rsidRDefault="00512C3D" w:rsidP="00534FB5">
            <w:pPr>
              <w:spacing w:line="240" w:lineRule="auto"/>
              <w:contextualSpacing/>
            </w:pPr>
            <w:r w:rsidRPr="00512C3D">
              <w:t>1,70±0,2</w:t>
            </w:r>
            <w:r w:rsidR="00534FB5" w:rsidRPr="00512C3D">
              <w:t>1</w:t>
            </w:r>
          </w:p>
          <w:p w:rsidR="00534FB5" w:rsidRPr="00512C3D" w:rsidRDefault="00534FB5" w:rsidP="00534FB5">
            <w:pPr>
              <w:spacing w:line="240" w:lineRule="auto"/>
              <w:contextualSpacing/>
            </w:pPr>
            <w:r w:rsidRPr="00512C3D">
              <w:t>Р</w:t>
            </w:r>
            <w:r w:rsidRPr="00512C3D">
              <w:rPr>
                <w:vertAlign w:val="subscript"/>
              </w:rPr>
              <w:t>1</w:t>
            </w:r>
            <w:r w:rsidRPr="00512C3D">
              <w:t>&gt;0,05</w:t>
            </w:r>
          </w:p>
          <w:p w:rsidR="00534FB5" w:rsidRPr="00512C3D" w:rsidRDefault="00534FB5" w:rsidP="00534FB5">
            <w:pPr>
              <w:spacing w:line="240" w:lineRule="auto"/>
              <w:contextualSpacing/>
            </w:pPr>
            <w:r w:rsidRPr="00512C3D">
              <w:t>Р</w:t>
            </w:r>
            <w:r w:rsidRPr="00512C3D">
              <w:rPr>
                <w:vertAlign w:val="subscript"/>
              </w:rPr>
              <w:t>3</w:t>
            </w:r>
            <w:r w:rsidR="00512C3D" w:rsidRPr="00512C3D">
              <w:t>&gt;</w:t>
            </w:r>
            <w:r w:rsidRPr="00512C3D">
              <w:t>0,05</w:t>
            </w:r>
          </w:p>
        </w:tc>
        <w:tc>
          <w:tcPr>
            <w:tcW w:w="1036" w:type="pct"/>
          </w:tcPr>
          <w:p w:rsidR="00534FB5" w:rsidRPr="00512C3D" w:rsidRDefault="00534FB5" w:rsidP="00534FB5">
            <w:pPr>
              <w:spacing w:line="240" w:lineRule="auto"/>
              <w:contextualSpacing/>
            </w:pPr>
            <w:r w:rsidRPr="00512C3D">
              <w:t>1,82±0,07</w:t>
            </w:r>
          </w:p>
          <w:p w:rsidR="00534FB5" w:rsidRPr="00512C3D" w:rsidRDefault="00534FB5" w:rsidP="00534FB5">
            <w:pPr>
              <w:spacing w:line="240" w:lineRule="auto"/>
              <w:contextualSpacing/>
            </w:pPr>
            <w:r w:rsidRPr="00512C3D">
              <w:t>Р</w:t>
            </w:r>
            <w:r w:rsidRPr="00512C3D">
              <w:rPr>
                <w:vertAlign w:val="subscript"/>
              </w:rPr>
              <w:t>1</w:t>
            </w:r>
            <w:r w:rsidRPr="00512C3D">
              <w:t>&gt;0,05</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93" w:type="pct"/>
          </w:tcPr>
          <w:p w:rsidR="00534FB5" w:rsidRPr="00E40BFA" w:rsidRDefault="00512C3D" w:rsidP="00534FB5">
            <w:pPr>
              <w:spacing w:line="240" w:lineRule="auto"/>
              <w:contextualSpacing/>
            </w:pPr>
            <w:r>
              <w:t>1,35±0,19</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00512C3D" w:rsidRPr="00E40BFA">
              <w:t>&gt;</w:t>
            </w:r>
            <w:r w:rsidRPr="00E40BFA">
              <w:t>0,05</w:t>
            </w:r>
          </w:p>
        </w:tc>
      </w:tr>
      <w:tr w:rsidR="00534FB5" w:rsidRPr="00E40BFA" w:rsidTr="00534FB5">
        <w:tc>
          <w:tcPr>
            <w:tcW w:w="871" w:type="pct"/>
          </w:tcPr>
          <w:p w:rsidR="00534FB5" w:rsidRPr="00E40BFA" w:rsidRDefault="00534FB5" w:rsidP="00534FB5">
            <w:pPr>
              <w:spacing w:line="240" w:lineRule="auto"/>
              <w:contextualSpacing/>
            </w:pPr>
            <w:r w:rsidRPr="00E40BFA">
              <w:t>КГ3</w:t>
            </w:r>
          </w:p>
        </w:tc>
        <w:tc>
          <w:tcPr>
            <w:tcW w:w="962" w:type="pct"/>
          </w:tcPr>
          <w:p w:rsidR="00534FB5" w:rsidRPr="00512C3D" w:rsidRDefault="00534FB5" w:rsidP="00534FB5">
            <w:pPr>
              <w:spacing w:line="240" w:lineRule="auto"/>
              <w:contextualSpacing/>
            </w:pPr>
            <w:r w:rsidRPr="00512C3D">
              <w:t>1,72±0,10</w:t>
            </w:r>
          </w:p>
        </w:tc>
        <w:tc>
          <w:tcPr>
            <w:tcW w:w="1038" w:type="pct"/>
          </w:tcPr>
          <w:p w:rsidR="00534FB5" w:rsidRPr="00512C3D" w:rsidRDefault="00534FB5" w:rsidP="00534FB5">
            <w:pPr>
              <w:spacing w:line="240" w:lineRule="auto"/>
              <w:contextualSpacing/>
              <w:jc w:val="center"/>
            </w:pPr>
            <w:r w:rsidRPr="00512C3D">
              <w:t>-</w:t>
            </w:r>
          </w:p>
        </w:tc>
        <w:tc>
          <w:tcPr>
            <w:tcW w:w="1036" w:type="pct"/>
          </w:tcPr>
          <w:p w:rsidR="00534FB5" w:rsidRPr="00512C3D" w:rsidRDefault="00534FB5" w:rsidP="00534FB5">
            <w:pPr>
              <w:spacing w:line="240" w:lineRule="auto"/>
              <w:contextualSpacing/>
              <w:jc w:val="center"/>
            </w:pPr>
            <w:r w:rsidRPr="00512C3D">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ОГ3а</w:t>
            </w:r>
          </w:p>
        </w:tc>
        <w:tc>
          <w:tcPr>
            <w:tcW w:w="962" w:type="pct"/>
          </w:tcPr>
          <w:p w:rsidR="00534FB5" w:rsidRPr="00512C3D" w:rsidRDefault="00534FB5" w:rsidP="00534FB5">
            <w:pPr>
              <w:spacing w:line="240" w:lineRule="auto"/>
              <w:contextualSpacing/>
            </w:pPr>
            <w:r w:rsidRPr="00512C3D">
              <w:t>2,63±0,19</w:t>
            </w:r>
          </w:p>
          <w:p w:rsidR="00534FB5" w:rsidRPr="00512C3D" w:rsidRDefault="00534FB5" w:rsidP="00BD6432">
            <w:pPr>
              <w:spacing w:line="240" w:lineRule="auto"/>
              <w:contextualSpacing/>
            </w:pPr>
            <w:r w:rsidRPr="00512C3D">
              <w:t>Р</w:t>
            </w:r>
            <w:r w:rsidRPr="00512C3D">
              <w:rPr>
                <w:vertAlign w:val="subscript"/>
              </w:rPr>
              <w:t>2</w:t>
            </w:r>
            <w:r w:rsidRPr="00512C3D">
              <w:t>&lt;0,01</w:t>
            </w:r>
          </w:p>
        </w:tc>
        <w:tc>
          <w:tcPr>
            <w:tcW w:w="1038" w:type="pct"/>
          </w:tcPr>
          <w:p w:rsidR="00534FB5" w:rsidRPr="00512C3D" w:rsidRDefault="00512C3D" w:rsidP="00534FB5">
            <w:pPr>
              <w:spacing w:line="240" w:lineRule="auto"/>
              <w:contextualSpacing/>
            </w:pPr>
            <w:r w:rsidRPr="00512C3D">
              <w:t>2,01±0,21</w:t>
            </w:r>
          </w:p>
          <w:p w:rsidR="00534FB5" w:rsidRPr="00512C3D" w:rsidRDefault="00534FB5" w:rsidP="00BD6432">
            <w:pPr>
              <w:spacing w:line="240" w:lineRule="auto"/>
              <w:contextualSpacing/>
            </w:pPr>
            <w:r w:rsidRPr="00512C3D">
              <w:t>Р</w:t>
            </w:r>
            <w:r w:rsidRPr="00512C3D">
              <w:rPr>
                <w:vertAlign w:val="subscript"/>
              </w:rPr>
              <w:t>2</w:t>
            </w:r>
            <w:r w:rsidRPr="00512C3D">
              <w:t>&gt;0,05</w:t>
            </w:r>
          </w:p>
        </w:tc>
        <w:tc>
          <w:tcPr>
            <w:tcW w:w="1036" w:type="pct"/>
          </w:tcPr>
          <w:p w:rsidR="00534FB5" w:rsidRPr="00512C3D" w:rsidRDefault="00534FB5" w:rsidP="00534FB5">
            <w:pPr>
              <w:spacing w:line="240" w:lineRule="auto"/>
              <w:contextualSpacing/>
            </w:pPr>
            <w:r w:rsidRPr="00512C3D">
              <w:t>1,87±0,08</w:t>
            </w:r>
          </w:p>
          <w:p w:rsidR="00534FB5" w:rsidRPr="00512C3D" w:rsidRDefault="00534FB5" w:rsidP="00BD6432">
            <w:pPr>
              <w:spacing w:line="240" w:lineRule="auto"/>
              <w:contextualSpacing/>
            </w:pPr>
            <w:r w:rsidRPr="00512C3D">
              <w:t>Р</w:t>
            </w:r>
            <w:r w:rsidRPr="00512C3D">
              <w:rPr>
                <w:vertAlign w:val="subscript"/>
              </w:rPr>
              <w:t>2</w:t>
            </w:r>
            <w:r w:rsidRPr="00512C3D">
              <w:t>&gt;0,05</w:t>
            </w:r>
          </w:p>
        </w:tc>
        <w:tc>
          <w:tcPr>
            <w:tcW w:w="1093" w:type="pct"/>
          </w:tcPr>
          <w:p w:rsidR="00534FB5" w:rsidRPr="00E40BFA" w:rsidRDefault="00534FB5" w:rsidP="00534FB5">
            <w:pPr>
              <w:spacing w:line="240" w:lineRule="auto"/>
              <w:contextualSpacing/>
            </w:pPr>
            <w:r w:rsidRPr="00E40BFA">
              <w:t>1,53±0,10</w:t>
            </w:r>
          </w:p>
          <w:p w:rsidR="00534FB5" w:rsidRPr="00E40BFA" w:rsidRDefault="00534FB5" w:rsidP="00BD6432">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ОГ3б</w:t>
            </w:r>
          </w:p>
        </w:tc>
        <w:tc>
          <w:tcPr>
            <w:tcW w:w="962" w:type="pct"/>
          </w:tcPr>
          <w:p w:rsidR="00534FB5" w:rsidRPr="00512C3D" w:rsidRDefault="00534FB5" w:rsidP="00534FB5">
            <w:pPr>
              <w:spacing w:line="240" w:lineRule="auto"/>
              <w:contextualSpacing/>
            </w:pPr>
            <w:r w:rsidRPr="00512C3D">
              <w:t>2,64±0,20</w:t>
            </w:r>
          </w:p>
          <w:p w:rsidR="00534FB5" w:rsidRPr="00512C3D" w:rsidRDefault="00534FB5" w:rsidP="00534FB5">
            <w:pPr>
              <w:spacing w:line="240" w:lineRule="auto"/>
              <w:contextualSpacing/>
            </w:pPr>
            <w:r w:rsidRPr="00512C3D">
              <w:t>Р</w:t>
            </w:r>
            <w:r w:rsidRPr="00512C3D">
              <w:rPr>
                <w:vertAlign w:val="subscript"/>
              </w:rPr>
              <w:t>1</w:t>
            </w:r>
            <w:r w:rsidRPr="00512C3D">
              <w:t>&lt;0,01</w:t>
            </w:r>
          </w:p>
          <w:p w:rsidR="00534FB5" w:rsidRPr="00512C3D" w:rsidRDefault="00534FB5" w:rsidP="00534FB5">
            <w:pPr>
              <w:spacing w:line="240" w:lineRule="auto"/>
              <w:contextualSpacing/>
            </w:pPr>
            <w:r w:rsidRPr="00512C3D">
              <w:t>Р</w:t>
            </w:r>
            <w:r w:rsidRPr="00512C3D">
              <w:rPr>
                <w:vertAlign w:val="subscript"/>
              </w:rPr>
              <w:t>3</w:t>
            </w:r>
            <w:r w:rsidRPr="00512C3D">
              <w:t>&gt;0,05</w:t>
            </w:r>
          </w:p>
        </w:tc>
        <w:tc>
          <w:tcPr>
            <w:tcW w:w="1038" w:type="pct"/>
          </w:tcPr>
          <w:p w:rsidR="00534FB5" w:rsidRPr="00512C3D" w:rsidRDefault="00512C3D" w:rsidP="00534FB5">
            <w:pPr>
              <w:spacing w:line="240" w:lineRule="auto"/>
              <w:contextualSpacing/>
            </w:pPr>
            <w:r w:rsidRPr="00512C3D">
              <w:t>1,64±0,17</w:t>
            </w:r>
          </w:p>
          <w:p w:rsidR="00534FB5" w:rsidRPr="00512C3D" w:rsidRDefault="00534FB5" w:rsidP="00534FB5">
            <w:pPr>
              <w:spacing w:line="240" w:lineRule="auto"/>
              <w:contextualSpacing/>
            </w:pPr>
            <w:r w:rsidRPr="00512C3D">
              <w:t>Р</w:t>
            </w:r>
            <w:r w:rsidRPr="00512C3D">
              <w:rPr>
                <w:vertAlign w:val="subscript"/>
              </w:rPr>
              <w:t>1</w:t>
            </w:r>
            <w:r w:rsidRPr="00512C3D">
              <w:t>&gt;0,05</w:t>
            </w:r>
          </w:p>
          <w:p w:rsidR="00534FB5" w:rsidRPr="00512C3D" w:rsidRDefault="00534FB5" w:rsidP="00534FB5">
            <w:pPr>
              <w:spacing w:line="240" w:lineRule="auto"/>
              <w:contextualSpacing/>
            </w:pPr>
            <w:r w:rsidRPr="00512C3D">
              <w:t>Р</w:t>
            </w:r>
            <w:r w:rsidRPr="00512C3D">
              <w:rPr>
                <w:vertAlign w:val="subscript"/>
              </w:rPr>
              <w:t>3</w:t>
            </w:r>
            <w:r w:rsidR="00512C3D" w:rsidRPr="00512C3D">
              <w:t>&gt;</w:t>
            </w:r>
            <w:r w:rsidRPr="00512C3D">
              <w:t>0,05</w:t>
            </w:r>
          </w:p>
        </w:tc>
        <w:tc>
          <w:tcPr>
            <w:tcW w:w="1036" w:type="pct"/>
          </w:tcPr>
          <w:p w:rsidR="00534FB5" w:rsidRPr="00512C3D" w:rsidRDefault="00534FB5" w:rsidP="00534FB5">
            <w:pPr>
              <w:spacing w:line="240" w:lineRule="auto"/>
              <w:contextualSpacing/>
            </w:pPr>
            <w:r w:rsidRPr="00512C3D">
              <w:t>1,23±0,07</w:t>
            </w:r>
          </w:p>
          <w:p w:rsidR="00534FB5" w:rsidRPr="00512C3D" w:rsidRDefault="00534FB5" w:rsidP="00534FB5">
            <w:pPr>
              <w:spacing w:line="240" w:lineRule="auto"/>
              <w:contextualSpacing/>
            </w:pPr>
            <w:r w:rsidRPr="00512C3D">
              <w:t>Р</w:t>
            </w:r>
            <w:r w:rsidRPr="00512C3D">
              <w:rPr>
                <w:vertAlign w:val="subscript"/>
              </w:rPr>
              <w:t>1</w:t>
            </w:r>
            <w:r w:rsidRPr="00512C3D">
              <w:t>&lt;0,01</w:t>
            </w:r>
          </w:p>
          <w:p w:rsidR="00534FB5" w:rsidRPr="00512C3D" w:rsidRDefault="00534FB5" w:rsidP="00534FB5">
            <w:pPr>
              <w:spacing w:line="240" w:lineRule="auto"/>
              <w:contextualSpacing/>
            </w:pPr>
            <w:r w:rsidRPr="00512C3D">
              <w:t>Р</w:t>
            </w:r>
            <w:r w:rsidRPr="00512C3D">
              <w:rPr>
                <w:vertAlign w:val="subscript"/>
              </w:rPr>
              <w:t>3</w:t>
            </w:r>
            <w:r w:rsidRPr="00512C3D">
              <w:t>&lt;0,01</w:t>
            </w:r>
          </w:p>
        </w:tc>
        <w:tc>
          <w:tcPr>
            <w:tcW w:w="1093" w:type="pct"/>
          </w:tcPr>
          <w:p w:rsidR="00534FB5" w:rsidRPr="00E40BFA" w:rsidRDefault="00534FB5" w:rsidP="00534FB5">
            <w:pPr>
              <w:spacing w:line="240" w:lineRule="auto"/>
              <w:contextualSpacing/>
            </w:pPr>
            <w:r w:rsidRPr="00E40BFA">
              <w:t>1,15±0,04</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bl>
    <w:p w:rsidR="00534FB5" w:rsidRDefault="00534FB5" w:rsidP="00534FB5">
      <w:pPr>
        <w:spacing w:line="240" w:lineRule="auto"/>
        <w:ind w:left="-142"/>
        <w:contextualSpacing/>
        <w:rPr>
          <w:sz w:val="24"/>
        </w:rPr>
      </w:pPr>
      <w:r w:rsidRPr="005B39EC">
        <w:rPr>
          <w:sz w:val="24"/>
        </w:rPr>
        <w:t>Примітка. Показник вірогідних відмінностей результатів</w:t>
      </w:r>
      <w:r>
        <w:rPr>
          <w:sz w:val="24"/>
        </w:rPr>
        <w:t xml:space="preserve"> </w:t>
      </w:r>
      <w:r w:rsidRPr="005B39EC">
        <w:rPr>
          <w:sz w:val="24"/>
        </w:rPr>
        <w:t>між: Р</w:t>
      </w:r>
      <w:r w:rsidRPr="005B39EC">
        <w:rPr>
          <w:sz w:val="24"/>
          <w:vertAlign w:val="subscript"/>
        </w:rPr>
        <w:t xml:space="preserve">1 </w:t>
      </w:r>
      <w:r>
        <w:rPr>
          <w:sz w:val="24"/>
        </w:rPr>
        <w:t>–</w:t>
      </w:r>
      <w:r w:rsidRPr="005B39EC">
        <w:rPr>
          <w:sz w:val="24"/>
        </w:rPr>
        <w:t xml:space="preserve">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BD6432" w:rsidRPr="00340E18" w:rsidRDefault="00BD6432" w:rsidP="00534FB5">
      <w:pPr>
        <w:spacing w:line="240" w:lineRule="auto"/>
        <w:ind w:left="-142"/>
        <w:contextualSpacing/>
        <w:rPr>
          <w:sz w:val="24"/>
        </w:rPr>
      </w:pPr>
    </w:p>
    <w:p w:rsidR="00534FB5" w:rsidRDefault="00534FB5" w:rsidP="00534FB5">
      <w:pPr>
        <w:ind w:firstLine="709"/>
        <w:contextualSpacing/>
      </w:pPr>
      <w:r w:rsidRPr="00E40BFA">
        <w:t>З наведених у таблиці даних видно, що</w:t>
      </w:r>
      <w:r>
        <w:t xml:space="preserve"> в </w:t>
      </w:r>
      <w:r w:rsidR="005840BB">
        <w:t>«А»</w:t>
      </w:r>
      <w:r>
        <w:t xml:space="preserve"> та </w:t>
      </w:r>
      <w:r w:rsidR="005840BB">
        <w:t>«Б»</w:t>
      </w:r>
      <w:r>
        <w:t xml:space="preserve"> </w:t>
      </w:r>
      <w:r w:rsidRPr="00E40BFA">
        <w:t xml:space="preserve">підгрупах </w:t>
      </w:r>
      <w:r>
        <w:t>у</w:t>
      </w:r>
      <w:r w:rsidRPr="00E40BFA">
        <w:t xml:space="preserve">сіх </w:t>
      </w:r>
      <w:r w:rsidRPr="00E40BFA">
        <w:lastRenderedPageBreak/>
        <w:t xml:space="preserve">вікових груп </w:t>
      </w:r>
      <w:r>
        <w:t>ДВГ</w:t>
      </w:r>
      <w:r w:rsidRPr="00E40BFA">
        <w:t xml:space="preserve"> протягом 12</w:t>
      </w:r>
      <w:r>
        <w:t>-ти</w:t>
      </w:r>
      <w:r w:rsidRPr="00E40BFA">
        <w:t xml:space="preserve"> місяців спостереження відбувалося зниження</w:t>
      </w:r>
      <w:r>
        <w:t xml:space="preserve"> </w:t>
      </w:r>
      <w:r w:rsidRPr="00E40BFA">
        <w:t>індексу гігієни. Через рік від початку проведення лікувально-профілактичних за</w:t>
      </w:r>
      <w:r>
        <w:t xml:space="preserve">ходів як в </w:t>
      </w:r>
      <w:r w:rsidR="005840BB">
        <w:t>«А»</w:t>
      </w:r>
      <w:r>
        <w:t xml:space="preserve">, так і в </w:t>
      </w:r>
      <w:r w:rsidR="005840BB">
        <w:t>«Б»</w:t>
      </w:r>
      <w:r w:rsidRPr="00E40BFA">
        <w:t xml:space="preserve"> підгрупах відбулас</w:t>
      </w:r>
      <w:r>
        <w:t>я</w:t>
      </w:r>
      <w:r w:rsidRPr="00E40BFA">
        <w:t xml:space="preserve"> нормалізація якості гігі</w:t>
      </w:r>
      <w:r>
        <w:t xml:space="preserve">єни порожнини рота (див. табл.  4.1.1). </w:t>
      </w:r>
    </w:p>
    <w:p w:rsidR="00534FB5" w:rsidRPr="00765003" w:rsidRDefault="00534FB5" w:rsidP="00534FB5">
      <w:pPr>
        <w:ind w:firstLine="709"/>
        <w:contextualSpacing/>
        <w:rPr>
          <w:spacing w:val="-7"/>
        </w:rPr>
      </w:pPr>
      <w:r w:rsidRPr="00765003">
        <w:rPr>
          <w:noProof/>
          <w:spacing w:val="-7"/>
          <w:lang w:eastAsia="uk-UA"/>
        </w:rPr>
        <w:t>На рисунках 4.1.1</w:t>
      </w:r>
      <w:r w:rsidRPr="00765003">
        <w:rPr>
          <w:noProof/>
          <w:spacing w:val="-7"/>
          <w:lang w:val="ru-RU" w:eastAsia="uk-UA"/>
        </w:rPr>
        <w:t xml:space="preserve"> </w:t>
      </w:r>
      <w:r w:rsidRPr="00765003">
        <w:rPr>
          <w:noProof/>
          <w:spacing w:val="-7"/>
          <w:lang w:eastAsia="uk-UA"/>
        </w:rPr>
        <w:t>–</w:t>
      </w:r>
      <w:r w:rsidRPr="00765003">
        <w:rPr>
          <w:noProof/>
          <w:spacing w:val="-7"/>
          <w:lang w:val="ru-RU" w:eastAsia="uk-UA"/>
        </w:rPr>
        <w:t xml:space="preserve"> </w:t>
      </w:r>
      <w:r w:rsidRPr="00765003">
        <w:rPr>
          <w:noProof/>
          <w:spacing w:val="-7"/>
          <w:lang w:eastAsia="uk-UA"/>
        </w:rPr>
        <w:t>4.1.</w:t>
      </w:r>
      <w:r w:rsidRPr="00765003">
        <w:rPr>
          <w:noProof/>
          <w:spacing w:val="-7"/>
          <w:lang w:val="ru-RU" w:eastAsia="uk-UA"/>
        </w:rPr>
        <w:t>3</w:t>
      </w:r>
      <w:r w:rsidRPr="00765003">
        <w:rPr>
          <w:noProof/>
          <w:spacing w:val="-7"/>
          <w:lang w:eastAsia="uk-UA"/>
        </w:rPr>
        <w:t xml:space="preserve"> графічно зображено </w:t>
      </w:r>
      <w:r w:rsidRPr="00765003">
        <w:rPr>
          <w:spacing w:val="-7"/>
        </w:rPr>
        <w:t xml:space="preserve">динаміку зміни індексу гігієни (Федоров Ю. А., Володкіна В. В., 1971) у дітей </w:t>
      </w:r>
      <w:r w:rsidRPr="00765003">
        <w:rPr>
          <w:spacing w:val="-7"/>
          <w:lang w:val="ru-RU"/>
        </w:rPr>
        <w:t>ОГ</w:t>
      </w:r>
      <w:r w:rsidRPr="00765003">
        <w:rPr>
          <w:spacing w:val="-7"/>
        </w:rPr>
        <w:t xml:space="preserve"> на етапах лікування.</w:t>
      </w:r>
    </w:p>
    <w:p w:rsidR="00534FB5" w:rsidRDefault="00534FB5" w:rsidP="00534FB5">
      <w:pPr>
        <w:ind w:firstLine="709"/>
        <w:contextualSpacing/>
      </w:pPr>
      <w:r w:rsidRPr="00E40BFA">
        <w:t>В ОГ1а та ОГ1б до проведення лікувально-профілактичних заходів від</w:t>
      </w:r>
      <w:r>
        <w:t>значено</w:t>
      </w:r>
      <w:r w:rsidRPr="00E40BFA">
        <w:t xml:space="preserve"> поганий рівень гіг</w:t>
      </w:r>
      <w:r>
        <w:t xml:space="preserve">ієни. Через 1, 6 та 12 місяців </w:t>
      </w:r>
      <w:r w:rsidRPr="00E40BFA">
        <w:t>від початку проведення лікувально-профілактичних заходів в ОГ1б</w:t>
      </w:r>
      <w:r w:rsidRPr="00DA7B3D">
        <w:t>,</w:t>
      </w:r>
      <w:r w:rsidRPr="00E40BFA">
        <w:t xml:space="preserve"> порівняно з ОГ1а</w:t>
      </w:r>
      <w:r>
        <w:t xml:space="preserve">, </w:t>
      </w:r>
      <w:r w:rsidRPr="00E40BFA">
        <w:t>ГІ</w:t>
      </w:r>
      <w:r>
        <w:t xml:space="preserve"> </w:t>
      </w:r>
      <w:r w:rsidRPr="00E40BFA">
        <w:t>був на 13</w:t>
      </w:r>
      <w:r>
        <w:t> </w:t>
      </w:r>
      <w:r w:rsidRPr="00E40BFA">
        <w:t xml:space="preserve">%, </w:t>
      </w:r>
      <w:r>
        <w:t>23 % та 17 % кращий (див. табл. 4.1.1, рис. </w:t>
      </w:r>
      <w:r>
        <w:rPr>
          <w:noProof/>
          <w:lang w:eastAsia="uk-UA"/>
        </w:rPr>
        <w:t>4.1.1</w:t>
      </w:r>
      <w:r w:rsidRPr="00E40BFA">
        <w:t xml:space="preserve">). </w:t>
      </w:r>
    </w:p>
    <w:p w:rsidR="00534FB5" w:rsidRPr="000135A5" w:rsidRDefault="00534FB5" w:rsidP="00534FB5">
      <w:pPr>
        <w:ind w:firstLine="709"/>
        <w:contextualSpacing/>
        <w:rPr>
          <w:sz w:val="24"/>
        </w:rPr>
      </w:pPr>
    </w:p>
    <w:p w:rsidR="00534FB5" w:rsidRDefault="006C493E" w:rsidP="00534FB5">
      <w:pPr>
        <w:contextualSpacing/>
        <w:jc w:val="center"/>
      </w:pPr>
      <w:r>
        <w:rPr>
          <w:noProof/>
          <w:lang w:val="ru-RU"/>
        </w:rPr>
        <w:drawing>
          <wp:inline distT="0" distB="0" distL="0" distR="0">
            <wp:extent cx="4648200" cy="2752725"/>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34FB5" w:rsidRDefault="00534FB5" w:rsidP="00534FB5">
      <w:pPr>
        <w:ind w:firstLine="709"/>
      </w:pPr>
      <w:r>
        <w:rPr>
          <w:noProof/>
          <w:lang w:eastAsia="uk-UA"/>
        </w:rPr>
        <w:t>Рис. 4.1.1.</w:t>
      </w:r>
      <w:r w:rsidRPr="00E40BFA">
        <w:t xml:space="preserve"> Динаміка зміни індексу гігієни </w:t>
      </w:r>
      <w:r w:rsidRPr="00076956">
        <w:rPr>
          <w:spacing w:val="-13"/>
        </w:rPr>
        <w:t>(Федоров</w:t>
      </w:r>
      <w:r>
        <w:rPr>
          <w:spacing w:val="-13"/>
        </w:rPr>
        <w:t> </w:t>
      </w:r>
      <w:r w:rsidRPr="00076956">
        <w:rPr>
          <w:spacing w:val="-13"/>
        </w:rPr>
        <w:t>Ю. А., Володкіна</w:t>
      </w:r>
      <w:r>
        <w:rPr>
          <w:spacing w:val="-13"/>
        </w:rPr>
        <w:t> </w:t>
      </w:r>
      <w:r w:rsidRPr="00076956">
        <w:rPr>
          <w:spacing w:val="-13"/>
        </w:rPr>
        <w:t>В. В., 1971)</w:t>
      </w:r>
      <w:r w:rsidRPr="00E40BFA">
        <w:t xml:space="preserve"> у дітей 7</w:t>
      </w:r>
      <w:r>
        <w:t xml:space="preserve">-8 років </w:t>
      </w:r>
      <w:r w:rsidRPr="00E40BFA">
        <w:t xml:space="preserve">основної та контрольної груп </w:t>
      </w:r>
      <w:r>
        <w:t>на етапах лікування</w:t>
      </w:r>
      <w:r w:rsidRPr="00E40BFA">
        <w:t xml:space="preserve">. </w:t>
      </w:r>
    </w:p>
    <w:p w:rsidR="00534FB5" w:rsidRPr="00941112" w:rsidRDefault="00534FB5" w:rsidP="00534FB5">
      <w:pPr>
        <w:ind w:firstLine="709"/>
        <w:contextualSpacing/>
      </w:pPr>
    </w:p>
    <w:p w:rsidR="00534FB5" w:rsidRPr="00440187" w:rsidRDefault="00534FB5" w:rsidP="00534FB5">
      <w:pPr>
        <w:ind w:firstLine="709"/>
        <w:contextualSpacing/>
        <w:rPr>
          <w:spacing w:val="-6"/>
          <w:lang w:val="ru-RU"/>
        </w:rPr>
      </w:pPr>
      <w:r w:rsidRPr="00440187">
        <w:rPr>
          <w:spacing w:val="-6"/>
        </w:rPr>
        <w:t>В ОГ2б через 12 міс</w:t>
      </w:r>
      <w:r w:rsidR="00DA7846">
        <w:rPr>
          <w:spacing w:val="-6"/>
        </w:rPr>
        <w:t>яців ГІ досяг значення 1,35±0,19</w:t>
      </w:r>
      <w:r w:rsidRPr="00440187">
        <w:rPr>
          <w:spacing w:val="-6"/>
        </w:rPr>
        <w:t xml:space="preserve">, що відповідає </w:t>
      </w:r>
      <w:r>
        <w:rPr>
          <w:spacing w:val="-6"/>
        </w:rPr>
        <w:t>добр</w:t>
      </w:r>
      <w:r w:rsidRPr="00440187">
        <w:rPr>
          <w:spacing w:val="-6"/>
        </w:rPr>
        <w:t>ому рівню гігієни, а в ОГ2а ГІ с</w:t>
      </w:r>
      <w:r>
        <w:rPr>
          <w:spacing w:val="-6"/>
        </w:rPr>
        <w:t>танови</w:t>
      </w:r>
      <w:r w:rsidR="00DA7846">
        <w:rPr>
          <w:spacing w:val="-6"/>
        </w:rPr>
        <w:t>в 1,76±0,23</w:t>
      </w:r>
      <w:r w:rsidRPr="00440187">
        <w:rPr>
          <w:spacing w:val="-6"/>
        </w:rPr>
        <w:t xml:space="preserve">, що свідчить про задовільний рівень гігієни порожнини рота дітей </w:t>
      </w:r>
      <w:r>
        <w:rPr>
          <w:spacing w:val="-6"/>
        </w:rPr>
        <w:t>ціє</w:t>
      </w:r>
      <w:r w:rsidRPr="00440187">
        <w:rPr>
          <w:spacing w:val="-6"/>
        </w:rPr>
        <w:t>ї групи. Через 1, 6 та 12 місяців</w:t>
      </w:r>
      <w:r>
        <w:rPr>
          <w:spacing w:val="-6"/>
        </w:rPr>
        <w:t xml:space="preserve"> </w:t>
      </w:r>
      <w:r w:rsidRPr="00440187">
        <w:rPr>
          <w:spacing w:val="-6"/>
        </w:rPr>
        <w:t>від початку проведення лікувально-профілактичних заходів в ОГ2б</w:t>
      </w:r>
      <w:r>
        <w:rPr>
          <w:spacing w:val="-6"/>
        </w:rPr>
        <w:t>,</w:t>
      </w:r>
      <w:r w:rsidRPr="00440187">
        <w:rPr>
          <w:spacing w:val="-6"/>
        </w:rPr>
        <w:t xml:space="preserve"> порівняно з ОГ2а</w:t>
      </w:r>
      <w:r>
        <w:rPr>
          <w:spacing w:val="-6"/>
        </w:rPr>
        <w:t xml:space="preserve">, </w:t>
      </w:r>
      <w:r w:rsidRPr="00440187">
        <w:rPr>
          <w:spacing w:val="-6"/>
        </w:rPr>
        <w:t>ГІ</w:t>
      </w:r>
      <w:r>
        <w:rPr>
          <w:spacing w:val="-6"/>
        </w:rPr>
        <w:t xml:space="preserve"> </w:t>
      </w:r>
      <w:r w:rsidRPr="00440187">
        <w:rPr>
          <w:spacing w:val="-6"/>
        </w:rPr>
        <w:t>був на 22 %, 8 % та 30 %</w:t>
      </w:r>
      <w:r>
        <w:rPr>
          <w:spacing w:val="-6"/>
        </w:rPr>
        <w:t xml:space="preserve"> </w:t>
      </w:r>
      <w:r w:rsidRPr="00440187">
        <w:rPr>
          <w:spacing w:val="-6"/>
        </w:rPr>
        <w:t>кращ</w:t>
      </w:r>
      <w:r>
        <w:rPr>
          <w:spacing w:val="-6"/>
        </w:rPr>
        <w:t>и</w:t>
      </w:r>
      <w:r w:rsidRPr="00440187">
        <w:rPr>
          <w:spacing w:val="-6"/>
        </w:rPr>
        <w:t>й (див. табл. 4.1.1, рис.</w:t>
      </w:r>
      <w:r>
        <w:rPr>
          <w:spacing w:val="-6"/>
        </w:rPr>
        <w:t> </w:t>
      </w:r>
      <w:r w:rsidRPr="00440187">
        <w:rPr>
          <w:spacing w:val="-6"/>
        </w:rPr>
        <w:t xml:space="preserve">4.1.2). </w:t>
      </w:r>
    </w:p>
    <w:p w:rsidR="00534FB5" w:rsidRDefault="006C493E" w:rsidP="00534FB5">
      <w:pPr>
        <w:jc w:val="center"/>
      </w:pPr>
      <w:r>
        <w:rPr>
          <w:noProof/>
          <w:lang w:val="ru-RU"/>
        </w:rPr>
        <w:lastRenderedPageBreak/>
        <w:drawing>
          <wp:inline distT="0" distB="0" distL="0" distR="0">
            <wp:extent cx="4638675" cy="2790825"/>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4FB5" w:rsidRDefault="00534FB5" w:rsidP="00534FB5">
      <w:pPr>
        <w:ind w:firstLine="709"/>
        <w:contextualSpacing/>
      </w:pPr>
      <w:r>
        <w:t>Рис. 4.1.2.</w:t>
      </w:r>
      <w:r w:rsidRPr="00E40BFA">
        <w:t xml:space="preserve"> Динаміка зміни індексу гігієни</w:t>
      </w:r>
      <w:r w:rsidRPr="00F53F95">
        <w:rPr>
          <w:spacing w:val="-13"/>
        </w:rPr>
        <w:t xml:space="preserve"> (Федоров Ю. А., Володкіна</w:t>
      </w:r>
      <w:r>
        <w:rPr>
          <w:spacing w:val="-13"/>
        </w:rPr>
        <w:t> </w:t>
      </w:r>
      <w:r w:rsidRPr="00F53F95">
        <w:rPr>
          <w:spacing w:val="-13"/>
        </w:rPr>
        <w:t xml:space="preserve">В. В., 1971) </w:t>
      </w:r>
      <w:r>
        <w:t xml:space="preserve">у дітей </w:t>
      </w:r>
      <w:r w:rsidRPr="00E40BFA">
        <w:t xml:space="preserve">11-12 років основної та контрольної груп </w:t>
      </w:r>
      <w:r>
        <w:t>на етапах лікування</w:t>
      </w:r>
      <w:r w:rsidRPr="00E40BFA">
        <w:t>.</w:t>
      </w:r>
    </w:p>
    <w:p w:rsidR="00534FB5" w:rsidRPr="000135A5" w:rsidRDefault="00534FB5" w:rsidP="00534FB5">
      <w:pPr>
        <w:ind w:firstLine="709"/>
        <w:contextualSpacing/>
        <w:rPr>
          <w:sz w:val="24"/>
        </w:rPr>
      </w:pPr>
    </w:p>
    <w:p w:rsidR="00534FB5" w:rsidRDefault="006C493E" w:rsidP="00534FB5">
      <w:pPr>
        <w:jc w:val="center"/>
      </w:pPr>
      <w:r>
        <w:rPr>
          <w:noProof/>
          <w:lang w:val="ru-RU"/>
        </w:rPr>
        <w:drawing>
          <wp:inline distT="0" distB="0" distL="0" distR="0">
            <wp:extent cx="4600575" cy="2771775"/>
            <wp:effectExtent l="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34FB5" w:rsidRDefault="00534FB5" w:rsidP="00534FB5">
      <w:pPr>
        <w:ind w:firstLine="709"/>
        <w:contextualSpacing/>
        <w:rPr>
          <w:lang w:val="ru-RU"/>
        </w:rPr>
      </w:pPr>
      <w:r>
        <w:rPr>
          <w:noProof/>
          <w:lang w:eastAsia="uk-UA"/>
        </w:rPr>
        <w:t>Рис. 4.1.3.</w:t>
      </w:r>
      <w:r w:rsidRPr="00E40BFA">
        <w:rPr>
          <w:noProof/>
          <w:lang w:eastAsia="uk-UA"/>
        </w:rPr>
        <w:t xml:space="preserve"> </w:t>
      </w:r>
      <w:r w:rsidRPr="00E40BFA">
        <w:t xml:space="preserve">Динаміка зміни індексу гігієни </w:t>
      </w:r>
      <w:r w:rsidRPr="00F53F95">
        <w:rPr>
          <w:spacing w:val="-13"/>
        </w:rPr>
        <w:t>(Федоров Ю. А., Володкіна</w:t>
      </w:r>
      <w:r>
        <w:rPr>
          <w:spacing w:val="-13"/>
        </w:rPr>
        <w:t> </w:t>
      </w:r>
      <w:r w:rsidRPr="00F53F95">
        <w:rPr>
          <w:spacing w:val="-13"/>
        </w:rPr>
        <w:t xml:space="preserve">В. В., 1971) </w:t>
      </w:r>
      <w:r w:rsidRPr="00E40BFA">
        <w:t xml:space="preserve">у дітей 14-15 років основної та контрольної груп </w:t>
      </w:r>
      <w:r>
        <w:t>на етапах лікування</w:t>
      </w:r>
      <w:r w:rsidRPr="00E40BFA">
        <w:t>.</w:t>
      </w:r>
    </w:p>
    <w:p w:rsidR="00534FB5" w:rsidRPr="008831DC" w:rsidRDefault="00534FB5" w:rsidP="00534FB5">
      <w:pPr>
        <w:contextualSpacing/>
        <w:rPr>
          <w:lang w:val="ru-RU"/>
        </w:rPr>
      </w:pPr>
    </w:p>
    <w:p w:rsidR="00534FB5" w:rsidRDefault="00534FB5" w:rsidP="00534FB5">
      <w:pPr>
        <w:ind w:firstLine="709"/>
        <w:contextualSpacing/>
      </w:pPr>
      <w:r w:rsidRPr="00E40BFA">
        <w:t>В ОГ3б за 12 місяців спо</w:t>
      </w:r>
      <w:r>
        <w:t>стереження індекс гігієни знизився в 2,3 раза</w:t>
      </w:r>
      <w:r w:rsidRPr="00E40BFA">
        <w:t xml:space="preserve"> і с</w:t>
      </w:r>
      <w:r>
        <w:t>танови</w:t>
      </w:r>
      <w:r w:rsidRPr="00E40BFA">
        <w:t>в 1,15±0,04 (</w:t>
      </w:r>
      <w:r>
        <w:t>добр</w:t>
      </w:r>
      <w:r w:rsidRPr="00E40BFA">
        <w:t>ий рівень гігієни порожнини рота). В ОГ3а через рік відбулос</w:t>
      </w:r>
      <w:r>
        <w:t>я</w:t>
      </w:r>
      <w:r w:rsidRPr="00E40BFA">
        <w:t xml:space="preserve"> зниження </w:t>
      </w:r>
      <w:r>
        <w:t xml:space="preserve">зазначеного вище </w:t>
      </w:r>
      <w:r w:rsidRPr="00E40BFA">
        <w:t>індексу гігієни в 1,7</w:t>
      </w:r>
      <w:r>
        <w:t> </w:t>
      </w:r>
      <w:r w:rsidRPr="00E40BFA">
        <w:t>раз</w:t>
      </w:r>
      <w:r>
        <w:t>а</w:t>
      </w:r>
      <w:r w:rsidRPr="00E40BFA">
        <w:t xml:space="preserve"> і він с</w:t>
      </w:r>
      <w:r>
        <w:t>танови</w:t>
      </w:r>
      <w:r w:rsidRPr="00E40BFA">
        <w:t>в 1,53±0,10</w:t>
      </w:r>
      <w:r>
        <w:t xml:space="preserve"> </w:t>
      </w:r>
      <w:r w:rsidRPr="00E40BFA">
        <w:t>(</w:t>
      </w:r>
      <w:r>
        <w:t>добр</w:t>
      </w:r>
      <w:r w:rsidRPr="00E40BFA">
        <w:t>ий рівень гігієни порожнини рота). Через 1, 6 та 12 місяців</w:t>
      </w:r>
      <w:r>
        <w:t xml:space="preserve"> </w:t>
      </w:r>
      <w:r w:rsidRPr="00307045">
        <w:rPr>
          <w:spacing w:val="-6"/>
        </w:rPr>
        <w:t xml:space="preserve">від </w:t>
      </w:r>
      <w:r w:rsidRPr="00307045">
        <w:rPr>
          <w:spacing w:val="-6"/>
        </w:rPr>
        <w:lastRenderedPageBreak/>
        <w:t>початку проведення лікувально-профілактичних заходів в ОГ3б</w:t>
      </w:r>
      <w:r>
        <w:rPr>
          <w:spacing w:val="-6"/>
        </w:rPr>
        <w:t>,</w:t>
      </w:r>
      <w:r w:rsidRPr="00307045">
        <w:rPr>
          <w:spacing w:val="-6"/>
        </w:rPr>
        <w:t xml:space="preserve"> порівняно з ОГ3а</w:t>
      </w:r>
      <w:r>
        <w:rPr>
          <w:spacing w:val="-6"/>
        </w:rPr>
        <w:t xml:space="preserve">, </w:t>
      </w:r>
      <w:r w:rsidRPr="00307045">
        <w:rPr>
          <w:spacing w:val="-6"/>
        </w:rPr>
        <w:t>ГІ</w:t>
      </w:r>
      <w:r>
        <w:rPr>
          <w:spacing w:val="-6"/>
        </w:rPr>
        <w:t xml:space="preserve"> </w:t>
      </w:r>
      <w:r w:rsidRPr="00307045">
        <w:rPr>
          <w:spacing w:val="-6"/>
        </w:rPr>
        <w:t>був на 23 %, 52 %</w:t>
      </w:r>
      <w:r>
        <w:rPr>
          <w:spacing w:val="-6"/>
        </w:rPr>
        <w:t xml:space="preserve"> </w:t>
      </w:r>
      <w:r w:rsidRPr="00307045">
        <w:rPr>
          <w:spacing w:val="-6"/>
        </w:rPr>
        <w:t>та 33 %</w:t>
      </w:r>
      <w:r>
        <w:rPr>
          <w:spacing w:val="-6"/>
        </w:rPr>
        <w:t xml:space="preserve"> </w:t>
      </w:r>
      <w:r w:rsidRPr="00307045">
        <w:rPr>
          <w:spacing w:val="-6"/>
        </w:rPr>
        <w:t>кращ</w:t>
      </w:r>
      <w:r>
        <w:rPr>
          <w:spacing w:val="-6"/>
        </w:rPr>
        <w:t>и</w:t>
      </w:r>
      <w:r w:rsidRPr="00307045">
        <w:rPr>
          <w:spacing w:val="-6"/>
        </w:rPr>
        <w:t>й (див. табл.</w:t>
      </w:r>
      <w:r>
        <w:rPr>
          <w:spacing w:val="-6"/>
        </w:rPr>
        <w:t> </w:t>
      </w:r>
      <w:r w:rsidRPr="00307045">
        <w:rPr>
          <w:spacing w:val="-6"/>
        </w:rPr>
        <w:t>4.1.1, рис.</w:t>
      </w:r>
      <w:r>
        <w:rPr>
          <w:spacing w:val="-6"/>
        </w:rPr>
        <w:t> </w:t>
      </w:r>
      <w:r w:rsidRPr="00307045">
        <w:rPr>
          <w:spacing w:val="-6"/>
        </w:rPr>
        <w:t>4.1.3).</w:t>
      </w:r>
    </w:p>
    <w:p w:rsidR="00534FB5" w:rsidRDefault="00534FB5" w:rsidP="00534FB5">
      <w:pPr>
        <w:ind w:firstLine="709"/>
        <w:contextualSpacing/>
        <w:rPr>
          <w:color w:val="000000"/>
        </w:rPr>
      </w:pPr>
      <w:r w:rsidRPr="00E40BFA">
        <w:rPr>
          <w:color w:val="000000"/>
        </w:rPr>
        <w:t xml:space="preserve">Наступною ланкою дослідження гігієнічного стану порожнини рота </w:t>
      </w:r>
      <w:r>
        <w:rPr>
          <w:color w:val="000000"/>
        </w:rPr>
        <w:t>дітей ОГ та КГ стало вивчення</w:t>
      </w:r>
      <w:r w:rsidRPr="00E40BFA">
        <w:rPr>
          <w:color w:val="000000"/>
        </w:rPr>
        <w:t xml:space="preserve"> </w:t>
      </w:r>
      <w:r>
        <w:t xml:space="preserve">ГІ </w:t>
      </w:r>
      <w:r w:rsidRPr="007C16D7">
        <w:t>Stallard</w:t>
      </w:r>
      <w:r>
        <w:t xml:space="preserve"> (1969) (див. табл. 4.1.2)</w:t>
      </w:r>
      <w:r w:rsidRPr="00E40BFA">
        <w:t>.</w:t>
      </w:r>
    </w:p>
    <w:p w:rsidR="00534FB5" w:rsidRPr="00307045" w:rsidRDefault="00534FB5" w:rsidP="00534FB5">
      <w:pPr>
        <w:ind w:firstLine="709"/>
        <w:contextualSpacing/>
        <w:rPr>
          <w:color w:val="000000"/>
        </w:rPr>
      </w:pPr>
    </w:p>
    <w:p w:rsidR="00534FB5" w:rsidRPr="00C77486" w:rsidRDefault="00534FB5" w:rsidP="00534FB5">
      <w:pPr>
        <w:tabs>
          <w:tab w:val="left" w:pos="4253"/>
        </w:tabs>
        <w:ind w:firstLine="709"/>
        <w:contextualSpacing/>
        <w:jc w:val="right"/>
        <w:rPr>
          <w:i/>
        </w:rPr>
      </w:pPr>
      <w:r>
        <w:rPr>
          <w:i/>
        </w:rPr>
        <w:t>Таблиця 4.1</w:t>
      </w:r>
      <w:r w:rsidRPr="00C77486">
        <w:rPr>
          <w:i/>
        </w:rPr>
        <w:t>.2</w:t>
      </w:r>
      <w:r>
        <w:rPr>
          <w:i/>
        </w:rPr>
        <w:t xml:space="preserve"> </w:t>
      </w:r>
    </w:p>
    <w:p w:rsidR="00534FB5" w:rsidRPr="00C77486" w:rsidRDefault="00534FB5" w:rsidP="00534FB5">
      <w:pPr>
        <w:tabs>
          <w:tab w:val="left" w:pos="4253"/>
        </w:tabs>
        <w:spacing w:line="240" w:lineRule="auto"/>
        <w:ind w:firstLine="709"/>
        <w:contextualSpacing/>
        <w:jc w:val="center"/>
        <w:rPr>
          <w:b/>
        </w:rPr>
      </w:pPr>
      <w:r w:rsidRPr="00C77486">
        <w:rPr>
          <w:b/>
        </w:rPr>
        <w:t>Динаміка зміни індексу гігієни</w:t>
      </w:r>
      <w:r>
        <w:rPr>
          <w:b/>
        </w:rPr>
        <w:t xml:space="preserve"> </w:t>
      </w:r>
      <w:r w:rsidRPr="00C77486">
        <w:rPr>
          <w:b/>
        </w:rPr>
        <w:t>Stallard (1969)</w:t>
      </w:r>
      <w:r>
        <w:rPr>
          <w:b/>
        </w:rPr>
        <w:t xml:space="preserve"> </w:t>
      </w:r>
      <w:r w:rsidRPr="00C77486">
        <w:rPr>
          <w:b/>
        </w:rPr>
        <w:t>у дітей 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1843"/>
        <w:gridCol w:w="1985"/>
        <w:gridCol w:w="1983"/>
        <w:gridCol w:w="2092"/>
      </w:tblGrid>
      <w:tr w:rsidR="00534FB5" w:rsidRPr="00E40BFA" w:rsidTr="00534FB5">
        <w:tc>
          <w:tcPr>
            <w:tcW w:w="871" w:type="pct"/>
            <w:vMerge w:val="restart"/>
          </w:tcPr>
          <w:p w:rsidR="00534FB5" w:rsidRPr="00E40BFA" w:rsidRDefault="00534FB5" w:rsidP="00534FB5">
            <w:pPr>
              <w:spacing w:line="240" w:lineRule="auto"/>
              <w:contextualSpacing/>
              <w:jc w:val="center"/>
            </w:pPr>
            <w:r w:rsidRPr="00E40BFA">
              <w:t>Групи</w:t>
            </w:r>
            <w:r>
              <w:t xml:space="preserve"> обстежених </w:t>
            </w:r>
          </w:p>
        </w:tc>
        <w:tc>
          <w:tcPr>
            <w:tcW w:w="4129" w:type="pct"/>
            <w:gridSpan w:val="4"/>
          </w:tcPr>
          <w:p w:rsidR="00534FB5" w:rsidRPr="00BC4E05" w:rsidRDefault="00534FB5" w:rsidP="00534FB5">
            <w:pPr>
              <w:spacing w:line="240" w:lineRule="auto"/>
              <w:contextualSpacing/>
              <w:jc w:val="center"/>
            </w:pPr>
            <w:r>
              <w:t>Індекс гігієни Stallard (1969), М±m</w:t>
            </w:r>
          </w:p>
        </w:tc>
      </w:tr>
      <w:tr w:rsidR="00534FB5" w:rsidRPr="00E40BFA" w:rsidTr="00534FB5">
        <w:trPr>
          <w:trHeight w:val="333"/>
        </w:trPr>
        <w:tc>
          <w:tcPr>
            <w:tcW w:w="871" w:type="pct"/>
            <w:vMerge/>
            <w:tcBorders>
              <w:bottom w:val="single" w:sz="4" w:space="0" w:color="auto"/>
            </w:tcBorders>
          </w:tcPr>
          <w:p w:rsidR="00534FB5" w:rsidRPr="00E40BFA" w:rsidRDefault="00534FB5" w:rsidP="00534FB5">
            <w:pPr>
              <w:spacing w:line="240" w:lineRule="auto"/>
              <w:contextualSpacing/>
              <w:jc w:val="center"/>
            </w:pPr>
          </w:p>
        </w:tc>
        <w:tc>
          <w:tcPr>
            <w:tcW w:w="963" w:type="pct"/>
            <w:tcBorders>
              <w:bottom w:val="single" w:sz="4" w:space="0" w:color="auto"/>
            </w:tcBorders>
          </w:tcPr>
          <w:p w:rsidR="00534FB5" w:rsidRPr="00E40BFA" w:rsidRDefault="00534FB5" w:rsidP="00534FB5">
            <w:pPr>
              <w:spacing w:line="240" w:lineRule="auto"/>
              <w:ind w:left="-107"/>
              <w:contextualSpacing/>
              <w:jc w:val="center"/>
            </w:pPr>
            <w:r w:rsidRPr="00E40BFA">
              <w:t>До лікування</w:t>
            </w:r>
          </w:p>
        </w:tc>
        <w:tc>
          <w:tcPr>
            <w:tcW w:w="1037" w:type="pct"/>
            <w:tcBorders>
              <w:bottom w:val="single" w:sz="4" w:space="0" w:color="auto"/>
            </w:tcBorders>
          </w:tcPr>
          <w:p w:rsidR="00534FB5" w:rsidRPr="00E40BFA" w:rsidRDefault="00534FB5" w:rsidP="00534FB5">
            <w:pPr>
              <w:spacing w:line="240" w:lineRule="auto"/>
              <w:ind w:left="-106"/>
              <w:contextualSpacing/>
              <w:jc w:val="center"/>
            </w:pPr>
            <w:r w:rsidRPr="00E40BFA">
              <w:t>Через 1 місяць</w:t>
            </w:r>
          </w:p>
        </w:tc>
        <w:tc>
          <w:tcPr>
            <w:tcW w:w="1036" w:type="pct"/>
            <w:tcBorders>
              <w:bottom w:val="single" w:sz="4" w:space="0" w:color="auto"/>
            </w:tcBorders>
          </w:tcPr>
          <w:p w:rsidR="00534FB5" w:rsidRPr="00E40BFA" w:rsidRDefault="00534FB5" w:rsidP="00534FB5">
            <w:pPr>
              <w:spacing w:line="240" w:lineRule="auto"/>
              <w:ind w:left="-109"/>
              <w:contextualSpacing/>
              <w:jc w:val="center"/>
            </w:pPr>
            <w:r w:rsidRPr="00E40BFA">
              <w:t>Через 6 місяців</w:t>
            </w:r>
          </w:p>
        </w:tc>
        <w:tc>
          <w:tcPr>
            <w:tcW w:w="1093" w:type="pct"/>
            <w:tcBorders>
              <w:bottom w:val="single" w:sz="4" w:space="0" w:color="auto"/>
            </w:tcBorders>
          </w:tcPr>
          <w:p w:rsidR="00534FB5" w:rsidRPr="00E40BFA" w:rsidRDefault="00534FB5" w:rsidP="00534FB5">
            <w:pPr>
              <w:spacing w:line="240" w:lineRule="auto"/>
              <w:ind w:left="-108"/>
              <w:contextualSpacing/>
              <w:jc w:val="center"/>
            </w:pPr>
            <w:r w:rsidRPr="00E40BFA">
              <w:t>Через 12 місяців</w:t>
            </w:r>
          </w:p>
        </w:tc>
      </w:tr>
      <w:tr w:rsidR="00534FB5" w:rsidRPr="00E40BFA" w:rsidTr="00534FB5">
        <w:tc>
          <w:tcPr>
            <w:tcW w:w="871" w:type="pct"/>
          </w:tcPr>
          <w:p w:rsidR="00534FB5" w:rsidRPr="00E40BFA" w:rsidRDefault="00534FB5" w:rsidP="00534FB5">
            <w:pPr>
              <w:spacing w:line="240" w:lineRule="auto"/>
              <w:contextualSpacing/>
            </w:pPr>
            <w:r w:rsidRPr="00E40BFA">
              <w:t>КГ1</w:t>
            </w:r>
          </w:p>
        </w:tc>
        <w:tc>
          <w:tcPr>
            <w:tcW w:w="963" w:type="pct"/>
          </w:tcPr>
          <w:p w:rsidR="00534FB5" w:rsidRPr="00E40BFA" w:rsidRDefault="00534FB5" w:rsidP="00534FB5">
            <w:pPr>
              <w:spacing w:line="240" w:lineRule="auto"/>
              <w:contextualSpacing/>
            </w:pPr>
            <w:r w:rsidRPr="00E40BFA">
              <w:t>1,03±0,18</w:t>
            </w:r>
          </w:p>
        </w:tc>
        <w:tc>
          <w:tcPr>
            <w:tcW w:w="1037" w:type="pct"/>
          </w:tcPr>
          <w:p w:rsidR="00534FB5" w:rsidRPr="00E40BFA" w:rsidRDefault="00534FB5" w:rsidP="00534FB5">
            <w:pPr>
              <w:spacing w:line="240" w:lineRule="auto"/>
              <w:contextualSpacing/>
              <w:jc w:val="center"/>
            </w:pPr>
            <w:r w:rsidRPr="00E40BFA">
              <w:t>-</w:t>
            </w:r>
          </w:p>
        </w:tc>
        <w:tc>
          <w:tcPr>
            <w:tcW w:w="1036" w:type="pct"/>
          </w:tcPr>
          <w:p w:rsidR="00534FB5" w:rsidRPr="00E40BFA" w:rsidRDefault="00534FB5" w:rsidP="00534FB5">
            <w:pPr>
              <w:spacing w:line="240" w:lineRule="auto"/>
              <w:contextualSpacing/>
              <w:jc w:val="center"/>
            </w:pPr>
            <w:r w:rsidRPr="00E40BFA">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ОГ1а</w:t>
            </w:r>
          </w:p>
        </w:tc>
        <w:tc>
          <w:tcPr>
            <w:tcW w:w="963" w:type="pct"/>
          </w:tcPr>
          <w:p w:rsidR="00534FB5" w:rsidRPr="00E40BFA" w:rsidRDefault="00534FB5" w:rsidP="00534FB5">
            <w:pPr>
              <w:spacing w:line="240" w:lineRule="auto"/>
              <w:contextualSpacing/>
            </w:pPr>
            <w:r w:rsidRPr="00E40BFA">
              <w:t>2,20±0,12</w:t>
            </w:r>
          </w:p>
          <w:p w:rsidR="00534FB5" w:rsidRPr="00E40BFA" w:rsidRDefault="00534FB5" w:rsidP="007C16D7">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1,29±0,19</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36" w:type="pct"/>
          </w:tcPr>
          <w:p w:rsidR="00534FB5" w:rsidRPr="00E40BFA" w:rsidRDefault="00534FB5" w:rsidP="00534FB5">
            <w:pPr>
              <w:spacing w:line="240" w:lineRule="auto"/>
              <w:contextualSpacing/>
            </w:pPr>
            <w:r w:rsidRPr="00E40BFA">
              <w:t>1,06±0,31</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93" w:type="pct"/>
          </w:tcPr>
          <w:p w:rsidR="00534FB5" w:rsidRPr="00E40BFA" w:rsidRDefault="00534FB5" w:rsidP="00534FB5">
            <w:pPr>
              <w:spacing w:line="240" w:lineRule="auto"/>
              <w:contextualSpacing/>
            </w:pPr>
            <w:r w:rsidRPr="00E40BFA">
              <w:t>0,97±0,14</w:t>
            </w:r>
          </w:p>
          <w:p w:rsidR="00534FB5" w:rsidRPr="00E40BFA" w:rsidRDefault="00534FB5" w:rsidP="007C16D7">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ОГ1б</w:t>
            </w:r>
          </w:p>
        </w:tc>
        <w:tc>
          <w:tcPr>
            <w:tcW w:w="963" w:type="pct"/>
          </w:tcPr>
          <w:p w:rsidR="00534FB5" w:rsidRPr="00E40BFA" w:rsidRDefault="00534FB5" w:rsidP="00534FB5">
            <w:pPr>
              <w:spacing w:line="240" w:lineRule="auto"/>
              <w:contextualSpacing/>
            </w:pPr>
            <w:r w:rsidRPr="00E40BFA">
              <w:t>2,17±0,19</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1,06±0,19</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0,67±0,21</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93" w:type="pct"/>
          </w:tcPr>
          <w:p w:rsidR="00534FB5" w:rsidRPr="00E40BFA" w:rsidRDefault="00534FB5" w:rsidP="00534FB5">
            <w:pPr>
              <w:spacing w:line="240" w:lineRule="auto"/>
              <w:contextualSpacing/>
            </w:pPr>
            <w:r w:rsidRPr="00E40BFA">
              <w:t>0,51±0,16</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871" w:type="pct"/>
          </w:tcPr>
          <w:p w:rsidR="00534FB5" w:rsidRPr="00E40BFA" w:rsidRDefault="00534FB5" w:rsidP="00534FB5">
            <w:pPr>
              <w:spacing w:line="240" w:lineRule="auto"/>
              <w:contextualSpacing/>
            </w:pPr>
            <w:r w:rsidRPr="00E40BFA">
              <w:t>КГ2</w:t>
            </w:r>
          </w:p>
        </w:tc>
        <w:tc>
          <w:tcPr>
            <w:tcW w:w="963" w:type="pct"/>
          </w:tcPr>
          <w:p w:rsidR="00534FB5" w:rsidRPr="00E40BFA" w:rsidRDefault="00534FB5" w:rsidP="00534FB5">
            <w:pPr>
              <w:spacing w:line="240" w:lineRule="auto"/>
              <w:contextualSpacing/>
            </w:pPr>
            <w:r w:rsidRPr="00E40BFA">
              <w:t>1,22±0,33</w:t>
            </w:r>
          </w:p>
        </w:tc>
        <w:tc>
          <w:tcPr>
            <w:tcW w:w="1037" w:type="pct"/>
          </w:tcPr>
          <w:p w:rsidR="00534FB5" w:rsidRPr="00E40BFA" w:rsidRDefault="00534FB5" w:rsidP="00534FB5">
            <w:pPr>
              <w:spacing w:line="240" w:lineRule="auto"/>
              <w:contextualSpacing/>
              <w:jc w:val="center"/>
            </w:pPr>
            <w:r w:rsidRPr="00E40BFA">
              <w:t>-</w:t>
            </w:r>
          </w:p>
        </w:tc>
        <w:tc>
          <w:tcPr>
            <w:tcW w:w="1036" w:type="pct"/>
          </w:tcPr>
          <w:p w:rsidR="00534FB5" w:rsidRPr="00E40BFA" w:rsidRDefault="00534FB5" w:rsidP="00534FB5">
            <w:pPr>
              <w:spacing w:line="240" w:lineRule="auto"/>
              <w:contextualSpacing/>
              <w:jc w:val="center"/>
            </w:pPr>
            <w:r w:rsidRPr="00E40BFA">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ОГ2а</w:t>
            </w:r>
          </w:p>
        </w:tc>
        <w:tc>
          <w:tcPr>
            <w:tcW w:w="963" w:type="pct"/>
          </w:tcPr>
          <w:p w:rsidR="00534FB5" w:rsidRPr="00E40BFA" w:rsidRDefault="00534FB5" w:rsidP="00534FB5">
            <w:pPr>
              <w:spacing w:line="240" w:lineRule="auto"/>
              <w:contextualSpacing/>
            </w:pPr>
            <w:r w:rsidRPr="00E40BFA">
              <w:t>1,90±0,13</w:t>
            </w:r>
          </w:p>
          <w:p w:rsidR="00534FB5" w:rsidRPr="00E40BFA" w:rsidRDefault="00534FB5" w:rsidP="007C16D7">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1,28±0,17</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36" w:type="pct"/>
          </w:tcPr>
          <w:p w:rsidR="00534FB5" w:rsidRPr="00E40BFA" w:rsidRDefault="00534FB5" w:rsidP="00534FB5">
            <w:pPr>
              <w:spacing w:line="240" w:lineRule="auto"/>
              <w:contextualSpacing/>
            </w:pPr>
            <w:r w:rsidRPr="00E40BFA">
              <w:t>1,20±0,23</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93" w:type="pct"/>
          </w:tcPr>
          <w:p w:rsidR="00534FB5" w:rsidRPr="00E40BFA" w:rsidRDefault="00534FB5" w:rsidP="00534FB5">
            <w:pPr>
              <w:spacing w:line="240" w:lineRule="auto"/>
              <w:contextualSpacing/>
            </w:pPr>
            <w:r w:rsidRPr="00E40BFA">
              <w:t>0,93±0,15</w:t>
            </w:r>
          </w:p>
          <w:p w:rsidR="00534FB5" w:rsidRPr="00E40BFA" w:rsidRDefault="00534FB5" w:rsidP="007C16D7">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ОГ2б</w:t>
            </w:r>
          </w:p>
        </w:tc>
        <w:tc>
          <w:tcPr>
            <w:tcW w:w="963" w:type="pct"/>
          </w:tcPr>
          <w:p w:rsidR="00534FB5" w:rsidRPr="00E40BFA" w:rsidRDefault="00534FB5" w:rsidP="00534FB5">
            <w:pPr>
              <w:spacing w:line="240" w:lineRule="auto"/>
              <w:contextualSpacing/>
            </w:pPr>
            <w:r w:rsidRPr="00E40BFA">
              <w:t>1,88±0,12</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0,97±0,15</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1,03±0,14</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93" w:type="pct"/>
          </w:tcPr>
          <w:p w:rsidR="00534FB5" w:rsidRPr="00E40BFA" w:rsidRDefault="00534FB5" w:rsidP="00534FB5">
            <w:pPr>
              <w:spacing w:line="240" w:lineRule="auto"/>
              <w:contextualSpacing/>
            </w:pPr>
            <w:r w:rsidRPr="00E40BFA">
              <w:t>0,62±0,12</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0084525B" w:rsidRPr="00E40BFA">
              <w:t>&lt;</w:t>
            </w:r>
            <w:r w:rsidRPr="00E40BFA">
              <w:t>0,05</w:t>
            </w:r>
          </w:p>
        </w:tc>
      </w:tr>
      <w:tr w:rsidR="00534FB5" w:rsidRPr="00E40BFA" w:rsidTr="00534FB5">
        <w:tc>
          <w:tcPr>
            <w:tcW w:w="871" w:type="pct"/>
          </w:tcPr>
          <w:p w:rsidR="00534FB5" w:rsidRPr="00E40BFA" w:rsidRDefault="00534FB5" w:rsidP="00534FB5">
            <w:pPr>
              <w:spacing w:line="240" w:lineRule="auto"/>
              <w:contextualSpacing/>
            </w:pPr>
            <w:r w:rsidRPr="00E40BFA">
              <w:t>КГ3</w:t>
            </w:r>
          </w:p>
        </w:tc>
        <w:tc>
          <w:tcPr>
            <w:tcW w:w="963" w:type="pct"/>
          </w:tcPr>
          <w:p w:rsidR="00534FB5" w:rsidRPr="00E40BFA" w:rsidRDefault="00534FB5" w:rsidP="00534FB5">
            <w:pPr>
              <w:spacing w:line="240" w:lineRule="auto"/>
              <w:contextualSpacing/>
            </w:pPr>
            <w:r w:rsidRPr="00E40BFA">
              <w:t>1,13±0,13</w:t>
            </w:r>
          </w:p>
        </w:tc>
        <w:tc>
          <w:tcPr>
            <w:tcW w:w="1037" w:type="pct"/>
          </w:tcPr>
          <w:p w:rsidR="00534FB5" w:rsidRPr="00E40BFA" w:rsidRDefault="00534FB5" w:rsidP="00534FB5">
            <w:pPr>
              <w:spacing w:line="240" w:lineRule="auto"/>
              <w:contextualSpacing/>
              <w:jc w:val="center"/>
            </w:pPr>
            <w:r w:rsidRPr="00E40BFA">
              <w:t>-</w:t>
            </w:r>
          </w:p>
        </w:tc>
        <w:tc>
          <w:tcPr>
            <w:tcW w:w="1036" w:type="pct"/>
          </w:tcPr>
          <w:p w:rsidR="00534FB5" w:rsidRPr="00E40BFA" w:rsidRDefault="00534FB5" w:rsidP="00534FB5">
            <w:pPr>
              <w:spacing w:line="240" w:lineRule="auto"/>
              <w:contextualSpacing/>
              <w:jc w:val="center"/>
            </w:pPr>
            <w:r w:rsidRPr="00E40BFA">
              <w:t>-</w:t>
            </w:r>
          </w:p>
        </w:tc>
        <w:tc>
          <w:tcPr>
            <w:tcW w:w="1093"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ОГ3а</w:t>
            </w:r>
          </w:p>
        </w:tc>
        <w:tc>
          <w:tcPr>
            <w:tcW w:w="963" w:type="pct"/>
          </w:tcPr>
          <w:p w:rsidR="00534FB5" w:rsidRPr="00E40BFA" w:rsidRDefault="00534FB5" w:rsidP="00534FB5">
            <w:pPr>
              <w:spacing w:line="240" w:lineRule="auto"/>
              <w:contextualSpacing/>
            </w:pPr>
            <w:r w:rsidRPr="00E40BFA">
              <w:t>1,95±0,16</w:t>
            </w:r>
          </w:p>
          <w:p w:rsidR="00534FB5" w:rsidRPr="00E40BFA" w:rsidRDefault="00534FB5" w:rsidP="007C16D7">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1,30±0,22</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36" w:type="pct"/>
          </w:tcPr>
          <w:p w:rsidR="00534FB5" w:rsidRPr="00E40BFA" w:rsidRDefault="00534FB5" w:rsidP="00534FB5">
            <w:pPr>
              <w:spacing w:line="240" w:lineRule="auto"/>
              <w:contextualSpacing/>
            </w:pPr>
            <w:r w:rsidRPr="00E40BFA">
              <w:t>1,26±0,10</w:t>
            </w:r>
          </w:p>
          <w:p w:rsidR="00534FB5" w:rsidRPr="00E40BFA" w:rsidRDefault="00534FB5" w:rsidP="007C16D7">
            <w:pPr>
              <w:spacing w:line="240" w:lineRule="auto"/>
              <w:contextualSpacing/>
            </w:pPr>
            <w:r w:rsidRPr="00E40BFA">
              <w:t>Р</w:t>
            </w:r>
            <w:r w:rsidRPr="00E40BFA">
              <w:rPr>
                <w:vertAlign w:val="subscript"/>
              </w:rPr>
              <w:t>2</w:t>
            </w:r>
            <w:r w:rsidRPr="00E40BFA">
              <w:t>&gt;0,05</w:t>
            </w:r>
          </w:p>
        </w:tc>
        <w:tc>
          <w:tcPr>
            <w:tcW w:w="1093" w:type="pct"/>
          </w:tcPr>
          <w:p w:rsidR="00534FB5" w:rsidRPr="00E40BFA" w:rsidRDefault="00534FB5" w:rsidP="00534FB5">
            <w:pPr>
              <w:spacing w:line="240" w:lineRule="auto"/>
              <w:contextualSpacing/>
            </w:pPr>
            <w:r w:rsidRPr="00E40BFA">
              <w:t>0,83±0,13</w:t>
            </w:r>
          </w:p>
          <w:p w:rsidR="00534FB5" w:rsidRPr="00E40BFA" w:rsidRDefault="00534FB5" w:rsidP="007C16D7">
            <w:pPr>
              <w:spacing w:line="240" w:lineRule="auto"/>
              <w:contextualSpacing/>
            </w:pPr>
            <w:r w:rsidRPr="00E40BFA">
              <w:t>Р</w:t>
            </w:r>
            <w:r w:rsidRPr="00E40BFA">
              <w:rPr>
                <w:vertAlign w:val="subscript"/>
              </w:rPr>
              <w:t>2</w:t>
            </w:r>
            <w:r w:rsidR="00A455C8" w:rsidRPr="00E40BFA">
              <w:t>&lt;</w:t>
            </w:r>
            <w:r w:rsidRPr="00E40BFA">
              <w:t>0,05</w:t>
            </w:r>
          </w:p>
        </w:tc>
      </w:tr>
      <w:tr w:rsidR="00534FB5" w:rsidRPr="00E40BFA" w:rsidTr="00534FB5">
        <w:tc>
          <w:tcPr>
            <w:tcW w:w="871" w:type="pct"/>
          </w:tcPr>
          <w:p w:rsidR="00534FB5" w:rsidRPr="00E40BFA" w:rsidRDefault="00534FB5" w:rsidP="00534FB5">
            <w:pPr>
              <w:spacing w:line="240" w:lineRule="auto"/>
              <w:contextualSpacing/>
            </w:pPr>
            <w:r w:rsidRPr="00E40BFA">
              <w:t>ОГ3б</w:t>
            </w:r>
          </w:p>
        </w:tc>
        <w:tc>
          <w:tcPr>
            <w:tcW w:w="963" w:type="pct"/>
          </w:tcPr>
          <w:p w:rsidR="00534FB5" w:rsidRPr="00E40BFA" w:rsidRDefault="00534FB5" w:rsidP="00534FB5">
            <w:pPr>
              <w:spacing w:line="240" w:lineRule="auto"/>
              <w:contextualSpacing/>
            </w:pPr>
            <w:r w:rsidRPr="00E40BFA">
              <w:t>1,96±0,17</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DE1C8B" w:rsidP="00534FB5">
            <w:pPr>
              <w:spacing w:line="240" w:lineRule="auto"/>
              <w:contextualSpacing/>
            </w:pPr>
            <w:r>
              <w:t>0,86±0,23</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0,36±0,11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093" w:type="pct"/>
          </w:tcPr>
          <w:p w:rsidR="00534FB5" w:rsidRPr="00E40BFA" w:rsidRDefault="00534FB5" w:rsidP="00534FB5">
            <w:pPr>
              <w:spacing w:line="240" w:lineRule="auto"/>
              <w:contextualSpacing/>
            </w:pPr>
            <w:r w:rsidRPr="00E40BFA">
              <w:t>0,20±0,05</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bl>
    <w:p w:rsidR="00534FB5" w:rsidRPr="00340E18"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340E18" w:rsidRDefault="00534FB5" w:rsidP="00534FB5">
      <w:pPr>
        <w:spacing w:line="240" w:lineRule="auto"/>
        <w:ind w:left="-142"/>
        <w:contextualSpacing/>
        <w:rPr>
          <w:sz w:val="24"/>
        </w:rPr>
      </w:pPr>
    </w:p>
    <w:p w:rsidR="00534FB5" w:rsidRPr="00E40BFA" w:rsidRDefault="00534FB5" w:rsidP="00534FB5">
      <w:pPr>
        <w:ind w:firstLine="709"/>
        <w:contextualSpacing/>
      </w:pPr>
      <w:r>
        <w:t>Індекс гігієни Stallard (1969)</w:t>
      </w:r>
      <w:r w:rsidRPr="0043010E">
        <w:rPr>
          <w:spacing w:val="8"/>
        </w:rPr>
        <w:t xml:space="preserve"> </w:t>
      </w:r>
      <w:r>
        <w:rPr>
          <w:spacing w:val="8"/>
        </w:rPr>
        <w:t>належить</w:t>
      </w:r>
      <w:r w:rsidRPr="0043010E">
        <w:rPr>
          <w:spacing w:val="8"/>
        </w:rPr>
        <w:t xml:space="preserve"> до першої групи гігієнічних індексів і є </w:t>
      </w:r>
      <w:r w:rsidRPr="0043010E">
        <w:rPr>
          <w:color w:val="000000"/>
          <w:spacing w:val="8"/>
        </w:rPr>
        <w:t>аналогічний</w:t>
      </w:r>
      <w:r>
        <w:rPr>
          <w:color w:val="000000"/>
        </w:rPr>
        <w:t xml:space="preserve"> </w:t>
      </w:r>
      <w:r w:rsidRPr="00E40BFA">
        <w:rPr>
          <w:color w:val="000000"/>
        </w:rPr>
        <w:t>комбінованому гігієнічному індексу Гр</w:t>
      </w:r>
      <w:r>
        <w:rPr>
          <w:color w:val="000000"/>
        </w:rPr>
        <w:t>і</w:t>
      </w:r>
      <w:r w:rsidRPr="00E40BFA">
        <w:rPr>
          <w:color w:val="000000"/>
        </w:rPr>
        <w:t>на-Верм</w:t>
      </w:r>
      <w:r>
        <w:rPr>
          <w:color w:val="000000"/>
        </w:rPr>
        <w:t>і</w:t>
      </w:r>
      <w:r w:rsidRPr="00E40BFA">
        <w:rPr>
          <w:color w:val="000000"/>
        </w:rPr>
        <w:t xml:space="preserve">льйона в частині зубного нальоту. </w:t>
      </w:r>
      <w:r w:rsidRPr="00E40BFA">
        <w:t xml:space="preserve">У </w:t>
      </w:r>
      <w:r>
        <w:t>ДВГ</w:t>
      </w:r>
      <w:r w:rsidRPr="00E40BFA">
        <w:t xml:space="preserve"> всіх вікових груп, які отримували як стандартну, так і запропоновану схему лікування і профілактики, протягом </w:t>
      </w:r>
      <w:r>
        <w:t xml:space="preserve">року </w:t>
      </w:r>
      <w:r w:rsidRPr="00E40BFA">
        <w:t>спостереження відбулося зниження індексу гігієни Stallard (1969)</w:t>
      </w:r>
      <w:r>
        <w:t xml:space="preserve"> (див. табл. 4.1.2</w:t>
      </w:r>
      <w:r w:rsidRPr="00E40BFA">
        <w:t>)</w:t>
      </w:r>
      <w:r>
        <w:t>.</w:t>
      </w:r>
    </w:p>
    <w:p w:rsidR="00534FB5" w:rsidRDefault="00534FB5" w:rsidP="00534FB5">
      <w:pPr>
        <w:ind w:firstLine="709"/>
        <w:contextualSpacing/>
      </w:pPr>
      <w:r w:rsidRPr="00E40BFA">
        <w:lastRenderedPageBreak/>
        <w:t>Н</w:t>
      </w:r>
      <w:r>
        <w:t>а рисунку 4.1.4</w:t>
      </w:r>
      <w:r>
        <w:rPr>
          <w:lang w:val="ru-RU"/>
        </w:rPr>
        <w:t xml:space="preserve"> – 4.1.6 </w:t>
      </w:r>
      <w:r w:rsidRPr="00E40BFA">
        <w:t>графічно зображено динаміку зміни і</w:t>
      </w:r>
      <w:r>
        <w:t>ндексу гігієни Stallard (1969) у дітей</w:t>
      </w:r>
      <w:r w:rsidRPr="00E40BFA">
        <w:t xml:space="preserve"> основної та контрольної груп до та після проведення лікувально-профілактичних заходів.</w:t>
      </w:r>
    </w:p>
    <w:p w:rsidR="00534FB5" w:rsidRDefault="00534FB5" w:rsidP="00534FB5">
      <w:pPr>
        <w:ind w:firstLine="709"/>
        <w:contextualSpacing/>
      </w:pPr>
    </w:p>
    <w:p w:rsidR="00534FB5" w:rsidRDefault="006C493E" w:rsidP="00534FB5">
      <w:pPr>
        <w:jc w:val="center"/>
      </w:pPr>
      <w:r>
        <w:rPr>
          <w:noProof/>
          <w:lang w:val="ru-RU"/>
        </w:rPr>
        <w:drawing>
          <wp:inline distT="0" distB="0" distL="0" distR="0">
            <wp:extent cx="4610100" cy="2743200"/>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34FB5" w:rsidRDefault="00534FB5" w:rsidP="00534FB5">
      <w:pPr>
        <w:ind w:firstLine="709"/>
        <w:contextualSpacing/>
      </w:pPr>
      <w:r>
        <w:t>Рис. 4.1.4.</w:t>
      </w:r>
      <w:r w:rsidRPr="00E40BFA">
        <w:t xml:space="preserve"> Динаміка зміни індексу гігієни</w:t>
      </w:r>
      <w:r>
        <w:t xml:space="preserve"> </w:t>
      </w:r>
      <w:r w:rsidRPr="00E40BFA">
        <w:t>Stallard (1969)</w:t>
      </w:r>
      <w:r>
        <w:t xml:space="preserve"> </w:t>
      </w:r>
      <w:r w:rsidRPr="00E40BFA">
        <w:t>у дітей</w:t>
      </w:r>
      <w:r>
        <w:t xml:space="preserve"> </w:t>
      </w:r>
      <w:r w:rsidR="00676FBD">
        <w:t xml:space="preserve">           7-8 </w:t>
      </w:r>
      <w:r w:rsidRPr="00E40BFA">
        <w:t xml:space="preserve">років основної та контрольної груп </w:t>
      </w:r>
      <w:r>
        <w:t>на етапах лікування.</w:t>
      </w:r>
    </w:p>
    <w:p w:rsidR="00534FB5" w:rsidRDefault="00534FB5" w:rsidP="00534FB5">
      <w:pPr>
        <w:contextualSpacing/>
      </w:pPr>
    </w:p>
    <w:p w:rsidR="00534FB5" w:rsidRDefault="00534FB5" w:rsidP="00534FB5">
      <w:pPr>
        <w:ind w:firstLine="709"/>
        <w:contextualSpacing/>
      </w:pPr>
      <w:r w:rsidRPr="00E40BFA">
        <w:t xml:space="preserve">В ОГ1а через 1 рік індекс </w:t>
      </w:r>
      <w:r>
        <w:t xml:space="preserve">гігієни </w:t>
      </w:r>
      <w:r w:rsidRPr="00E40BFA">
        <w:t>с</w:t>
      </w:r>
      <w:r>
        <w:t>танови</w:t>
      </w:r>
      <w:r w:rsidRPr="00E40BFA">
        <w:t>в 0,97±0,14 і достовірно не відрізнявся від індексу гігієни КГ1 дітей 1,03±0,18 (Р&gt;0,05).</w:t>
      </w:r>
      <w:r>
        <w:t xml:space="preserve"> </w:t>
      </w:r>
      <w:r w:rsidR="00676FBD">
        <w:t>В ОГ1б через 12 </w:t>
      </w:r>
      <w:r w:rsidRPr="00E40BFA">
        <w:t>місяців спостереження індекс гігієни був у 2 рази нижчий (0,51±0,16)</w:t>
      </w:r>
      <w:r>
        <w:t>,</w:t>
      </w:r>
      <w:r w:rsidRPr="00E40BFA">
        <w:t xml:space="preserve"> порівняно з індексом дітей КГ1 (Р&lt;0,05). Через 1, 6 та 12 місяців</w:t>
      </w:r>
      <w:r>
        <w:t xml:space="preserve"> </w:t>
      </w:r>
      <w:r w:rsidRPr="00E40BFA">
        <w:t>від початку проведення лікувально-профілактичних заходів в ОГ1б</w:t>
      </w:r>
      <w:r>
        <w:t>,</w:t>
      </w:r>
      <w:r w:rsidRPr="00E40BFA">
        <w:t xml:space="preserve"> порівняно з ОГ1а</w:t>
      </w:r>
      <w:r>
        <w:t xml:space="preserve">, індекс гігієни Stallard (1969) </w:t>
      </w:r>
      <w:r w:rsidRPr="00E40BFA">
        <w:t>був на 22</w:t>
      </w:r>
      <w:r>
        <w:t> </w:t>
      </w:r>
      <w:r w:rsidRPr="00E40BFA">
        <w:t>%, 58</w:t>
      </w:r>
      <w:r>
        <w:t> </w:t>
      </w:r>
      <w:r w:rsidRPr="00E40BFA">
        <w:t>% та 90</w:t>
      </w:r>
      <w:r>
        <w:t xml:space="preserve"> % </w:t>
      </w:r>
      <w:r w:rsidRPr="00E40BFA">
        <w:t>нижчий</w:t>
      </w:r>
      <w:r w:rsidR="00676FBD">
        <w:t xml:space="preserve"> (див. </w:t>
      </w:r>
      <w:r>
        <w:t>табл. 4.1.2, рис. 4.1.4</w:t>
      </w:r>
      <w:r w:rsidRPr="00E40BFA">
        <w:t xml:space="preserve">). </w:t>
      </w:r>
    </w:p>
    <w:p w:rsidR="00534FB5" w:rsidRDefault="00534FB5" w:rsidP="00534FB5">
      <w:pPr>
        <w:ind w:firstLine="709"/>
        <w:contextualSpacing/>
      </w:pPr>
      <w:r>
        <w:t>З таблиці 4.1.2 та рисунку 4.1.5 видно, що у</w:t>
      </w:r>
      <w:r w:rsidRPr="00E40BFA">
        <w:t xml:space="preserve"> </w:t>
      </w:r>
      <w:r>
        <w:t>ДВГ</w:t>
      </w:r>
      <w:r w:rsidRPr="00E40BFA">
        <w:t xml:space="preserve"> ОГ2а через </w:t>
      </w:r>
      <w:r>
        <w:t>рік</w:t>
      </w:r>
      <w:r w:rsidRPr="00E40BFA">
        <w:t xml:space="preserve"> </w:t>
      </w:r>
      <w:r>
        <w:t>ГІ</w:t>
      </w:r>
      <w:r w:rsidR="00676FBD">
        <w:t> </w:t>
      </w:r>
      <w:r w:rsidRPr="00E40BFA">
        <w:t>Stallard (1969) с</w:t>
      </w:r>
      <w:r>
        <w:t>танови</w:t>
      </w:r>
      <w:r w:rsidRPr="00E40BFA">
        <w:t xml:space="preserve">в 0,93±0,15 і достовірно (Р&gt;0,05) не відрізнявся від </w:t>
      </w:r>
      <w:r>
        <w:t>ГІ дітей КГ2 (1,22±0,33). В ОГ2б</w:t>
      </w:r>
      <w:r w:rsidRPr="00E40BFA">
        <w:t xml:space="preserve"> </w:t>
      </w:r>
      <w:r>
        <w:t>через 12 місяців ГІ Stallard </w:t>
      </w:r>
      <w:r w:rsidRPr="00E40BFA">
        <w:t xml:space="preserve">(1969) був </w:t>
      </w:r>
      <w:r>
        <w:t>у</w:t>
      </w:r>
      <w:r w:rsidR="00676FBD">
        <w:t xml:space="preserve"> 2 </w:t>
      </w:r>
      <w:r w:rsidRPr="00E40BFA">
        <w:t>ра</w:t>
      </w:r>
      <w:r>
        <w:t xml:space="preserve">зи нижчий (0,62±0,12), порівняно </w:t>
      </w:r>
      <w:r w:rsidRPr="00E40BFA">
        <w:t xml:space="preserve">з </w:t>
      </w:r>
      <w:r>
        <w:t>ДВГ</w:t>
      </w:r>
      <w:r w:rsidRPr="00E40BFA">
        <w:t xml:space="preserve"> КГ2 (1,22±0,33)</w:t>
      </w:r>
      <w:r>
        <w:t xml:space="preserve"> (</w:t>
      </w:r>
      <w:r w:rsidRPr="00E40BFA">
        <w:t>Р&lt;0,01</w:t>
      </w:r>
      <w:r>
        <w:t>)</w:t>
      </w:r>
      <w:r w:rsidRPr="00E40BFA">
        <w:t>. Через 1, 6 та 12 місяців</w:t>
      </w:r>
      <w:r>
        <w:t xml:space="preserve"> у ОГ2б, порівняно з ОГ2а, ГІ </w:t>
      </w:r>
      <w:r w:rsidRPr="00E40BFA">
        <w:t>був на 32</w:t>
      </w:r>
      <w:r>
        <w:t> </w:t>
      </w:r>
      <w:r w:rsidRPr="00E40BFA">
        <w:t>%, 17</w:t>
      </w:r>
      <w:r>
        <w:t> </w:t>
      </w:r>
      <w:r w:rsidRPr="00E40BFA">
        <w:t>% та 5</w:t>
      </w:r>
      <w:r>
        <w:t>0 % нижчий</w:t>
      </w:r>
      <w:r w:rsidRPr="00E40BFA">
        <w:t>.</w:t>
      </w:r>
    </w:p>
    <w:p w:rsidR="00534FB5" w:rsidRPr="00340E18" w:rsidRDefault="00534FB5" w:rsidP="00534FB5">
      <w:pPr>
        <w:ind w:firstLine="709"/>
        <w:contextualSpacing/>
      </w:pPr>
    </w:p>
    <w:p w:rsidR="00534FB5" w:rsidRDefault="006C493E" w:rsidP="00534FB5">
      <w:pPr>
        <w:jc w:val="center"/>
      </w:pPr>
      <w:r>
        <w:rPr>
          <w:noProof/>
          <w:lang w:val="ru-RU"/>
        </w:rPr>
        <w:drawing>
          <wp:inline distT="0" distB="0" distL="0" distR="0">
            <wp:extent cx="4591050" cy="2743200"/>
            <wp:effectExtent l="0" t="0" r="0" b="0"/>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34FB5" w:rsidRDefault="00534FB5" w:rsidP="00534FB5">
      <w:pPr>
        <w:ind w:firstLine="709"/>
      </w:pPr>
      <w:r>
        <w:t>Рис. 4.1.5.</w:t>
      </w:r>
      <w:r w:rsidRPr="00E40BFA">
        <w:t xml:space="preserve"> Динаміка зміни індексу гігієни</w:t>
      </w:r>
      <w:r>
        <w:t xml:space="preserve"> </w:t>
      </w:r>
      <w:r w:rsidRPr="00E40BFA">
        <w:t>Stallard (1969)</w:t>
      </w:r>
      <w:r>
        <w:t xml:space="preserve"> </w:t>
      </w:r>
      <w:r w:rsidRPr="00E40BFA">
        <w:t>у дітей</w:t>
      </w:r>
      <w:r>
        <w:t xml:space="preserve"> </w:t>
      </w:r>
      <w:r w:rsidR="00676FBD">
        <w:t xml:space="preserve">         </w:t>
      </w:r>
      <w:r w:rsidRPr="00E40BFA">
        <w:t xml:space="preserve">11-12 років основної та контрольної груп </w:t>
      </w:r>
      <w:r>
        <w:t>на етапах лікування.</w:t>
      </w:r>
    </w:p>
    <w:p w:rsidR="00534FB5" w:rsidRPr="00340E18" w:rsidRDefault="00534FB5" w:rsidP="00534FB5">
      <w:pPr>
        <w:contextualSpacing/>
      </w:pPr>
    </w:p>
    <w:p w:rsidR="00534FB5" w:rsidRPr="00E40BFA" w:rsidRDefault="006C493E" w:rsidP="00534FB5">
      <w:pPr>
        <w:jc w:val="center"/>
      </w:pPr>
      <w:r>
        <w:rPr>
          <w:noProof/>
          <w:lang w:val="ru-RU"/>
        </w:rPr>
        <w:drawing>
          <wp:inline distT="0" distB="0" distL="0" distR="0">
            <wp:extent cx="4657725" cy="2771775"/>
            <wp:effectExtent l="0" t="0" r="0" b="0"/>
            <wp:docPr id="34"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34FB5" w:rsidRPr="00340E18" w:rsidRDefault="00534FB5" w:rsidP="00534FB5">
      <w:pPr>
        <w:ind w:firstLine="709"/>
      </w:pPr>
      <w:r>
        <w:t xml:space="preserve">Рис. 4.1.6. </w:t>
      </w:r>
      <w:r w:rsidRPr="00E40BFA">
        <w:t>Динаміка зміни індексу гіг</w:t>
      </w:r>
      <w:r>
        <w:t xml:space="preserve">ієни Stallard (1969) у дітей </w:t>
      </w:r>
      <w:r w:rsidR="00676FBD">
        <w:t xml:space="preserve">         </w:t>
      </w:r>
      <w:r w:rsidRPr="00E40BFA">
        <w:t xml:space="preserve">14-15 років основної та контрольної груп </w:t>
      </w:r>
      <w:r>
        <w:t>на етапах лікування</w:t>
      </w:r>
      <w:r w:rsidRPr="00E40BFA">
        <w:t>.</w:t>
      </w:r>
    </w:p>
    <w:p w:rsidR="00534FB5" w:rsidRPr="00340E18" w:rsidRDefault="00534FB5" w:rsidP="00534FB5">
      <w:pPr>
        <w:ind w:firstLine="709"/>
      </w:pPr>
    </w:p>
    <w:p w:rsidR="00534FB5" w:rsidRPr="00520949" w:rsidRDefault="00534FB5" w:rsidP="00534FB5">
      <w:pPr>
        <w:ind w:firstLine="709"/>
        <w:contextualSpacing/>
      </w:pPr>
      <w:r w:rsidRPr="00E40BFA">
        <w:t xml:space="preserve">У дітей ОГ3а через рік спостереження </w:t>
      </w:r>
      <w:r>
        <w:t>ГІ</w:t>
      </w:r>
      <w:r w:rsidRPr="00E40BFA">
        <w:t xml:space="preserve"> Stallard (1969) с</w:t>
      </w:r>
      <w:r>
        <w:t>танови</w:t>
      </w:r>
      <w:r w:rsidRPr="00E40BFA">
        <w:t xml:space="preserve">в 0,83±0,13 і достовірно (Р&gt;0,05) не відрізнявся від </w:t>
      </w:r>
      <w:r>
        <w:t>ГІ</w:t>
      </w:r>
      <w:r w:rsidR="00676FBD">
        <w:t xml:space="preserve"> дітей КГ3 (1,13±0,13). В </w:t>
      </w:r>
      <w:r w:rsidRPr="00E40BFA">
        <w:t xml:space="preserve">ОГ3б </w:t>
      </w:r>
      <w:r w:rsidRPr="0032273E">
        <w:rPr>
          <w:spacing w:val="-8"/>
        </w:rPr>
        <w:t>через 12 місяців від початку проведення запропонованих лікувально-</w:t>
      </w:r>
      <w:r w:rsidRPr="0032273E">
        <w:rPr>
          <w:spacing w:val="-8"/>
        </w:rPr>
        <w:lastRenderedPageBreak/>
        <w:t xml:space="preserve">профілактичних заходів ГІ був </w:t>
      </w:r>
      <w:r>
        <w:rPr>
          <w:spacing w:val="-8"/>
        </w:rPr>
        <w:t>у</w:t>
      </w:r>
      <w:r w:rsidRPr="0032273E">
        <w:rPr>
          <w:spacing w:val="-8"/>
        </w:rPr>
        <w:t xml:space="preserve"> 5,7 разів нижчий</w:t>
      </w:r>
      <w:r>
        <w:rPr>
          <w:spacing w:val="-8"/>
        </w:rPr>
        <w:t xml:space="preserve"> </w:t>
      </w:r>
      <w:r w:rsidRPr="0032273E">
        <w:rPr>
          <w:spacing w:val="-8"/>
        </w:rPr>
        <w:t>(0,20±0,05)</w:t>
      </w:r>
      <w:r>
        <w:rPr>
          <w:spacing w:val="-8"/>
        </w:rPr>
        <w:t>,</w:t>
      </w:r>
      <w:r w:rsidRPr="0032273E">
        <w:rPr>
          <w:spacing w:val="-8"/>
        </w:rPr>
        <w:t xml:space="preserve"> порівняно з дітьми КГ3 (1,13±0,13) (Р&lt;</w:t>
      </w:r>
      <w:r w:rsidRPr="00520949">
        <w:rPr>
          <w:spacing w:val="-8"/>
        </w:rPr>
        <w:t>0,01). Через 1, 6 та 12 місяц</w:t>
      </w:r>
      <w:r w:rsidR="00676FBD">
        <w:rPr>
          <w:spacing w:val="-8"/>
        </w:rPr>
        <w:t>ів в ОГ3б, порівняно з ОГ3а, ГІ </w:t>
      </w:r>
      <w:r w:rsidRPr="00520949">
        <w:rPr>
          <w:spacing w:val="-8"/>
        </w:rPr>
        <w:t>Stallard (1969) був у 1,5, 3,5 та 4,2 раза нижчий (див. табл. 4.1.2, рис. 4.1.6).</w:t>
      </w:r>
    </w:p>
    <w:p w:rsidR="00534FB5" w:rsidRPr="00520949" w:rsidRDefault="00534FB5" w:rsidP="00534FB5">
      <w:pPr>
        <w:ind w:firstLine="709"/>
        <w:contextualSpacing/>
      </w:pPr>
      <w:r w:rsidRPr="00520949">
        <w:t>Дослідження ГІ J. Silness (1964) і H. Loe (1967) у дітей ОГ та КГ на етапах лікування наведено в таблиці 4.1.3.</w:t>
      </w:r>
    </w:p>
    <w:p w:rsidR="00534FB5" w:rsidRPr="00520949" w:rsidRDefault="00534FB5" w:rsidP="00534FB5">
      <w:pPr>
        <w:ind w:firstLine="709"/>
        <w:contextualSpacing/>
        <w:rPr>
          <w:sz w:val="14"/>
        </w:rPr>
      </w:pPr>
    </w:p>
    <w:p w:rsidR="00534FB5" w:rsidRPr="00520949" w:rsidRDefault="00534FB5" w:rsidP="00534FB5">
      <w:pPr>
        <w:ind w:firstLine="709"/>
        <w:contextualSpacing/>
        <w:jc w:val="right"/>
        <w:rPr>
          <w:i/>
        </w:rPr>
      </w:pPr>
      <w:r w:rsidRPr="00520949">
        <w:rPr>
          <w:i/>
        </w:rPr>
        <w:t xml:space="preserve">Таблиця 4.1.3 </w:t>
      </w:r>
    </w:p>
    <w:p w:rsidR="00534FB5" w:rsidRPr="00317128" w:rsidRDefault="00534FB5" w:rsidP="00534FB5">
      <w:pPr>
        <w:spacing w:line="240" w:lineRule="auto"/>
        <w:ind w:firstLine="709"/>
        <w:contextualSpacing/>
        <w:jc w:val="center"/>
        <w:rPr>
          <w:b/>
        </w:rPr>
      </w:pPr>
      <w:r w:rsidRPr="00520949">
        <w:rPr>
          <w:b/>
        </w:rPr>
        <w:t xml:space="preserve">Динаміка зміни </w:t>
      </w:r>
      <w:r w:rsidRPr="00520949">
        <w:rPr>
          <w:b/>
          <w:color w:val="000000"/>
        </w:rPr>
        <w:t xml:space="preserve">індексу гігієни </w:t>
      </w:r>
      <w:r w:rsidRPr="00520949">
        <w:rPr>
          <w:b/>
        </w:rPr>
        <w:t>J. Silness (1964) і H. Loe</w:t>
      </w:r>
      <w:r w:rsidRPr="00317128">
        <w:rPr>
          <w:b/>
        </w:rPr>
        <w:t xml:space="preserve"> (1967) у дітей 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1843"/>
        <w:gridCol w:w="1985"/>
        <w:gridCol w:w="1987"/>
        <w:gridCol w:w="2088"/>
      </w:tblGrid>
      <w:tr w:rsidR="00534FB5" w:rsidRPr="00E40BFA" w:rsidTr="00534FB5">
        <w:trPr>
          <w:trHeight w:val="432"/>
        </w:trPr>
        <w:tc>
          <w:tcPr>
            <w:tcW w:w="871" w:type="pct"/>
            <w:vMerge w:val="restart"/>
          </w:tcPr>
          <w:p w:rsidR="00534FB5" w:rsidRPr="00E40BFA" w:rsidRDefault="00534FB5" w:rsidP="00534FB5">
            <w:pPr>
              <w:spacing w:line="240" w:lineRule="auto"/>
              <w:contextualSpacing/>
              <w:jc w:val="center"/>
            </w:pPr>
            <w:r w:rsidRPr="00E40BFA">
              <w:t>Г</w:t>
            </w:r>
            <w:r>
              <w:t xml:space="preserve">рупи обстежених </w:t>
            </w:r>
          </w:p>
        </w:tc>
        <w:tc>
          <w:tcPr>
            <w:tcW w:w="4129" w:type="pct"/>
            <w:gridSpan w:val="4"/>
            <w:tcBorders>
              <w:bottom w:val="single" w:sz="4" w:space="0" w:color="auto"/>
            </w:tcBorders>
          </w:tcPr>
          <w:p w:rsidR="00534FB5" w:rsidRPr="00E40BFA" w:rsidRDefault="00534FB5" w:rsidP="00534FB5">
            <w:pPr>
              <w:spacing w:line="240" w:lineRule="auto"/>
              <w:contextualSpacing/>
              <w:jc w:val="center"/>
            </w:pPr>
            <w:r>
              <w:rPr>
                <w:color w:val="000000"/>
              </w:rPr>
              <w:t>Індекс</w:t>
            </w:r>
            <w:r w:rsidRPr="00E40BFA">
              <w:rPr>
                <w:color w:val="000000"/>
              </w:rPr>
              <w:t xml:space="preserve"> гігієни </w:t>
            </w:r>
            <w:r w:rsidRPr="00E40BFA">
              <w:t>J. Silness (1964) і</w:t>
            </w:r>
            <w:r>
              <w:t xml:space="preserve"> </w:t>
            </w:r>
            <w:r w:rsidRPr="00E40BFA">
              <w:t>H. Loe (1967)</w:t>
            </w:r>
            <w:r>
              <w:t>, M</w:t>
            </w:r>
            <w:r w:rsidRPr="0058053F">
              <w:t>±</w:t>
            </w:r>
            <w:r>
              <w:rPr>
                <w:lang w:val="en-AU"/>
              </w:rPr>
              <w:t>m</w:t>
            </w:r>
            <w:r>
              <w:t xml:space="preserve"> </w:t>
            </w:r>
          </w:p>
        </w:tc>
      </w:tr>
      <w:tr w:rsidR="00534FB5" w:rsidRPr="00E40BFA" w:rsidTr="00534FB5">
        <w:trPr>
          <w:trHeight w:val="444"/>
        </w:trPr>
        <w:tc>
          <w:tcPr>
            <w:tcW w:w="871" w:type="pct"/>
            <w:vMerge/>
            <w:tcBorders>
              <w:bottom w:val="single" w:sz="4" w:space="0" w:color="auto"/>
            </w:tcBorders>
          </w:tcPr>
          <w:p w:rsidR="00534FB5" w:rsidRPr="00E40BFA" w:rsidRDefault="00534FB5" w:rsidP="00534FB5">
            <w:pPr>
              <w:spacing w:line="240" w:lineRule="auto"/>
              <w:contextualSpacing/>
              <w:jc w:val="center"/>
            </w:pPr>
          </w:p>
        </w:tc>
        <w:tc>
          <w:tcPr>
            <w:tcW w:w="963" w:type="pct"/>
            <w:tcBorders>
              <w:bottom w:val="single" w:sz="4" w:space="0" w:color="auto"/>
            </w:tcBorders>
          </w:tcPr>
          <w:p w:rsidR="00534FB5" w:rsidRPr="00E40BFA" w:rsidRDefault="00534FB5" w:rsidP="00534FB5">
            <w:pPr>
              <w:spacing w:line="240" w:lineRule="auto"/>
              <w:contextualSpacing/>
              <w:jc w:val="center"/>
            </w:pPr>
            <w:r w:rsidRPr="00E40BFA">
              <w:t>До лікування</w:t>
            </w:r>
          </w:p>
        </w:tc>
        <w:tc>
          <w:tcPr>
            <w:tcW w:w="1037" w:type="pct"/>
            <w:tcBorders>
              <w:bottom w:val="single" w:sz="4" w:space="0" w:color="auto"/>
            </w:tcBorders>
          </w:tcPr>
          <w:p w:rsidR="00534FB5" w:rsidRPr="00E40BFA" w:rsidRDefault="00534FB5" w:rsidP="00534FB5">
            <w:pPr>
              <w:spacing w:line="240" w:lineRule="auto"/>
              <w:ind w:left="-109"/>
              <w:contextualSpacing/>
              <w:jc w:val="center"/>
            </w:pPr>
            <w:r w:rsidRPr="00E40BFA">
              <w:t>Через 1 місяць</w:t>
            </w:r>
          </w:p>
        </w:tc>
        <w:tc>
          <w:tcPr>
            <w:tcW w:w="1038" w:type="pct"/>
            <w:tcBorders>
              <w:bottom w:val="single" w:sz="4" w:space="0" w:color="auto"/>
            </w:tcBorders>
          </w:tcPr>
          <w:p w:rsidR="00534FB5" w:rsidRPr="00E40BFA" w:rsidRDefault="00534FB5" w:rsidP="00534FB5">
            <w:pPr>
              <w:spacing w:line="240" w:lineRule="auto"/>
              <w:ind w:left="-109"/>
              <w:contextualSpacing/>
              <w:jc w:val="center"/>
            </w:pPr>
            <w:r w:rsidRPr="00E40BFA">
              <w:t>Через 6 місяців</w:t>
            </w:r>
          </w:p>
        </w:tc>
        <w:tc>
          <w:tcPr>
            <w:tcW w:w="1091" w:type="pct"/>
            <w:tcBorders>
              <w:bottom w:val="single" w:sz="4" w:space="0" w:color="auto"/>
            </w:tcBorders>
          </w:tcPr>
          <w:p w:rsidR="00534FB5" w:rsidRPr="00E40BFA" w:rsidRDefault="00534FB5" w:rsidP="00534FB5">
            <w:pPr>
              <w:spacing w:line="240" w:lineRule="auto"/>
              <w:ind w:left="-146"/>
              <w:contextualSpacing/>
              <w:jc w:val="center"/>
            </w:pPr>
            <w:r w:rsidRPr="00E40BFA">
              <w:t>Через 12 місяців</w:t>
            </w:r>
          </w:p>
        </w:tc>
      </w:tr>
      <w:tr w:rsidR="00534FB5" w:rsidRPr="00E40BFA" w:rsidTr="00534FB5">
        <w:tc>
          <w:tcPr>
            <w:tcW w:w="871" w:type="pct"/>
          </w:tcPr>
          <w:p w:rsidR="00534FB5" w:rsidRPr="00E40BFA" w:rsidRDefault="00534FB5" w:rsidP="00534FB5">
            <w:pPr>
              <w:spacing w:line="240" w:lineRule="auto"/>
              <w:contextualSpacing/>
            </w:pPr>
            <w:r w:rsidRPr="00E40BFA">
              <w:t>КГ1</w:t>
            </w:r>
          </w:p>
        </w:tc>
        <w:tc>
          <w:tcPr>
            <w:tcW w:w="963" w:type="pct"/>
          </w:tcPr>
          <w:p w:rsidR="00534FB5" w:rsidRPr="00E40BFA" w:rsidRDefault="00534FB5" w:rsidP="00534FB5">
            <w:pPr>
              <w:spacing w:line="240" w:lineRule="auto"/>
              <w:contextualSpacing/>
            </w:pPr>
            <w:r w:rsidRPr="00E40BFA">
              <w:t>1,12±0,18</w:t>
            </w:r>
          </w:p>
        </w:tc>
        <w:tc>
          <w:tcPr>
            <w:tcW w:w="1037" w:type="pct"/>
          </w:tcPr>
          <w:p w:rsidR="00534FB5" w:rsidRPr="00E40BFA" w:rsidRDefault="00534FB5" w:rsidP="00534FB5">
            <w:pPr>
              <w:spacing w:line="240" w:lineRule="auto"/>
              <w:contextualSpacing/>
              <w:jc w:val="center"/>
            </w:pPr>
            <w:r w:rsidRPr="00E40BFA">
              <w:t>-</w:t>
            </w:r>
          </w:p>
        </w:tc>
        <w:tc>
          <w:tcPr>
            <w:tcW w:w="1038" w:type="pct"/>
          </w:tcPr>
          <w:p w:rsidR="00534FB5" w:rsidRPr="00E40BFA" w:rsidRDefault="00534FB5" w:rsidP="00534FB5">
            <w:pPr>
              <w:spacing w:line="240" w:lineRule="auto"/>
              <w:contextualSpacing/>
              <w:jc w:val="center"/>
            </w:pPr>
            <w:r w:rsidRPr="00E40BFA">
              <w:t>-</w:t>
            </w:r>
          </w:p>
        </w:tc>
        <w:tc>
          <w:tcPr>
            <w:tcW w:w="1091"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ОГ1а</w:t>
            </w:r>
          </w:p>
        </w:tc>
        <w:tc>
          <w:tcPr>
            <w:tcW w:w="963" w:type="pct"/>
          </w:tcPr>
          <w:p w:rsidR="00534FB5" w:rsidRPr="00E40BFA" w:rsidRDefault="00534FB5" w:rsidP="00534FB5">
            <w:pPr>
              <w:spacing w:line="240" w:lineRule="auto"/>
              <w:contextualSpacing/>
            </w:pPr>
            <w:r w:rsidRPr="00E40BFA">
              <w:t>2,27±0,12</w:t>
            </w:r>
          </w:p>
          <w:p w:rsidR="00534FB5" w:rsidRPr="00E40BFA" w:rsidRDefault="00534FB5" w:rsidP="00520949">
            <w:pPr>
              <w:tabs>
                <w:tab w:val="left" w:pos="4253"/>
              </w:tabs>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1,35±0,19</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38" w:type="pct"/>
          </w:tcPr>
          <w:p w:rsidR="00534FB5" w:rsidRPr="00E40BFA" w:rsidRDefault="00534FB5" w:rsidP="00534FB5">
            <w:pPr>
              <w:spacing w:line="240" w:lineRule="auto"/>
              <w:contextualSpacing/>
            </w:pPr>
            <w:r w:rsidRPr="00E40BFA">
              <w:t>1,15±0,31</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91" w:type="pct"/>
          </w:tcPr>
          <w:p w:rsidR="00534FB5" w:rsidRPr="00E40BFA" w:rsidRDefault="00534FB5" w:rsidP="00534FB5">
            <w:pPr>
              <w:spacing w:line="240" w:lineRule="auto"/>
              <w:contextualSpacing/>
            </w:pPr>
            <w:r w:rsidRPr="00E40BFA">
              <w:t>1,04±0,14</w:t>
            </w:r>
          </w:p>
          <w:p w:rsidR="00534FB5" w:rsidRPr="00E40BFA" w:rsidRDefault="00534FB5" w:rsidP="00520949">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ОГ1б</w:t>
            </w:r>
          </w:p>
        </w:tc>
        <w:tc>
          <w:tcPr>
            <w:tcW w:w="963" w:type="pct"/>
          </w:tcPr>
          <w:p w:rsidR="00534FB5" w:rsidRPr="00E40BFA" w:rsidRDefault="00534FB5" w:rsidP="00534FB5">
            <w:pPr>
              <w:spacing w:line="240" w:lineRule="auto"/>
              <w:contextualSpacing/>
            </w:pPr>
            <w:r w:rsidRPr="00E40BFA">
              <w:t>2,26±0,19</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1,16±0,19</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8" w:type="pct"/>
          </w:tcPr>
          <w:p w:rsidR="00534FB5" w:rsidRPr="00E40BFA" w:rsidRDefault="00534FB5" w:rsidP="00534FB5">
            <w:pPr>
              <w:spacing w:line="240" w:lineRule="auto"/>
              <w:contextualSpacing/>
            </w:pPr>
            <w:r w:rsidRPr="00E40BFA">
              <w:t>0,74±0,21</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91" w:type="pct"/>
          </w:tcPr>
          <w:p w:rsidR="00534FB5" w:rsidRPr="00E40BFA" w:rsidRDefault="00534FB5" w:rsidP="00534FB5">
            <w:pPr>
              <w:spacing w:line="240" w:lineRule="auto"/>
              <w:contextualSpacing/>
            </w:pPr>
            <w:r w:rsidRPr="00E40BFA">
              <w:t>0,56±0,16</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871" w:type="pct"/>
          </w:tcPr>
          <w:p w:rsidR="00534FB5" w:rsidRPr="00E40BFA" w:rsidRDefault="00534FB5" w:rsidP="00534FB5">
            <w:pPr>
              <w:spacing w:line="240" w:lineRule="auto"/>
              <w:contextualSpacing/>
            </w:pPr>
            <w:r w:rsidRPr="00E40BFA">
              <w:t>КГ2</w:t>
            </w:r>
          </w:p>
        </w:tc>
        <w:tc>
          <w:tcPr>
            <w:tcW w:w="963" w:type="pct"/>
          </w:tcPr>
          <w:p w:rsidR="00534FB5" w:rsidRPr="00E40BFA" w:rsidRDefault="00534FB5" w:rsidP="00534FB5">
            <w:pPr>
              <w:spacing w:line="240" w:lineRule="auto"/>
              <w:contextualSpacing/>
            </w:pPr>
            <w:r w:rsidRPr="00E40BFA">
              <w:t>1,36±0,19</w:t>
            </w:r>
          </w:p>
        </w:tc>
        <w:tc>
          <w:tcPr>
            <w:tcW w:w="1037" w:type="pct"/>
          </w:tcPr>
          <w:p w:rsidR="00534FB5" w:rsidRPr="00E40BFA" w:rsidRDefault="00534FB5" w:rsidP="00534FB5">
            <w:pPr>
              <w:spacing w:line="240" w:lineRule="auto"/>
              <w:contextualSpacing/>
              <w:jc w:val="center"/>
            </w:pPr>
            <w:r w:rsidRPr="00E40BFA">
              <w:t>-</w:t>
            </w:r>
          </w:p>
        </w:tc>
        <w:tc>
          <w:tcPr>
            <w:tcW w:w="1038" w:type="pct"/>
          </w:tcPr>
          <w:p w:rsidR="00534FB5" w:rsidRPr="00E40BFA" w:rsidRDefault="00534FB5" w:rsidP="00534FB5">
            <w:pPr>
              <w:spacing w:line="240" w:lineRule="auto"/>
              <w:contextualSpacing/>
              <w:jc w:val="center"/>
            </w:pPr>
            <w:r w:rsidRPr="00E40BFA">
              <w:t>-</w:t>
            </w:r>
          </w:p>
        </w:tc>
        <w:tc>
          <w:tcPr>
            <w:tcW w:w="1091"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ОГ2а</w:t>
            </w:r>
          </w:p>
        </w:tc>
        <w:tc>
          <w:tcPr>
            <w:tcW w:w="963" w:type="pct"/>
          </w:tcPr>
          <w:p w:rsidR="00534FB5" w:rsidRPr="00E40BFA" w:rsidRDefault="00534FB5" w:rsidP="00534FB5">
            <w:pPr>
              <w:spacing w:line="240" w:lineRule="auto"/>
              <w:contextualSpacing/>
            </w:pPr>
            <w:r w:rsidRPr="00E40BFA">
              <w:t>1,95±0,13</w:t>
            </w:r>
          </w:p>
          <w:p w:rsidR="00534FB5" w:rsidRPr="00E40BFA" w:rsidRDefault="00534FB5" w:rsidP="00520949">
            <w:pPr>
              <w:spacing w:line="240" w:lineRule="auto"/>
              <w:contextualSpacing/>
            </w:pPr>
            <w:r w:rsidRPr="00E40BFA">
              <w:t>Р</w:t>
            </w:r>
            <w:r w:rsidRPr="00E40BFA">
              <w:rPr>
                <w:vertAlign w:val="subscript"/>
              </w:rPr>
              <w:t>2</w:t>
            </w:r>
            <w:r w:rsidRPr="00E40BFA">
              <w:t>&lt;0,05</w:t>
            </w:r>
          </w:p>
        </w:tc>
        <w:tc>
          <w:tcPr>
            <w:tcW w:w="1037" w:type="pct"/>
          </w:tcPr>
          <w:p w:rsidR="00534FB5" w:rsidRPr="00E40BFA" w:rsidRDefault="00B21183" w:rsidP="00534FB5">
            <w:pPr>
              <w:spacing w:line="240" w:lineRule="auto"/>
              <w:contextualSpacing/>
            </w:pPr>
            <w:r>
              <w:t>1,35±0,10</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38" w:type="pct"/>
          </w:tcPr>
          <w:p w:rsidR="00534FB5" w:rsidRPr="00E40BFA" w:rsidRDefault="00534FB5" w:rsidP="00534FB5">
            <w:pPr>
              <w:spacing w:line="240" w:lineRule="auto"/>
              <w:contextualSpacing/>
            </w:pPr>
            <w:r w:rsidRPr="00E40BFA">
              <w:t>1,29±0,23</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91" w:type="pct"/>
          </w:tcPr>
          <w:p w:rsidR="00534FB5" w:rsidRPr="00E40BFA" w:rsidRDefault="00534FB5" w:rsidP="00534FB5">
            <w:pPr>
              <w:spacing w:line="240" w:lineRule="auto"/>
              <w:contextualSpacing/>
            </w:pPr>
            <w:r w:rsidRPr="00E40BFA">
              <w:t>1,06±0,15</w:t>
            </w:r>
          </w:p>
          <w:p w:rsidR="00534FB5" w:rsidRPr="00E40BFA" w:rsidRDefault="00534FB5" w:rsidP="00520949">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ОГ2б</w:t>
            </w:r>
          </w:p>
        </w:tc>
        <w:tc>
          <w:tcPr>
            <w:tcW w:w="963" w:type="pct"/>
          </w:tcPr>
          <w:p w:rsidR="00534FB5" w:rsidRPr="00E40BFA" w:rsidRDefault="00534FB5" w:rsidP="00534FB5">
            <w:pPr>
              <w:spacing w:line="240" w:lineRule="auto"/>
              <w:contextualSpacing/>
            </w:pPr>
            <w:r w:rsidRPr="00E40BFA">
              <w:t>1,95±0,12</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DA7846" w:rsidP="00534FB5">
            <w:pPr>
              <w:spacing w:line="240" w:lineRule="auto"/>
              <w:contextualSpacing/>
            </w:pPr>
            <w:r>
              <w:t>1,04±0,21</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8" w:type="pct"/>
          </w:tcPr>
          <w:p w:rsidR="00534FB5" w:rsidRPr="00E40BFA" w:rsidRDefault="00534FB5" w:rsidP="00534FB5">
            <w:pPr>
              <w:spacing w:line="240" w:lineRule="auto"/>
              <w:contextualSpacing/>
            </w:pPr>
            <w:r w:rsidRPr="00E40BFA">
              <w:t>1,11±0,14</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91" w:type="pct"/>
          </w:tcPr>
          <w:p w:rsidR="00534FB5" w:rsidRPr="00E40BFA" w:rsidRDefault="00534FB5" w:rsidP="00534FB5">
            <w:pPr>
              <w:spacing w:line="240" w:lineRule="auto"/>
              <w:contextualSpacing/>
            </w:pPr>
            <w:r w:rsidRPr="00E40BFA">
              <w:t>0,62±0,12</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871" w:type="pct"/>
          </w:tcPr>
          <w:p w:rsidR="00534FB5" w:rsidRPr="00E40BFA" w:rsidRDefault="00534FB5" w:rsidP="00534FB5">
            <w:pPr>
              <w:spacing w:line="240" w:lineRule="auto"/>
              <w:contextualSpacing/>
            </w:pPr>
            <w:r w:rsidRPr="00E40BFA">
              <w:t>КГ3</w:t>
            </w:r>
          </w:p>
        </w:tc>
        <w:tc>
          <w:tcPr>
            <w:tcW w:w="963" w:type="pct"/>
          </w:tcPr>
          <w:p w:rsidR="00534FB5" w:rsidRPr="00E40BFA" w:rsidRDefault="00534FB5" w:rsidP="00534FB5">
            <w:pPr>
              <w:spacing w:line="240" w:lineRule="auto"/>
              <w:contextualSpacing/>
            </w:pPr>
            <w:r w:rsidRPr="00E40BFA">
              <w:t>1,17±0,13</w:t>
            </w:r>
          </w:p>
        </w:tc>
        <w:tc>
          <w:tcPr>
            <w:tcW w:w="1037" w:type="pct"/>
          </w:tcPr>
          <w:p w:rsidR="00534FB5" w:rsidRPr="00E40BFA" w:rsidRDefault="00534FB5" w:rsidP="00534FB5">
            <w:pPr>
              <w:spacing w:line="240" w:lineRule="auto"/>
              <w:contextualSpacing/>
              <w:jc w:val="center"/>
            </w:pPr>
            <w:r w:rsidRPr="00E40BFA">
              <w:t>-</w:t>
            </w:r>
          </w:p>
        </w:tc>
        <w:tc>
          <w:tcPr>
            <w:tcW w:w="1038" w:type="pct"/>
          </w:tcPr>
          <w:p w:rsidR="00534FB5" w:rsidRPr="00E40BFA" w:rsidRDefault="00534FB5" w:rsidP="00534FB5">
            <w:pPr>
              <w:spacing w:line="240" w:lineRule="auto"/>
              <w:contextualSpacing/>
              <w:jc w:val="center"/>
            </w:pPr>
            <w:r w:rsidRPr="00E40BFA">
              <w:t>-</w:t>
            </w:r>
          </w:p>
        </w:tc>
        <w:tc>
          <w:tcPr>
            <w:tcW w:w="1091" w:type="pct"/>
          </w:tcPr>
          <w:p w:rsidR="00534FB5" w:rsidRPr="00E40BFA" w:rsidRDefault="00534FB5" w:rsidP="00534FB5">
            <w:pPr>
              <w:spacing w:line="240" w:lineRule="auto"/>
              <w:contextualSpacing/>
              <w:jc w:val="center"/>
            </w:pPr>
            <w:r w:rsidRPr="00E40BFA">
              <w:t>-</w:t>
            </w:r>
          </w:p>
        </w:tc>
      </w:tr>
      <w:tr w:rsidR="00534FB5" w:rsidRPr="00E40BFA" w:rsidTr="00534FB5">
        <w:tc>
          <w:tcPr>
            <w:tcW w:w="871" w:type="pct"/>
          </w:tcPr>
          <w:p w:rsidR="00534FB5" w:rsidRPr="00E40BFA" w:rsidRDefault="00534FB5" w:rsidP="00534FB5">
            <w:pPr>
              <w:spacing w:line="240" w:lineRule="auto"/>
              <w:contextualSpacing/>
            </w:pPr>
            <w:r w:rsidRPr="00E40BFA">
              <w:t>ОГ3а</w:t>
            </w:r>
          </w:p>
        </w:tc>
        <w:tc>
          <w:tcPr>
            <w:tcW w:w="963" w:type="pct"/>
          </w:tcPr>
          <w:p w:rsidR="00534FB5" w:rsidRPr="00E40BFA" w:rsidRDefault="00534FB5" w:rsidP="00534FB5">
            <w:pPr>
              <w:spacing w:line="240" w:lineRule="auto"/>
              <w:contextualSpacing/>
            </w:pPr>
            <w:r w:rsidRPr="00E40BFA">
              <w:t>2,01±0,16</w:t>
            </w:r>
          </w:p>
          <w:p w:rsidR="00534FB5" w:rsidRPr="00E40BFA" w:rsidRDefault="00534FB5" w:rsidP="00520949">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B21183" w:rsidP="00534FB5">
            <w:pPr>
              <w:spacing w:line="240" w:lineRule="auto"/>
              <w:contextualSpacing/>
            </w:pPr>
            <w:r>
              <w:t>1,38±0,3</w:t>
            </w:r>
            <w:r w:rsidR="00534FB5" w:rsidRPr="00E40BFA">
              <w:t>1</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38" w:type="pct"/>
          </w:tcPr>
          <w:p w:rsidR="00534FB5" w:rsidRPr="00E40BFA" w:rsidRDefault="00534FB5" w:rsidP="00534FB5">
            <w:pPr>
              <w:spacing w:line="240" w:lineRule="auto"/>
              <w:contextualSpacing/>
            </w:pPr>
            <w:r w:rsidRPr="00E40BFA">
              <w:t>1,32±0,10</w:t>
            </w:r>
          </w:p>
          <w:p w:rsidR="00534FB5" w:rsidRPr="00E40BFA" w:rsidRDefault="00534FB5" w:rsidP="00520949">
            <w:pPr>
              <w:spacing w:line="240" w:lineRule="auto"/>
              <w:contextualSpacing/>
            </w:pPr>
            <w:r w:rsidRPr="00E40BFA">
              <w:t>Р</w:t>
            </w:r>
            <w:r w:rsidRPr="00E40BFA">
              <w:rPr>
                <w:vertAlign w:val="subscript"/>
              </w:rPr>
              <w:t>2</w:t>
            </w:r>
            <w:r w:rsidRPr="00E40BFA">
              <w:t>&gt;0,05</w:t>
            </w:r>
          </w:p>
        </w:tc>
        <w:tc>
          <w:tcPr>
            <w:tcW w:w="1091" w:type="pct"/>
          </w:tcPr>
          <w:p w:rsidR="00534FB5" w:rsidRPr="00E40BFA" w:rsidRDefault="00534FB5" w:rsidP="00534FB5">
            <w:pPr>
              <w:spacing w:line="240" w:lineRule="auto"/>
              <w:contextualSpacing/>
            </w:pPr>
            <w:r w:rsidRPr="00E40BFA">
              <w:t>0,96±0,13</w:t>
            </w:r>
          </w:p>
          <w:p w:rsidR="00534FB5" w:rsidRPr="00E40BFA" w:rsidRDefault="00534FB5" w:rsidP="00520949">
            <w:pPr>
              <w:spacing w:line="240" w:lineRule="auto"/>
              <w:contextualSpacing/>
            </w:pPr>
            <w:r w:rsidRPr="00E40BFA">
              <w:t>Р</w:t>
            </w:r>
            <w:r w:rsidRPr="00E40BFA">
              <w:rPr>
                <w:vertAlign w:val="subscript"/>
              </w:rPr>
              <w:t>2</w:t>
            </w:r>
            <w:r w:rsidRPr="00E40BFA">
              <w:t>&gt;0,05</w:t>
            </w:r>
          </w:p>
        </w:tc>
      </w:tr>
      <w:tr w:rsidR="00534FB5" w:rsidRPr="00E40BFA" w:rsidTr="00534FB5">
        <w:tc>
          <w:tcPr>
            <w:tcW w:w="871" w:type="pct"/>
          </w:tcPr>
          <w:p w:rsidR="00534FB5" w:rsidRPr="00E40BFA" w:rsidRDefault="00534FB5" w:rsidP="00534FB5">
            <w:pPr>
              <w:spacing w:line="240" w:lineRule="auto"/>
              <w:contextualSpacing/>
            </w:pPr>
            <w:r w:rsidRPr="00E40BFA">
              <w:t>ОГ3б</w:t>
            </w:r>
          </w:p>
        </w:tc>
        <w:tc>
          <w:tcPr>
            <w:tcW w:w="963" w:type="pct"/>
          </w:tcPr>
          <w:p w:rsidR="00534FB5" w:rsidRPr="00E40BFA" w:rsidRDefault="00534FB5" w:rsidP="00534FB5">
            <w:pPr>
              <w:spacing w:line="240" w:lineRule="auto"/>
              <w:contextualSpacing/>
            </w:pPr>
            <w:r w:rsidRPr="00E40BFA">
              <w:t>2,01±0,17</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0,91±0,20</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8" w:type="pct"/>
          </w:tcPr>
          <w:p w:rsidR="00534FB5" w:rsidRPr="00E40BFA" w:rsidRDefault="00534FB5" w:rsidP="00534FB5">
            <w:pPr>
              <w:spacing w:line="240" w:lineRule="auto"/>
              <w:contextualSpacing/>
            </w:pPr>
            <w:r w:rsidRPr="00E40BFA">
              <w:t>0,41±0,11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091" w:type="pct"/>
          </w:tcPr>
          <w:p w:rsidR="00534FB5" w:rsidRPr="00E40BFA" w:rsidRDefault="00534FB5" w:rsidP="00534FB5">
            <w:pPr>
              <w:spacing w:line="240" w:lineRule="auto"/>
              <w:contextualSpacing/>
            </w:pPr>
            <w:r w:rsidRPr="00E40BFA">
              <w:t>0,23±0,04</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bl>
    <w:p w:rsidR="00534FB5" w:rsidRPr="006D4000"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6D4000" w:rsidRDefault="00534FB5" w:rsidP="00534FB5">
      <w:pPr>
        <w:spacing w:line="240" w:lineRule="auto"/>
        <w:ind w:left="-142"/>
        <w:contextualSpacing/>
        <w:rPr>
          <w:sz w:val="24"/>
        </w:rPr>
      </w:pPr>
    </w:p>
    <w:p w:rsidR="00534FB5" w:rsidRPr="00520949" w:rsidRDefault="00534FB5" w:rsidP="00534FB5">
      <w:pPr>
        <w:ind w:firstLine="709"/>
        <w:contextualSpacing/>
      </w:pPr>
      <w:r w:rsidRPr="00E40BFA">
        <w:t xml:space="preserve">У </w:t>
      </w:r>
      <w:r>
        <w:t>ДВГ</w:t>
      </w:r>
      <w:r w:rsidRPr="00E40BFA">
        <w:t xml:space="preserve"> всіх вікових груп, які отримували як стандартну, так і запропоновану схему лікування і профілактики, протягом 12 місяців спостереження відбулося зниження індексу гігієни </w:t>
      </w:r>
      <w:r w:rsidR="00676FBD">
        <w:t>J. Silness (1964) і H. Loe </w:t>
      </w:r>
      <w:r w:rsidRPr="00520949">
        <w:t>(1967) (див. табл. 4.1.3).</w:t>
      </w:r>
    </w:p>
    <w:p w:rsidR="00534FB5" w:rsidRPr="00520949" w:rsidRDefault="00534FB5" w:rsidP="00534FB5">
      <w:pPr>
        <w:ind w:firstLine="709"/>
        <w:contextualSpacing/>
      </w:pPr>
      <w:r w:rsidRPr="00520949">
        <w:t xml:space="preserve">У дітей ОГ1а через 12 місяців від початку проведення традиційних </w:t>
      </w:r>
      <w:r w:rsidRPr="00520949">
        <w:lastRenderedPageBreak/>
        <w:t>лікувально-профілактичних заходів індекс гігієни J. Silness (1964) і H. Loe</w:t>
      </w:r>
      <w:r w:rsidR="00676FBD">
        <w:t> </w:t>
      </w:r>
      <w:r w:rsidRPr="00E40BFA">
        <w:t>(1967)</w:t>
      </w:r>
      <w:r>
        <w:t xml:space="preserve"> </w:t>
      </w:r>
      <w:r w:rsidRPr="00E40BFA">
        <w:t>с</w:t>
      </w:r>
      <w:r>
        <w:t>танови</w:t>
      </w:r>
      <w:r w:rsidRPr="00E40BFA">
        <w:t>в 1,04±0,14 і достовірно (Р&gt;0,05) не відрізнявся від індексу гігієни дітей КГ1 (1,12±0,18</w:t>
      </w:r>
      <w:r>
        <w:t>). В</w:t>
      </w:r>
      <w:r w:rsidRPr="00E40BFA">
        <w:t xml:space="preserve"> ОГ1б</w:t>
      </w:r>
      <w:r>
        <w:t xml:space="preserve"> </w:t>
      </w:r>
      <w:r w:rsidRPr="00E40BFA">
        <w:t xml:space="preserve">наприкінці строку спостереження індекс </w:t>
      </w:r>
      <w:r w:rsidRPr="00520949">
        <w:t xml:space="preserve">гігієни J. Silness (1964) і H. Loe (1967) був у 2 рази нижчий (0,56±0,16), порівняно </w:t>
      </w:r>
      <w:r w:rsidR="00DA7846">
        <w:t>з дітьми КГ1 (1,12±0,18) (Р&lt;0,05</w:t>
      </w:r>
      <w:r w:rsidRPr="00520949">
        <w:t>). Через 1, 6 та 12 місяців від початку проведення лікувально-профілактичних заходів у ОГ1б, порівняно з ОГ1а, індекс гігієни J. Silness (1964) і H. Loe (1967) був на 16 %, 55 % та 86 % нижчий (див. табл. 4.1.3).</w:t>
      </w:r>
    </w:p>
    <w:p w:rsidR="00534FB5" w:rsidRDefault="00534FB5" w:rsidP="00534FB5">
      <w:pPr>
        <w:ind w:firstLine="709"/>
        <w:contextualSpacing/>
      </w:pPr>
      <w:r w:rsidRPr="00520949">
        <w:t xml:space="preserve">На рисунку 4.1.7 графічно зображено динаміку зміни </w:t>
      </w:r>
      <w:r w:rsidRPr="00520949">
        <w:rPr>
          <w:color w:val="000000"/>
        </w:rPr>
        <w:t xml:space="preserve">індексу гігієни </w:t>
      </w:r>
      <w:r w:rsidRPr="00520949">
        <w:t>J. Silness (1964) і H. Loe</w:t>
      </w:r>
      <w:r>
        <w:t xml:space="preserve"> (1967)</w:t>
      </w:r>
      <w:r w:rsidRPr="00E40BFA">
        <w:t xml:space="preserve"> у дітей </w:t>
      </w:r>
      <w:r>
        <w:t>ОГ та КГ 7-8 років</w:t>
      </w:r>
      <w:r w:rsidRPr="00E40BFA">
        <w:t xml:space="preserve"> до та після проведення лікувально-профілактичних заходів.</w:t>
      </w:r>
    </w:p>
    <w:p w:rsidR="00534FB5" w:rsidRDefault="00534FB5" w:rsidP="00534FB5">
      <w:pPr>
        <w:ind w:firstLine="709"/>
        <w:contextualSpacing/>
      </w:pPr>
    </w:p>
    <w:p w:rsidR="00534FB5" w:rsidRDefault="006C493E" w:rsidP="00534FB5">
      <w:pPr>
        <w:contextualSpacing/>
        <w:jc w:val="center"/>
        <w:rPr>
          <w:noProof/>
          <w:lang w:eastAsia="uk-UA"/>
        </w:rPr>
      </w:pPr>
      <w:r>
        <w:rPr>
          <w:noProof/>
          <w:lang w:val="ru-RU"/>
        </w:rPr>
        <w:drawing>
          <wp:inline distT="0" distB="0" distL="0" distR="0">
            <wp:extent cx="4638675" cy="2762250"/>
            <wp:effectExtent l="0" t="0" r="0" b="0"/>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34FB5" w:rsidRPr="00520949" w:rsidRDefault="00534FB5" w:rsidP="00534FB5">
      <w:pPr>
        <w:tabs>
          <w:tab w:val="left" w:pos="4253"/>
        </w:tabs>
        <w:ind w:firstLine="709"/>
        <w:contextualSpacing/>
      </w:pPr>
      <w:r w:rsidRPr="00E40BFA">
        <w:rPr>
          <w:noProof/>
          <w:lang w:eastAsia="uk-UA"/>
        </w:rPr>
        <w:t>Рис</w:t>
      </w:r>
      <w:r>
        <w:rPr>
          <w:noProof/>
          <w:lang w:eastAsia="uk-UA"/>
        </w:rPr>
        <w:t>. 4</w:t>
      </w:r>
      <w:r w:rsidRPr="00E40BFA">
        <w:rPr>
          <w:noProof/>
          <w:lang w:eastAsia="uk-UA"/>
        </w:rPr>
        <w:t>.</w:t>
      </w:r>
      <w:r>
        <w:rPr>
          <w:noProof/>
          <w:lang w:eastAsia="uk-UA"/>
        </w:rPr>
        <w:t xml:space="preserve">1.7. </w:t>
      </w:r>
      <w:r w:rsidRPr="00E40BFA">
        <w:t>Динаміка змі</w:t>
      </w:r>
      <w:r w:rsidRPr="00520949">
        <w:t xml:space="preserve">ни </w:t>
      </w:r>
      <w:r w:rsidRPr="00520949">
        <w:rPr>
          <w:color w:val="000000"/>
        </w:rPr>
        <w:t xml:space="preserve">індексу гігієни </w:t>
      </w:r>
      <w:r w:rsidRPr="00520949">
        <w:t xml:space="preserve">J. Silness (1964) і </w:t>
      </w:r>
      <w:r w:rsidR="00676FBD">
        <w:t xml:space="preserve">           </w:t>
      </w:r>
      <w:r w:rsidRPr="00520949">
        <w:t>H. Loe (1967) у дітей 7-8 років основної та контрольної груп до та після проведення лікувально-профілактичних заходів.</w:t>
      </w:r>
    </w:p>
    <w:p w:rsidR="00534FB5" w:rsidRPr="00520949" w:rsidRDefault="00534FB5" w:rsidP="00534FB5">
      <w:pPr>
        <w:tabs>
          <w:tab w:val="left" w:pos="4253"/>
        </w:tabs>
        <w:ind w:firstLine="709"/>
        <w:contextualSpacing/>
      </w:pPr>
    </w:p>
    <w:p w:rsidR="00534FB5" w:rsidRPr="00520949" w:rsidRDefault="00534FB5" w:rsidP="00534FB5">
      <w:pPr>
        <w:ind w:firstLine="709"/>
        <w:contextualSpacing/>
      </w:pPr>
      <w:r w:rsidRPr="00520949">
        <w:t xml:space="preserve">У дітей </w:t>
      </w:r>
      <w:r w:rsidR="006C493E" w:rsidRPr="00520949">
        <w:t>із вродженою</w:t>
      </w:r>
      <w:r w:rsidRPr="00520949">
        <w:t xml:space="preserve"> глухотою 11-12 років через рік після початку проведення стандартних лікувально-профілактичних заходів індекс гігієни J. Silness (1964) і H. Loe</w:t>
      </w:r>
      <w:r>
        <w:t xml:space="preserve"> (1967) </w:t>
      </w:r>
      <w:r w:rsidRPr="00E40BFA">
        <w:t>с</w:t>
      </w:r>
      <w:r>
        <w:t>танови</w:t>
      </w:r>
      <w:r w:rsidRPr="00E40BFA">
        <w:t>в 1,06±0,15 і був нижчий</w:t>
      </w:r>
      <w:r>
        <w:t>,</w:t>
      </w:r>
      <w:r w:rsidRPr="00E40BFA">
        <w:t xml:space="preserve"> порівняно з індексом гігієни дітей КГ2 (1,36±0,19). </w:t>
      </w:r>
      <w:r>
        <w:t>У</w:t>
      </w:r>
      <w:r w:rsidRPr="00E40BFA">
        <w:t xml:space="preserve"> групі дітей, які отримували </w:t>
      </w:r>
      <w:r w:rsidRPr="00E40BFA">
        <w:lastRenderedPageBreak/>
        <w:t>запропонований комплекс лікувально-профілактичних заходів</w:t>
      </w:r>
      <w:r>
        <w:t>,</w:t>
      </w:r>
      <w:r w:rsidR="00DA7846">
        <w:t xml:space="preserve"> через 12 </w:t>
      </w:r>
      <w:r w:rsidRPr="00E40BFA">
        <w:t>місяців</w:t>
      </w:r>
      <w:r>
        <w:t xml:space="preserve"> </w:t>
      </w:r>
      <w:r w:rsidRPr="00E40BFA">
        <w:t>від</w:t>
      </w:r>
      <w:r>
        <w:t xml:space="preserve">значалося </w:t>
      </w:r>
      <w:r w:rsidRPr="00E40BFA">
        <w:t>більш значне зниження гігієнічного індексу</w:t>
      </w:r>
      <w:r>
        <w:t xml:space="preserve"> </w:t>
      </w:r>
      <w:r w:rsidR="00DA7846">
        <w:t>J. Silness </w:t>
      </w:r>
      <w:r w:rsidRPr="00520949">
        <w:t>(1964) і H. Loe (1967) (0,6</w:t>
      </w:r>
      <w:r w:rsidR="00676FBD">
        <w:t>2±0,12), порівняно з дітьми КГ2 </w:t>
      </w:r>
      <w:r w:rsidRPr="00520949">
        <w:t xml:space="preserve">(1,36±0,19) (Р&lt;0,01). Через 1, 6 та 12 місяців від початку проведення лікувально-профілактичних заходів у ОГ2б, порівняно з ОГ2а, індекс гігієни J. Silness (1964) і H. Loe (1967) був на </w:t>
      </w:r>
      <w:r w:rsidR="00676FBD">
        <w:t>30 %, 16 % та 71 % нижчий (див. </w:t>
      </w:r>
      <w:r w:rsidRPr="00520949">
        <w:t>табл. 4.1.3).</w:t>
      </w:r>
    </w:p>
    <w:p w:rsidR="00534FB5" w:rsidRPr="00520949" w:rsidRDefault="00534FB5" w:rsidP="00534FB5">
      <w:pPr>
        <w:ind w:firstLine="709"/>
        <w:contextualSpacing/>
      </w:pPr>
      <w:r w:rsidRPr="00520949">
        <w:t xml:space="preserve">На рисунку 4.1.8 графічно зображено динаміку зміни </w:t>
      </w:r>
      <w:r w:rsidRPr="00520949">
        <w:rPr>
          <w:color w:val="000000"/>
        </w:rPr>
        <w:t xml:space="preserve">індексу гігієни </w:t>
      </w:r>
      <w:r w:rsidRPr="00520949">
        <w:t>J. Silness (1964) і H. Loe (1967) у дітей ОГ та КГ 11-12 років до та після проведення лікувально-профілактичних заходів.</w:t>
      </w:r>
    </w:p>
    <w:p w:rsidR="00534FB5" w:rsidRPr="00520949" w:rsidRDefault="00534FB5" w:rsidP="00534FB5">
      <w:pPr>
        <w:ind w:firstLine="709"/>
        <w:contextualSpacing/>
      </w:pPr>
    </w:p>
    <w:p w:rsidR="00534FB5" w:rsidRPr="00520949" w:rsidRDefault="006C493E" w:rsidP="00534FB5">
      <w:pPr>
        <w:tabs>
          <w:tab w:val="left" w:pos="4253"/>
        </w:tabs>
        <w:contextualSpacing/>
        <w:jc w:val="center"/>
        <w:rPr>
          <w:noProof/>
          <w:lang w:eastAsia="uk-UA"/>
        </w:rPr>
      </w:pPr>
      <w:r w:rsidRPr="00520949">
        <w:rPr>
          <w:noProof/>
          <w:lang w:val="ru-RU"/>
        </w:rPr>
        <w:drawing>
          <wp:inline distT="0" distB="0" distL="0" distR="0">
            <wp:extent cx="4657725" cy="2771775"/>
            <wp:effectExtent l="0" t="0" r="0" b="0"/>
            <wp:docPr id="36" name="Объект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4FB5" w:rsidRPr="00520949" w:rsidRDefault="00534FB5" w:rsidP="00534FB5">
      <w:pPr>
        <w:tabs>
          <w:tab w:val="left" w:pos="4253"/>
        </w:tabs>
        <w:ind w:firstLine="709"/>
        <w:contextualSpacing/>
      </w:pPr>
      <w:r w:rsidRPr="00520949">
        <w:rPr>
          <w:noProof/>
          <w:lang w:eastAsia="uk-UA"/>
        </w:rPr>
        <w:t xml:space="preserve">Рис. 4.1.8. </w:t>
      </w:r>
      <w:r w:rsidRPr="00520949">
        <w:t xml:space="preserve">Динаміка зміни </w:t>
      </w:r>
      <w:r w:rsidRPr="00520949">
        <w:rPr>
          <w:color w:val="000000"/>
        </w:rPr>
        <w:t xml:space="preserve">індексу гігієни </w:t>
      </w:r>
      <w:r w:rsidR="00676FBD">
        <w:t>J. Silness (1964) і H. Loe </w:t>
      </w:r>
      <w:r w:rsidRPr="00520949">
        <w:t>(1967) у дітей 11-12 років основної та контрольної груп до та після проведення лікувально-профілактичних заходів.</w:t>
      </w:r>
    </w:p>
    <w:p w:rsidR="00534FB5" w:rsidRPr="00520949" w:rsidRDefault="00534FB5" w:rsidP="00534FB5">
      <w:pPr>
        <w:tabs>
          <w:tab w:val="left" w:pos="4253"/>
        </w:tabs>
        <w:contextualSpacing/>
      </w:pPr>
    </w:p>
    <w:p w:rsidR="00534FB5" w:rsidRPr="00520949" w:rsidRDefault="00534FB5" w:rsidP="00534FB5">
      <w:pPr>
        <w:ind w:firstLine="709"/>
        <w:contextualSpacing/>
      </w:pPr>
      <w:r w:rsidRPr="00520949">
        <w:t>У дітей ОГ3а через рік від початку спостереження індекс гігієни J. Silness (1964) і H. Loe (1967) становив 0,96±0,13 і достовірно (Р&gt;0,05) не відрізнявся від індексу гігієни дітей КГ3 (1,17±0,13). В ОГ3б наприкінці строку спостереження індекс гігієни J. Silness (1964) і H. Loe</w:t>
      </w:r>
      <w:r>
        <w:t xml:space="preserve"> (1967) був у 5,1 раза</w:t>
      </w:r>
      <w:r w:rsidRPr="00E40BFA">
        <w:t xml:space="preserve"> нижчий (0,23±0,04)</w:t>
      </w:r>
      <w:r>
        <w:t>,</w:t>
      </w:r>
      <w:r w:rsidRPr="00E40BFA">
        <w:t xml:space="preserve"> порівняно з дітьми КГ3 (1,17±0,13)</w:t>
      </w:r>
      <w:r>
        <w:t xml:space="preserve"> (</w:t>
      </w:r>
      <w:r w:rsidRPr="00E40BFA">
        <w:t>Р&lt;0,01</w:t>
      </w:r>
      <w:r>
        <w:t>)</w:t>
      </w:r>
      <w:r w:rsidRPr="00E40BFA">
        <w:t xml:space="preserve">. </w:t>
      </w:r>
      <w:r w:rsidRPr="00E40BFA">
        <w:lastRenderedPageBreak/>
        <w:t>Через 1, 6 та 12 місяців</w:t>
      </w:r>
      <w:r>
        <w:t xml:space="preserve"> </w:t>
      </w:r>
      <w:r w:rsidRPr="00E40BFA">
        <w:t>від початку проведення лікувально-профілактичних заходів в ОГ3б</w:t>
      </w:r>
      <w:r>
        <w:t>,</w:t>
      </w:r>
      <w:r w:rsidRPr="00E40BFA">
        <w:t xml:space="preserve"> порівняно з ОГ3а</w:t>
      </w:r>
      <w:r>
        <w:t xml:space="preserve">, </w:t>
      </w:r>
      <w:r w:rsidRPr="00520949">
        <w:t>індекс гіг</w:t>
      </w:r>
      <w:r w:rsidR="00676FBD">
        <w:t>ієни J. Silness (1964) і H. Loe </w:t>
      </w:r>
      <w:r w:rsidRPr="00520949">
        <w:t>(1967) був у 1,5 раза, 3,2 раза та 4,2 раза нижчий (див. табл. 4.1.3).</w:t>
      </w:r>
    </w:p>
    <w:p w:rsidR="00534FB5" w:rsidRPr="00E40BFA" w:rsidRDefault="00534FB5" w:rsidP="00534FB5">
      <w:pPr>
        <w:ind w:firstLine="709"/>
        <w:contextualSpacing/>
      </w:pPr>
      <w:r w:rsidRPr="00520949">
        <w:t xml:space="preserve">На рисунку 4.1.9 графічно зображено динаміку зміни </w:t>
      </w:r>
      <w:r w:rsidRPr="00520949">
        <w:rPr>
          <w:color w:val="000000"/>
        </w:rPr>
        <w:t xml:space="preserve">індексу гігієни </w:t>
      </w:r>
      <w:r w:rsidRPr="00520949">
        <w:t>J. Silness (1964) і H. Loe</w:t>
      </w:r>
      <w:r>
        <w:t xml:space="preserve"> (1967)</w:t>
      </w:r>
      <w:r w:rsidRPr="00E40BFA">
        <w:t xml:space="preserve"> у дітей </w:t>
      </w:r>
      <w:r>
        <w:t>ОГ та КГ 14-15 років</w:t>
      </w:r>
      <w:r w:rsidRPr="00E40BFA">
        <w:t xml:space="preserve"> до та після проведення лікувально-профілактичних заходів.</w:t>
      </w:r>
    </w:p>
    <w:p w:rsidR="00534FB5" w:rsidRDefault="00534FB5" w:rsidP="00534FB5">
      <w:pPr>
        <w:tabs>
          <w:tab w:val="left" w:pos="4253"/>
        </w:tabs>
        <w:contextualSpacing/>
      </w:pPr>
    </w:p>
    <w:p w:rsidR="00534FB5" w:rsidRDefault="006C493E" w:rsidP="00534FB5">
      <w:pPr>
        <w:tabs>
          <w:tab w:val="left" w:pos="4253"/>
        </w:tabs>
        <w:contextualSpacing/>
        <w:jc w:val="center"/>
      </w:pPr>
      <w:r>
        <w:rPr>
          <w:noProof/>
          <w:lang w:val="ru-RU"/>
        </w:rPr>
        <w:drawing>
          <wp:inline distT="0" distB="0" distL="0" distR="0">
            <wp:extent cx="4619625" cy="2695575"/>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4FB5" w:rsidRDefault="00534FB5" w:rsidP="00534FB5">
      <w:pPr>
        <w:tabs>
          <w:tab w:val="left" w:pos="4253"/>
        </w:tabs>
        <w:ind w:firstLine="709"/>
        <w:contextualSpacing/>
      </w:pPr>
      <w:r w:rsidRPr="00E40BFA">
        <w:rPr>
          <w:noProof/>
          <w:lang w:eastAsia="uk-UA"/>
        </w:rPr>
        <w:t>Рис</w:t>
      </w:r>
      <w:r>
        <w:rPr>
          <w:noProof/>
          <w:lang w:eastAsia="uk-UA"/>
        </w:rPr>
        <w:t>.</w:t>
      </w:r>
      <w:r w:rsidRPr="00E232CD">
        <w:rPr>
          <w:noProof/>
          <w:lang w:eastAsia="uk-UA"/>
        </w:rPr>
        <w:t xml:space="preserve"> </w:t>
      </w:r>
      <w:r>
        <w:rPr>
          <w:noProof/>
          <w:lang w:eastAsia="uk-UA"/>
        </w:rPr>
        <w:t>4</w:t>
      </w:r>
      <w:r w:rsidRPr="00E40BFA">
        <w:rPr>
          <w:noProof/>
          <w:lang w:eastAsia="uk-UA"/>
        </w:rPr>
        <w:t>.</w:t>
      </w:r>
      <w:r>
        <w:rPr>
          <w:noProof/>
          <w:lang w:eastAsia="uk-UA"/>
        </w:rPr>
        <w:t>1.9.</w:t>
      </w:r>
      <w:r w:rsidRPr="00E40BFA">
        <w:rPr>
          <w:noProof/>
          <w:lang w:eastAsia="uk-UA"/>
        </w:rPr>
        <w:t xml:space="preserve"> </w:t>
      </w:r>
      <w:r w:rsidRPr="00E40BFA">
        <w:t xml:space="preserve">Динаміка зміни </w:t>
      </w:r>
      <w:r w:rsidRPr="00E40BFA">
        <w:rPr>
          <w:color w:val="000000"/>
        </w:rPr>
        <w:t xml:space="preserve">індексу гігієни </w:t>
      </w:r>
      <w:r w:rsidRPr="00E40BFA">
        <w:t>J.</w:t>
      </w:r>
      <w:r>
        <w:t> </w:t>
      </w:r>
      <w:r w:rsidRPr="00E40BFA">
        <w:t>Silness (1964) і</w:t>
      </w:r>
      <w:r>
        <w:t xml:space="preserve"> </w:t>
      </w:r>
      <w:r w:rsidRPr="00E40BFA">
        <w:t>H.</w:t>
      </w:r>
      <w:r>
        <w:t> </w:t>
      </w:r>
      <w:r w:rsidR="00676FBD">
        <w:t>Loe </w:t>
      </w:r>
      <w:r w:rsidRPr="00E40BFA">
        <w:t>(1967) у дітей 14-15 років основної та контрольної груп до та після проведення лікувально-профілактичних заходів.</w:t>
      </w:r>
    </w:p>
    <w:p w:rsidR="00534FB5" w:rsidRDefault="00534FB5" w:rsidP="00534FB5">
      <w:pPr>
        <w:tabs>
          <w:tab w:val="left" w:pos="4253"/>
        </w:tabs>
        <w:contextualSpacing/>
      </w:pPr>
    </w:p>
    <w:p w:rsidR="00534FB5" w:rsidRDefault="00534FB5" w:rsidP="00534FB5">
      <w:pPr>
        <w:tabs>
          <w:tab w:val="left" w:pos="4253"/>
        </w:tabs>
        <w:ind w:firstLine="709"/>
        <w:contextualSpacing/>
      </w:pPr>
      <w:r w:rsidRPr="00520949">
        <w:t xml:space="preserve">Підсумовуючи все зазначене вище, можна зробити висновок, що після проведення індексної оцінки стану гігієни порожнини рота дітей основної та контрольної груп було виявлено, що ДВГ всіх вікових груп до проходження лікувально-профілактичних заходів мали гірший стан гігієни порожнини рота, порівняно зі здоровими однолітками. У ДВГ ГІ (Федоров Ю. А., Володкіна В. В., 1971) в трьох вікових групах був у 1,9 раза, 1,5 раза та 1,5 раза відповідно (Р&lt;0,01) вищий, порівняно зі здоровими дітьми аналогічних вікових груп. Індекс гігієни Stallаrd (1969) в 2,1 раза, 1,6 раза та 1,7 раза був теж достовірно (Р&lt;0,01) вищий у 7-8, 11-12 та 14-15-річних ДВГ, </w:t>
      </w:r>
      <w:r w:rsidRPr="00520949">
        <w:lastRenderedPageBreak/>
        <w:t xml:space="preserve">порівняно з їх однолітками, які чують. Оцінка якості гігієни порожнини рота дітей ОГ та КГ за допомогою </w:t>
      </w:r>
      <w:r w:rsidRPr="00520949">
        <w:rPr>
          <w:color w:val="000000"/>
        </w:rPr>
        <w:t xml:space="preserve">ГІ </w:t>
      </w:r>
      <w:r w:rsidRPr="00520949">
        <w:t>J. Silness (1964) і H. Loe (1967) виявила достовірну різницю між показниками (Р&lt;0,01): у дітей ОГ 7-8 років індекс гігієни був у 2 рази, 11-12 років – в 1,4 раза, а 14-15 років – в 1,7 раза вищий від ГІ КГ. Після проведення як традиційних, так і запропонованих лікувально-профілактичних заходів, у всіх вікових групах дітей виявлено суттєве поліпшення гігієни порожнини рота. Про це свідчить динаміка зміни всіх гігієнічних індексів. Проте використання сааме запропонованого лікувально-профілактичного комплексу дозволило досягти більш ефективного поліпшення стану гігієни порожнини рота у ДВГ. Через 1, 6 та 12 місяців від початку проведення лікувально-профілактичних заходів у ОГ1б, порівняно з ОГ1а, ГІ (Федоров Ю. А., Володкіна В. В., 1971) був на 13 %, 23 % та 17 % кращий, ГІ Stallard (1969) – на 22 %, 58 % та 90 % нижчий, а ГІ J. Silness (1964) і H. Loe (1967) – на 16 %, 55 % та 86 % ліпший. Схожа картина спостерігалася в групі 11-</w:t>
      </w:r>
      <w:r w:rsidR="00676FBD">
        <w:t>12-річних ДВГ. Через 1, 6 та 12 </w:t>
      </w:r>
      <w:r w:rsidRPr="00520949">
        <w:t>місяців від початку проведення лікувально-профілактичних заходів в ОГ2б, порівняно з ОГ2а, ГІ (Федоров Ю. А., Володкіна В. В., 1971) був на 22 %, 8 % та 30 % кращий, ГІ Stallard (1969) – на 32 %, 17 % та 50 % нижчий, а ГІ J. Silness (1964) і H. Loe (1967) – на 30 %, 16 % та 71 % також ліпший. У групі 14-15-річних ДВГ запропонований комплекс так само виявив більшу ефективність, порівняно з традиційним комплексом. Через 1, 6 та 12 місяців від початку проведення лікувально-профілактичних заходів в ОГ3б, порівняно з ОГ3а ГІ (Федоров Ю. А., Володкіна В. В., 1971) був на 23 %, 52 % та 33 % кращий, ГІ Stallard (1969) – в 1,5 раза, 3,5 раза та 4,2 раза нижчий, індекс гігієни J. Silness (1964) і H. Loe (1967) – в 1,5 раза, 3,2 раза та 4,2 раза ліпший. Отже, використання запропонованої схеми може бути рекомендоване для більш ефективного і швидкого поліпшення якості гігієни порожнини рота в групі ДВГ.</w:t>
      </w:r>
    </w:p>
    <w:p w:rsidR="00534FB5" w:rsidRPr="00340E18" w:rsidRDefault="00534FB5" w:rsidP="008153B4">
      <w:pPr>
        <w:tabs>
          <w:tab w:val="left" w:pos="4253"/>
        </w:tabs>
        <w:contextualSpacing/>
        <w:rPr>
          <w:spacing w:val="-10"/>
        </w:rPr>
      </w:pPr>
    </w:p>
    <w:p w:rsidR="00534FB5" w:rsidRPr="00B67973" w:rsidRDefault="00534FB5" w:rsidP="00534FB5">
      <w:pPr>
        <w:ind w:firstLine="567"/>
        <w:contextualSpacing/>
        <w:rPr>
          <w:b/>
        </w:rPr>
      </w:pPr>
      <w:r>
        <w:rPr>
          <w:b/>
        </w:rPr>
        <w:lastRenderedPageBreak/>
        <w:t>4.2</w:t>
      </w:r>
      <w:r w:rsidRPr="00B67973">
        <w:rPr>
          <w:b/>
        </w:rPr>
        <w:t>. Динаміка зміни стану тв</w:t>
      </w:r>
      <w:r>
        <w:rPr>
          <w:b/>
        </w:rPr>
        <w:t xml:space="preserve">ердих тканин зубів у дітей </w:t>
      </w:r>
      <w:r w:rsidR="006C493E">
        <w:rPr>
          <w:b/>
        </w:rPr>
        <w:t>із вродженою</w:t>
      </w:r>
      <w:r w:rsidRPr="00B67973">
        <w:rPr>
          <w:b/>
        </w:rPr>
        <w:t xml:space="preserve"> глухотою</w:t>
      </w:r>
      <w:r>
        <w:rPr>
          <w:b/>
        </w:rPr>
        <w:t xml:space="preserve"> </w:t>
      </w:r>
      <w:r w:rsidRPr="00B67973">
        <w:rPr>
          <w:b/>
        </w:rPr>
        <w:t>під дією</w:t>
      </w:r>
      <w:r>
        <w:rPr>
          <w:b/>
        </w:rPr>
        <w:t xml:space="preserve"> </w:t>
      </w:r>
      <w:r w:rsidRPr="00B67973">
        <w:rPr>
          <w:b/>
        </w:rPr>
        <w:t>лікувально-профілактичних заходів</w:t>
      </w:r>
    </w:p>
    <w:p w:rsidR="00534FB5" w:rsidRPr="00E40BFA" w:rsidRDefault="00534FB5" w:rsidP="00534FB5">
      <w:pPr>
        <w:contextualSpacing/>
      </w:pPr>
    </w:p>
    <w:p w:rsidR="00534FB5" w:rsidRPr="00E40BFA" w:rsidRDefault="00534FB5" w:rsidP="00534FB5">
      <w:pPr>
        <w:tabs>
          <w:tab w:val="left" w:pos="4253"/>
        </w:tabs>
        <w:ind w:firstLine="709"/>
      </w:pPr>
      <w:r>
        <w:t>В</w:t>
      </w:r>
      <w:r w:rsidRPr="00E40BFA">
        <w:t xml:space="preserve">изначення середнього значення індексу КПВз та КПВз+кпз здорових дітей, які </w:t>
      </w:r>
      <w:r>
        <w:t>входили до</w:t>
      </w:r>
      <w:r w:rsidRPr="00E40BFA">
        <w:t xml:space="preserve"> контрольн</w:t>
      </w:r>
      <w:r>
        <w:t>ої</w:t>
      </w:r>
      <w:r w:rsidRPr="00E40BFA">
        <w:t xml:space="preserve"> груп</w:t>
      </w:r>
      <w:r>
        <w:t>и</w:t>
      </w:r>
      <w:r w:rsidRPr="00E40BFA">
        <w:t>,</w:t>
      </w:r>
      <w:r>
        <w:t xml:space="preserve"> дозволило зробити</w:t>
      </w:r>
      <w:r w:rsidRPr="00E40BFA">
        <w:t xml:space="preserve"> розрахунок сигмальних відхилень</w:t>
      </w:r>
      <w:r>
        <w:t xml:space="preserve"> </w:t>
      </w:r>
      <w:r w:rsidRPr="00E40BFA">
        <w:t>за формулою: ơ = (М</w:t>
      </w:r>
      <w:r w:rsidRPr="00D82918">
        <w:rPr>
          <w:vertAlign w:val="subscript"/>
        </w:rPr>
        <w:t>макс.</w:t>
      </w:r>
      <w:r w:rsidRPr="00E40BFA">
        <w:t>-М</w:t>
      </w:r>
      <w:r w:rsidRPr="00D82918">
        <w:rPr>
          <w:vertAlign w:val="subscript"/>
        </w:rPr>
        <w:t>мін.</w:t>
      </w:r>
      <w:r w:rsidRPr="00E40BFA">
        <w:t xml:space="preserve">)/К, де К </w:t>
      </w:r>
      <w:r>
        <w:t>–</w:t>
      </w:r>
      <w:r w:rsidRPr="00E40BFA">
        <w:t xml:space="preserve"> коефіцієнт кореляції.</w:t>
      </w:r>
      <w:r>
        <w:t xml:space="preserve"> </w:t>
      </w:r>
      <w:r w:rsidRPr="00E40BFA">
        <w:t xml:space="preserve">Були отримані наступні дані </w:t>
      </w:r>
      <w:r>
        <w:t>(див. табл. 4.2.1</w:t>
      </w:r>
      <w:r w:rsidRPr="00E40BFA">
        <w:t>):</w:t>
      </w:r>
    </w:p>
    <w:p w:rsidR="00534FB5" w:rsidRPr="00581116" w:rsidRDefault="00534FB5" w:rsidP="00534FB5">
      <w:pPr>
        <w:tabs>
          <w:tab w:val="left" w:pos="4253"/>
        </w:tabs>
        <w:ind w:firstLine="709"/>
        <w:jc w:val="right"/>
        <w:rPr>
          <w:i/>
        </w:rPr>
      </w:pPr>
      <w:r>
        <w:rPr>
          <w:i/>
        </w:rPr>
        <w:t>Таблиця 4.2</w:t>
      </w:r>
      <w:r w:rsidRPr="00581116">
        <w:rPr>
          <w:i/>
        </w:rPr>
        <w:t>.1</w:t>
      </w:r>
    </w:p>
    <w:p w:rsidR="00534FB5" w:rsidRPr="00836F89" w:rsidRDefault="00534FB5" w:rsidP="00534FB5">
      <w:pPr>
        <w:tabs>
          <w:tab w:val="left" w:pos="4253"/>
        </w:tabs>
        <w:spacing w:line="240" w:lineRule="auto"/>
        <w:ind w:firstLine="709"/>
        <w:jc w:val="center"/>
        <w:rPr>
          <w:b/>
        </w:rPr>
      </w:pPr>
      <w:r w:rsidRPr="00836F89">
        <w:rPr>
          <w:b/>
        </w:rPr>
        <w:t>Значення трьох сигнальних відхилень (Зơ) для контрольної групи дітей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2278"/>
        <w:gridCol w:w="3154"/>
        <w:gridCol w:w="3154"/>
      </w:tblGrid>
      <w:tr w:rsidR="00534FB5" w:rsidRPr="00E40BFA" w:rsidTr="00534FB5">
        <w:tc>
          <w:tcPr>
            <w:tcW w:w="990" w:type="dxa"/>
            <w:tcBorders>
              <w:right w:val="single" w:sz="4" w:space="0" w:color="auto"/>
            </w:tcBorders>
          </w:tcPr>
          <w:p w:rsidR="00534FB5" w:rsidRPr="00E40BFA" w:rsidRDefault="00534FB5" w:rsidP="00534FB5">
            <w:pPr>
              <w:tabs>
                <w:tab w:val="left" w:pos="4253"/>
              </w:tabs>
              <w:jc w:val="center"/>
            </w:pPr>
            <w:r w:rsidRPr="00E40BFA">
              <w:t>Група</w:t>
            </w:r>
          </w:p>
        </w:tc>
        <w:tc>
          <w:tcPr>
            <w:tcW w:w="2483" w:type="dxa"/>
            <w:tcBorders>
              <w:left w:val="single" w:sz="4" w:space="0" w:color="auto"/>
            </w:tcBorders>
          </w:tcPr>
          <w:p w:rsidR="00534FB5" w:rsidRPr="00E40BFA" w:rsidRDefault="00534FB5" w:rsidP="00534FB5">
            <w:pPr>
              <w:tabs>
                <w:tab w:val="left" w:pos="4253"/>
              </w:tabs>
              <w:jc w:val="center"/>
            </w:pPr>
            <w:r w:rsidRPr="00E40BFA">
              <w:t>КГ1</w:t>
            </w:r>
          </w:p>
        </w:tc>
        <w:tc>
          <w:tcPr>
            <w:tcW w:w="3474" w:type="dxa"/>
          </w:tcPr>
          <w:p w:rsidR="00534FB5" w:rsidRPr="00E40BFA" w:rsidRDefault="00534FB5" w:rsidP="00534FB5">
            <w:pPr>
              <w:tabs>
                <w:tab w:val="left" w:pos="4253"/>
              </w:tabs>
              <w:jc w:val="center"/>
            </w:pPr>
            <w:r w:rsidRPr="00E40BFA">
              <w:t>КГ2</w:t>
            </w:r>
          </w:p>
        </w:tc>
        <w:tc>
          <w:tcPr>
            <w:tcW w:w="3474" w:type="dxa"/>
          </w:tcPr>
          <w:p w:rsidR="00534FB5" w:rsidRPr="00E40BFA" w:rsidRDefault="00534FB5" w:rsidP="00534FB5">
            <w:pPr>
              <w:tabs>
                <w:tab w:val="left" w:pos="4253"/>
              </w:tabs>
              <w:jc w:val="center"/>
            </w:pPr>
            <w:r w:rsidRPr="00E40BFA">
              <w:t>КГ3</w:t>
            </w:r>
          </w:p>
        </w:tc>
      </w:tr>
      <w:tr w:rsidR="00534FB5" w:rsidRPr="00E40BFA" w:rsidTr="00534FB5">
        <w:tc>
          <w:tcPr>
            <w:tcW w:w="990" w:type="dxa"/>
            <w:tcBorders>
              <w:right w:val="single" w:sz="4" w:space="0" w:color="auto"/>
            </w:tcBorders>
          </w:tcPr>
          <w:p w:rsidR="00534FB5" w:rsidRPr="00E40BFA" w:rsidRDefault="00534FB5" w:rsidP="00534FB5">
            <w:pPr>
              <w:tabs>
                <w:tab w:val="left" w:pos="4253"/>
              </w:tabs>
              <w:jc w:val="center"/>
            </w:pPr>
            <w:r w:rsidRPr="00E40BFA">
              <w:t>Зơ</w:t>
            </w:r>
          </w:p>
        </w:tc>
        <w:tc>
          <w:tcPr>
            <w:tcW w:w="2483" w:type="dxa"/>
            <w:tcBorders>
              <w:left w:val="single" w:sz="4" w:space="0" w:color="auto"/>
            </w:tcBorders>
          </w:tcPr>
          <w:p w:rsidR="00534FB5" w:rsidRPr="00E40BFA" w:rsidRDefault="00534FB5" w:rsidP="00534FB5">
            <w:pPr>
              <w:tabs>
                <w:tab w:val="left" w:pos="4253"/>
              </w:tabs>
              <w:jc w:val="center"/>
            </w:pPr>
            <w:r w:rsidRPr="00E40BFA">
              <w:t>5,01</w:t>
            </w:r>
          </w:p>
        </w:tc>
        <w:tc>
          <w:tcPr>
            <w:tcW w:w="3474" w:type="dxa"/>
          </w:tcPr>
          <w:p w:rsidR="00534FB5" w:rsidRPr="00E40BFA" w:rsidRDefault="00534FB5" w:rsidP="00534FB5">
            <w:pPr>
              <w:tabs>
                <w:tab w:val="left" w:pos="4253"/>
              </w:tabs>
              <w:jc w:val="center"/>
            </w:pPr>
            <w:r w:rsidRPr="00E40BFA">
              <w:t>3,50</w:t>
            </w:r>
          </w:p>
        </w:tc>
        <w:tc>
          <w:tcPr>
            <w:tcW w:w="3474" w:type="dxa"/>
          </w:tcPr>
          <w:p w:rsidR="00534FB5" w:rsidRPr="00E40BFA" w:rsidRDefault="00534FB5" w:rsidP="00534FB5">
            <w:pPr>
              <w:tabs>
                <w:tab w:val="left" w:pos="4253"/>
              </w:tabs>
              <w:jc w:val="center"/>
            </w:pPr>
            <w:r w:rsidRPr="00E40BFA">
              <w:t>2,73</w:t>
            </w:r>
          </w:p>
        </w:tc>
      </w:tr>
    </w:tbl>
    <w:p w:rsidR="00534FB5" w:rsidRPr="00E40BFA" w:rsidRDefault="00534FB5" w:rsidP="00534FB5">
      <w:pPr>
        <w:tabs>
          <w:tab w:val="left" w:pos="4253"/>
        </w:tabs>
      </w:pPr>
    </w:p>
    <w:p w:rsidR="00534FB5" w:rsidRDefault="00534FB5" w:rsidP="00534FB5">
      <w:pPr>
        <w:tabs>
          <w:tab w:val="left" w:pos="4253"/>
        </w:tabs>
        <w:ind w:firstLine="709"/>
        <w:rPr>
          <w:bCs/>
        </w:rPr>
      </w:pPr>
      <w:r w:rsidRPr="00836F89">
        <w:rPr>
          <w:spacing w:val="-8"/>
        </w:rPr>
        <w:t>На основі отриманих даних бу</w:t>
      </w:r>
      <w:r>
        <w:rPr>
          <w:spacing w:val="-8"/>
        </w:rPr>
        <w:t>ло</w:t>
      </w:r>
      <w:r w:rsidRPr="00836F89">
        <w:rPr>
          <w:spacing w:val="-8"/>
        </w:rPr>
        <w:t xml:space="preserve"> розрахован</w:t>
      </w:r>
      <w:r>
        <w:rPr>
          <w:spacing w:val="-8"/>
        </w:rPr>
        <w:t>о</w:t>
      </w:r>
      <w:r w:rsidRPr="00836F89">
        <w:rPr>
          <w:spacing w:val="-8"/>
        </w:rPr>
        <w:t xml:space="preserve"> </w:t>
      </w:r>
      <w:r w:rsidRPr="00836F89">
        <w:rPr>
          <w:bCs/>
          <w:spacing w:val="-8"/>
        </w:rPr>
        <w:t xml:space="preserve">ступінь активності каріозного </w:t>
      </w:r>
      <w:r w:rsidRPr="00836F89">
        <w:rPr>
          <w:bCs/>
        </w:rPr>
        <w:t xml:space="preserve">процесу у </w:t>
      </w:r>
      <w:r>
        <w:rPr>
          <w:bCs/>
        </w:rPr>
        <w:t xml:space="preserve">ДВГ </w:t>
      </w:r>
      <w:r w:rsidRPr="00836F89">
        <w:rPr>
          <w:bCs/>
        </w:rPr>
        <w:t>різних вікових груп (</w:t>
      </w:r>
      <w:r>
        <w:rPr>
          <w:bCs/>
        </w:rPr>
        <w:t>див. табл. 4.2</w:t>
      </w:r>
      <w:r w:rsidRPr="00836F89">
        <w:rPr>
          <w:bCs/>
        </w:rPr>
        <w:t>.2).</w:t>
      </w:r>
    </w:p>
    <w:p w:rsidR="00534FB5" w:rsidRPr="00581116" w:rsidRDefault="00534FB5" w:rsidP="00534FB5">
      <w:pPr>
        <w:tabs>
          <w:tab w:val="left" w:pos="4253"/>
        </w:tabs>
        <w:ind w:firstLine="709"/>
        <w:jc w:val="right"/>
        <w:rPr>
          <w:i/>
        </w:rPr>
      </w:pPr>
      <w:r w:rsidRPr="00581116">
        <w:rPr>
          <w:i/>
        </w:rPr>
        <w:t>Таблиця 4.</w:t>
      </w:r>
      <w:r>
        <w:rPr>
          <w:bCs/>
          <w:i/>
        </w:rPr>
        <w:t>2</w:t>
      </w:r>
      <w:r w:rsidRPr="00581116">
        <w:rPr>
          <w:bCs/>
          <w:i/>
        </w:rPr>
        <w:t>.</w:t>
      </w:r>
      <w:r w:rsidRPr="00581116">
        <w:rPr>
          <w:i/>
        </w:rPr>
        <w:t>2</w:t>
      </w:r>
    </w:p>
    <w:p w:rsidR="00534FB5" w:rsidRPr="00836F89" w:rsidRDefault="00534FB5" w:rsidP="00534FB5">
      <w:pPr>
        <w:pStyle w:val="3"/>
        <w:spacing w:line="240" w:lineRule="auto"/>
        <w:rPr>
          <w:bCs/>
        </w:rPr>
      </w:pPr>
      <w:r w:rsidRPr="00836F89">
        <w:rPr>
          <w:bCs/>
        </w:rPr>
        <w:t>Ступені акти</w:t>
      </w:r>
      <w:r>
        <w:rPr>
          <w:bCs/>
        </w:rPr>
        <w:t xml:space="preserve">вності карієсу зубів у дітей </w:t>
      </w:r>
      <w:r w:rsidR="006C493E">
        <w:rPr>
          <w:bCs/>
        </w:rPr>
        <w:t>із вродженою</w:t>
      </w:r>
      <w:r w:rsidRPr="00836F89">
        <w:rPr>
          <w:bCs/>
        </w:rPr>
        <w:t xml:space="preserve"> глухотою різних вікових груп</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398"/>
        <w:gridCol w:w="2304"/>
        <w:gridCol w:w="2432"/>
      </w:tblGrid>
      <w:tr w:rsidR="00534FB5" w:rsidRPr="00E40BFA" w:rsidTr="00534FB5">
        <w:trPr>
          <w:cantSplit/>
          <w:jc w:val="center"/>
        </w:trPr>
        <w:tc>
          <w:tcPr>
            <w:tcW w:w="2512" w:type="dxa"/>
            <w:vMerge w:val="restart"/>
            <w:vAlign w:val="center"/>
          </w:tcPr>
          <w:p w:rsidR="00534FB5" w:rsidRPr="00E40BFA" w:rsidRDefault="00534FB5" w:rsidP="00534FB5">
            <w:pPr>
              <w:spacing w:line="240" w:lineRule="auto"/>
              <w:contextualSpacing/>
              <w:jc w:val="center"/>
            </w:pPr>
            <w:r w:rsidRPr="00E40BFA">
              <w:t>Ступінь активності карієсу, форма карієсу</w:t>
            </w:r>
          </w:p>
        </w:tc>
        <w:tc>
          <w:tcPr>
            <w:tcW w:w="7131" w:type="dxa"/>
            <w:gridSpan w:val="3"/>
            <w:vAlign w:val="center"/>
          </w:tcPr>
          <w:p w:rsidR="00534FB5" w:rsidRPr="00E40BFA" w:rsidRDefault="00534FB5" w:rsidP="00534FB5">
            <w:pPr>
              <w:spacing w:line="240" w:lineRule="auto"/>
              <w:contextualSpacing/>
              <w:jc w:val="center"/>
            </w:pPr>
            <w:r w:rsidRPr="00E40BFA">
              <w:t>Вік</w:t>
            </w:r>
          </w:p>
        </w:tc>
      </w:tr>
      <w:tr w:rsidR="00534FB5" w:rsidRPr="00E40BFA" w:rsidTr="00534FB5">
        <w:trPr>
          <w:cantSplit/>
          <w:jc w:val="center"/>
        </w:trPr>
        <w:tc>
          <w:tcPr>
            <w:tcW w:w="2512" w:type="dxa"/>
            <w:vMerge/>
            <w:vAlign w:val="center"/>
          </w:tcPr>
          <w:p w:rsidR="00534FB5" w:rsidRPr="00E40BFA" w:rsidRDefault="00534FB5" w:rsidP="00534FB5">
            <w:pPr>
              <w:spacing w:line="240" w:lineRule="auto"/>
              <w:contextualSpacing/>
              <w:jc w:val="center"/>
            </w:pPr>
          </w:p>
        </w:tc>
        <w:tc>
          <w:tcPr>
            <w:tcW w:w="2421" w:type="dxa"/>
            <w:vAlign w:val="center"/>
          </w:tcPr>
          <w:p w:rsidR="00534FB5" w:rsidRPr="00E40BFA" w:rsidRDefault="00534FB5" w:rsidP="00534FB5">
            <w:pPr>
              <w:spacing w:line="240" w:lineRule="auto"/>
              <w:contextualSpacing/>
              <w:jc w:val="center"/>
            </w:pPr>
            <w:r>
              <w:t>7-</w:t>
            </w:r>
            <w:r w:rsidRPr="00E40BFA">
              <w:t>8</w:t>
            </w:r>
          </w:p>
        </w:tc>
        <w:tc>
          <w:tcPr>
            <w:tcW w:w="2325" w:type="dxa"/>
            <w:vAlign w:val="center"/>
          </w:tcPr>
          <w:p w:rsidR="00534FB5" w:rsidRPr="00E40BFA" w:rsidRDefault="00534FB5" w:rsidP="00534FB5">
            <w:pPr>
              <w:spacing w:line="240" w:lineRule="auto"/>
              <w:contextualSpacing/>
              <w:jc w:val="center"/>
            </w:pPr>
            <w:r>
              <w:t>11-</w:t>
            </w:r>
            <w:r w:rsidRPr="00E40BFA">
              <w:t>12</w:t>
            </w:r>
          </w:p>
        </w:tc>
        <w:tc>
          <w:tcPr>
            <w:tcW w:w="0" w:type="auto"/>
            <w:vAlign w:val="center"/>
          </w:tcPr>
          <w:p w:rsidR="00534FB5" w:rsidRPr="00E40BFA" w:rsidRDefault="00534FB5" w:rsidP="00534FB5">
            <w:pPr>
              <w:spacing w:line="240" w:lineRule="auto"/>
              <w:contextualSpacing/>
              <w:jc w:val="center"/>
            </w:pPr>
            <w:r>
              <w:t>14-</w:t>
            </w:r>
            <w:r w:rsidRPr="00E40BFA">
              <w:t>15</w:t>
            </w:r>
          </w:p>
        </w:tc>
      </w:tr>
      <w:tr w:rsidR="00534FB5" w:rsidRPr="00E40BFA" w:rsidTr="00534FB5">
        <w:trPr>
          <w:jc w:val="center"/>
        </w:trPr>
        <w:tc>
          <w:tcPr>
            <w:tcW w:w="2512" w:type="dxa"/>
            <w:vAlign w:val="center"/>
          </w:tcPr>
          <w:p w:rsidR="00534FB5" w:rsidRPr="00E40BFA" w:rsidRDefault="00534FB5" w:rsidP="00534FB5">
            <w:pPr>
              <w:spacing w:line="240" w:lineRule="auto"/>
              <w:contextualSpacing/>
              <w:jc w:val="center"/>
            </w:pPr>
            <w:r w:rsidRPr="00E40BFA">
              <w:t xml:space="preserve">Компенсована </w:t>
            </w:r>
          </w:p>
        </w:tc>
        <w:tc>
          <w:tcPr>
            <w:tcW w:w="2421" w:type="dxa"/>
            <w:vAlign w:val="center"/>
          </w:tcPr>
          <w:p w:rsidR="00534FB5" w:rsidRPr="00E40BFA" w:rsidRDefault="00534FB5" w:rsidP="00534FB5">
            <w:pPr>
              <w:spacing w:line="240" w:lineRule="auto"/>
              <w:contextualSpacing/>
              <w:jc w:val="center"/>
            </w:pPr>
            <w:r w:rsidRPr="00E40BFA">
              <w:t xml:space="preserve">КПВз+кпз </w:t>
            </w:r>
            <w:r w:rsidRPr="00E40BFA">
              <w:sym w:font="Symbol" w:char="F03C"/>
            </w:r>
            <w:r>
              <w:t xml:space="preserve"> </w:t>
            </w:r>
            <w:r w:rsidRPr="00E40BFA">
              <w:t>2,60</w:t>
            </w:r>
          </w:p>
        </w:tc>
        <w:tc>
          <w:tcPr>
            <w:tcW w:w="2325" w:type="dxa"/>
            <w:vAlign w:val="center"/>
          </w:tcPr>
          <w:p w:rsidR="00534FB5" w:rsidRPr="00E40BFA" w:rsidRDefault="00534FB5" w:rsidP="00534FB5">
            <w:pPr>
              <w:spacing w:line="240" w:lineRule="auto"/>
              <w:contextualSpacing/>
              <w:jc w:val="center"/>
            </w:pPr>
            <w:r w:rsidRPr="00E40BFA">
              <w:t xml:space="preserve">КПВз+кпз </w:t>
            </w:r>
            <w:r w:rsidRPr="00E40BFA">
              <w:sym w:font="Symbol" w:char="F03C"/>
            </w:r>
            <w:r w:rsidRPr="00E40BFA">
              <w:t>1,60</w:t>
            </w:r>
            <w:r>
              <w:t xml:space="preserve"> </w:t>
            </w:r>
          </w:p>
        </w:tc>
        <w:tc>
          <w:tcPr>
            <w:tcW w:w="0" w:type="auto"/>
            <w:vAlign w:val="center"/>
          </w:tcPr>
          <w:p w:rsidR="00534FB5" w:rsidRPr="00E40BFA" w:rsidRDefault="00534FB5" w:rsidP="00534FB5">
            <w:pPr>
              <w:spacing w:line="240" w:lineRule="auto"/>
              <w:contextualSpacing/>
              <w:jc w:val="center"/>
            </w:pPr>
            <w:r w:rsidRPr="00E40BFA">
              <w:t xml:space="preserve">КПВз </w:t>
            </w:r>
            <w:r w:rsidRPr="00E40BFA">
              <w:sym w:font="Symbol" w:char="F03C"/>
            </w:r>
            <w:r w:rsidRPr="00E40BFA">
              <w:t>1,50</w:t>
            </w:r>
            <w:r>
              <w:t xml:space="preserve"> </w:t>
            </w:r>
          </w:p>
        </w:tc>
      </w:tr>
      <w:tr w:rsidR="00534FB5" w:rsidRPr="00E40BFA" w:rsidTr="00534FB5">
        <w:trPr>
          <w:jc w:val="center"/>
        </w:trPr>
        <w:tc>
          <w:tcPr>
            <w:tcW w:w="2512" w:type="dxa"/>
            <w:vAlign w:val="center"/>
          </w:tcPr>
          <w:p w:rsidR="00534FB5" w:rsidRPr="00E40BFA" w:rsidRDefault="00534FB5" w:rsidP="00534FB5">
            <w:pPr>
              <w:spacing w:line="240" w:lineRule="auto"/>
              <w:contextualSpacing/>
              <w:jc w:val="center"/>
            </w:pPr>
            <w:r w:rsidRPr="00E40BFA">
              <w:t xml:space="preserve">Субкомпенсована </w:t>
            </w:r>
          </w:p>
        </w:tc>
        <w:tc>
          <w:tcPr>
            <w:tcW w:w="2421" w:type="dxa"/>
            <w:vAlign w:val="center"/>
          </w:tcPr>
          <w:p w:rsidR="00534FB5" w:rsidRPr="00E40BFA" w:rsidRDefault="00534FB5" w:rsidP="00534FB5">
            <w:pPr>
              <w:spacing w:line="240" w:lineRule="auto"/>
              <w:contextualSpacing/>
              <w:jc w:val="center"/>
            </w:pPr>
            <w:r w:rsidRPr="00E40BFA">
              <w:t xml:space="preserve">2,6 </w:t>
            </w:r>
            <w:r w:rsidRPr="00E40BFA">
              <w:sym w:font="Symbol" w:char="F03C"/>
            </w:r>
            <w:r w:rsidRPr="00E40BFA">
              <w:t xml:space="preserve"> КПВз+кпз </w:t>
            </w:r>
            <w:r w:rsidRPr="00E40BFA">
              <w:sym w:font="Symbol" w:char="F03C"/>
            </w:r>
            <w:r w:rsidRPr="00E40BFA">
              <w:t xml:space="preserve"> 7,61</w:t>
            </w:r>
          </w:p>
        </w:tc>
        <w:tc>
          <w:tcPr>
            <w:tcW w:w="2325" w:type="dxa"/>
            <w:vAlign w:val="center"/>
          </w:tcPr>
          <w:p w:rsidR="00534FB5" w:rsidRPr="00E40BFA" w:rsidRDefault="00534FB5" w:rsidP="00534FB5">
            <w:pPr>
              <w:spacing w:line="240" w:lineRule="auto"/>
              <w:contextualSpacing/>
              <w:jc w:val="center"/>
            </w:pPr>
            <w:r w:rsidRPr="00E40BFA">
              <w:t>1,60</w:t>
            </w:r>
            <w:r>
              <w:t xml:space="preserve"> </w:t>
            </w:r>
            <w:r w:rsidRPr="00E40BFA">
              <w:sym w:font="Symbol" w:char="F03C"/>
            </w:r>
            <w:r w:rsidRPr="00E40BFA">
              <w:t xml:space="preserve"> КПВз+кпз </w:t>
            </w:r>
            <w:r w:rsidRPr="00E40BFA">
              <w:sym w:font="Symbol" w:char="F03C"/>
            </w:r>
            <w:r w:rsidRPr="00E40BFA">
              <w:t xml:space="preserve"> 5,10</w:t>
            </w:r>
          </w:p>
        </w:tc>
        <w:tc>
          <w:tcPr>
            <w:tcW w:w="0" w:type="auto"/>
            <w:vAlign w:val="center"/>
          </w:tcPr>
          <w:p w:rsidR="00534FB5" w:rsidRPr="00E40BFA" w:rsidRDefault="00534FB5" w:rsidP="00534FB5">
            <w:pPr>
              <w:spacing w:line="240" w:lineRule="auto"/>
              <w:contextualSpacing/>
              <w:jc w:val="center"/>
            </w:pPr>
            <w:r w:rsidRPr="00E40BFA">
              <w:t>1,50</w:t>
            </w:r>
            <w:r>
              <w:t xml:space="preserve"> </w:t>
            </w:r>
            <w:r w:rsidRPr="00E40BFA">
              <w:sym w:font="Symbol" w:char="F03C"/>
            </w:r>
            <w:r w:rsidRPr="00E40BFA">
              <w:t xml:space="preserve"> КПВз </w:t>
            </w:r>
            <w:r w:rsidRPr="00E40BFA">
              <w:sym w:font="Symbol" w:char="F03C"/>
            </w:r>
            <w:r w:rsidRPr="00E40BFA">
              <w:t xml:space="preserve"> 4,23</w:t>
            </w:r>
          </w:p>
        </w:tc>
      </w:tr>
      <w:tr w:rsidR="00534FB5" w:rsidRPr="00E40BFA" w:rsidTr="00534FB5">
        <w:trPr>
          <w:jc w:val="center"/>
        </w:trPr>
        <w:tc>
          <w:tcPr>
            <w:tcW w:w="2512" w:type="dxa"/>
            <w:vAlign w:val="center"/>
          </w:tcPr>
          <w:p w:rsidR="00534FB5" w:rsidRPr="00E40BFA" w:rsidRDefault="00534FB5" w:rsidP="00534FB5">
            <w:pPr>
              <w:spacing w:line="240" w:lineRule="auto"/>
              <w:contextualSpacing/>
              <w:jc w:val="center"/>
            </w:pPr>
            <w:r w:rsidRPr="00E40BFA">
              <w:t xml:space="preserve">Декомпенсована </w:t>
            </w:r>
          </w:p>
        </w:tc>
        <w:tc>
          <w:tcPr>
            <w:tcW w:w="2421" w:type="dxa"/>
            <w:vAlign w:val="center"/>
          </w:tcPr>
          <w:p w:rsidR="00534FB5" w:rsidRPr="00E40BFA" w:rsidRDefault="00534FB5" w:rsidP="00534FB5">
            <w:pPr>
              <w:spacing w:line="240" w:lineRule="auto"/>
              <w:contextualSpacing/>
              <w:jc w:val="center"/>
            </w:pPr>
            <w:r w:rsidRPr="00E40BFA">
              <w:t xml:space="preserve">КПВз+кпз </w:t>
            </w:r>
            <w:r w:rsidRPr="00E40BFA">
              <w:sym w:font="Symbol" w:char="F03E"/>
            </w:r>
            <w:r w:rsidRPr="00E40BFA">
              <w:t xml:space="preserve"> 7,61</w:t>
            </w:r>
          </w:p>
        </w:tc>
        <w:tc>
          <w:tcPr>
            <w:tcW w:w="2325" w:type="dxa"/>
            <w:vAlign w:val="center"/>
          </w:tcPr>
          <w:p w:rsidR="00534FB5" w:rsidRPr="00E40BFA" w:rsidRDefault="00534FB5" w:rsidP="00534FB5">
            <w:pPr>
              <w:spacing w:line="240" w:lineRule="auto"/>
              <w:contextualSpacing/>
              <w:jc w:val="center"/>
            </w:pPr>
            <w:r w:rsidRPr="00E40BFA">
              <w:t xml:space="preserve">КПВз+кпз </w:t>
            </w:r>
            <w:r w:rsidRPr="00E40BFA">
              <w:sym w:font="Symbol" w:char="F03E"/>
            </w:r>
            <w:r w:rsidRPr="00E40BFA">
              <w:t xml:space="preserve"> 5,10</w:t>
            </w:r>
            <w:r>
              <w:t xml:space="preserve"> </w:t>
            </w:r>
          </w:p>
        </w:tc>
        <w:tc>
          <w:tcPr>
            <w:tcW w:w="0" w:type="auto"/>
            <w:vAlign w:val="center"/>
          </w:tcPr>
          <w:p w:rsidR="00534FB5" w:rsidRPr="00E40BFA" w:rsidRDefault="00534FB5" w:rsidP="00534FB5">
            <w:pPr>
              <w:spacing w:line="240" w:lineRule="auto"/>
              <w:contextualSpacing/>
              <w:jc w:val="center"/>
            </w:pPr>
            <w:r w:rsidRPr="00E40BFA">
              <w:t xml:space="preserve">КПВз </w:t>
            </w:r>
            <w:r w:rsidRPr="00E40BFA">
              <w:sym w:font="Symbol" w:char="F03E"/>
            </w:r>
            <w:r w:rsidRPr="00E40BFA">
              <w:t xml:space="preserve"> 4,23</w:t>
            </w:r>
          </w:p>
        </w:tc>
      </w:tr>
    </w:tbl>
    <w:p w:rsidR="00534FB5" w:rsidRPr="00185F20" w:rsidRDefault="00534FB5" w:rsidP="00534FB5">
      <w:pPr>
        <w:tabs>
          <w:tab w:val="left" w:pos="4253"/>
        </w:tabs>
        <w:ind w:firstLine="709"/>
      </w:pPr>
    </w:p>
    <w:p w:rsidR="00534FB5" w:rsidRPr="00C148AF" w:rsidRDefault="00534FB5" w:rsidP="00534FB5">
      <w:pPr>
        <w:tabs>
          <w:tab w:val="left" w:pos="4253"/>
        </w:tabs>
        <w:ind w:firstLine="709"/>
        <w:contextualSpacing/>
        <w:rPr>
          <w:spacing w:val="-6"/>
        </w:rPr>
      </w:pPr>
      <w:r w:rsidRPr="00C148AF">
        <w:rPr>
          <w:spacing w:val="-6"/>
        </w:rPr>
        <w:t>При аналізі даних</w:t>
      </w:r>
      <w:r>
        <w:rPr>
          <w:spacing w:val="-6"/>
        </w:rPr>
        <w:t>,</w:t>
      </w:r>
      <w:r w:rsidRPr="00C148AF">
        <w:rPr>
          <w:spacing w:val="-6"/>
        </w:rPr>
        <w:t xml:space="preserve"> наведених в таблиці</w:t>
      </w:r>
      <w:r>
        <w:rPr>
          <w:spacing w:val="-6"/>
        </w:rPr>
        <w:t> </w:t>
      </w:r>
      <w:r w:rsidRPr="00C148AF">
        <w:rPr>
          <w:spacing w:val="-6"/>
        </w:rPr>
        <w:t>4.2.2</w:t>
      </w:r>
      <w:r>
        <w:rPr>
          <w:spacing w:val="-6"/>
        </w:rPr>
        <w:t>,</w:t>
      </w:r>
      <w:r w:rsidRPr="00C148AF">
        <w:rPr>
          <w:spacing w:val="-6"/>
        </w:rPr>
        <w:t xml:space="preserve"> та з урахуванням значення трьох сигмальних відхилень було встановлено, що діти 7-8 років з вродженою глухотою (ОГ1) мали карієс ІІ ступеня активності (субкомпенсована форма), що відповідає ІІ диспансерній групі. Значення інтенсивності карієсу в </w:t>
      </w:r>
      <w:r>
        <w:rPr>
          <w:spacing w:val="-6"/>
        </w:rPr>
        <w:t>ц</w:t>
      </w:r>
      <w:r w:rsidRPr="00C148AF">
        <w:rPr>
          <w:spacing w:val="-6"/>
        </w:rPr>
        <w:t>ій групі (5,48±0,17) було більшим від середнього зна</w:t>
      </w:r>
      <w:r w:rsidR="00F470B5">
        <w:rPr>
          <w:spacing w:val="-6"/>
        </w:rPr>
        <w:t>чення інтенсивності карієсу КГ1 </w:t>
      </w:r>
      <w:r w:rsidRPr="00C148AF">
        <w:rPr>
          <w:spacing w:val="-6"/>
        </w:rPr>
        <w:t>(2,60±0,15), але не перевищувало М</w:t>
      </w:r>
      <w:r w:rsidRPr="00C148AF">
        <w:rPr>
          <w:spacing w:val="-6"/>
          <w:vertAlign w:val="subscript"/>
        </w:rPr>
        <w:t>сер</w:t>
      </w:r>
      <w:r w:rsidRPr="00C148AF">
        <w:rPr>
          <w:spacing w:val="-6"/>
        </w:rPr>
        <w:t>+3ơ=7,61 (див. табл.</w:t>
      </w:r>
      <w:r>
        <w:rPr>
          <w:spacing w:val="-6"/>
        </w:rPr>
        <w:t> </w:t>
      </w:r>
      <w:r w:rsidRPr="00C148AF">
        <w:rPr>
          <w:spacing w:val="-6"/>
        </w:rPr>
        <w:t>4.</w:t>
      </w:r>
      <w:r w:rsidRPr="00C148AF">
        <w:rPr>
          <w:bCs/>
          <w:spacing w:val="-6"/>
        </w:rPr>
        <w:t>2.</w:t>
      </w:r>
      <w:r w:rsidRPr="00C148AF">
        <w:rPr>
          <w:spacing w:val="-6"/>
        </w:rPr>
        <w:t xml:space="preserve">2). </w:t>
      </w:r>
    </w:p>
    <w:p w:rsidR="00534FB5" w:rsidRPr="00C148AF" w:rsidRDefault="00534FB5" w:rsidP="00887FA5">
      <w:pPr>
        <w:tabs>
          <w:tab w:val="left" w:pos="4253"/>
        </w:tabs>
        <w:ind w:firstLine="709"/>
        <w:contextualSpacing/>
        <w:rPr>
          <w:spacing w:val="-6"/>
        </w:rPr>
      </w:pPr>
      <w:r w:rsidRPr="00C148AF">
        <w:rPr>
          <w:spacing w:val="-6"/>
        </w:rPr>
        <w:lastRenderedPageBreak/>
        <w:t>ДВГ віком від 11 до 12 років теж мали карієс ІІ ступеня активності (субкомпенсована форма)</w:t>
      </w:r>
      <w:r>
        <w:rPr>
          <w:spacing w:val="-6"/>
        </w:rPr>
        <w:t>, а отже, на</w:t>
      </w:r>
      <w:r w:rsidR="00887FA5">
        <w:rPr>
          <w:spacing w:val="-6"/>
        </w:rPr>
        <w:t>л</w:t>
      </w:r>
      <w:r>
        <w:rPr>
          <w:spacing w:val="-6"/>
        </w:rPr>
        <w:t>ежали</w:t>
      </w:r>
      <w:r w:rsidRPr="00C148AF">
        <w:rPr>
          <w:spacing w:val="-6"/>
        </w:rPr>
        <w:t xml:space="preserve"> до ІІ диспансерної групи. Значення інтенсивності карієсу в ОГ2 (4,10±0,13) було більшим від значення інтенсивності карієсу в КГ2 (1,60±0,14), але не перевищувало М</w:t>
      </w:r>
      <w:r w:rsidRPr="00C148AF">
        <w:rPr>
          <w:spacing w:val="-6"/>
          <w:vertAlign w:val="subscript"/>
        </w:rPr>
        <w:t>сер</w:t>
      </w:r>
      <w:r w:rsidRPr="00C148AF">
        <w:rPr>
          <w:spacing w:val="-6"/>
        </w:rPr>
        <w:t xml:space="preserve">+3ơ (5,10) для </w:t>
      </w:r>
      <w:r>
        <w:rPr>
          <w:spacing w:val="-6"/>
        </w:rPr>
        <w:t>ціє</w:t>
      </w:r>
      <w:r w:rsidRPr="00C148AF">
        <w:rPr>
          <w:spacing w:val="-6"/>
        </w:rPr>
        <w:t>ї вікової групи (див. табл.</w:t>
      </w:r>
      <w:r>
        <w:rPr>
          <w:spacing w:val="-6"/>
        </w:rPr>
        <w:t> </w:t>
      </w:r>
      <w:r w:rsidRPr="00C148AF">
        <w:rPr>
          <w:spacing w:val="-6"/>
        </w:rPr>
        <w:t>4.</w:t>
      </w:r>
      <w:r w:rsidRPr="00C148AF">
        <w:rPr>
          <w:bCs/>
          <w:spacing w:val="-6"/>
        </w:rPr>
        <w:t>2.</w:t>
      </w:r>
      <w:r w:rsidRPr="00C148AF">
        <w:rPr>
          <w:spacing w:val="-6"/>
        </w:rPr>
        <w:t>2).</w:t>
      </w:r>
    </w:p>
    <w:p w:rsidR="00534FB5" w:rsidRPr="00C148AF" w:rsidRDefault="00534FB5" w:rsidP="00534FB5">
      <w:pPr>
        <w:tabs>
          <w:tab w:val="left" w:pos="4253"/>
        </w:tabs>
        <w:ind w:firstLine="709"/>
        <w:contextualSpacing/>
        <w:rPr>
          <w:spacing w:val="-6"/>
        </w:rPr>
      </w:pPr>
      <w:r w:rsidRPr="00C148AF">
        <w:rPr>
          <w:spacing w:val="-6"/>
        </w:rPr>
        <w:t xml:space="preserve">Середнє значення інтенсивності карієсу зубів </w:t>
      </w:r>
      <w:r>
        <w:rPr>
          <w:spacing w:val="-6"/>
        </w:rPr>
        <w:t>у</w:t>
      </w:r>
      <w:r w:rsidRPr="00C148AF">
        <w:rPr>
          <w:spacing w:val="-6"/>
        </w:rPr>
        <w:t xml:space="preserve"> третій віковій групі дітей (ОГ3) с</w:t>
      </w:r>
      <w:r>
        <w:rPr>
          <w:spacing w:val="-6"/>
        </w:rPr>
        <w:t>тановил</w:t>
      </w:r>
      <w:r w:rsidRPr="00C148AF">
        <w:rPr>
          <w:spacing w:val="-6"/>
        </w:rPr>
        <w:t>о 4,35±0,13, що хоч і незначно, але перевищувало М</w:t>
      </w:r>
      <w:r w:rsidRPr="00C148AF">
        <w:rPr>
          <w:spacing w:val="-6"/>
          <w:vertAlign w:val="subscript"/>
        </w:rPr>
        <w:t>сер</w:t>
      </w:r>
      <w:r w:rsidRPr="00C148AF">
        <w:rPr>
          <w:spacing w:val="-6"/>
        </w:rPr>
        <w:t xml:space="preserve">+3ơ (4,23). Діти </w:t>
      </w:r>
      <w:r>
        <w:rPr>
          <w:spacing w:val="-6"/>
        </w:rPr>
        <w:t>ціє</w:t>
      </w:r>
      <w:r w:rsidRPr="00C148AF">
        <w:rPr>
          <w:spacing w:val="-6"/>
        </w:rPr>
        <w:t xml:space="preserve">ї вікової групи (14-15 років) з ІІІ ступенем активності каріозного процесу (декомпенсована форма) </w:t>
      </w:r>
      <w:r>
        <w:rPr>
          <w:spacing w:val="-6"/>
        </w:rPr>
        <w:t>належали</w:t>
      </w:r>
      <w:r w:rsidRPr="00C148AF">
        <w:rPr>
          <w:spacing w:val="-6"/>
        </w:rPr>
        <w:t xml:space="preserve"> до т</w:t>
      </w:r>
      <w:r w:rsidR="00294ED8">
        <w:rPr>
          <w:spacing w:val="-6"/>
        </w:rPr>
        <w:t>ретьої диспансерної групи (див. </w:t>
      </w:r>
      <w:r w:rsidRPr="00C148AF">
        <w:rPr>
          <w:spacing w:val="-6"/>
        </w:rPr>
        <w:t>табл.</w:t>
      </w:r>
      <w:r>
        <w:rPr>
          <w:spacing w:val="-6"/>
        </w:rPr>
        <w:t> </w:t>
      </w:r>
      <w:r w:rsidRPr="00C148AF">
        <w:rPr>
          <w:spacing w:val="-6"/>
        </w:rPr>
        <w:t>4.</w:t>
      </w:r>
      <w:r w:rsidRPr="00C148AF">
        <w:rPr>
          <w:bCs/>
          <w:spacing w:val="-6"/>
        </w:rPr>
        <w:t>2.</w:t>
      </w:r>
      <w:r w:rsidRPr="00C148AF">
        <w:rPr>
          <w:spacing w:val="-6"/>
        </w:rPr>
        <w:t>2).</w:t>
      </w:r>
      <w:r>
        <w:rPr>
          <w:spacing w:val="-6"/>
        </w:rPr>
        <w:t xml:space="preserve"> </w:t>
      </w:r>
    </w:p>
    <w:p w:rsidR="00534FB5" w:rsidRDefault="00534FB5" w:rsidP="00294ED8">
      <w:pPr>
        <w:tabs>
          <w:tab w:val="left" w:pos="4253"/>
        </w:tabs>
        <w:ind w:firstLine="709"/>
        <w:contextualSpacing/>
        <w:rPr>
          <w:spacing w:val="-6"/>
        </w:rPr>
      </w:pPr>
      <w:r w:rsidRPr="00C148AF">
        <w:rPr>
          <w:spacing w:val="-6"/>
        </w:rPr>
        <w:t xml:space="preserve">Таким чином, </w:t>
      </w:r>
      <w:r w:rsidR="00294ED8">
        <w:rPr>
          <w:spacing w:val="-6"/>
        </w:rPr>
        <w:t>враховуючи визначені нами</w:t>
      </w:r>
      <w:r w:rsidRPr="00C148AF">
        <w:rPr>
          <w:spacing w:val="-6"/>
        </w:rPr>
        <w:t xml:space="preserve"> </w:t>
      </w:r>
      <w:r w:rsidR="00294ED8">
        <w:rPr>
          <w:spacing w:val="-6"/>
        </w:rPr>
        <w:t xml:space="preserve">у </w:t>
      </w:r>
      <w:r w:rsidRPr="00C148AF">
        <w:rPr>
          <w:spacing w:val="-6"/>
        </w:rPr>
        <w:t>ДВГ</w:t>
      </w:r>
      <w:r w:rsidR="00294ED8">
        <w:rPr>
          <w:spacing w:val="-6"/>
        </w:rPr>
        <w:t xml:space="preserve"> </w:t>
      </w:r>
      <w:r w:rsidR="00294ED8" w:rsidRPr="00C148AF">
        <w:rPr>
          <w:spacing w:val="-6"/>
        </w:rPr>
        <w:t>диспансерні групи</w:t>
      </w:r>
      <w:r>
        <w:rPr>
          <w:spacing w:val="-6"/>
        </w:rPr>
        <w:t xml:space="preserve"> й відповідно до</w:t>
      </w:r>
      <w:r w:rsidRPr="00C148AF">
        <w:rPr>
          <w:spacing w:val="-6"/>
        </w:rPr>
        <w:t xml:space="preserve"> рекомендаці</w:t>
      </w:r>
      <w:r>
        <w:rPr>
          <w:spacing w:val="-6"/>
        </w:rPr>
        <w:t>й</w:t>
      </w:r>
      <w:r w:rsidRPr="00C148AF">
        <w:rPr>
          <w:spacing w:val="-6"/>
        </w:rPr>
        <w:t xml:space="preserve"> Т. Ф.</w:t>
      </w:r>
      <w:r>
        <w:rPr>
          <w:spacing w:val="-6"/>
        </w:rPr>
        <w:t> </w:t>
      </w:r>
      <w:r w:rsidRPr="00C148AF">
        <w:rPr>
          <w:spacing w:val="-6"/>
        </w:rPr>
        <w:t>Виноградової</w:t>
      </w:r>
      <w:r w:rsidR="00294ED8">
        <w:rPr>
          <w:spacing w:val="-6"/>
        </w:rPr>
        <w:t xml:space="preserve">,  </w:t>
      </w:r>
      <w:r w:rsidR="00294ED8" w:rsidRPr="00C148AF">
        <w:rPr>
          <w:spacing w:val="-6"/>
        </w:rPr>
        <w:t xml:space="preserve">кратність оглядів і лікувально-профілактичних заходів для </w:t>
      </w:r>
      <w:r w:rsidR="001D7E95">
        <w:rPr>
          <w:spacing w:val="-6"/>
        </w:rPr>
        <w:t xml:space="preserve">ДВГ </w:t>
      </w:r>
      <w:r w:rsidR="00294ED8">
        <w:rPr>
          <w:spacing w:val="-6"/>
        </w:rPr>
        <w:t>різних</w:t>
      </w:r>
      <w:r w:rsidR="001D7E95">
        <w:rPr>
          <w:spacing w:val="-6"/>
        </w:rPr>
        <w:t xml:space="preserve"> вікових</w:t>
      </w:r>
      <w:r w:rsidR="00294ED8" w:rsidRPr="00C148AF">
        <w:rPr>
          <w:spacing w:val="-6"/>
        </w:rPr>
        <w:t xml:space="preserve"> груп</w:t>
      </w:r>
      <w:r>
        <w:rPr>
          <w:spacing w:val="-6"/>
        </w:rPr>
        <w:t xml:space="preserve"> </w:t>
      </w:r>
      <w:r w:rsidRPr="00C148AF">
        <w:rPr>
          <w:spacing w:val="-6"/>
        </w:rPr>
        <w:t>с</w:t>
      </w:r>
      <w:r>
        <w:rPr>
          <w:spacing w:val="-6"/>
        </w:rPr>
        <w:t>тановить</w:t>
      </w:r>
      <w:r w:rsidRPr="00C148AF">
        <w:rPr>
          <w:spacing w:val="-6"/>
        </w:rPr>
        <w:t xml:space="preserve"> 2</w:t>
      </w:r>
      <w:r w:rsidR="00294ED8">
        <w:rPr>
          <w:spacing w:val="-6"/>
        </w:rPr>
        <w:t>-3</w:t>
      </w:r>
      <w:r w:rsidRPr="00C148AF">
        <w:rPr>
          <w:spacing w:val="-6"/>
        </w:rPr>
        <w:t xml:space="preserve"> рази на рік.</w:t>
      </w:r>
      <w:r w:rsidR="001D7E95">
        <w:rPr>
          <w:spacing w:val="-6"/>
        </w:rPr>
        <w:t xml:space="preserve"> Виходячи з</w:t>
      </w:r>
      <w:r w:rsidR="00294ED8">
        <w:rPr>
          <w:spacing w:val="-6"/>
        </w:rPr>
        <w:t xml:space="preserve"> цього, було прийнято рішення </w:t>
      </w:r>
      <w:r w:rsidR="001D7E95">
        <w:rPr>
          <w:spacing w:val="-6"/>
        </w:rPr>
        <w:t xml:space="preserve"> у </w:t>
      </w:r>
      <w:r w:rsidRPr="00C148AF">
        <w:rPr>
          <w:spacing w:val="-6"/>
        </w:rPr>
        <w:t>12</w:t>
      </w:r>
      <w:r w:rsidR="001D7E95">
        <w:rPr>
          <w:spacing w:val="-6"/>
        </w:rPr>
        <w:t xml:space="preserve"> –</w:t>
      </w:r>
      <w:r w:rsidRPr="00C148AF">
        <w:rPr>
          <w:spacing w:val="-6"/>
        </w:rPr>
        <w:t xml:space="preserve"> міся</w:t>
      </w:r>
      <w:r w:rsidR="001D7E95">
        <w:rPr>
          <w:spacing w:val="-6"/>
        </w:rPr>
        <w:t>чний період</w:t>
      </w:r>
      <w:r w:rsidRPr="00C148AF">
        <w:rPr>
          <w:spacing w:val="-6"/>
        </w:rPr>
        <w:t xml:space="preserve"> спостереження </w:t>
      </w:r>
      <w:r w:rsidR="00F470B5">
        <w:rPr>
          <w:spacing w:val="-6"/>
        </w:rPr>
        <w:t>ДВГ</w:t>
      </w:r>
      <w:r w:rsidRPr="00C148AF">
        <w:rPr>
          <w:spacing w:val="-6"/>
        </w:rPr>
        <w:t xml:space="preserve"> всіх вікових груп</w:t>
      </w:r>
      <w:r>
        <w:rPr>
          <w:spacing w:val="-6"/>
        </w:rPr>
        <w:t xml:space="preserve"> </w:t>
      </w:r>
      <w:r w:rsidR="00294ED8">
        <w:rPr>
          <w:spacing w:val="-6"/>
        </w:rPr>
        <w:t>проводити</w:t>
      </w:r>
      <w:r>
        <w:rPr>
          <w:spacing w:val="-6"/>
        </w:rPr>
        <w:t xml:space="preserve"> </w:t>
      </w:r>
      <w:r w:rsidRPr="00C148AF">
        <w:rPr>
          <w:spacing w:val="-6"/>
        </w:rPr>
        <w:t xml:space="preserve">лікувально-профілактичні заходи </w:t>
      </w:r>
      <w:r w:rsidR="00F470B5">
        <w:rPr>
          <w:spacing w:val="-6"/>
        </w:rPr>
        <w:t xml:space="preserve">3 рази на рік, а  огляди </w:t>
      </w:r>
      <w:r w:rsidRPr="00C94CD5">
        <w:rPr>
          <w:spacing w:val="-6"/>
        </w:rPr>
        <w:t>через 1, 6 та 12 місяців</w:t>
      </w:r>
      <w:r w:rsidRPr="00C148AF">
        <w:rPr>
          <w:spacing w:val="-6"/>
        </w:rPr>
        <w:t>.</w:t>
      </w:r>
    </w:p>
    <w:p w:rsidR="00534FB5" w:rsidRPr="00C148AF" w:rsidRDefault="00534FB5" w:rsidP="00534FB5">
      <w:pPr>
        <w:ind w:firstLine="709"/>
        <w:rPr>
          <w:spacing w:val="-6"/>
        </w:rPr>
      </w:pPr>
      <w:r w:rsidRPr="00C148AF">
        <w:rPr>
          <w:spacing w:val="-6"/>
        </w:rPr>
        <w:t xml:space="preserve">Дані, які відображають динаміку зміни </w:t>
      </w:r>
      <w:r w:rsidRPr="00C148AF">
        <w:rPr>
          <w:color w:val="000000"/>
          <w:spacing w:val="-6"/>
        </w:rPr>
        <w:t>поширеності карієсу</w:t>
      </w:r>
      <w:r>
        <w:rPr>
          <w:color w:val="000000"/>
          <w:spacing w:val="-6"/>
        </w:rPr>
        <w:t xml:space="preserve"> </w:t>
      </w:r>
      <w:r w:rsidRPr="00C148AF">
        <w:rPr>
          <w:spacing w:val="-6"/>
        </w:rPr>
        <w:t>зубів у дітей</w:t>
      </w:r>
      <w:r>
        <w:rPr>
          <w:spacing w:val="-6"/>
        </w:rPr>
        <w:t xml:space="preserve"> </w:t>
      </w:r>
      <w:r w:rsidRPr="00C148AF">
        <w:rPr>
          <w:spacing w:val="-6"/>
        </w:rPr>
        <w:t>основної та контрольної груп до та після проведення лікувально-профілактичних заходів</w:t>
      </w:r>
      <w:r>
        <w:rPr>
          <w:spacing w:val="-6"/>
        </w:rPr>
        <w:t>,</w:t>
      </w:r>
      <w:r w:rsidRPr="00C148AF">
        <w:rPr>
          <w:spacing w:val="-6"/>
        </w:rPr>
        <w:t xml:space="preserve"> представлено в таблиці 4.</w:t>
      </w:r>
      <w:r w:rsidRPr="00C148AF">
        <w:rPr>
          <w:bCs/>
          <w:spacing w:val="-6"/>
        </w:rPr>
        <w:t>2</w:t>
      </w:r>
      <w:r w:rsidRPr="00C148AF">
        <w:rPr>
          <w:spacing w:val="-6"/>
        </w:rPr>
        <w:t xml:space="preserve">.3. </w:t>
      </w:r>
    </w:p>
    <w:p w:rsidR="00534FB5" w:rsidRPr="0040065B" w:rsidRDefault="00534FB5" w:rsidP="00534FB5">
      <w:pPr>
        <w:ind w:firstLine="709"/>
        <w:jc w:val="right"/>
        <w:rPr>
          <w:i/>
        </w:rPr>
      </w:pPr>
      <w:r w:rsidRPr="0040065B">
        <w:rPr>
          <w:i/>
        </w:rPr>
        <w:t>Таблиця 4.</w:t>
      </w:r>
      <w:r>
        <w:rPr>
          <w:bCs/>
          <w:i/>
        </w:rPr>
        <w:t>2</w:t>
      </w:r>
      <w:r w:rsidRPr="0040065B">
        <w:rPr>
          <w:bCs/>
          <w:i/>
        </w:rPr>
        <w:t>.</w:t>
      </w:r>
      <w:r w:rsidRPr="0040065B">
        <w:rPr>
          <w:i/>
        </w:rPr>
        <w:t>3</w:t>
      </w:r>
    </w:p>
    <w:p w:rsidR="00534FB5" w:rsidRPr="00836F89" w:rsidRDefault="00534FB5" w:rsidP="00534FB5">
      <w:pPr>
        <w:spacing w:line="240" w:lineRule="auto"/>
        <w:ind w:firstLine="709"/>
        <w:jc w:val="center"/>
        <w:rPr>
          <w:b/>
        </w:rPr>
      </w:pPr>
      <w:r w:rsidRPr="00836F89">
        <w:rPr>
          <w:b/>
        </w:rPr>
        <w:t xml:space="preserve">Динаміка зміни </w:t>
      </w:r>
      <w:r w:rsidRPr="00836F89">
        <w:rPr>
          <w:b/>
          <w:color w:val="000000"/>
        </w:rPr>
        <w:t>поширеності карієсу</w:t>
      </w:r>
      <w:r>
        <w:rPr>
          <w:b/>
          <w:color w:val="000000"/>
        </w:rPr>
        <w:t xml:space="preserve"> </w:t>
      </w:r>
      <w:r w:rsidRPr="00836F89">
        <w:rPr>
          <w:b/>
        </w:rPr>
        <w:t>зубів у дітей</w:t>
      </w:r>
      <w:r>
        <w:rPr>
          <w:b/>
        </w:rPr>
        <w:t xml:space="preserve"> </w:t>
      </w:r>
      <w:r w:rsidRPr="00836F89">
        <w:rPr>
          <w:b/>
        </w:rPr>
        <w:t>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841"/>
        <w:gridCol w:w="1987"/>
        <w:gridCol w:w="1983"/>
        <w:gridCol w:w="2092"/>
      </w:tblGrid>
      <w:tr w:rsidR="00534FB5" w:rsidRPr="00E40BFA" w:rsidTr="00534FB5">
        <w:trPr>
          <w:trHeight w:val="224"/>
        </w:trPr>
        <w:tc>
          <w:tcPr>
            <w:tcW w:w="871" w:type="pct"/>
            <w:vMerge w:val="restart"/>
          </w:tcPr>
          <w:p w:rsidR="00534FB5" w:rsidRPr="00E40BFA" w:rsidRDefault="00534FB5" w:rsidP="00534FB5">
            <w:pPr>
              <w:spacing w:line="240" w:lineRule="atLeast"/>
              <w:contextualSpacing/>
              <w:jc w:val="center"/>
            </w:pPr>
            <w:r>
              <w:t xml:space="preserve">Групи </w:t>
            </w:r>
          </w:p>
        </w:tc>
        <w:tc>
          <w:tcPr>
            <w:tcW w:w="4129" w:type="pct"/>
            <w:gridSpan w:val="4"/>
          </w:tcPr>
          <w:p w:rsidR="00534FB5" w:rsidRPr="00294ED8" w:rsidRDefault="00534FB5" w:rsidP="00294ED8">
            <w:pPr>
              <w:spacing w:line="240" w:lineRule="atLeast"/>
              <w:contextualSpacing/>
              <w:jc w:val="center"/>
            </w:pPr>
            <w:r>
              <w:t xml:space="preserve">Поширеність карієсу зубів, </w:t>
            </w:r>
            <w:r w:rsidR="00294ED8">
              <w:t>%</w:t>
            </w:r>
          </w:p>
        </w:tc>
      </w:tr>
      <w:tr w:rsidR="00534FB5" w:rsidRPr="00E40BFA" w:rsidTr="00534FB5">
        <w:tc>
          <w:tcPr>
            <w:tcW w:w="871" w:type="pct"/>
            <w:vMerge/>
          </w:tcPr>
          <w:p w:rsidR="00534FB5" w:rsidRPr="00E40BFA" w:rsidRDefault="00534FB5" w:rsidP="00534FB5">
            <w:pPr>
              <w:spacing w:line="240" w:lineRule="atLeast"/>
              <w:contextualSpacing/>
              <w:jc w:val="center"/>
            </w:pPr>
          </w:p>
        </w:tc>
        <w:tc>
          <w:tcPr>
            <w:tcW w:w="962" w:type="pct"/>
          </w:tcPr>
          <w:p w:rsidR="00534FB5" w:rsidRPr="00E40BFA" w:rsidRDefault="00534FB5" w:rsidP="00534FB5">
            <w:pPr>
              <w:spacing w:line="240" w:lineRule="atLeast"/>
              <w:contextualSpacing/>
              <w:jc w:val="center"/>
            </w:pPr>
            <w:r w:rsidRPr="00E40BFA">
              <w:t>До лікування</w:t>
            </w:r>
          </w:p>
        </w:tc>
        <w:tc>
          <w:tcPr>
            <w:tcW w:w="1038" w:type="pct"/>
          </w:tcPr>
          <w:p w:rsidR="00534FB5" w:rsidRPr="00E40BFA" w:rsidRDefault="00534FB5" w:rsidP="00534FB5">
            <w:pPr>
              <w:spacing w:line="240" w:lineRule="atLeast"/>
              <w:contextualSpacing/>
              <w:jc w:val="center"/>
            </w:pPr>
            <w:r w:rsidRPr="00E40BFA">
              <w:t>Через 1 місяць</w:t>
            </w:r>
          </w:p>
        </w:tc>
        <w:tc>
          <w:tcPr>
            <w:tcW w:w="1036" w:type="pct"/>
          </w:tcPr>
          <w:p w:rsidR="00534FB5" w:rsidRPr="00E40BFA" w:rsidRDefault="00534FB5" w:rsidP="00534FB5">
            <w:pPr>
              <w:spacing w:line="240" w:lineRule="atLeast"/>
              <w:ind w:left="-108"/>
              <w:contextualSpacing/>
              <w:jc w:val="center"/>
            </w:pPr>
            <w:r w:rsidRPr="00E40BFA">
              <w:t>Через 6 місяців</w:t>
            </w:r>
          </w:p>
        </w:tc>
        <w:tc>
          <w:tcPr>
            <w:tcW w:w="1093" w:type="pct"/>
          </w:tcPr>
          <w:p w:rsidR="00534FB5" w:rsidRPr="00E40BFA" w:rsidRDefault="00534FB5" w:rsidP="00534FB5">
            <w:pPr>
              <w:spacing w:line="240" w:lineRule="atLeast"/>
              <w:ind w:left="-108"/>
              <w:contextualSpacing/>
              <w:jc w:val="center"/>
            </w:pPr>
            <w:r w:rsidRPr="00E40BFA">
              <w:t>Через 12 місяців</w:t>
            </w:r>
          </w:p>
        </w:tc>
      </w:tr>
      <w:tr w:rsidR="00534FB5" w:rsidRPr="00E40BFA" w:rsidTr="00534FB5">
        <w:trPr>
          <w:trHeight w:val="225"/>
        </w:trPr>
        <w:tc>
          <w:tcPr>
            <w:tcW w:w="871" w:type="pct"/>
          </w:tcPr>
          <w:p w:rsidR="00534FB5" w:rsidRPr="00C94CD5" w:rsidRDefault="00534FB5" w:rsidP="00534FB5">
            <w:pPr>
              <w:spacing w:line="240" w:lineRule="atLeast"/>
              <w:jc w:val="center"/>
            </w:pPr>
            <w:r w:rsidRPr="00C94CD5">
              <w:t>1</w:t>
            </w:r>
          </w:p>
        </w:tc>
        <w:tc>
          <w:tcPr>
            <w:tcW w:w="962" w:type="pct"/>
          </w:tcPr>
          <w:p w:rsidR="00534FB5" w:rsidRPr="00C94CD5" w:rsidRDefault="00534FB5" w:rsidP="00CB09F0">
            <w:pPr>
              <w:spacing w:line="240" w:lineRule="atLeast"/>
              <w:jc w:val="center"/>
            </w:pPr>
            <w:r w:rsidRPr="00C94CD5">
              <w:t>2</w:t>
            </w:r>
          </w:p>
        </w:tc>
        <w:tc>
          <w:tcPr>
            <w:tcW w:w="1038" w:type="pct"/>
          </w:tcPr>
          <w:p w:rsidR="00534FB5" w:rsidRPr="00C94CD5" w:rsidRDefault="00534FB5" w:rsidP="00CB09F0">
            <w:pPr>
              <w:spacing w:line="240" w:lineRule="atLeast"/>
              <w:jc w:val="center"/>
            </w:pPr>
            <w:r w:rsidRPr="00C94CD5">
              <w:t>3</w:t>
            </w:r>
          </w:p>
        </w:tc>
        <w:tc>
          <w:tcPr>
            <w:tcW w:w="1036" w:type="pct"/>
          </w:tcPr>
          <w:p w:rsidR="00534FB5" w:rsidRPr="00C94CD5" w:rsidRDefault="00534FB5" w:rsidP="00CB09F0">
            <w:pPr>
              <w:spacing w:line="240" w:lineRule="atLeast"/>
              <w:ind w:left="-108"/>
              <w:jc w:val="center"/>
            </w:pPr>
            <w:r w:rsidRPr="00C94CD5">
              <w:t>4</w:t>
            </w:r>
          </w:p>
        </w:tc>
        <w:tc>
          <w:tcPr>
            <w:tcW w:w="1093" w:type="pct"/>
          </w:tcPr>
          <w:p w:rsidR="00534FB5" w:rsidRPr="00C94CD5" w:rsidRDefault="00534FB5" w:rsidP="00CB09F0">
            <w:pPr>
              <w:spacing w:line="240" w:lineRule="atLeast"/>
              <w:ind w:left="-108"/>
              <w:jc w:val="center"/>
            </w:pPr>
            <w:r w:rsidRPr="00C94CD5">
              <w:t>5</w:t>
            </w:r>
          </w:p>
        </w:tc>
      </w:tr>
      <w:tr w:rsidR="00534FB5" w:rsidRPr="00E40BFA" w:rsidTr="00534FB5">
        <w:tc>
          <w:tcPr>
            <w:tcW w:w="871" w:type="pct"/>
          </w:tcPr>
          <w:p w:rsidR="00534FB5" w:rsidRPr="00E40BFA" w:rsidRDefault="00534FB5" w:rsidP="00534FB5">
            <w:pPr>
              <w:spacing w:line="240" w:lineRule="auto"/>
            </w:pPr>
            <w:r w:rsidRPr="00E40BFA">
              <w:t>КГ1</w:t>
            </w:r>
          </w:p>
        </w:tc>
        <w:tc>
          <w:tcPr>
            <w:tcW w:w="962" w:type="pct"/>
          </w:tcPr>
          <w:p w:rsidR="00534FB5" w:rsidRPr="00E40BFA" w:rsidRDefault="00294ED8" w:rsidP="00CB09F0">
            <w:pPr>
              <w:spacing w:line="240" w:lineRule="auto"/>
              <w:jc w:val="center"/>
            </w:pPr>
            <w:r>
              <w:t>80</w:t>
            </w:r>
          </w:p>
        </w:tc>
        <w:tc>
          <w:tcPr>
            <w:tcW w:w="1038" w:type="pct"/>
          </w:tcPr>
          <w:p w:rsidR="00534FB5" w:rsidRPr="00E40BFA" w:rsidRDefault="00534FB5" w:rsidP="00CB09F0">
            <w:pPr>
              <w:spacing w:line="240" w:lineRule="auto"/>
              <w:jc w:val="center"/>
            </w:pPr>
            <w:r w:rsidRPr="00E40BFA">
              <w:t>-</w:t>
            </w:r>
          </w:p>
        </w:tc>
        <w:tc>
          <w:tcPr>
            <w:tcW w:w="1036" w:type="pct"/>
          </w:tcPr>
          <w:p w:rsidR="00534FB5" w:rsidRPr="00E40BFA" w:rsidRDefault="00534FB5" w:rsidP="00CB09F0">
            <w:pPr>
              <w:spacing w:line="240" w:lineRule="auto"/>
              <w:jc w:val="center"/>
            </w:pPr>
            <w:r w:rsidRPr="00E40BFA">
              <w:t>-</w:t>
            </w:r>
          </w:p>
        </w:tc>
        <w:tc>
          <w:tcPr>
            <w:tcW w:w="1093" w:type="pct"/>
          </w:tcPr>
          <w:p w:rsidR="00534FB5" w:rsidRPr="00E40BFA" w:rsidRDefault="00534FB5" w:rsidP="00CB09F0">
            <w:pPr>
              <w:spacing w:line="240" w:lineRule="auto"/>
              <w:jc w:val="center"/>
            </w:pPr>
            <w:r w:rsidRPr="00E40BFA">
              <w:t>-</w:t>
            </w:r>
          </w:p>
        </w:tc>
      </w:tr>
      <w:tr w:rsidR="00534FB5" w:rsidRPr="00E40BFA" w:rsidTr="00534FB5">
        <w:tc>
          <w:tcPr>
            <w:tcW w:w="871" w:type="pct"/>
          </w:tcPr>
          <w:p w:rsidR="00534FB5" w:rsidRPr="00E40BFA" w:rsidRDefault="00534FB5" w:rsidP="00534FB5">
            <w:pPr>
              <w:spacing w:line="240" w:lineRule="auto"/>
            </w:pPr>
            <w:r w:rsidRPr="00E40BFA">
              <w:t>ОГ1а</w:t>
            </w:r>
          </w:p>
        </w:tc>
        <w:tc>
          <w:tcPr>
            <w:tcW w:w="962" w:type="pct"/>
          </w:tcPr>
          <w:p w:rsidR="00534FB5" w:rsidRPr="00E40BFA" w:rsidRDefault="00CB09F0" w:rsidP="00CB09F0">
            <w:pPr>
              <w:spacing w:line="240" w:lineRule="auto"/>
              <w:jc w:val="center"/>
            </w:pPr>
            <w:r>
              <w:t>82</w:t>
            </w:r>
          </w:p>
        </w:tc>
        <w:tc>
          <w:tcPr>
            <w:tcW w:w="1038" w:type="pct"/>
          </w:tcPr>
          <w:p w:rsidR="00534FB5" w:rsidRPr="00E40BFA" w:rsidRDefault="00CB09F0" w:rsidP="00CB09F0">
            <w:pPr>
              <w:spacing w:line="240" w:lineRule="auto"/>
              <w:jc w:val="center"/>
            </w:pPr>
            <w:r>
              <w:t>91</w:t>
            </w:r>
          </w:p>
        </w:tc>
        <w:tc>
          <w:tcPr>
            <w:tcW w:w="1036" w:type="pct"/>
          </w:tcPr>
          <w:p w:rsidR="00534FB5" w:rsidRPr="00E40BFA" w:rsidRDefault="00CB09F0" w:rsidP="00CB09F0">
            <w:pPr>
              <w:spacing w:line="240" w:lineRule="auto"/>
              <w:jc w:val="center"/>
            </w:pPr>
            <w:r>
              <w:t>91</w:t>
            </w:r>
          </w:p>
        </w:tc>
        <w:tc>
          <w:tcPr>
            <w:tcW w:w="1093" w:type="pct"/>
          </w:tcPr>
          <w:p w:rsidR="00534FB5" w:rsidRPr="00E40BFA" w:rsidRDefault="00CB09F0" w:rsidP="00CB09F0">
            <w:pPr>
              <w:spacing w:line="240" w:lineRule="auto"/>
              <w:jc w:val="center"/>
            </w:pPr>
            <w:r>
              <w:t>91</w:t>
            </w:r>
          </w:p>
        </w:tc>
      </w:tr>
      <w:tr w:rsidR="00534FB5" w:rsidRPr="00E40BFA" w:rsidTr="00534FB5">
        <w:tc>
          <w:tcPr>
            <w:tcW w:w="871" w:type="pct"/>
          </w:tcPr>
          <w:p w:rsidR="00534FB5" w:rsidRPr="00E40BFA" w:rsidRDefault="00534FB5" w:rsidP="00534FB5">
            <w:pPr>
              <w:spacing w:line="240" w:lineRule="auto"/>
            </w:pPr>
            <w:r w:rsidRPr="00E40BFA">
              <w:t>ОГ1б</w:t>
            </w:r>
          </w:p>
        </w:tc>
        <w:tc>
          <w:tcPr>
            <w:tcW w:w="962" w:type="pct"/>
          </w:tcPr>
          <w:p w:rsidR="00534FB5" w:rsidRPr="00E40BFA" w:rsidRDefault="00CB09F0" w:rsidP="00CB09F0">
            <w:pPr>
              <w:spacing w:line="240" w:lineRule="auto"/>
              <w:jc w:val="center"/>
            </w:pPr>
            <w:r>
              <w:t>83</w:t>
            </w:r>
          </w:p>
        </w:tc>
        <w:tc>
          <w:tcPr>
            <w:tcW w:w="1038" w:type="pct"/>
          </w:tcPr>
          <w:p w:rsidR="00534FB5" w:rsidRPr="00E40BFA" w:rsidRDefault="00CB09F0" w:rsidP="00CB09F0">
            <w:pPr>
              <w:spacing w:line="240" w:lineRule="auto"/>
              <w:jc w:val="center"/>
            </w:pPr>
            <w:r>
              <w:t>83</w:t>
            </w:r>
          </w:p>
        </w:tc>
        <w:tc>
          <w:tcPr>
            <w:tcW w:w="1036" w:type="pct"/>
          </w:tcPr>
          <w:p w:rsidR="00534FB5" w:rsidRPr="00E40BFA" w:rsidRDefault="00CB09F0" w:rsidP="00CB09F0">
            <w:pPr>
              <w:spacing w:line="240" w:lineRule="auto"/>
              <w:jc w:val="center"/>
            </w:pPr>
            <w:r>
              <w:t>83</w:t>
            </w:r>
          </w:p>
        </w:tc>
        <w:tc>
          <w:tcPr>
            <w:tcW w:w="1093" w:type="pct"/>
          </w:tcPr>
          <w:p w:rsidR="00534FB5" w:rsidRPr="00E40BFA" w:rsidRDefault="00CB09F0" w:rsidP="00CB09F0">
            <w:pPr>
              <w:spacing w:line="240" w:lineRule="auto"/>
              <w:jc w:val="center"/>
            </w:pPr>
            <w:r>
              <w:t>83</w:t>
            </w:r>
          </w:p>
        </w:tc>
      </w:tr>
      <w:tr w:rsidR="00CB09F0" w:rsidRPr="00E40BFA" w:rsidTr="00534FB5">
        <w:tc>
          <w:tcPr>
            <w:tcW w:w="871" w:type="pct"/>
          </w:tcPr>
          <w:p w:rsidR="00CB09F0" w:rsidRPr="00E40BFA" w:rsidRDefault="00CB09F0" w:rsidP="00CB09F0">
            <w:pPr>
              <w:spacing w:line="240" w:lineRule="auto"/>
            </w:pPr>
            <w:r w:rsidRPr="00E40BFA">
              <w:t>КГ2</w:t>
            </w:r>
          </w:p>
        </w:tc>
        <w:tc>
          <w:tcPr>
            <w:tcW w:w="962" w:type="pct"/>
          </w:tcPr>
          <w:p w:rsidR="00CB09F0" w:rsidRPr="00E40BFA" w:rsidRDefault="00CB09F0" w:rsidP="00CB09F0">
            <w:pPr>
              <w:spacing w:line="240" w:lineRule="auto"/>
              <w:jc w:val="center"/>
            </w:pPr>
            <w:r>
              <w:t>70</w:t>
            </w:r>
          </w:p>
        </w:tc>
        <w:tc>
          <w:tcPr>
            <w:tcW w:w="1038" w:type="pct"/>
          </w:tcPr>
          <w:p w:rsidR="00CB09F0" w:rsidRPr="00E40BFA" w:rsidRDefault="00CB09F0" w:rsidP="00CB09F0">
            <w:pPr>
              <w:spacing w:line="240" w:lineRule="auto"/>
              <w:jc w:val="center"/>
            </w:pPr>
            <w:r w:rsidRPr="00E40BFA">
              <w:t>-</w:t>
            </w:r>
          </w:p>
        </w:tc>
        <w:tc>
          <w:tcPr>
            <w:tcW w:w="1036" w:type="pct"/>
          </w:tcPr>
          <w:p w:rsidR="00CB09F0" w:rsidRPr="00E40BFA" w:rsidRDefault="00CB09F0" w:rsidP="00CB09F0">
            <w:pPr>
              <w:spacing w:line="240" w:lineRule="auto"/>
              <w:jc w:val="center"/>
            </w:pPr>
            <w:r w:rsidRPr="00E40BFA">
              <w:t>-</w:t>
            </w:r>
          </w:p>
        </w:tc>
        <w:tc>
          <w:tcPr>
            <w:tcW w:w="1093" w:type="pct"/>
          </w:tcPr>
          <w:p w:rsidR="00CB09F0" w:rsidRPr="00E40BFA" w:rsidRDefault="00CB09F0" w:rsidP="00CB09F0">
            <w:pPr>
              <w:spacing w:line="240" w:lineRule="auto"/>
              <w:jc w:val="center"/>
            </w:pPr>
            <w:r w:rsidRPr="00E40BFA">
              <w:t>-</w:t>
            </w:r>
          </w:p>
        </w:tc>
      </w:tr>
      <w:tr w:rsidR="00CB09F0" w:rsidRPr="00E40BFA" w:rsidTr="00534FB5">
        <w:tc>
          <w:tcPr>
            <w:tcW w:w="871" w:type="pct"/>
          </w:tcPr>
          <w:p w:rsidR="00CB09F0" w:rsidRPr="00E40BFA" w:rsidRDefault="00CB09F0" w:rsidP="00CB09F0">
            <w:pPr>
              <w:spacing w:line="240" w:lineRule="auto"/>
            </w:pPr>
            <w:r w:rsidRPr="00E40BFA">
              <w:t>ОГ2а</w:t>
            </w:r>
          </w:p>
        </w:tc>
        <w:tc>
          <w:tcPr>
            <w:tcW w:w="962" w:type="pct"/>
          </w:tcPr>
          <w:p w:rsidR="00CB09F0" w:rsidRPr="00E40BFA" w:rsidRDefault="00CB09F0" w:rsidP="00CB09F0">
            <w:pPr>
              <w:spacing w:line="240" w:lineRule="auto"/>
              <w:jc w:val="center"/>
            </w:pPr>
            <w:r>
              <w:t>80</w:t>
            </w:r>
          </w:p>
        </w:tc>
        <w:tc>
          <w:tcPr>
            <w:tcW w:w="1038" w:type="pct"/>
          </w:tcPr>
          <w:p w:rsidR="00CB09F0" w:rsidRPr="00E40BFA" w:rsidRDefault="00CB09F0" w:rsidP="00CB09F0">
            <w:pPr>
              <w:spacing w:line="240" w:lineRule="auto"/>
              <w:jc w:val="center"/>
            </w:pPr>
            <w:r>
              <w:t>80</w:t>
            </w:r>
          </w:p>
        </w:tc>
        <w:tc>
          <w:tcPr>
            <w:tcW w:w="1036" w:type="pct"/>
          </w:tcPr>
          <w:p w:rsidR="00CB09F0" w:rsidRPr="00E40BFA" w:rsidRDefault="00CB09F0" w:rsidP="00CB09F0">
            <w:pPr>
              <w:spacing w:line="240" w:lineRule="auto"/>
              <w:jc w:val="center"/>
            </w:pPr>
            <w:r>
              <w:t>80</w:t>
            </w:r>
          </w:p>
        </w:tc>
        <w:tc>
          <w:tcPr>
            <w:tcW w:w="1093" w:type="pct"/>
          </w:tcPr>
          <w:p w:rsidR="00CB09F0" w:rsidRPr="00E40BFA" w:rsidRDefault="00CB09F0" w:rsidP="00CB09F0">
            <w:pPr>
              <w:spacing w:line="240" w:lineRule="auto"/>
              <w:jc w:val="center"/>
            </w:pPr>
            <w:r>
              <w:t>80</w:t>
            </w:r>
          </w:p>
        </w:tc>
      </w:tr>
      <w:tr w:rsidR="00CB09F0" w:rsidRPr="00E40BFA" w:rsidTr="00534FB5">
        <w:tc>
          <w:tcPr>
            <w:tcW w:w="871" w:type="pct"/>
          </w:tcPr>
          <w:p w:rsidR="00CB09F0" w:rsidRPr="00E40BFA" w:rsidRDefault="00CB09F0" w:rsidP="00CB09F0">
            <w:pPr>
              <w:spacing w:line="240" w:lineRule="auto"/>
            </w:pPr>
            <w:r w:rsidRPr="00E40BFA">
              <w:t>ОГ2б</w:t>
            </w:r>
          </w:p>
        </w:tc>
        <w:tc>
          <w:tcPr>
            <w:tcW w:w="962" w:type="pct"/>
          </w:tcPr>
          <w:p w:rsidR="00CB09F0" w:rsidRPr="00E40BFA" w:rsidRDefault="00CB09F0" w:rsidP="00CB09F0">
            <w:pPr>
              <w:spacing w:line="240" w:lineRule="auto"/>
              <w:jc w:val="center"/>
            </w:pPr>
            <w:r>
              <w:t>82</w:t>
            </w:r>
          </w:p>
        </w:tc>
        <w:tc>
          <w:tcPr>
            <w:tcW w:w="1038" w:type="pct"/>
          </w:tcPr>
          <w:p w:rsidR="00CB09F0" w:rsidRPr="00E40BFA" w:rsidRDefault="00CB09F0" w:rsidP="00CB09F0">
            <w:pPr>
              <w:spacing w:line="240" w:lineRule="auto"/>
              <w:jc w:val="center"/>
            </w:pPr>
            <w:r>
              <w:t>82</w:t>
            </w:r>
          </w:p>
        </w:tc>
        <w:tc>
          <w:tcPr>
            <w:tcW w:w="1036" w:type="pct"/>
          </w:tcPr>
          <w:p w:rsidR="00CB09F0" w:rsidRPr="00E40BFA" w:rsidRDefault="00CB09F0" w:rsidP="00CB09F0">
            <w:pPr>
              <w:spacing w:line="240" w:lineRule="auto"/>
              <w:jc w:val="center"/>
            </w:pPr>
            <w:r>
              <w:t>73</w:t>
            </w:r>
          </w:p>
        </w:tc>
        <w:tc>
          <w:tcPr>
            <w:tcW w:w="1093" w:type="pct"/>
          </w:tcPr>
          <w:p w:rsidR="00CB09F0" w:rsidRPr="00E40BFA" w:rsidRDefault="00CB09F0" w:rsidP="00CB09F0">
            <w:pPr>
              <w:spacing w:line="240" w:lineRule="auto"/>
              <w:jc w:val="center"/>
            </w:pPr>
            <w:r>
              <w:t>73</w:t>
            </w:r>
          </w:p>
        </w:tc>
      </w:tr>
      <w:tr w:rsidR="00CB09F0" w:rsidRPr="00E40BFA" w:rsidTr="00534FB5">
        <w:tc>
          <w:tcPr>
            <w:tcW w:w="871" w:type="pct"/>
          </w:tcPr>
          <w:p w:rsidR="00CB09F0" w:rsidRPr="00E40BFA" w:rsidRDefault="00CB09F0" w:rsidP="00CB09F0">
            <w:pPr>
              <w:spacing w:line="240" w:lineRule="auto"/>
            </w:pPr>
            <w:r w:rsidRPr="00E40BFA">
              <w:t>КГ3</w:t>
            </w:r>
          </w:p>
        </w:tc>
        <w:tc>
          <w:tcPr>
            <w:tcW w:w="962" w:type="pct"/>
          </w:tcPr>
          <w:p w:rsidR="00CB09F0" w:rsidRPr="00E40BFA" w:rsidRDefault="00CB09F0" w:rsidP="00CB09F0">
            <w:pPr>
              <w:spacing w:line="240" w:lineRule="auto"/>
              <w:jc w:val="center"/>
            </w:pPr>
            <w:r>
              <w:t>75</w:t>
            </w:r>
          </w:p>
        </w:tc>
        <w:tc>
          <w:tcPr>
            <w:tcW w:w="1038" w:type="pct"/>
          </w:tcPr>
          <w:p w:rsidR="00CB09F0" w:rsidRPr="00E40BFA" w:rsidRDefault="00CB09F0" w:rsidP="00CB09F0">
            <w:pPr>
              <w:spacing w:line="240" w:lineRule="auto"/>
              <w:jc w:val="center"/>
            </w:pPr>
            <w:r w:rsidRPr="00E40BFA">
              <w:t>-</w:t>
            </w:r>
          </w:p>
        </w:tc>
        <w:tc>
          <w:tcPr>
            <w:tcW w:w="1036" w:type="pct"/>
          </w:tcPr>
          <w:p w:rsidR="00CB09F0" w:rsidRPr="00E40BFA" w:rsidRDefault="00CB09F0" w:rsidP="00CB09F0">
            <w:pPr>
              <w:spacing w:line="240" w:lineRule="auto"/>
              <w:jc w:val="center"/>
            </w:pPr>
            <w:r w:rsidRPr="00E40BFA">
              <w:t>-</w:t>
            </w:r>
          </w:p>
        </w:tc>
        <w:tc>
          <w:tcPr>
            <w:tcW w:w="1093" w:type="pct"/>
          </w:tcPr>
          <w:p w:rsidR="00CB09F0" w:rsidRPr="00E40BFA" w:rsidRDefault="00CB09F0" w:rsidP="00CB09F0">
            <w:pPr>
              <w:spacing w:line="240" w:lineRule="auto"/>
              <w:jc w:val="center"/>
            </w:pPr>
            <w:r w:rsidRPr="00E40BFA">
              <w:t>-</w:t>
            </w:r>
          </w:p>
        </w:tc>
      </w:tr>
    </w:tbl>
    <w:p w:rsidR="00534FB5" w:rsidRPr="00126750" w:rsidRDefault="00534FB5" w:rsidP="00CB09F0">
      <w:pPr>
        <w:spacing w:line="240" w:lineRule="auto"/>
        <w:ind w:left="-142"/>
        <w:contextualSpacing/>
        <w:jc w:val="right"/>
        <w:rPr>
          <w:i/>
          <w:sz w:val="24"/>
        </w:rPr>
      </w:pPr>
      <w:r>
        <w:rPr>
          <w:sz w:val="24"/>
        </w:rPr>
        <w:lastRenderedPageBreak/>
        <w:t xml:space="preserve">                                                             </w:t>
      </w:r>
      <w:r>
        <w:rPr>
          <w:i/>
          <w:sz w:val="24"/>
        </w:rPr>
        <w:t xml:space="preserve">Продовж. табл. 4.2.3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841"/>
        <w:gridCol w:w="1987"/>
        <w:gridCol w:w="1983"/>
        <w:gridCol w:w="2092"/>
      </w:tblGrid>
      <w:tr w:rsidR="00CB09F0" w:rsidRPr="00E40BFA" w:rsidTr="00534FB5">
        <w:tc>
          <w:tcPr>
            <w:tcW w:w="871" w:type="pct"/>
          </w:tcPr>
          <w:p w:rsidR="00CB09F0" w:rsidRPr="00E40BFA" w:rsidRDefault="00CB09F0" w:rsidP="00CB09F0">
            <w:pPr>
              <w:spacing w:line="240" w:lineRule="auto"/>
              <w:jc w:val="center"/>
            </w:pPr>
            <w:r>
              <w:t>1</w:t>
            </w:r>
          </w:p>
        </w:tc>
        <w:tc>
          <w:tcPr>
            <w:tcW w:w="962" w:type="pct"/>
          </w:tcPr>
          <w:p w:rsidR="00CB09F0" w:rsidRPr="00E40BFA" w:rsidRDefault="00CB09F0" w:rsidP="00CB09F0">
            <w:pPr>
              <w:spacing w:line="240" w:lineRule="auto"/>
              <w:jc w:val="center"/>
            </w:pPr>
            <w:r>
              <w:t>2</w:t>
            </w:r>
          </w:p>
        </w:tc>
        <w:tc>
          <w:tcPr>
            <w:tcW w:w="1038" w:type="pct"/>
          </w:tcPr>
          <w:p w:rsidR="00CB09F0" w:rsidRPr="00E40BFA" w:rsidRDefault="00CB09F0" w:rsidP="00CB09F0">
            <w:pPr>
              <w:spacing w:line="240" w:lineRule="auto"/>
              <w:jc w:val="center"/>
            </w:pPr>
            <w:r>
              <w:t>3</w:t>
            </w:r>
          </w:p>
        </w:tc>
        <w:tc>
          <w:tcPr>
            <w:tcW w:w="1036" w:type="pct"/>
          </w:tcPr>
          <w:p w:rsidR="00CB09F0" w:rsidRPr="00E40BFA" w:rsidRDefault="00CB09F0" w:rsidP="00CB09F0">
            <w:pPr>
              <w:spacing w:line="240" w:lineRule="auto"/>
              <w:jc w:val="center"/>
            </w:pPr>
            <w:r>
              <w:t>4</w:t>
            </w:r>
          </w:p>
        </w:tc>
        <w:tc>
          <w:tcPr>
            <w:tcW w:w="1093" w:type="pct"/>
          </w:tcPr>
          <w:p w:rsidR="00CB09F0" w:rsidRPr="00E40BFA" w:rsidRDefault="00CB09F0" w:rsidP="00CB09F0">
            <w:pPr>
              <w:spacing w:line="240" w:lineRule="auto"/>
              <w:jc w:val="center"/>
            </w:pPr>
            <w:r>
              <w:t>5</w:t>
            </w:r>
          </w:p>
        </w:tc>
      </w:tr>
      <w:tr w:rsidR="00CB09F0" w:rsidRPr="00E40BFA" w:rsidTr="00534FB5">
        <w:tc>
          <w:tcPr>
            <w:tcW w:w="871" w:type="pct"/>
          </w:tcPr>
          <w:p w:rsidR="00CB09F0" w:rsidRPr="00E40BFA" w:rsidRDefault="00CB09F0" w:rsidP="00CB09F0">
            <w:pPr>
              <w:spacing w:line="240" w:lineRule="auto"/>
            </w:pPr>
            <w:r w:rsidRPr="00E40BFA">
              <w:t>ОГ3а</w:t>
            </w:r>
          </w:p>
        </w:tc>
        <w:tc>
          <w:tcPr>
            <w:tcW w:w="962" w:type="pct"/>
          </w:tcPr>
          <w:p w:rsidR="00CB09F0" w:rsidRDefault="00CB09F0" w:rsidP="00CB09F0">
            <w:pPr>
              <w:spacing w:line="240" w:lineRule="auto"/>
              <w:jc w:val="center"/>
            </w:pPr>
            <w:r>
              <w:t>85</w:t>
            </w:r>
          </w:p>
        </w:tc>
        <w:tc>
          <w:tcPr>
            <w:tcW w:w="1038" w:type="pct"/>
          </w:tcPr>
          <w:p w:rsidR="00CB09F0" w:rsidRDefault="00CB09F0" w:rsidP="00CB09F0">
            <w:pPr>
              <w:spacing w:line="240" w:lineRule="auto"/>
              <w:jc w:val="center"/>
            </w:pPr>
            <w:r>
              <w:t>85</w:t>
            </w:r>
          </w:p>
        </w:tc>
        <w:tc>
          <w:tcPr>
            <w:tcW w:w="1036" w:type="pct"/>
          </w:tcPr>
          <w:p w:rsidR="00CB09F0" w:rsidRDefault="00CB09F0" w:rsidP="00CB09F0">
            <w:pPr>
              <w:spacing w:line="240" w:lineRule="auto"/>
              <w:jc w:val="center"/>
            </w:pPr>
            <w:r>
              <w:t>85</w:t>
            </w:r>
          </w:p>
        </w:tc>
        <w:tc>
          <w:tcPr>
            <w:tcW w:w="1093" w:type="pct"/>
          </w:tcPr>
          <w:p w:rsidR="00CB09F0" w:rsidRDefault="00CB09F0" w:rsidP="00CB09F0">
            <w:pPr>
              <w:spacing w:line="240" w:lineRule="auto"/>
              <w:jc w:val="center"/>
            </w:pPr>
            <w:r>
              <w:t>92</w:t>
            </w:r>
          </w:p>
        </w:tc>
      </w:tr>
      <w:tr w:rsidR="00CB09F0" w:rsidRPr="00E40BFA" w:rsidTr="00534FB5">
        <w:tc>
          <w:tcPr>
            <w:tcW w:w="871" w:type="pct"/>
          </w:tcPr>
          <w:p w:rsidR="00CB09F0" w:rsidRPr="00E40BFA" w:rsidRDefault="00CB09F0" w:rsidP="00CB09F0">
            <w:pPr>
              <w:spacing w:line="240" w:lineRule="auto"/>
            </w:pPr>
            <w:r w:rsidRPr="00E40BFA">
              <w:t>ОГ3б</w:t>
            </w:r>
          </w:p>
        </w:tc>
        <w:tc>
          <w:tcPr>
            <w:tcW w:w="962" w:type="pct"/>
          </w:tcPr>
          <w:p w:rsidR="00CB09F0" w:rsidRPr="00E40BFA" w:rsidRDefault="00CB09F0" w:rsidP="00CB09F0">
            <w:pPr>
              <w:spacing w:line="240" w:lineRule="auto"/>
              <w:jc w:val="center"/>
            </w:pPr>
            <w:r>
              <w:t>85</w:t>
            </w:r>
          </w:p>
        </w:tc>
        <w:tc>
          <w:tcPr>
            <w:tcW w:w="1038" w:type="pct"/>
          </w:tcPr>
          <w:p w:rsidR="00CB09F0" w:rsidRPr="00E40BFA" w:rsidRDefault="00CB09F0" w:rsidP="00CB09F0">
            <w:pPr>
              <w:spacing w:line="240" w:lineRule="auto"/>
              <w:jc w:val="center"/>
            </w:pPr>
            <w:r>
              <w:t>85</w:t>
            </w:r>
          </w:p>
        </w:tc>
        <w:tc>
          <w:tcPr>
            <w:tcW w:w="1036" w:type="pct"/>
          </w:tcPr>
          <w:p w:rsidR="00CB09F0" w:rsidRPr="00E40BFA" w:rsidRDefault="00CB09F0" w:rsidP="00CB09F0">
            <w:pPr>
              <w:spacing w:line="240" w:lineRule="auto"/>
              <w:jc w:val="center"/>
            </w:pPr>
            <w:r>
              <w:t>85</w:t>
            </w:r>
          </w:p>
        </w:tc>
        <w:tc>
          <w:tcPr>
            <w:tcW w:w="1093" w:type="pct"/>
          </w:tcPr>
          <w:p w:rsidR="00CB09F0" w:rsidRPr="00E40BFA" w:rsidRDefault="00CB09F0" w:rsidP="00CB09F0">
            <w:pPr>
              <w:spacing w:line="240" w:lineRule="auto"/>
              <w:jc w:val="center"/>
            </w:pPr>
            <w:r>
              <w:t>85</w:t>
            </w:r>
          </w:p>
        </w:tc>
      </w:tr>
    </w:tbl>
    <w:p w:rsidR="00534FB5" w:rsidRPr="00C727AC"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E40BFA" w:rsidRDefault="00534FB5" w:rsidP="00534FB5">
      <w:pPr>
        <w:spacing w:line="240" w:lineRule="auto"/>
        <w:contextualSpacing/>
      </w:pPr>
    </w:p>
    <w:p w:rsidR="00534FB5" w:rsidRDefault="00534FB5" w:rsidP="00534FB5">
      <w:pPr>
        <w:ind w:firstLine="567"/>
        <w:contextualSpacing/>
      </w:pPr>
      <w:r>
        <w:rPr>
          <w:noProof/>
          <w:lang w:eastAsia="uk-UA"/>
        </w:rPr>
        <w:t>На рисунках 4.</w:t>
      </w:r>
      <w:r>
        <w:rPr>
          <w:bCs/>
        </w:rPr>
        <w:t>2.</w:t>
      </w:r>
      <w:r>
        <w:rPr>
          <w:noProof/>
          <w:lang w:eastAsia="uk-UA"/>
        </w:rPr>
        <w:t>1</w:t>
      </w:r>
      <w:r>
        <w:rPr>
          <w:noProof/>
          <w:lang w:val="ru-RU" w:eastAsia="uk-UA"/>
        </w:rPr>
        <w:t xml:space="preserve"> – 4.2.3</w:t>
      </w:r>
      <w:r>
        <w:t xml:space="preserve"> </w:t>
      </w:r>
      <w:r w:rsidRPr="00E40BFA">
        <w:t xml:space="preserve">графічно зображено динаміку зміни </w:t>
      </w:r>
      <w:r w:rsidRPr="00E40BFA">
        <w:rPr>
          <w:color w:val="000000"/>
        </w:rPr>
        <w:t>поширеності карієсу</w:t>
      </w:r>
      <w:r>
        <w:rPr>
          <w:color w:val="000000"/>
        </w:rPr>
        <w:t xml:space="preserve"> </w:t>
      </w:r>
      <w:r w:rsidRPr="00E40BFA">
        <w:t>зубів у дітей основної та контрольної груп до та після проведення лікувально-профілактичних заходів.</w:t>
      </w:r>
    </w:p>
    <w:p w:rsidR="00534FB5" w:rsidRPr="00E40BFA" w:rsidRDefault="00534FB5" w:rsidP="00534FB5">
      <w:pPr>
        <w:ind w:firstLine="709"/>
      </w:pPr>
    </w:p>
    <w:p w:rsidR="00534FB5" w:rsidRDefault="006C493E" w:rsidP="00534FB5">
      <w:pPr>
        <w:contextualSpacing/>
        <w:jc w:val="center"/>
      </w:pPr>
      <w:r>
        <w:rPr>
          <w:noProof/>
          <w:lang w:val="ru-RU"/>
        </w:rPr>
        <w:drawing>
          <wp:inline distT="0" distB="0" distL="0" distR="0">
            <wp:extent cx="4581525" cy="2705100"/>
            <wp:effectExtent l="19050" t="0" r="9525"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4FB5" w:rsidRDefault="00534FB5" w:rsidP="00534FB5">
      <w:pPr>
        <w:ind w:firstLine="567"/>
      </w:pPr>
      <w:r>
        <w:rPr>
          <w:noProof/>
          <w:lang w:eastAsia="uk-UA"/>
        </w:rPr>
        <w:t>Рис. 4.</w:t>
      </w:r>
      <w:r>
        <w:rPr>
          <w:bCs/>
        </w:rPr>
        <w:t>2.</w:t>
      </w:r>
      <w:r>
        <w:rPr>
          <w:noProof/>
          <w:lang w:eastAsia="uk-UA"/>
        </w:rPr>
        <w:t>1.</w:t>
      </w:r>
      <w:r w:rsidRPr="00E40BFA">
        <w:t xml:space="preserve"> Динаміка зміни </w:t>
      </w:r>
      <w:r w:rsidRPr="00E40BFA">
        <w:rPr>
          <w:color w:val="000000"/>
        </w:rPr>
        <w:t>поширеності карієсу</w:t>
      </w:r>
      <w:r>
        <w:rPr>
          <w:color w:val="000000"/>
        </w:rPr>
        <w:t xml:space="preserve"> </w:t>
      </w:r>
      <w:r w:rsidRPr="00E40BFA">
        <w:t>зубів у дітей</w:t>
      </w:r>
      <w:r>
        <w:t xml:space="preserve"> </w:t>
      </w:r>
      <w:r w:rsidRPr="00E40BFA">
        <w:t>7-8 років основної та контрольної груп до та після проведення лікувально-профілактичних заходів</w:t>
      </w:r>
      <w:r>
        <w:t>.</w:t>
      </w:r>
    </w:p>
    <w:p w:rsidR="00574A62" w:rsidRPr="006D4000" w:rsidRDefault="00574A62" w:rsidP="00534FB5">
      <w:pPr>
        <w:ind w:firstLine="567"/>
      </w:pPr>
    </w:p>
    <w:p w:rsidR="00534FB5" w:rsidRPr="00E5345D" w:rsidRDefault="00534FB5" w:rsidP="00D25ABF">
      <w:pPr>
        <w:ind w:firstLine="709"/>
      </w:pPr>
      <w:r w:rsidRPr="00E5345D">
        <w:t xml:space="preserve">Як видно з наведених на </w:t>
      </w:r>
      <w:r w:rsidRPr="00E5345D">
        <w:rPr>
          <w:noProof/>
          <w:lang w:eastAsia="uk-UA"/>
        </w:rPr>
        <w:t>рисунку 4.</w:t>
      </w:r>
      <w:r w:rsidRPr="00E5345D">
        <w:rPr>
          <w:bCs/>
        </w:rPr>
        <w:t>2.</w:t>
      </w:r>
      <w:r w:rsidRPr="00E5345D">
        <w:rPr>
          <w:noProof/>
          <w:lang w:eastAsia="uk-UA"/>
        </w:rPr>
        <w:t>1</w:t>
      </w:r>
      <w:r w:rsidRPr="00E5345D">
        <w:t xml:space="preserve"> даних, за весь строк спостереження в групі дітей 7-8 років, які отримували стандартні лікувально-профілактичні заходи, поширеність карієсу зубів зросла з 82 % до 91 %, у той час як в групі дітей, яким проводилися запропоновані заходи лікування та профілактики, вона не змінилас</w:t>
      </w:r>
      <w:r w:rsidR="00D25ABF" w:rsidRPr="00E5345D">
        <w:t>я</w:t>
      </w:r>
      <w:r w:rsidRPr="00E5345D">
        <w:t xml:space="preserve"> (див. табл. 4.</w:t>
      </w:r>
      <w:r w:rsidRPr="00E5345D">
        <w:rPr>
          <w:bCs/>
        </w:rPr>
        <w:t>2.</w:t>
      </w:r>
      <w:r w:rsidRPr="00E5345D">
        <w:t xml:space="preserve">3). </w:t>
      </w:r>
    </w:p>
    <w:p w:rsidR="00E5345D" w:rsidRPr="00BB1289" w:rsidRDefault="004B6E52" w:rsidP="00E5345D">
      <w:pPr>
        <w:ind w:firstLine="567"/>
        <w:rPr>
          <w:spacing w:val="4"/>
        </w:rPr>
      </w:pPr>
      <w:r w:rsidRPr="00E5345D">
        <w:t xml:space="preserve">У другій віковій групі позитивні результати </w:t>
      </w:r>
      <w:r w:rsidR="00E5345D" w:rsidRPr="00E5345D">
        <w:t>були отримані в «А» та «Б» підгрупах</w:t>
      </w:r>
      <w:r w:rsidRPr="00E5345D">
        <w:t>. Обидві схеми лікування та профілактики забезпечили відсутність зрос</w:t>
      </w:r>
      <w:r w:rsidR="00E5345D" w:rsidRPr="00E5345D">
        <w:t xml:space="preserve">тання поширеності карієсу зубів, а в ОГ2б вона навіть знизилася, за </w:t>
      </w:r>
      <w:r w:rsidR="00E5345D" w:rsidRPr="00E5345D">
        <w:lastRenderedPageBreak/>
        <w:t>рахунок фізіологічної зміни зубів та  ремінералізації осередків початкового карієсу (див. табл. 4.</w:t>
      </w:r>
      <w:r w:rsidR="00E5345D" w:rsidRPr="00E5345D">
        <w:rPr>
          <w:bCs/>
        </w:rPr>
        <w:t>2.</w:t>
      </w:r>
      <w:r w:rsidR="00E5345D" w:rsidRPr="00E5345D">
        <w:t xml:space="preserve">3, </w:t>
      </w:r>
      <w:r w:rsidR="00E5345D" w:rsidRPr="00E5345D">
        <w:rPr>
          <w:noProof/>
          <w:lang w:eastAsia="uk-UA"/>
        </w:rPr>
        <w:t>рис. 4.</w:t>
      </w:r>
      <w:r w:rsidR="00E5345D" w:rsidRPr="00E5345D">
        <w:rPr>
          <w:bCs/>
        </w:rPr>
        <w:t>2.</w:t>
      </w:r>
      <w:r w:rsidR="00E5345D" w:rsidRPr="00E5345D">
        <w:rPr>
          <w:noProof/>
          <w:lang w:eastAsia="uk-UA"/>
        </w:rPr>
        <w:t>2</w:t>
      </w:r>
      <w:r w:rsidR="00E5345D" w:rsidRPr="00E5345D">
        <w:t>).</w:t>
      </w:r>
      <w:r w:rsidR="00E5345D" w:rsidRPr="00E5345D">
        <w:rPr>
          <w:spacing w:val="-12"/>
        </w:rPr>
        <w:t xml:space="preserve">  </w:t>
      </w:r>
    </w:p>
    <w:p w:rsidR="004B6E52" w:rsidRPr="004B6E52" w:rsidRDefault="004B6E52" w:rsidP="004B6E52">
      <w:pPr>
        <w:ind w:firstLine="709"/>
        <w:contextualSpacing/>
      </w:pPr>
    </w:p>
    <w:p w:rsidR="00534FB5" w:rsidRDefault="00534FB5" w:rsidP="00534FB5">
      <w:pPr>
        <w:contextualSpacing/>
      </w:pPr>
    </w:p>
    <w:p w:rsidR="00534FB5" w:rsidRDefault="006C493E" w:rsidP="00534FB5">
      <w:pPr>
        <w:jc w:val="center"/>
      </w:pPr>
      <w:r>
        <w:rPr>
          <w:noProof/>
          <w:lang w:val="ru-RU"/>
        </w:rPr>
        <w:drawing>
          <wp:inline distT="0" distB="0" distL="0" distR="0">
            <wp:extent cx="4572000" cy="2667000"/>
            <wp:effectExtent l="19050" t="0" r="19050" b="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34FB5" w:rsidRDefault="00534FB5" w:rsidP="00534FB5">
      <w:pPr>
        <w:ind w:firstLine="709"/>
      </w:pPr>
      <w:r>
        <w:rPr>
          <w:noProof/>
          <w:lang w:eastAsia="uk-UA"/>
        </w:rPr>
        <w:t>Рис. 4.</w:t>
      </w:r>
      <w:r>
        <w:rPr>
          <w:bCs/>
        </w:rPr>
        <w:t>2.</w:t>
      </w:r>
      <w:r>
        <w:rPr>
          <w:noProof/>
          <w:lang w:eastAsia="uk-UA"/>
        </w:rPr>
        <w:t>2.</w:t>
      </w:r>
      <w:r w:rsidRPr="00E40BFA">
        <w:rPr>
          <w:noProof/>
          <w:lang w:eastAsia="uk-UA"/>
        </w:rPr>
        <w:t xml:space="preserve"> </w:t>
      </w:r>
      <w:r w:rsidRPr="00E40BFA">
        <w:t xml:space="preserve">Динаміка зміни </w:t>
      </w:r>
      <w:r w:rsidRPr="00E40BFA">
        <w:rPr>
          <w:color w:val="000000"/>
        </w:rPr>
        <w:t>поширеності карієсу</w:t>
      </w:r>
      <w:r>
        <w:rPr>
          <w:color w:val="000000"/>
        </w:rPr>
        <w:t xml:space="preserve"> </w:t>
      </w:r>
      <w:r w:rsidRPr="00E40BFA">
        <w:t>зубів у дітей</w:t>
      </w:r>
      <w:r>
        <w:t xml:space="preserve"> </w:t>
      </w:r>
      <w:r w:rsidR="004B6E52">
        <w:t>11-12 років ОГ</w:t>
      </w:r>
      <w:r w:rsidRPr="00E40BFA">
        <w:t xml:space="preserve"> та </w:t>
      </w:r>
      <w:r w:rsidR="004B6E52">
        <w:t>КГ</w:t>
      </w:r>
      <w:r w:rsidRPr="00E40BFA">
        <w:t xml:space="preserve"> до та після проведення лікувально-профілактичних заходів.</w:t>
      </w:r>
    </w:p>
    <w:p w:rsidR="00534FB5" w:rsidRPr="00E5345D" w:rsidRDefault="00534FB5" w:rsidP="00534FB5"/>
    <w:p w:rsidR="00534FB5" w:rsidRPr="004B6E52" w:rsidRDefault="00534FB5" w:rsidP="00534FB5">
      <w:pPr>
        <w:rPr>
          <w:sz w:val="16"/>
        </w:rPr>
      </w:pPr>
    </w:p>
    <w:p w:rsidR="00534FB5" w:rsidRDefault="006C493E" w:rsidP="00534FB5">
      <w:pPr>
        <w:jc w:val="center"/>
      </w:pPr>
      <w:r>
        <w:rPr>
          <w:noProof/>
          <w:lang w:val="ru-RU"/>
        </w:rPr>
        <w:drawing>
          <wp:inline distT="0" distB="0" distL="0" distR="0">
            <wp:extent cx="4581525" cy="2705100"/>
            <wp:effectExtent l="19050" t="0" r="9525" b="0"/>
            <wp:docPr id="40" name="Объект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34FB5" w:rsidRDefault="00534FB5" w:rsidP="00534FB5">
      <w:pPr>
        <w:ind w:firstLine="567"/>
      </w:pPr>
      <w:r>
        <w:rPr>
          <w:noProof/>
          <w:lang w:eastAsia="uk-UA"/>
        </w:rPr>
        <w:t>Рис. 4.</w:t>
      </w:r>
      <w:r>
        <w:rPr>
          <w:bCs/>
        </w:rPr>
        <w:t>2.</w:t>
      </w:r>
      <w:r>
        <w:rPr>
          <w:noProof/>
          <w:lang w:eastAsia="uk-UA"/>
        </w:rPr>
        <w:t>3.</w:t>
      </w:r>
      <w:r w:rsidRPr="00E40BFA">
        <w:rPr>
          <w:noProof/>
          <w:lang w:eastAsia="uk-UA"/>
        </w:rPr>
        <w:t xml:space="preserve"> </w:t>
      </w:r>
      <w:r w:rsidRPr="00E40BFA">
        <w:t xml:space="preserve">Динаміка зміни </w:t>
      </w:r>
      <w:r w:rsidRPr="00E40BFA">
        <w:rPr>
          <w:color w:val="000000"/>
        </w:rPr>
        <w:t>поширеності карієсу</w:t>
      </w:r>
      <w:r>
        <w:rPr>
          <w:color w:val="000000"/>
        </w:rPr>
        <w:t xml:space="preserve"> </w:t>
      </w:r>
      <w:r w:rsidRPr="00E40BFA">
        <w:t>зубів у дітей</w:t>
      </w:r>
      <w:r>
        <w:t xml:space="preserve"> </w:t>
      </w:r>
      <w:r w:rsidRPr="00E40BFA">
        <w:t xml:space="preserve">14-15 років </w:t>
      </w:r>
      <w:r w:rsidR="004B6E52">
        <w:t>ОГ</w:t>
      </w:r>
      <w:r w:rsidRPr="00E40BFA">
        <w:t xml:space="preserve"> та </w:t>
      </w:r>
      <w:r w:rsidR="004B6E52">
        <w:t>КГ</w:t>
      </w:r>
      <w:r w:rsidRPr="00E40BFA">
        <w:t xml:space="preserve"> до та після проведення лікувально-профілактичних заходів.</w:t>
      </w:r>
    </w:p>
    <w:p w:rsidR="00534FB5" w:rsidRPr="00E5345D" w:rsidRDefault="00534FB5" w:rsidP="00534FB5">
      <w:pPr>
        <w:tabs>
          <w:tab w:val="left" w:pos="4253"/>
        </w:tabs>
        <w:ind w:firstLine="709"/>
        <w:rPr>
          <w:szCs w:val="20"/>
        </w:rPr>
      </w:pPr>
    </w:p>
    <w:p w:rsidR="00534FB5" w:rsidRPr="004B1F33" w:rsidRDefault="00597E77" w:rsidP="004B1F33">
      <w:pPr>
        <w:ind w:firstLine="709"/>
      </w:pPr>
      <w:r w:rsidRPr="004B1F33">
        <w:lastRenderedPageBreak/>
        <w:t xml:space="preserve">В «А» та «Б» підгрупі </w:t>
      </w:r>
      <w:r w:rsidR="004B1F33" w:rsidRPr="004B1F33">
        <w:t>ДВГ ОГ3</w:t>
      </w:r>
      <w:r w:rsidRPr="004B1F33">
        <w:t xml:space="preserve"> від початку проведення лікувально-профілактичних заходів не відбувалося змін в поширеності карієсу зубів, тільки в ОГ3а через 12 місяців відбулося збільшення поширеності карієсу зубів на 7 % (табл. 4.</w:t>
      </w:r>
      <w:r w:rsidRPr="004B1F33">
        <w:rPr>
          <w:bCs/>
        </w:rPr>
        <w:t>2.</w:t>
      </w:r>
      <w:r w:rsidRPr="004B1F33">
        <w:t xml:space="preserve">3, </w:t>
      </w:r>
      <w:r w:rsidRPr="004B1F33">
        <w:rPr>
          <w:noProof/>
          <w:lang w:eastAsia="uk-UA"/>
        </w:rPr>
        <w:t>рис. 4.</w:t>
      </w:r>
      <w:r w:rsidRPr="004B1F33">
        <w:rPr>
          <w:bCs/>
        </w:rPr>
        <w:t>2.</w:t>
      </w:r>
      <w:r w:rsidRPr="004B1F33">
        <w:rPr>
          <w:noProof/>
          <w:lang w:eastAsia="uk-UA"/>
        </w:rPr>
        <w:t>3</w:t>
      </w:r>
      <w:r w:rsidRPr="004B1F33">
        <w:t>).</w:t>
      </w:r>
    </w:p>
    <w:p w:rsidR="00534FB5" w:rsidRDefault="00534FB5" w:rsidP="00534FB5">
      <w:pPr>
        <w:tabs>
          <w:tab w:val="left" w:pos="4253"/>
        </w:tabs>
        <w:ind w:firstLine="709"/>
        <w:contextualSpacing/>
      </w:pPr>
      <w:r w:rsidRPr="00E40BFA">
        <w:t>Динаміка зміни інтенсивності карієсу зубів за показником</w:t>
      </w:r>
      <w:r>
        <w:t xml:space="preserve"> </w:t>
      </w:r>
      <w:r w:rsidRPr="00E40BFA">
        <w:t>КПВз+кпз та КПВз у дітей</w:t>
      </w:r>
      <w:r>
        <w:t xml:space="preserve"> </w:t>
      </w:r>
      <w:r w:rsidRPr="00E40BFA">
        <w:t>основної та контрольної груп наведена в таблиці</w:t>
      </w:r>
      <w:r>
        <w:t> 4</w:t>
      </w:r>
      <w:r w:rsidRPr="00E40BFA">
        <w:t>.</w:t>
      </w:r>
      <w:r>
        <w:rPr>
          <w:bCs/>
        </w:rPr>
        <w:t>2.</w:t>
      </w:r>
      <w:r>
        <w:t>4.</w:t>
      </w:r>
    </w:p>
    <w:p w:rsidR="00534FB5" w:rsidRPr="00DB7284" w:rsidRDefault="00534FB5" w:rsidP="00534FB5">
      <w:pPr>
        <w:tabs>
          <w:tab w:val="left" w:pos="4253"/>
        </w:tabs>
        <w:ind w:firstLine="709"/>
        <w:contextualSpacing/>
        <w:rPr>
          <w:sz w:val="16"/>
          <w:szCs w:val="16"/>
        </w:rPr>
      </w:pPr>
    </w:p>
    <w:p w:rsidR="00534FB5" w:rsidRPr="00DF7FDC" w:rsidRDefault="00534FB5" w:rsidP="00534FB5">
      <w:pPr>
        <w:jc w:val="right"/>
        <w:rPr>
          <w:i/>
        </w:rPr>
      </w:pPr>
      <w:r w:rsidRPr="00DF7FDC">
        <w:rPr>
          <w:i/>
        </w:rPr>
        <w:t>Таблиця 4.</w:t>
      </w:r>
      <w:r>
        <w:rPr>
          <w:bCs/>
          <w:i/>
        </w:rPr>
        <w:t>2</w:t>
      </w:r>
      <w:r w:rsidRPr="00DF7FDC">
        <w:rPr>
          <w:bCs/>
          <w:i/>
        </w:rPr>
        <w:t>.</w:t>
      </w:r>
      <w:r w:rsidRPr="00DF7FDC">
        <w:rPr>
          <w:i/>
        </w:rPr>
        <w:t xml:space="preserve">4 </w:t>
      </w:r>
    </w:p>
    <w:p w:rsidR="00534FB5" w:rsidRPr="00DF7FDC" w:rsidRDefault="00534FB5" w:rsidP="00534FB5">
      <w:pPr>
        <w:spacing w:line="240" w:lineRule="auto"/>
        <w:ind w:firstLine="709"/>
        <w:jc w:val="center"/>
        <w:rPr>
          <w:b/>
        </w:rPr>
      </w:pPr>
      <w:r w:rsidRPr="00DF7FDC">
        <w:rPr>
          <w:b/>
        </w:rPr>
        <w:t>Динаміка зміни інтенсивнос</w:t>
      </w:r>
      <w:r>
        <w:rPr>
          <w:b/>
        </w:rPr>
        <w:t xml:space="preserve">ті карієсу зубів за показником </w:t>
      </w:r>
      <w:r w:rsidRPr="00DF7FDC">
        <w:rPr>
          <w:b/>
        </w:rPr>
        <w:t>КПВз+кпз та КПВз у дітей</w:t>
      </w:r>
      <w:r>
        <w:rPr>
          <w:b/>
        </w:rPr>
        <w:t xml:space="preserve"> </w:t>
      </w:r>
      <w:r w:rsidRPr="00DF7FDC">
        <w:rPr>
          <w:b/>
        </w:rPr>
        <w:t>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6"/>
        <w:gridCol w:w="1841"/>
        <w:gridCol w:w="1983"/>
        <w:gridCol w:w="2128"/>
        <w:gridCol w:w="2232"/>
      </w:tblGrid>
      <w:tr w:rsidR="00534FB5" w:rsidRPr="00E40BFA" w:rsidTr="00534FB5">
        <w:tc>
          <w:tcPr>
            <w:tcW w:w="724" w:type="pct"/>
            <w:vMerge w:val="restart"/>
          </w:tcPr>
          <w:p w:rsidR="00534FB5" w:rsidRPr="00E40BFA" w:rsidRDefault="00534FB5" w:rsidP="00534FB5">
            <w:pPr>
              <w:spacing w:line="240" w:lineRule="auto"/>
              <w:contextualSpacing/>
              <w:jc w:val="center"/>
            </w:pPr>
            <w:r>
              <w:t xml:space="preserve">Групи </w:t>
            </w:r>
          </w:p>
        </w:tc>
        <w:tc>
          <w:tcPr>
            <w:tcW w:w="4276" w:type="pct"/>
            <w:gridSpan w:val="4"/>
          </w:tcPr>
          <w:p w:rsidR="00534FB5" w:rsidRPr="00E40BFA" w:rsidRDefault="00534FB5" w:rsidP="00534FB5">
            <w:pPr>
              <w:spacing w:line="240" w:lineRule="auto"/>
              <w:contextualSpacing/>
              <w:jc w:val="center"/>
            </w:pPr>
            <w:r>
              <w:t xml:space="preserve">Інтенсивність карієсу зубів, </w:t>
            </w:r>
            <w:r w:rsidRPr="00D82918">
              <w:rPr>
                <w:lang w:val="en-US"/>
              </w:rPr>
              <w:t>M</w:t>
            </w:r>
            <w:r w:rsidRPr="00D82918">
              <w:t>±</w:t>
            </w:r>
            <w:r w:rsidRPr="00D82918">
              <w:rPr>
                <w:lang w:val="en-US"/>
              </w:rPr>
              <w:t>m</w:t>
            </w:r>
          </w:p>
        </w:tc>
      </w:tr>
      <w:tr w:rsidR="00534FB5" w:rsidRPr="00E40BFA" w:rsidTr="00534FB5">
        <w:tc>
          <w:tcPr>
            <w:tcW w:w="724" w:type="pct"/>
            <w:vMerge/>
          </w:tcPr>
          <w:p w:rsidR="00534FB5" w:rsidRPr="00E40BFA" w:rsidRDefault="00534FB5" w:rsidP="00534FB5">
            <w:pPr>
              <w:spacing w:line="240" w:lineRule="auto"/>
              <w:contextualSpacing/>
              <w:jc w:val="center"/>
            </w:pPr>
          </w:p>
        </w:tc>
        <w:tc>
          <w:tcPr>
            <w:tcW w:w="962" w:type="pct"/>
          </w:tcPr>
          <w:p w:rsidR="00534FB5" w:rsidRPr="00E40BFA" w:rsidRDefault="00534FB5" w:rsidP="00534FB5">
            <w:pPr>
              <w:spacing w:line="240" w:lineRule="auto"/>
              <w:contextualSpacing/>
              <w:jc w:val="center"/>
            </w:pPr>
            <w:r w:rsidRPr="00E40BFA">
              <w:t>До лікування</w:t>
            </w:r>
          </w:p>
        </w:tc>
        <w:tc>
          <w:tcPr>
            <w:tcW w:w="1036" w:type="pct"/>
          </w:tcPr>
          <w:p w:rsidR="00534FB5" w:rsidRPr="00E40BFA" w:rsidRDefault="00534FB5" w:rsidP="00534FB5">
            <w:pPr>
              <w:spacing w:line="240" w:lineRule="auto"/>
              <w:contextualSpacing/>
              <w:jc w:val="center"/>
            </w:pPr>
            <w:r w:rsidRPr="00E40BFA">
              <w:t>Через 1 місяць</w:t>
            </w:r>
          </w:p>
        </w:tc>
        <w:tc>
          <w:tcPr>
            <w:tcW w:w="1112" w:type="pct"/>
          </w:tcPr>
          <w:p w:rsidR="00534FB5" w:rsidRPr="00E40BFA" w:rsidRDefault="00534FB5" w:rsidP="00534FB5">
            <w:pPr>
              <w:spacing w:line="240" w:lineRule="auto"/>
              <w:contextualSpacing/>
              <w:jc w:val="center"/>
            </w:pPr>
            <w:r w:rsidRPr="00E40BFA">
              <w:t>Через 6 місяців</w:t>
            </w:r>
          </w:p>
        </w:tc>
        <w:tc>
          <w:tcPr>
            <w:tcW w:w="1166" w:type="pct"/>
          </w:tcPr>
          <w:p w:rsidR="00534FB5" w:rsidRPr="00E40BFA" w:rsidRDefault="00534FB5" w:rsidP="00534FB5">
            <w:pPr>
              <w:spacing w:line="240" w:lineRule="auto"/>
              <w:contextualSpacing/>
              <w:jc w:val="center"/>
            </w:pPr>
            <w:r w:rsidRPr="00E40BFA">
              <w:t>Через 12 місяців</w:t>
            </w:r>
          </w:p>
        </w:tc>
      </w:tr>
      <w:tr w:rsidR="00534FB5" w:rsidRPr="00E40BFA" w:rsidTr="00534FB5">
        <w:tc>
          <w:tcPr>
            <w:tcW w:w="724" w:type="pct"/>
          </w:tcPr>
          <w:p w:rsidR="00534FB5" w:rsidRPr="00185C39" w:rsidRDefault="00534FB5" w:rsidP="00534FB5">
            <w:pPr>
              <w:spacing w:line="240" w:lineRule="auto"/>
              <w:contextualSpacing/>
              <w:jc w:val="center"/>
            </w:pPr>
            <w:r w:rsidRPr="00185C39">
              <w:t>1</w:t>
            </w:r>
          </w:p>
        </w:tc>
        <w:tc>
          <w:tcPr>
            <w:tcW w:w="962" w:type="pct"/>
          </w:tcPr>
          <w:p w:rsidR="00534FB5" w:rsidRPr="00185C39" w:rsidRDefault="00534FB5" w:rsidP="00534FB5">
            <w:pPr>
              <w:spacing w:line="240" w:lineRule="auto"/>
              <w:contextualSpacing/>
              <w:jc w:val="center"/>
            </w:pPr>
            <w:r w:rsidRPr="00185C39">
              <w:t>2</w:t>
            </w:r>
          </w:p>
        </w:tc>
        <w:tc>
          <w:tcPr>
            <w:tcW w:w="1036" w:type="pct"/>
          </w:tcPr>
          <w:p w:rsidR="00534FB5" w:rsidRPr="00185C39" w:rsidRDefault="00534FB5" w:rsidP="00534FB5">
            <w:pPr>
              <w:spacing w:line="240" w:lineRule="auto"/>
              <w:contextualSpacing/>
              <w:jc w:val="center"/>
            </w:pPr>
            <w:r w:rsidRPr="00185C39">
              <w:t>3</w:t>
            </w:r>
          </w:p>
        </w:tc>
        <w:tc>
          <w:tcPr>
            <w:tcW w:w="1112" w:type="pct"/>
          </w:tcPr>
          <w:p w:rsidR="00534FB5" w:rsidRPr="00185C39" w:rsidRDefault="00534FB5" w:rsidP="00534FB5">
            <w:pPr>
              <w:spacing w:line="240" w:lineRule="auto"/>
              <w:contextualSpacing/>
              <w:jc w:val="center"/>
            </w:pPr>
            <w:r w:rsidRPr="00185C39">
              <w:t>4</w:t>
            </w:r>
          </w:p>
        </w:tc>
        <w:tc>
          <w:tcPr>
            <w:tcW w:w="1166" w:type="pct"/>
          </w:tcPr>
          <w:p w:rsidR="00534FB5" w:rsidRPr="00185C39" w:rsidRDefault="00534FB5" w:rsidP="00534FB5">
            <w:pPr>
              <w:spacing w:line="240" w:lineRule="auto"/>
              <w:contextualSpacing/>
              <w:jc w:val="center"/>
            </w:pPr>
            <w:r w:rsidRPr="00185C39">
              <w:t>5</w:t>
            </w:r>
          </w:p>
        </w:tc>
      </w:tr>
      <w:tr w:rsidR="00534FB5" w:rsidRPr="00E40BFA" w:rsidTr="00534FB5">
        <w:tc>
          <w:tcPr>
            <w:tcW w:w="724" w:type="pct"/>
          </w:tcPr>
          <w:p w:rsidR="00534FB5" w:rsidRPr="00E40BFA" w:rsidRDefault="00534FB5" w:rsidP="00534FB5">
            <w:pPr>
              <w:spacing w:line="240" w:lineRule="auto"/>
              <w:contextualSpacing/>
            </w:pPr>
            <w:r w:rsidRPr="00E40BFA">
              <w:t>КГ1</w:t>
            </w:r>
          </w:p>
        </w:tc>
        <w:tc>
          <w:tcPr>
            <w:tcW w:w="962" w:type="pct"/>
          </w:tcPr>
          <w:p w:rsidR="00534FB5" w:rsidRPr="00E40BFA" w:rsidRDefault="00534FB5" w:rsidP="00534FB5">
            <w:pPr>
              <w:spacing w:line="240" w:lineRule="auto"/>
              <w:contextualSpacing/>
            </w:pPr>
            <w:r w:rsidRPr="00E40BFA">
              <w:t>2,60±0,81</w:t>
            </w:r>
          </w:p>
        </w:tc>
        <w:tc>
          <w:tcPr>
            <w:tcW w:w="1036" w:type="pct"/>
          </w:tcPr>
          <w:p w:rsidR="00534FB5" w:rsidRPr="00E40BFA" w:rsidRDefault="00534FB5" w:rsidP="00534FB5">
            <w:pPr>
              <w:spacing w:line="240" w:lineRule="auto"/>
              <w:contextualSpacing/>
              <w:jc w:val="center"/>
            </w:pPr>
            <w:r w:rsidRPr="00E40BFA">
              <w:t>-</w:t>
            </w:r>
          </w:p>
        </w:tc>
        <w:tc>
          <w:tcPr>
            <w:tcW w:w="1112" w:type="pct"/>
          </w:tcPr>
          <w:p w:rsidR="00534FB5" w:rsidRPr="00E40BFA" w:rsidRDefault="00534FB5" w:rsidP="00534FB5">
            <w:pPr>
              <w:spacing w:line="240" w:lineRule="auto"/>
              <w:contextualSpacing/>
              <w:jc w:val="center"/>
            </w:pPr>
            <w:r w:rsidRPr="00E40BFA">
              <w:t>-</w:t>
            </w:r>
          </w:p>
        </w:tc>
        <w:tc>
          <w:tcPr>
            <w:tcW w:w="1166" w:type="pct"/>
          </w:tcPr>
          <w:p w:rsidR="00534FB5" w:rsidRPr="00E40BFA" w:rsidRDefault="00534FB5" w:rsidP="00534FB5">
            <w:pPr>
              <w:spacing w:line="240" w:lineRule="auto"/>
              <w:contextualSpacing/>
              <w:jc w:val="center"/>
            </w:pPr>
            <w:r w:rsidRPr="00E40BFA">
              <w:t>-</w:t>
            </w:r>
          </w:p>
        </w:tc>
      </w:tr>
      <w:tr w:rsidR="00534FB5" w:rsidRPr="00E40BFA" w:rsidTr="00534FB5">
        <w:tc>
          <w:tcPr>
            <w:tcW w:w="724" w:type="pct"/>
          </w:tcPr>
          <w:p w:rsidR="00534FB5" w:rsidRPr="00E40BFA" w:rsidRDefault="00534FB5" w:rsidP="00534FB5">
            <w:pPr>
              <w:spacing w:line="240" w:lineRule="auto"/>
              <w:contextualSpacing/>
            </w:pPr>
            <w:r w:rsidRPr="00E40BFA">
              <w:t>ОГ1а</w:t>
            </w:r>
          </w:p>
        </w:tc>
        <w:tc>
          <w:tcPr>
            <w:tcW w:w="962" w:type="pct"/>
          </w:tcPr>
          <w:p w:rsidR="00534FB5" w:rsidRPr="00E40BFA" w:rsidRDefault="00534FB5" w:rsidP="00534FB5">
            <w:pPr>
              <w:spacing w:line="240" w:lineRule="auto"/>
              <w:contextualSpacing/>
            </w:pPr>
            <w:r w:rsidRPr="00E40BFA">
              <w:t>5,45±1,12</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036" w:type="pct"/>
          </w:tcPr>
          <w:p w:rsidR="00534FB5" w:rsidRPr="00E40BFA" w:rsidRDefault="00534FB5" w:rsidP="00534FB5">
            <w:pPr>
              <w:spacing w:line="240" w:lineRule="auto"/>
              <w:contextualSpacing/>
            </w:pPr>
            <w:r w:rsidRPr="00E40BFA">
              <w:t>5,36±0,92</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112" w:type="pct"/>
          </w:tcPr>
          <w:p w:rsidR="00534FB5" w:rsidRPr="00E40BFA" w:rsidRDefault="008B7888" w:rsidP="00534FB5">
            <w:pPr>
              <w:spacing w:line="240" w:lineRule="auto"/>
              <w:contextualSpacing/>
            </w:pPr>
            <w:r>
              <w:t>5,27±0,1</w:t>
            </w:r>
            <w:r w:rsidR="00534FB5" w:rsidRPr="00E40BFA">
              <w:t>3</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166" w:type="pct"/>
          </w:tcPr>
          <w:p w:rsidR="00534FB5" w:rsidRPr="00E40BFA" w:rsidRDefault="0036355C" w:rsidP="00534FB5">
            <w:pPr>
              <w:spacing w:line="240" w:lineRule="auto"/>
              <w:contextualSpacing/>
            </w:pPr>
            <w:r>
              <w:t>5,18±0,3</w:t>
            </w:r>
            <w:r w:rsidR="00534FB5" w:rsidRPr="00E40BFA">
              <w:t>5</w:t>
            </w:r>
          </w:p>
          <w:p w:rsidR="00534FB5" w:rsidRPr="00E40BFA" w:rsidRDefault="00534FB5" w:rsidP="004B6E52">
            <w:pPr>
              <w:spacing w:line="240" w:lineRule="auto"/>
              <w:contextualSpacing/>
            </w:pPr>
            <w:r w:rsidRPr="00E40BFA">
              <w:t>Р</w:t>
            </w:r>
            <w:r w:rsidRPr="00E40BFA">
              <w:rPr>
                <w:vertAlign w:val="subscript"/>
              </w:rPr>
              <w:t>2</w:t>
            </w:r>
            <w:r w:rsidRPr="00E40BFA">
              <w:t>&lt;0,05</w:t>
            </w:r>
          </w:p>
        </w:tc>
      </w:tr>
      <w:tr w:rsidR="00534FB5" w:rsidRPr="00E40BFA" w:rsidTr="00534FB5">
        <w:tc>
          <w:tcPr>
            <w:tcW w:w="724" w:type="pct"/>
          </w:tcPr>
          <w:p w:rsidR="00534FB5" w:rsidRPr="00E40BFA" w:rsidRDefault="00534FB5" w:rsidP="00534FB5">
            <w:pPr>
              <w:spacing w:line="240" w:lineRule="auto"/>
              <w:contextualSpacing/>
            </w:pPr>
            <w:r w:rsidRPr="00E40BFA">
              <w:t>ОГ1б</w:t>
            </w:r>
          </w:p>
        </w:tc>
        <w:tc>
          <w:tcPr>
            <w:tcW w:w="962" w:type="pct"/>
          </w:tcPr>
          <w:p w:rsidR="00534FB5" w:rsidRPr="00E40BFA" w:rsidRDefault="00534FB5" w:rsidP="00534FB5">
            <w:pPr>
              <w:spacing w:line="240" w:lineRule="auto"/>
              <w:contextualSpacing/>
            </w:pPr>
            <w:r w:rsidRPr="00E40BFA">
              <w:t>5,50±1,21</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5,33±1,20</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8B7888" w:rsidP="00534FB5">
            <w:pPr>
              <w:spacing w:line="240" w:lineRule="auto"/>
              <w:contextualSpacing/>
            </w:pPr>
            <w:r>
              <w:t>4,58±0,1</w:t>
            </w:r>
            <w:r w:rsidR="00534FB5" w:rsidRPr="00E40BFA">
              <w:t>8</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66" w:type="pct"/>
          </w:tcPr>
          <w:p w:rsidR="00534FB5" w:rsidRPr="00E40BFA" w:rsidRDefault="0036355C" w:rsidP="00534FB5">
            <w:pPr>
              <w:spacing w:line="240" w:lineRule="auto"/>
              <w:contextualSpacing/>
            </w:pPr>
            <w:r>
              <w:t>4,08±0,3</w:t>
            </w:r>
            <w:r w:rsidR="00534FB5" w:rsidRPr="00E40BFA">
              <w:t>2</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724" w:type="pct"/>
          </w:tcPr>
          <w:p w:rsidR="00534FB5" w:rsidRPr="00E40BFA" w:rsidRDefault="00534FB5" w:rsidP="00534FB5">
            <w:pPr>
              <w:spacing w:line="240" w:lineRule="auto"/>
              <w:contextualSpacing/>
            </w:pPr>
            <w:r w:rsidRPr="00E40BFA">
              <w:t>КГ2</w:t>
            </w:r>
          </w:p>
        </w:tc>
        <w:tc>
          <w:tcPr>
            <w:tcW w:w="962" w:type="pct"/>
          </w:tcPr>
          <w:p w:rsidR="00534FB5" w:rsidRPr="00E40BFA" w:rsidRDefault="00534FB5" w:rsidP="00534FB5">
            <w:pPr>
              <w:spacing w:line="240" w:lineRule="auto"/>
              <w:contextualSpacing/>
            </w:pPr>
            <w:r w:rsidRPr="00E40BFA">
              <w:t>1,60±0,56</w:t>
            </w:r>
          </w:p>
        </w:tc>
        <w:tc>
          <w:tcPr>
            <w:tcW w:w="1036" w:type="pct"/>
          </w:tcPr>
          <w:p w:rsidR="00534FB5" w:rsidRPr="00E40BFA" w:rsidRDefault="00534FB5" w:rsidP="00534FB5">
            <w:pPr>
              <w:spacing w:line="240" w:lineRule="auto"/>
              <w:contextualSpacing/>
              <w:jc w:val="center"/>
            </w:pPr>
            <w:r w:rsidRPr="00E40BFA">
              <w:t>-</w:t>
            </w:r>
          </w:p>
        </w:tc>
        <w:tc>
          <w:tcPr>
            <w:tcW w:w="1112" w:type="pct"/>
          </w:tcPr>
          <w:p w:rsidR="00534FB5" w:rsidRPr="00E40BFA" w:rsidRDefault="00534FB5" w:rsidP="00534FB5">
            <w:pPr>
              <w:spacing w:line="240" w:lineRule="auto"/>
              <w:contextualSpacing/>
              <w:jc w:val="center"/>
            </w:pPr>
            <w:r w:rsidRPr="00E40BFA">
              <w:t>-</w:t>
            </w:r>
          </w:p>
        </w:tc>
        <w:tc>
          <w:tcPr>
            <w:tcW w:w="1166" w:type="pct"/>
          </w:tcPr>
          <w:p w:rsidR="00534FB5" w:rsidRPr="00E40BFA" w:rsidRDefault="00534FB5" w:rsidP="00534FB5">
            <w:pPr>
              <w:spacing w:line="240" w:lineRule="auto"/>
              <w:contextualSpacing/>
              <w:jc w:val="center"/>
            </w:pPr>
            <w:r w:rsidRPr="00E40BFA">
              <w:t>-</w:t>
            </w:r>
          </w:p>
        </w:tc>
      </w:tr>
      <w:tr w:rsidR="00534FB5" w:rsidRPr="00E40BFA" w:rsidTr="00534FB5">
        <w:tc>
          <w:tcPr>
            <w:tcW w:w="724" w:type="pct"/>
          </w:tcPr>
          <w:p w:rsidR="00534FB5" w:rsidRPr="00E40BFA" w:rsidRDefault="00534FB5" w:rsidP="00534FB5">
            <w:pPr>
              <w:spacing w:line="240" w:lineRule="auto"/>
              <w:contextualSpacing/>
            </w:pPr>
            <w:r w:rsidRPr="00E40BFA">
              <w:t>ОГ2а</w:t>
            </w:r>
          </w:p>
        </w:tc>
        <w:tc>
          <w:tcPr>
            <w:tcW w:w="962" w:type="pct"/>
          </w:tcPr>
          <w:p w:rsidR="00534FB5" w:rsidRPr="00E40BFA" w:rsidRDefault="00534FB5" w:rsidP="00534FB5">
            <w:pPr>
              <w:spacing w:line="240" w:lineRule="auto"/>
              <w:contextualSpacing/>
            </w:pPr>
            <w:r w:rsidRPr="00E40BFA">
              <w:t>4,10±0,92</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036" w:type="pct"/>
          </w:tcPr>
          <w:p w:rsidR="00534FB5" w:rsidRPr="00E40BFA" w:rsidRDefault="00534FB5" w:rsidP="00534FB5">
            <w:pPr>
              <w:spacing w:line="240" w:lineRule="auto"/>
              <w:contextualSpacing/>
            </w:pPr>
            <w:r w:rsidRPr="00E40BFA">
              <w:t>4,10±0,87</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112" w:type="pct"/>
          </w:tcPr>
          <w:p w:rsidR="00534FB5" w:rsidRPr="00E40BFA" w:rsidRDefault="00543CE7" w:rsidP="00534FB5">
            <w:pPr>
              <w:spacing w:line="240" w:lineRule="auto"/>
              <w:contextualSpacing/>
            </w:pPr>
            <w:r>
              <w:t>4,50±0,1</w:t>
            </w:r>
            <w:r w:rsidR="00534FB5" w:rsidRPr="00E40BFA">
              <w:t>0</w:t>
            </w:r>
          </w:p>
          <w:p w:rsidR="00534FB5" w:rsidRPr="00E40BFA" w:rsidRDefault="00534FB5" w:rsidP="004B6E52">
            <w:pPr>
              <w:spacing w:line="240" w:lineRule="auto"/>
              <w:contextualSpacing/>
            </w:pPr>
            <w:r w:rsidRPr="00E40BFA">
              <w:t>Р</w:t>
            </w:r>
            <w:r w:rsidRPr="00E40BFA">
              <w:rPr>
                <w:vertAlign w:val="subscript"/>
              </w:rPr>
              <w:t>2</w:t>
            </w:r>
            <w:r w:rsidRPr="00E40BFA">
              <w:t>&lt;0,05</w:t>
            </w:r>
          </w:p>
        </w:tc>
        <w:tc>
          <w:tcPr>
            <w:tcW w:w="1166" w:type="pct"/>
          </w:tcPr>
          <w:p w:rsidR="00534FB5" w:rsidRPr="00E40BFA" w:rsidRDefault="00543CE7" w:rsidP="00534FB5">
            <w:pPr>
              <w:spacing w:line="240" w:lineRule="auto"/>
              <w:contextualSpacing/>
            </w:pPr>
            <w:r>
              <w:t>4,90±0,3</w:t>
            </w:r>
            <w:r w:rsidR="00534FB5" w:rsidRPr="00E40BFA">
              <w:t>4</w:t>
            </w:r>
          </w:p>
          <w:p w:rsidR="00534FB5" w:rsidRPr="00E40BFA" w:rsidRDefault="00534FB5" w:rsidP="004B6E52">
            <w:pPr>
              <w:spacing w:line="240" w:lineRule="auto"/>
              <w:contextualSpacing/>
            </w:pPr>
            <w:r w:rsidRPr="00E40BFA">
              <w:t>Р</w:t>
            </w:r>
            <w:r w:rsidRPr="00E40BFA">
              <w:rPr>
                <w:vertAlign w:val="subscript"/>
              </w:rPr>
              <w:t>2</w:t>
            </w:r>
            <w:r w:rsidRPr="00E40BFA">
              <w:t>&lt;0,05</w:t>
            </w:r>
          </w:p>
        </w:tc>
      </w:tr>
      <w:tr w:rsidR="00534FB5" w:rsidRPr="00E40BFA" w:rsidTr="00534FB5">
        <w:tc>
          <w:tcPr>
            <w:tcW w:w="724" w:type="pct"/>
          </w:tcPr>
          <w:p w:rsidR="00534FB5" w:rsidRPr="00E40BFA" w:rsidRDefault="00534FB5" w:rsidP="00534FB5">
            <w:pPr>
              <w:spacing w:line="240" w:lineRule="auto"/>
              <w:contextualSpacing/>
            </w:pPr>
            <w:r w:rsidRPr="00E40BFA">
              <w:t>ОГ2б</w:t>
            </w:r>
          </w:p>
        </w:tc>
        <w:tc>
          <w:tcPr>
            <w:tcW w:w="962" w:type="pct"/>
          </w:tcPr>
          <w:p w:rsidR="00534FB5" w:rsidRPr="00E40BFA" w:rsidRDefault="00534FB5" w:rsidP="00534FB5">
            <w:pPr>
              <w:spacing w:line="240" w:lineRule="auto"/>
              <w:contextualSpacing/>
            </w:pPr>
            <w:r w:rsidRPr="00E40BFA">
              <w:t>4,09±0,83</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4,00±0,93</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543CE7" w:rsidP="00534FB5">
            <w:pPr>
              <w:spacing w:line="240" w:lineRule="auto"/>
              <w:contextualSpacing/>
            </w:pPr>
            <w:r>
              <w:t>4,00±0,2</w:t>
            </w:r>
            <w:r w:rsidR="00534FB5" w:rsidRPr="00E40BFA">
              <w:t>8</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66" w:type="pct"/>
          </w:tcPr>
          <w:p w:rsidR="00534FB5" w:rsidRPr="00E40BFA" w:rsidRDefault="00543CE7" w:rsidP="00534FB5">
            <w:pPr>
              <w:spacing w:line="240" w:lineRule="auto"/>
              <w:contextualSpacing/>
            </w:pPr>
            <w:r>
              <w:t>3,91±0,3</w:t>
            </w:r>
            <w:r w:rsidR="00534FB5" w:rsidRPr="00E40BFA">
              <w:t>7</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724" w:type="pct"/>
          </w:tcPr>
          <w:p w:rsidR="00534FB5" w:rsidRPr="00E40BFA" w:rsidRDefault="00534FB5" w:rsidP="00534FB5">
            <w:pPr>
              <w:spacing w:line="240" w:lineRule="auto"/>
              <w:contextualSpacing/>
            </w:pPr>
            <w:r w:rsidRPr="00E40BFA">
              <w:t>КГ3</w:t>
            </w:r>
          </w:p>
        </w:tc>
        <w:tc>
          <w:tcPr>
            <w:tcW w:w="962" w:type="pct"/>
          </w:tcPr>
          <w:p w:rsidR="00534FB5" w:rsidRPr="00E40BFA" w:rsidRDefault="00534FB5" w:rsidP="00534FB5">
            <w:pPr>
              <w:spacing w:line="240" w:lineRule="auto"/>
              <w:contextualSpacing/>
            </w:pPr>
            <w:r w:rsidRPr="00E40BFA">
              <w:t>1,50±0,44</w:t>
            </w:r>
          </w:p>
        </w:tc>
        <w:tc>
          <w:tcPr>
            <w:tcW w:w="1036" w:type="pct"/>
          </w:tcPr>
          <w:p w:rsidR="00534FB5" w:rsidRPr="00E40BFA" w:rsidRDefault="00534FB5" w:rsidP="00534FB5">
            <w:pPr>
              <w:spacing w:line="240" w:lineRule="auto"/>
              <w:contextualSpacing/>
              <w:jc w:val="center"/>
            </w:pPr>
            <w:r w:rsidRPr="00E40BFA">
              <w:t>-</w:t>
            </w:r>
          </w:p>
        </w:tc>
        <w:tc>
          <w:tcPr>
            <w:tcW w:w="1112" w:type="pct"/>
          </w:tcPr>
          <w:p w:rsidR="00534FB5" w:rsidRPr="00E40BFA" w:rsidRDefault="00534FB5" w:rsidP="00534FB5">
            <w:pPr>
              <w:spacing w:line="240" w:lineRule="auto"/>
              <w:contextualSpacing/>
              <w:jc w:val="center"/>
            </w:pPr>
            <w:r w:rsidRPr="00E40BFA">
              <w:t>-</w:t>
            </w:r>
          </w:p>
        </w:tc>
        <w:tc>
          <w:tcPr>
            <w:tcW w:w="1166" w:type="pct"/>
          </w:tcPr>
          <w:p w:rsidR="00534FB5" w:rsidRPr="00E40BFA" w:rsidRDefault="00534FB5" w:rsidP="00534FB5">
            <w:pPr>
              <w:spacing w:line="240" w:lineRule="auto"/>
              <w:contextualSpacing/>
              <w:jc w:val="center"/>
            </w:pPr>
            <w:r w:rsidRPr="00E40BFA">
              <w:t>-</w:t>
            </w:r>
          </w:p>
        </w:tc>
      </w:tr>
      <w:tr w:rsidR="00534FB5" w:rsidRPr="00E40BFA" w:rsidTr="00534FB5">
        <w:tc>
          <w:tcPr>
            <w:tcW w:w="724" w:type="pct"/>
          </w:tcPr>
          <w:p w:rsidR="00534FB5" w:rsidRPr="00E40BFA" w:rsidRDefault="00534FB5" w:rsidP="00534FB5">
            <w:pPr>
              <w:spacing w:line="240" w:lineRule="auto"/>
              <w:contextualSpacing/>
            </w:pPr>
            <w:r w:rsidRPr="00E40BFA">
              <w:t>ОГ3а</w:t>
            </w:r>
          </w:p>
        </w:tc>
        <w:tc>
          <w:tcPr>
            <w:tcW w:w="962" w:type="pct"/>
          </w:tcPr>
          <w:p w:rsidR="00534FB5" w:rsidRPr="00E40BFA" w:rsidRDefault="00534FB5" w:rsidP="00534FB5">
            <w:pPr>
              <w:spacing w:line="240" w:lineRule="auto"/>
              <w:contextualSpacing/>
            </w:pPr>
            <w:r w:rsidRPr="00E40BFA">
              <w:t>4,38±0,76</w:t>
            </w:r>
          </w:p>
          <w:p w:rsidR="00534FB5" w:rsidRPr="00E40BFA" w:rsidRDefault="00534FB5" w:rsidP="004B6E52">
            <w:pPr>
              <w:spacing w:line="240" w:lineRule="auto"/>
              <w:contextualSpacing/>
            </w:pPr>
            <w:r w:rsidRPr="00E40BFA">
              <w:t>Р</w:t>
            </w:r>
            <w:r w:rsidRPr="00E40BFA">
              <w:rPr>
                <w:vertAlign w:val="subscript"/>
              </w:rPr>
              <w:t>2</w:t>
            </w:r>
            <w:r w:rsidRPr="00E40BFA">
              <w:t>&lt;0,01</w:t>
            </w:r>
          </w:p>
        </w:tc>
        <w:tc>
          <w:tcPr>
            <w:tcW w:w="1036" w:type="pct"/>
          </w:tcPr>
          <w:p w:rsidR="00534FB5" w:rsidRPr="00E40BFA" w:rsidRDefault="00534FB5" w:rsidP="00534FB5">
            <w:pPr>
              <w:spacing w:line="240" w:lineRule="auto"/>
              <w:contextualSpacing/>
            </w:pPr>
            <w:r w:rsidRPr="00E40BFA">
              <w:t>4,62±0,75</w:t>
            </w:r>
          </w:p>
          <w:p w:rsidR="00534FB5" w:rsidRPr="00E40BFA" w:rsidRDefault="00534FB5" w:rsidP="004B6E52">
            <w:pPr>
              <w:spacing w:line="240" w:lineRule="auto"/>
              <w:contextualSpacing/>
            </w:pPr>
            <w:r w:rsidRPr="00E40BFA">
              <w:t>Р</w:t>
            </w:r>
            <w:r w:rsidRPr="00E40BFA">
              <w:rPr>
                <w:vertAlign w:val="subscript"/>
              </w:rPr>
              <w:t>2</w:t>
            </w:r>
            <w:r w:rsidRPr="00E40BFA">
              <w:t>&lt;0,01</w:t>
            </w:r>
          </w:p>
        </w:tc>
        <w:tc>
          <w:tcPr>
            <w:tcW w:w="1112" w:type="pct"/>
          </w:tcPr>
          <w:p w:rsidR="00534FB5" w:rsidRPr="00E40BFA" w:rsidRDefault="00543CE7" w:rsidP="00534FB5">
            <w:pPr>
              <w:spacing w:line="240" w:lineRule="auto"/>
              <w:contextualSpacing/>
            </w:pPr>
            <w:r>
              <w:t>5,31±0,2</w:t>
            </w:r>
            <w:r w:rsidR="00534FB5" w:rsidRPr="00E40BFA">
              <w:t>5</w:t>
            </w:r>
          </w:p>
          <w:p w:rsidR="00534FB5" w:rsidRPr="00E40BFA" w:rsidRDefault="00534FB5" w:rsidP="004B6E52">
            <w:pPr>
              <w:spacing w:line="240" w:lineRule="auto"/>
              <w:contextualSpacing/>
            </w:pPr>
            <w:r w:rsidRPr="00E40BFA">
              <w:t>Р</w:t>
            </w:r>
            <w:r w:rsidRPr="00E40BFA">
              <w:rPr>
                <w:vertAlign w:val="subscript"/>
              </w:rPr>
              <w:t>2</w:t>
            </w:r>
            <w:r w:rsidRPr="00E40BFA">
              <w:t>&lt;0,01</w:t>
            </w:r>
          </w:p>
        </w:tc>
        <w:tc>
          <w:tcPr>
            <w:tcW w:w="1166" w:type="pct"/>
          </w:tcPr>
          <w:p w:rsidR="00534FB5" w:rsidRPr="00E40BFA" w:rsidRDefault="00534FB5" w:rsidP="00534FB5">
            <w:pPr>
              <w:spacing w:line="240" w:lineRule="auto"/>
              <w:contextualSpacing/>
            </w:pPr>
            <w:r w:rsidRPr="00E40BFA">
              <w:t>6,2</w:t>
            </w:r>
            <w:r w:rsidR="009F1F2D">
              <w:t>3±0,62</w:t>
            </w:r>
          </w:p>
          <w:p w:rsidR="00534FB5" w:rsidRPr="00E40BFA" w:rsidRDefault="00534FB5" w:rsidP="004B6E52">
            <w:pPr>
              <w:spacing w:line="240" w:lineRule="auto"/>
              <w:contextualSpacing/>
            </w:pPr>
            <w:r w:rsidRPr="00E40BFA">
              <w:t>Р</w:t>
            </w:r>
            <w:r w:rsidRPr="00E40BFA">
              <w:rPr>
                <w:vertAlign w:val="subscript"/>
              </w:rPr>
              <w:t>2</w:t>
            </w:r>
            <w:r w:rsidRPr="00E40BFA">
              <w:t>&lt;0,01</w:t>
            </w:r>
          </w:p>
        </w:tc>
      </w:tr>
      <w:tr w:rsidR="00534FB5" w:rsidRPr="00E40BFA" w:rsidTr="00534FB5">
        <w:tc>
          <w:tcPr>
            <w:tcW w:w="724" w:type="pct"/>
          </w:tcPr>
          <w:p w:rsidR="00534FB5" w:rsidRPr="00E40BFA" w:rsidRDefault="00534FB5" w:rsidP="00534FB5">
            <w:pPr>
              <w:spacing w:line="240" w:lineRule="auto"/>
              <w:contextualSpacing/>
            </w:pPr>
            <w:r w:rsidRPr="00E40BFA">
              <w:t>ОГ3б</w:t>
            </w:r>
          </w:p>
        </w:tc>
        <w:tc>
          <w:tcPr>
            <w:tcW w:w="962" w:type="pct"/>
          </w:tcPr>
          <w:p w:rsidR="00534FB5" w:rsidRPr="00E40BFA" w:rsidRDefault="00534FB5" w:rsidP="00534FB5">
            <w:pPr>
              <w:spacing w:line="240" w:lineRule="auto"/>
              <w:contextualSpacing/>
            </w:pPr>
            <w:r w:rsidRPr="00E40BFA">
              <w:t>4,31±0,75</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contextualSpacing/>
            </w:pPr>
            <w:r w:rsidRPr="00E40BFA">
              <w:t>4,46±0,71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543CE7" w:rsidP="00534FB5">
            <w:pPr>
              <w:spacing w:line="240" w:lineRule="auto"/>
              <w:contextualSpacing/>
            </w:pPr>
            <w:r>
              <w:t>4,62±0,2</w:t>
            </w:r>
            <w:r w:rsidR="00534FB5" w:rsidRPr="00E40BFA">
              <w:t>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66" w:type="pct"/>
          </w:tcPr>
          <w:p w:rsidR="00534FB5" w:rsidRPr="00E40BFA" w:rsidRDefault="009F1F2D" w:rsidP="00534FB5">
            <w:pPr>
              <w:spacing w:line="240" w:lineRule="auto"/>
              <w:contextualSpacing/>
            </w:pPr>
            <w:r>
              <w:t>4,69±0,69</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bl>
    <w:p w:rsidR="00534FB5" w:rsidRPr="00C727AC"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E40BFA" w:rsidRDefault="00534FB5" w:rsidP="00534FB5">
      <w:pPr>
        <w:spacing w:line="240" w:lineRule="auto"/>
        <w:contextualSpacing/>
      </w:pPr>
    </w:p>
    <w:p w:rsidR="00700988" w:rsidRDefault="00534FB5" w:rsidP="00700988">
      <w:pPr>
        <w:ind w:firstLine="709"/>
        <w:contextualSpacing/>
      </w:pPr>
      <w:r w:rsidRPr="00E40BFA">
        <w:t>На рис</w:t>
      </w:r>
      <w:r>
        <w:t>унках</w:t>
      </w:r>
      <w:r w:rsidRPr="00E40BFA">
        <w:t xml:space="preserve"> </w:t>
      </w:r>
      <w:r>
        <w:t>4.</w:t>
      </w:r>
      <w:r>
        <w:rPr>
          <w:bCs/>
        </w:rPr>
        <w:t>2.</w:t>
      </w:r>
      <w:r>
        <w:t>5</w:t>
      </w:r>
      <w:r w:rsidRPr="006D4000">
        <w:t xml:space="preserve"> </w:t>
      </w:r>
      <w:r>
        <w:t>–</w:t>
      </w:r>
      <w:r w:rsidRPr="006D4000">
        <w:t xml:space="preserve"> </w:t>
      </w:r>
      <w:r>
        <w:t>4.2.7</w:t>
      </w:r>
      <w:r w:rsidRPr="00E40BFA">
        <w:t xml:space="preserve"> графічно зображено динаміку по</w:t>
      </w:r>
      <w:r>
        <w:t>казників інтенсивності карієсу</w:t>
      </w:r>
      <w:r w:rsidRPr="006D4000">
        <w:t xml:space="preserve"> </w:t>
      </w:r>
      <w:r>
        <w:t>у дітей</w:t>
      </w:r>
      <w:r w:rsidRPr="00E40BFA">
        <w:t xml:space="preserve"> всіх вікових груп </w:t>
      </w:r>
      <w:r>
        <w:t>на етапах лікування</w:t>
      </w:r>
      <w:r w:rsidRPr="00E40BFA">
        <w:t>.</w:t>
      </w:r>
    </w:p>
    <w:p w:rsidR="00534FB5" w:rsidRDefault="00700988" w:rsidP="00700988">
      <w:pPr>
        <w:ind w:firstLine="709"/>
        <w:contextualSpacing/>
      </w:pPr>
      <w:r>
        <w:t>Наведені дані свідчать про те, що в</w:t>
      </w:r>
      <w:r w:rsidRPr="00E40BFA">
        <w:t xml:space="preserve"> дітей 7-8 років з вродженою </w:t>
      </w:r>
      <w:r w:rsidRPr="00E40BFA">
        <w:lastRenderedPageBreak/>
        <w:t>глухотою, які отримували запропоновану схему лікування і профілактики протягом 12 місяців спостереження</w:t>
      </w:r>
      <w:r>
        <w:t>,</w:t>
      </w:r>
      <w:r w:rsidRPr="00E40BFA">
        <w:t xml:space="preserve"> відбувалос</w:t>
      </w:r>
      <w:r>
        <w:t>я</w:t>
      </w:r>
      <w:r w:rsidRPr="00E40BFA">
        <w:t xml:space="preserve"> поступове зниження інтенсивності карієсу зубів. Через 6 місяців інтенсивність карієсу в ОГ1б</w:t>
      </w:r>
      <w:r>
        <w:t xml:space="preserve">, </w:t>
      </w:r>
      <w:r w:rsidRPr="00E40BFA">
        <w:t>порівняно з ОГ1а</w:t>
      </w:r>
      <w:r>
        <w:t xml:space="preserve">, </w:t>
      </w:r>
      <w:r w:rsidRPr="00E40BFA">
        <w:t>достовірно (Р&lt;0,05) знизилас</w:t>
      </w:r>
      <w:r>
        <w:t>я</w:t>
      </w:r>
      <w:r w:rsidRPr="00E40BFA">
        <w:t xml:space="preserve"> на 15</w:t>
      </w:r>
      <w:r>
        <w:t> </w:t>
      </w:r>
      <w:r w:rsidRPr="00E40BFA">
        <w:t xml:space="preserve">%, а через 12 місяців </w:t>
      </w:r>
      <w:r>
        <w:t xml:space="preserve">– </w:t>
      </w:r>
      <w:r w:rsidRPr="00E40BFA">
        <w:t>на 27</w:t>
      </w:r>
      <w:r>
        <w:t> </w:t>
      </w:r>
      <w:r w:rsidRPr="00E40BFA">
        <w:t>% (Р&lt;0,05).</w:t>
      </w:r>
      <w:r>
        <w:t xml:space="preserve"> </w:t>
      </w:r>
      <w:r w:rsidRPr="00E40BFA">
        <w:t>Інтенсивність карієсу в ОГ1б через рік знизилас</w:t>
      </w:r>
      <w:r>
        <w:t>я</w:t>
      </w:r>
      <w:r w:rsidRPr="00E40BFA">
        <w:t xml:space="preserve"> </w:t>
      </w:r>
      <w:r>
        <w:t>до 4,08±0,3</w:t>
      </w:r>
      <w:r w:rsidRPr="00E40BFA">
        <w:t>2</w:t>
      </w:r>
      <w:r>
        <w:t xml:space="preserve"> </w:t>
      </w:r>
      <w:r w:rsidRPr="00E40BFA">
        <w:t>(Р&lt;0,05), у той час я</w:t>
      </w:r>
      <w:r>
        <w:t>к в ОГ1а вона зросла до 5,18±0,3</w:t>
      </w:r>
      <w:r w:rsidRPr="00E40BFA">
        <w:t>5</w:t>
      </w:r>
      <w:r>
        <w:t xml:space="preserve"> (див. табл. 4.2.4, </w:t>
      </w:r>
      <w:r>
        <w:rPr>
          <w:noProof/>
          <w:lang w:eastAsia="uk-UA"/>
        </w:rPr>
        <w:t>рис. 4.</w:t>
      </w:r>
      <w:r>
        <w:rPr>
          <w:bCs/>
        </w:rPr>
        <w:t>2.</w:t>
      </w:r>
      <w:r>
        <w:rPr>
          <w:noProof/>
          <w:lang w:eastAsia="uk-UA"/>
        </w:rPr>
        <w:t>5</w:t>
      </w:r>
      <w:r>
        <w:t>)</w:t>
      </w:r>
      <w:r w:rsidRPr="00E40BFA">
        <w:t xml:space="preserve">. </w:t>
      </w:r>
    </w:p>
    <w:p w:rsidR="00534FB5" w:rsidRPr="00E40BFA" w:rsidRDefault="00534FB5" w:rsidP="00534FB5">
      <w:pPr>
        <w:ind w:firstLine="709"/>
        <w:contextualSpacing/>
      </w:pPr>
    </w:p>
    <w:p w:rsidR="00534FB5" w:rsidRDefault="006C493E" w:rsidP="00534FB5">
      <w:pPr>
        <w:tabs>
          <w:tab w:val="left" w:pos="4253"/>
        </w:tabs>
        <w:contextualSpacing/>
        <w:jc w:val="center"/>
      </w:pPr>
      <w:r>
        <w:rPr>
          <w:noProof/>
          <w:lang w:val="ru-RU"/>
        </w:rPr>
        <w:drawing>
          <wp:inline distT="0" distB="0" distL="0" distR="0">
            <wp:extent cx="4514850" cy="2733675"/>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34FB5" w:rsidRDefault="00534FB5" w:rsidP="00534FB5">
      <w:pPr>
        <w:tabs>
          <w:tab w:val="left" w:pos="4253"/>
        </w:tabs>
        <w:ind w:firstLine="709"/>
        <w:contextualSpacing/>
      </w:pPr>
      <w:r w:rsidRPr="00E40BFA">
        <w:t xml:space="preserve">Рис. </w:t>
      </w:r>
      <w:r>
        <w:t xml:space="preserve">4.2.5. </w:t>
      </w:r>
      <w:r w:rsidRPr="00E40BFA">
        <w:t>Динаміка зміни інтенсивності карієсу зубів за показником</w:t>
      </w:r>
      <w:r>
        <w:t xml:space="preserve"> </w:t>
      </w:r>
      <w:r w:rsidRPr="00E40BFA">
        <w:t>КПВз+кпз у дітей</w:t>
      </w:r>
      <w:r>
        <w:t xml:space="preserve"> </w:t>
      </w:r>
      <w:r w:rsidRPr="00E40BFA">
        <w:t>7-8 років основної та контрольної груп до та після проведення лікувально-профілактичних заходів</w:t>
      </w:r>
      <w:r>
        <w:t>.</w:t>
      </w:r>
    </w:p>
    <w:p w:rsidR="00534FB5" w:rsidRDefault="00534FB5" w:rsidP="00534FB5">
      <w:pPr>
        <w:tabs>
          <w:tab w:val="left" w:pos="4253"/>
        </w:tabs>
        <w:contextualSpacing/>
      </w:pPr>
    </w:p>
    <w:p w:rsidR="00700988" w:rsidRPr="00E40BFA" w:rsidRDefault="00700988" w:rsidP="00700988">
      <w:pPr>
        <w:ind w:firstLine="709"/>
        <w:contextualSpacing/>
      </w:pPr>
      <w:r w:rsidRPr="00E40BFA">
        <w:t>В підгрупі</w:t>
      </w:r>
      <w:r w:rsidR="00574A62">
        <w:t xml:space="preserve"> «А»</w:t>
      </w:r>
      <w:r w:rsidR="00574A62" w:rsidRPr="00E40BFA">
        <w:t xml:space="preserve"> </w:t>
      </w:r>
      <w:r w:rsidRPr="00E40BFA">
        <w:t xml:space="preserve">другої вікової групи інтенсивність карієсу зубів протягом </w:t>
      </w:r>
      <w:r>
        <w:t>у</w:t>
      </w:r>
      <w:r w:rsidRPr="00E40BFA">
        <w:t xml:space="preserve">сього строку спостереження поступово зростала, у той час як в </w:t>
      </w:r>
      <w:r>
        <w:t>підгрупі</w:t>
      </w:r>
      <w:r w:rsidR="00574A62">
        <w:t xml:space="preserve"> «Б» </w:t>
      </w:r>
      <w:r>
        <w:t xml:space="preserve">відбувалося </w:t>
      </w:r>
      <w:r w:rsidRPr="00E40BFA">
        <w:t>з</w:t>
      </w:r>
      <w:r>
        <w:t>ниження цього показника. Через шість</w:t>
      </w:r>
      <w:r w:rsidRPr="00E40BFA">
        <w:t xml:space="preserve"> місяців спостереження інтенсивність карієсу зубів в групі дітей, що отримували запропоновану схему лікувальних заходів</w:t>
      </w:r>
      <w:r>
        <w:t>,</w:t>
      </w:r>
      <w:r w:rsidRPr="00E40BFA">
        <w:t xml:space="preserve"> була на 13</w:t>
      </w:r>
      <w:r>
        <w:t> %</w:t>
      </w:r>
      <w:r w:rsidRPr="00E40BFA">
        <w:t xml:space="preserve"> достовірно (Р&lt;0,05) нижчою у порівнянні з дітьми, </w:t>
      </w:r>
      <w:r w:rsidR="00574A62">
        <w:t>які</w:t>
      </w:r>
      <w:r w:rsidR="00574A62" w:rsidRPr="00E40BFA">
        <w:t xml:space="preserve"> </w:t>
      </w:r>
      <w:r w:rsidRPr="00E40BFA">
        <w:t>отримували стандартні зах</w:t>
      </w:r>
      <w:r>
        <w:t xml:space="preserve">оди лікування та профілактики. </w:t>
      </w:r>
      <w:r w:rsidRPr="00E40BFA">
        <w:t>Ч</w:t>
      </w:r>
      <w:r>
        <w:t>ерез дванадцять місяців</w:t>
      </w:r>
      <w:r w:rsidRPr="00E40BFA">
        <w:t xml:space="preserve"> інтенсивність карієсу </w:t>
      </w:r>
      <w:r>
        <w:t xml:space="preserve">в ОГ2б та ОГ2а </w:t>
      </w:r>
      <w:r w:rsidRPr="00E40BFA">
        <w:t>відрізнял</w:t>
      </w:r>
      <w:r>
        <w:t>а</w:t>
      </w:r>
      <w:r w:rsidRPr="00E40BFA">
        <w:t>с</w:t>
      </w:r>
      <w:r>
        <w:t>я</w:t>
      </w:r>
      <w:r w:rsidRPr="00E40BFA">
        <w:t xml:space="preserve"> на 26</w:t>
      </w:r>
      <w:r>
        <w:t xml:space="preserve"> % </w:t>
      </w:r>
      <w:r w:rsidRPr="00E40BFA">
        <w:t>(Р&lt;0,05)</w:t>
      </w:r>
      <w:r w:rsidRPr="00D55E93">
        <w:t xml:space="preserve"> </w:t>
      </w:r>
      <w:r w:rsidR="00E00472">
        <w:t>(див. </w:t>
      </w:r>
      <w:r>
        <w:t xml:space="preserve">табл. 4.2.4, </w:t>
      </w:r>
      <w:r>
        <w:rPr>
          <w:noProof/>
          <w:lang w:eastAsia="uk-UA"/>
        </w:rPr>
        <w:t>рис. 4.</w:t>
      </w:r>
      <w:r>
        <w:rPr>
          <w:bCs/>
        </w:rPr>
        <w:t>2.</w:t>
      </w:r>
      <w:r>
        <w:rPr>
          <w:noProof/>
          <w:lang w:eastAsia="uk-UA"/>
        </w:rPr>
        <w:t>6</w:t>
      </w:r>
      <w:r>
        <w:t>)</w:t>
      </w:r>
      <w:r w:rsidRPr="00E40BFA">
        <w:t>.</w:t>
      </w:r>
      <w:r>
        <w:t xml:space="preserve"> </w:t>
      </w:r>
    </w:p>
    <w:p w:rsidR="00534FB5" w:rsidRPr="00E40BFA" w:rsidRDefault="00534FB5" w:rsidP="00534FB5">
      <w:pPr>
        <w:ind w:firstLine="709"/>
        <w:contextualSpacing/>
      </w:pPr>
    </w:p>
    <w:p w:rsidR="00534FB5" w:rsidRPr="0018032F" w:rsidRDefault="00534FB5" w:rsidP="00534FB5">
      <w:pPr>
        <w:tabs>
          <w:tab w:val="left" w:pos="4253"/>
        </w:tabs>
        <w:contextualSpacing/>
        <w:rPr>
          <w:rFonts w:eastAsia="Batang"/>
        </w:rPr>
      </w:pPr>
    </w:p>
    <w:p w:rsidR="00534FB5" w:rsidRDefault="006C493E" w:rsidP="00534FB5">
      <w:pPr>
        <w:jc w:val="center"/>
      </w:pPr>
      <w:r>
        <w:rPr>
          <w:noProof/>
          <w:lang w:val="ru-RU"/>
        </w:rPr>
        <w:drawing>
          <wp:inline distT="0" distB="0" distL="0" distR="0">
            <wp:extent cx="4667250" cy="2743200"/>
            <wp:effectExtent l="0" t="0" r="0" b="0"/>
            <wp:docPr id="42" name="Объект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34FB5" w:rsidRDefault="00534FB5" w:rsidP="00534FB5">
      <w:pPr>
        <w:ind w:firstLine="709"/>
      </w:pPr>
      <w:r w:rsidRPr="00E40BFA">
        <w:t xml:space="preserve">Рис. </w:t>
      </w:r>
      <w:r>
        <w:t>4.2.6.</w:t>
      </w:r>
      <w:r w:rsidRPr="00E40BFA">
        <w:t xml:space="preserve"> Динаміка зміни інтенсивності карієсу зубів за показником</w:t>
      </w:r>
      <w:r>
        <w:t xml:space="preserve"> </w:t>
      </w:r>
      <w:r w:rsidRPr="00E40BFA">
        <w:t>КПВз+кпз у дітей</w:t>
      </w:r>
      <w:r>
        <w:t xml:space="preserve"> </w:t>
      </w:r>
      <w:r w:rsidRPr="00E40BFA">
        <w:t>11-12 років основної та контрольної груп до та після проведення лікувально-профілактичних заходів.</w:t>
      </w:r>
    </w:p>
    <w:p w:rsidR="00534FB5" w:rsidRDefault="00534FB5" w:rsidP="00534FB5"/>
    <w:p w:rsidR="00534FB5" w:rsidRDefault="00534FB5" w:rsidP="00534FB5"/>
    <w:p w:rsidR="00534FB5" w:rsidRDefault="006C493E" w:rsidP="00534FB5">
      <w:pPr>
        <w:jc w:val="center"/>
      </w:pPr>
      <w:r>
        <w:rPr>
          <w:noProof/>
          <w:lang w:val="ru-RU"/>
        </w:rPr>
        <w:drawing>
          <wp:inline distT="0" distB="0" distL="0" distR="0">
            <wp:extent cx="4581525" cy="2714625"/>
            <wp:effectExtent l="0" t="0" r="0" b="0"/>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34FB5" w:rsidRDefault="00534FB5" w:rsidP="00534FB5">
      <w:pPr>
        <w:ind w:firstLine="709"/>
        <w:contextualSpacing/>
      </w:pPr>
      <w:r w:rsidRPr="00E40BFA">
        <w:t xml:space="preserve">Рис. </w:t>
      </w:r>
      <w:r>
        <w:t>4.2.7.</w:t>
      </w:r>
      <w:r w:rsidRPr="00E40BFA">
        <w:t xml:space="preserve"> Динаміка зміни інтенсивності карієсу зубів за показником</w:t>
      </w:r>
      <w:r>
        <w:t xml:space="preserve"> </w:t>
      </w:r>
      <w:r w:rsidRPr="00E40BFA">
        <w:t>КПВз+кпз у дітей</w:t>
      </w:r>
      <w:r>
        <w:t xml:space="preserve"> </w:t>
      </w:r>
      <w:r w:rsidRPr="00E40BFA">
        <w:t>14-15 років основної та контрольної груп до та після проведення лікувально-профілактичних заходів.</w:t>
      </w:r>
    </w:p>
    <w:p w:rsidR="00534FB5" w:rsidRDefault="00534FB5" w:rsidP="00534FB5">
      <w:pPr>
        <w:contextualSpacing/>
      </w:pPr>
    </w:p>
    <w:p w:rsidR="00534FB5" w:rsidRDefault="00534FB5" w:rsidP="00534FB5">
      <w:pPr>
        <w:ind w:firstLine="709"/>
        <w:contextualSpacing/>
      </w:pPr>
      <w:r w:rsidRPr="00E40BFA">
        <w:lastRenderedPageBreak/>
        <w:t xml:space="preserve">У дітей 14-15 років з вродженою глухотою в </w:t>
      </w:r>
      <w:r w:rsidR="005840BB">
        <w:t>«А»</w:t>
      </w:r>
      <w:r>
        <w:t xml:space="preserve"> та </w:t>
      </w:r>
      <w:r w:rsidR="005840BB">
        <w:t>«Б»</w:t>
      </w:r>
      <w:r w:rsidRPr="00E40BFA">
        <w:t xml:space="preserve"> підгрупах протягом року спостереження </w:t>
      </w:r>
      <w:r>
        <w:t>виявлено</w:t>
      </w:r>
      <w:r w:rsidRPr="00E40BFA">
        <w:t xml:space="preserve"> </w:t>
      </w:r>
      <w:r>
        <w:t>зростання</w:t>
      </w:r>
      <w:r w:rsidRPr="00E40BFA">
        <w:t xml:space="preserve"> інтенсивності карієсу зубів. </w:t>
      </w:r>
      <w:r>
        <w:t>У</w:t>
      </w:r>
      <w:r w:rsidRPr="00E40BFA">
        <w:t xml:space="preserve"> групі дітей, що отримували стандартну схему лікувально-профілактичних заходів</w:t>
      </w:r>
      <w:r>
        <w:t>,</w:t>
      </w:r>
      <w:r w:rsidRPr="00E40BFA">
        <w:t xml:space="preserve"> в</w:t>
      </w:r>
      <w:r>
        <w:t>она</w:t>
      </w:r>
      <w:r w:rsidRPr="00E40BFA">
        <w:t xml:space="preserve"> </w:t>
      </w:r>
      <w:r>
        <w:t>становила</w:t>
      </w:r>
      <w:r w:rsidRPr="00E40BFA">
        <w:t xml:space="preserve"> 42</w:t>
      </w:r>
      <w:r>
        <w:t> </w:t>
      </w:r>
      <w:r w:rsidRPr="00E40BFA">
        <w:t xml:space="preserve">%, а в групі дітей, </w:t>
      </w:r>
      <w:r>
        <w:t>які</w:t>
      </w:r>
      <w:r w:rsidRPr="00E40BFA">
        <w:t xml:space="preserve"> отримували запропоновану схему заходів</w:t>
      </w:r>
      <w:r>
        <w:t>,</w:t>
      </w:r>
      <w:r w:rsidRPr="00E40BFA">
        <w:t xml:space="preserve"> </w:t>
      </w:r>
      <w:r>
        <w:t xml:space="preserve">– </w:t>
      </w:r>
      <w:r w:rsidRPr="00E40BFA">
        <w:t>8</w:t>
      </w:r>
      <w:r>
        <w:t> </w:t>
      </w:r>
      <w:r w:rsidRPr="00E40BFA">
        <w:t>%. Через 1, 6 та 12 місяців показники інтенсивності карієсу зубів в ОГ3б були на 3</w:t>
      </w:r>
      <w:r>
        <w:t> </w:t>
      </w:r>
      <w:r w:rsidRPr="00E40BFA">
        <w:t>%, 15</w:t>
      </w:r>
      <w:r>
        <w:t> </w:t>
      </w:r>
      <w:r w:rsidRPr="00E40BFA">
        <w:t xml:space="preserve">% </w:t>
      </w:r>
      <w:r w:rsidR="00101FBD" w:rsidRPr="00E40BFA">
        <w:t xml:space="preserve">(Р&lt;0,05) </w:t>
      </w:r>
      <w:r w:rsidRPr="00E40BFA">
        <w:t>та 33</w:t>
      </w:r>
      <w:r>
        <w:t> </w:t>
      </w:r>
      <w:r w:rsidRPr="00E40BFA">
        <w:t>% (Р&lt;0,05) нижчі</w:t>
      </w:r>
      <w:r>
        <w:t>,</w:t>
      </w:r>
      <w:r w:rsidRPr="00E40BFA">
        <w:t xml:space="preserve"> порівняно з показниками в ОГ3а</w:t>
      </w:r>
      <w:r>
        <w:t xml:space="preserve"> (див. табл. 4.2.4, </w:t>
      </w:r>
      <w:r>
        <w:rPr>
          <w:noProof/>
          <w:lang w:eastAsia="uk-UA"/>
        </w:rPr>
        <w:t>рис. 4.</w:t>
      </w:r>
      <w:r>
        <w:rPr>
          <w:bCs/>
        </w:rPr>
        <w:t>2.</w:t>
      </w:r>
      <w:r>
        <w:rPr>
          <w:noProof/>
          <w:lang w:eastAsia="uk-UA"/>
        </w:rPr>
        <w:t>7</w:t>
      </w:r>
      <w:r>
        <w:t>)</w:t>
      </w:r>
      <w:r w:rsidRPr="00E40BFA">
        <w:t>.</w:t>
      </w:r>
    </w:p>
    <w:p w:rsidR="00700988" w:rsidRDefault="00534FB5" w:rsidP="00534FB5">
      <w:pPr>
        <w:ind w:firstLine="709"/>
        <w:contextualSpacing/>
      </w:pPr>
      <w:r w:rsidRPr="006D4000">
        <w:t>Під час проведення диспансерних оглядів ми також визначали показники приросту інтенсивності карієсу зубів (за динамікою показників інтенсивності карієсу) [101]</w:t>
      </w:r>
      <w:r w:rsidR="00700988">
        <w:t xml:space="preserve"> </w:t>
      </w:r>
      <w:r w:rsidRPr="006D4000">
        <w:t>.</w:t>
      </w:r>
    </w:p>
    <w:p w:rsidR="00700988" w:rsidRPr="00700988" w:rsidRDefault="00534FB5" w:rsidP="00700988">
      <w:pPr>
        <w:ind w:firstLine="709"/>
        <w:contextualSpacing/>
        <w:rPr>
          <w:rFonts w:eastAsia="Batang"/>
        </w:rPr>
      </w:pPr>
      <w:r w:rsidRPr="006D4000">
        <w:t xml:space="preserve"> Приріст інтенсивності враження карієсом зубів у дітей </w:t>
      </w:r>
      <w:r w:rsidR="006C493E">
        <w:t>із вродженою</w:t>
      </w:r>
      <w:r w:rsidRPr="006D4000">
        <w:t xml:space="preserve"> глухотою розраховували за </w:t>
      </w:r>
      <w:r w:rsidRPr="006D4000">
        <w:rPr>
          <w:rFonts w:eastAsia="Batang"/>
        </w:rPr>
        <w:t>різницею між показником КПВз до та через дванадцять місяців після проведення лікувально-профілактичних заходів (табл.</w:t>
      </w:r>
      <w:r>
        <w:rPr>
          <w:rFonts w:eastAsia="Batang"/>
        </w:rPr>
        <w:t> </w:t>
      </w:r>
      <w:r w:rsidRPr="006D4000">
        <w:rPr>
          <w:rFonts w:eastAsia="Batang"/>
        </w:rPr>
        <w:t>4.2.5).</w:t>
      </w:r>
    </w:p>
    <w:p w:rsidR="00534FB5" w:rsidRPr="007527B0" w:rsidRDefault="00534FB5" w:rsidP="00534FB5">
      <w:pPr>
        <w:tabs>
          <w:tab w:val="left" w:pos="4253"/>
        </w:tabs>
        <w:ind w:firstLine="709"/>
        <w:contextualSpacing/>
        <w:jc w:val="right"/>
        <w:rPr>
          <w:i/>
        </w:rPr>
      </w:pPr>
      <w:r>
        <w:rPr>
          <w:i/>
        </w:rPr>
        <w:t>Таблиця 4.2</w:t>
      </w:r>
      <w:r w:rsidRPr="007527B0">
        <w:rPr>
          <w:i/>
        </w:rPr>
        <w:t xml:space="preserve">.5 </w:t>
      </w:r>
    </w:p>
    <w:p w:rsidR="00534FB5" w:rsidRPr="007527B0" w:rsidRDefault="00534FB5" w:rsidP="00700988">
      <w:pPr>
        <w:pStyle w:val="af5"/>
        <w:spacing w:after="0" w:line="240" w:lineRule="auto"/>
        <w:ind w:firstLine="567"/>
        <w:contextualSpacing/>
        <w:rPr>
          <w:b/>
        </w:rPr>
      </w:pPr>
      <w:r w:rsidRPr="007527B0">
        <w:rPr>
          <w:b/>
        </w:rPr>
        <w:t xml:space="preserve">Приріст інтенсивності карієсу </w:t>
      </w:r>
      <w:r>
        <w:rPr>
          <w:b/>
        </w:rPr>
        <w:t>за</w:t>
      </w:r>
      <w:r w:rsidRPr="007527B0">
        <w:rPr>
          <w:b/>
        </w:rPr>
        <w:t xml:space="preserve"> </w:t>
      </w:r>
      <w:r>
        <w:rPr>
          <w:b/>
        </w:rPr>
        <w:t xml:space="preserve">КПВз (протягом року) у дітей </w:t>
      </w:r>
      <w:r w:rsidR="006C493E">
        <w:rPr>
          <w:b/>
        </w:rPr>
        <w:t>із вродженою</w:t>
      </w:r>
      <w:r w:rsidRPr="007527B0">
        <w:rPr>
          <w:b/>
        </w:rPr>
        <w:t xml:space="preserve"> глухотою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1141"/>
        <w:gridCol w:w="1723"/>
        <w:gridCol w:w="1861"/>
        <w:gridCol w:w="1723"/>
        <w:gridCol w:w="2161"/>
      </w:tblGrid>
      <w:tr w:rsidR="005B68C8" w:rsidRPr="005B68C8" w:rsidTr="006B2854">
        <w:trPr>
          <w:trHeight w:val="294"/>
        </w:trPr>
        <w:tc>
          <w:tcPr>
            <w:tcW w:w="514" w:type="pct"/>
            <w:vMerge w:val="restart"/>
          </w:tcPr>
          <w:p w:rsidR="005B68C8" w:rsidRDefault="005B68C8" w:rsidP="00700988">
            <w:pPr>
              <w:pStyle w:val="af5"/>
              <w:spacing w:after="0" w:line="240" w:lineRule="auto"/>
              <w:contextualSpacing/>
            </w:pPr>
          </w:p>
          <w:p w:rsidR="005B68C8" w:rsidRDefault="005B68C8" w:rsidP="00700988">
            <w:pPr>
              <w:pStyle w:val="af5"/>
              <w:spacing w:after="0" w:line="240" w:lineRule="auto"/>
              <w:contextualSpacing/>
              <w:jc w:val="both"/>
            </w:pPr>
          </w:p>
          <w:p w:rsidR="005B68C8" w:rsidRPr="005B68C8" w:rsidRDefault="005B68C8" w:rsidP="00700988">
            <w:pPr>
              <w:pStyle w:val="af5"/>
              <w:spacing w:after="0" w:line="240" w:lineRule="auto"/>
              <w:contextualSpacing/>
            </w:pPr>
            <w:r w:rsidRPr="005B68C8">
              <w:t>Вік</w:t>
            </w:r>
          </w:p>
        </w:tc>
        <w:tc>
          <w:tcPr>
            <w:tcW w:w="608" w:type="pct"/>
            <w:vMerge w:val="restart"/>
            <w:tcBorders>
              <w:right w:val="single" w:sz="4" w:space="0" w:color="auto"/>
            </w:tcBorders>
          </w:tcPr>
          <w:p w:rsidR="005B68C8" w:rsidRDefault="005B68C8" w:rsidP="00700988">
            <w:pPr>
              <w:pStyle w:val="af5"/>
              <w:spacing w:line="240" w:lineRule="auto"/>
              <w:contextualSpacing/>
            </w:pPr>
          </w:p>
          <w:p w:rsidR="005B68C8" w:rsidRDefault="005B68C8" w:rsidP="00700988">
            <w:pPr>
              <w:pStyle w:val="af5"/>
              <w:spacing w:line="240" w:lineRule="auto"/>
              <w:contextualSpacing/>
            </w:pPr>
          </w:p>
          <w:p w:rsidR="005B68C8" w:rsidRPr="005B68C8" w:rsidRDefault="005B68C8" w:rsidP="00700988">
            <w:pPr>
              <w:pStyle w:val="af5"/>
              <w:spacing w:line="240" w:lineRule="auto"/>
              <w:contextualSpacing/>
            </w:pPr>
            <w:r w:rsidRPr="005B68C8">
              <w:t>КПВз</w:t>
            </w:r>
          </w:p>
        </w:tc>
        <w:tc>
          <w:tcPr>
            <w:tcW w:w="3877" w:type="pct"/>
            <w:gridSpan w:val="4"/>
            <w:tcBorders>
              <w:left w:val="single" w:sz="4" w:space="0" w:color="auto"/>
            </w:tcBorders>
          </w:tcPr>
          <w:p w:rsidR="005B68C8" w:rsidRPr="005B68C8" w:rsidRDefault="005B68C8" w:rsidP="00700988">
            <w:pPr>
              <w:pStyle w:val="af5"/>
              <w:spacing w:line="240" w:lineRule="auto"/>
              <w:contextualSpacing/>
            </w:pPr>
            <w:r w:rsidRPr="005B68C8">
              <w:t>Схема лікувально-профілактичних заходів</w:t>
            </w:r>
          </w:p>
        </w:tc>
      </w:tr>
      <w:tr w:rsidR="005B68C8" w:rsidRPr="005B68C8" w:rsidTr="00B7479E">
        <w:tc>
          <w:tcPr>
            <w:tcW w:w="514" w:type="pct"/>
            <w:vMerge/>
          </w:tcPr>
          <w:p w:rsidR="005B68C8" w:rsidRPr="005B68C8" w:rsidRDefault="005B68C8" w:rsidP="00700988">
            <w:pPr>
              <w:pStyle w:val="af5"/>
              <w:spacing w:line="240" w:lineRule="auto"/>
              <w:contextualSpacing/>
            </w:pPr>
          </w:p>
        </w:tc>
        <w:tc>
          <w:tcPr>
            <w:tcW w:w="608" w:type="pct"/>
            <w:vMerge/>
            <w:tcBorders>
              <w:right w:val="single" w:sz="4" w:space="0" w:color="auto"/>
            </w:tcBorders>
          </w:tcPr>
          <w:p w:rsidR="005B68C8" w:rsidRPr="005B68C8" w:rsidRDefault="005B68C8" w:rsidP="00700988">
            <w:pPr>
              <w:pStyle w:val="af5"/>
              <w:spacing w:line="240" w:lineRule="auto"/>
              <w:contextualSpacing/>
            </w:pPr>
          </w:p>
        </w:tc>
        <w:tc>
          <w:tcPr>
            <w:tcW w:w="1825" w:type="pct"/>
            <w:gridSpan w:val="2"/>
            <w:tcBorders>
              <w:left w:val="single" w:sz="4" w:space="0" w:color="auto"/>
            </w:tcBorders>
          </w:tcPr>
          <w:p w:rsidR="005B68C8" w:rsidRPr="005B68C8" w:rsidRDefault="005B68C8" w:rsidP="00700988">
            <w:pPr>
              <w:pStyle w:val="af5"/>
              <w:spacing w:line="240" w:lineRule="auto"/>
              <w:contextualSpacing/>
            </w:pPr>
            <w:r w:rsidRPr="005B68C8">
              <w:t>Традиційна</w:t>
            </w:r>
          </w:p>
        </w:tc>
        <w:tc>
          <w:tcPr>
            <w:tcW w:w="2053" w:type="pct"/>
            <w:gridSpan w:val="2"/>
          </w:tcPr>
          <w:p w:rsidR="005B68C8" w:rsidRPr="005B68C8" w:rsidRDefault="005B68C8" w:rsidP="00700988">
            <w:pPr>
              <w:pStyle w:val="af5"/>
              <w:spacing w:after="0" w:line="240" w:lineRule="auto"/>
              <w:contextualSpacing/>
            </w:pPr>
            <w:r w:rsidRPr="005B68C8">
              <w:t>Запропонована</w:t>
            </w:r>
          </w:p>
        </w:tc>
      </w:tr>
      <w:tr w:rsidR="005B68C8" w:rsidRPr="005B68C8" w:rsidTr="00B7479E">
        <w:trPr>
          <w:trHeight w:val="420"/>
        </w:trPr>
        <w:tc>
          <w:tcPr>
            <w:tcW w:w="514" w:type="pct"/>
            <w:vMerge/>
            <w:vAlign w:val="center"/>
          </w:tcPr>
          <w:p w:rsidR="005B68C8" w:rsidRPr="005B68C8" w:rsidRDefault="005B68C8" w:rsidP="00700988">
            <w:pPr>
              <w:pStyle w:val="af5"/>
              <w:spacing w:after="0" w:line="240" w:lineRule="auto"/>
              <w:contextualSpacing/>
            </w:pPr>
          </w:p>
        </w:tc>
        <w:tc>
          <w:tcPr>
            <w:tcW w:w="608" w:type="pct"/>
            <w:vMerge/>
            <w:tcBorders>
              <w:bottom w:val="single" w:sz="4" w:space="0" w:color="auto"/>
              <w:right w:val="single" w:sz="4" w:space="0" w:color="auto"/>
            </w:tcBorders>
            <w:vAlign w:val="center"/>
          </w:tcPr>
          <w:p w:rsidR="005B68C8" w:rsidRPr="005B68C8" w:rsidRDefault="005B68C8" w:rsidP="00700988">
            <w:pPr>
              <w:pStyle w:val="af5"/>
              <w:spacing w:after="0" w:line="240" w:lineRule="auto"/>
              <w:contextualSpacing/>
            </w:pPr>
          </w:p>
        </w:tc>
        <w:tc>
          <w:tcPr>
            <w:tcW w:w="912" w:type="pct"/>
            <w:tcBorders>
              <w:bottom w:val="single" w:sz="4" w:space="0" w:color="auto"/>
              <w:right w:val="single" w:sz="4" w:space="0" w:color="auto"/>
            </w:tcBorders>
            <w:vAlign w:val="center"/>
          </w:tcPr>
          <w:p w:rsidR="005B68C8" w:rsidRPr="005B68C8" w:rsidRDefault="00B7479E" w:rsidP="00700988">
            <w:pPr>
              <w:pStyle w:val="af5"/>
              <w:spacing w:after="0" w:line="240" w:lineRule="auto"/>
              <w:contextualSpacing/>
            </w:pPr>
            <w:r w:rsidRPr="005B68C8">
              <w:t>КПВз</w:t>
            </w:r>
          </w:p>
        </w:tc>
        <w:tc>
          <w:tcPr>
            <w:tcW w:w="912" w:type="pct"/>
            <w:tcBorders>
              <w:left w:val="single" w:sz="4" w:space="0" w:color="auto"/>
            </w:tcBorders>
            <w:vAlign w:val="center"/>
          </w:tcPr>
          <w:p w:rsidR="005B68C8" w:rsidRPr="005B68C8" w:rsidRDefault="005B68C8" w:rsidP="00700988">
            <w:pPr>
              <w:pStyle w:val="af5"/>
              <w:spacing w:after="0" w:line="240" w:lineRule="auto"/>
              <w:contextualSpacing/>
            </w:pPr>
            <w:r w:rsidRPr="005B68C8">
              <w:t>Приріст інтенсивності</w:t>
            </w:r>
          </w:p>
        </w:tc>
        <w:tc>
          <w:tcPr>
            <w:tcW w:w="912" w:type="pct"/>
            <w:tcBorders>
              <w:bottom w:val="single" w:sz="4" w:space="0" w:color="auto"/>
              <w:right w:val="single" w:sz="4" w:space="0" w:color="auto"/>
            </w:tcBorders>
            <w:vAlign w:val="center"/>
          </w:tcPr>
          <w:p w:rsidR="005B68C8" w:rsidRPr="005B68C8" w:rsidRDefault="005B68C8" w:rsidP="00700988">
            <w:pPr>
              <w:pStyle w:val="af5"/>
              <w:spacing w:after="0" w:line="240" w:lineRule="auto"/>
              <w:contextualSpacing/>
            </w:pPr>
            <w:r w:rsidRPr="005B68C8">
              <w:t>КПВз</w:t>
            </w:r>
          </w:p>
        </w:tc>
        <w:tc>
          <w:tcPr>
            <w:tcW w:w="1140" w:type="pct"/>
            <w:tcBorders>
              <w:left w:val="single" w:sz="4" w:space="0" w:color="auto"/>
            </w:tcBorders>
            <w:vAlign w:val="center"/>
          </w:tcPr>
          <w:p w:rsidR="005B68C8" w:rsidRPr="005B68C8" w:rsidRDefault="005B68C8" w:rsidP="00700988">
            <w:pPr>
              <w:pStyle w:val="af5"/>
              <w:spacing w:after="0" w:line="240" w:lineRule="auto"/>
              <w:contextualSpacing/>
            </w:pPr>
            <w:r w:rsidRPr="005B68C8">
              <w:t>Приріст інтенсивності</w:t>
            </w:r>
          </w:p>
        </w:tc>
      </w:tr>
      <w:tr w:rsidR="00B7479E" w:rsidRPr="005B68C8" w:rsidTr="00B7479E">
        <w:trPr>
          <w:trHeight w:val="168"/>
        </w:trPr>
        <w:tc>
          <w:tcPr>
            <w:tcW w:w="514" w:type="pct"/>
            <w:vMerge/>
            <w:tcBorders>
              <w:bottom w:val="single" w:sz="4" w:space="0" w:color="auto"/>
            </w:tcBorders>
            <w:vAlign w:val="center"/>
          </w:tcPr>
          <w:p w:rsidR="00B7479E" w:rsidRPr="005B68C8" w:rsidRDefault="00B7479E" w:rsidP="00700988">
            <w:pPr>
              <w:pStyle w:val="af5"/>
              <w:spacing w:after="0" w:line="240" w:lineRule="auto"/>
              <w:contextualSpacing/>
            </w:pPr>
          </w:p>
        </w:tc>
        <w:tc>
          <w:tcPr>
            <w:tcW w:w="608" w:type="pct"/>
            <w:tcBorders>
              <w:top w:val="single" w:sz="4" w:space="0" w:color="auto"/>
              <w:bottom w:val="single" w:sz="4" w:space="0" w:color="auto"/>
              <w:right w:val="single" w:sz="4" w:space="0" w:color="auto"/>
            </w:tcBorders>
            <w:vAlign w:val="center"/>
          </w:tcPr>
          <w:p w:rsidR="00B7479E" w:rsidRPr="005B68C8" w:rsidRDefault="00B7479E" w:rsidP="00700988">
            <w:pPr>
              <w:pStyle w:val="af5"/>
              <w:spacing w:after="0" w:line="240" w:lineRule="auto"/>
              <w:contextualSpacing/>
            </w:pPr>
            <w:r w:rsidRPr="005B68C8">
              <w:t>До</w:t>
            </w:r>
          </w:p>
        </w:tc>
        <w:tc>
          <w:tcPr>
            <w:tcW w:w="1825" w:type="pct"/>
            <w:gridSpan w:val="2"/>
            <w:tcBorders>
              <w:top w:val="single" w:sz="4" w:space="0" w:color="auto"/>
              <w:bottom w:val="single" w:sz="4" w:space="0" w:color="auto"/>
            </w:tcBorders>
            <w:vAlign w:val="center"/>
          </w:tcPr>
          <w:p w:rsidR="00B7479E" w:rsidRPr="005B68C8" w:rsidRDefault="00B7479E" w:rsidP="00700988">
            <w:pPr>
              <w:pStyle w:val="af5"/>
              <w:spacing w:after="0" w:line="240" w:lineRule="auto"/>
              <w:contextualSpacing/>
            </w:pPr>
            <w:r w:rsidRPr="005B68C8">
              <w:t>Через рік</w:t>
            </w:r>
          </w:p>
        </w:tc>
        <w:tc>
          <w:tcPr>
            <w:tcW w:w="2053" w:type="pct"/>
            <w:gridSpan w:val="2"/>
            <w:tcBorders>
              <w:top w:val="single" w:sz="4" w:space="0" w:color="auto"/>
              <w:bottom w:val="single" w:sz="4" w:space="0" w:color="auto"/>
            </w:tcBorders>
            <w:vAlign w:val="center"/>
          </w:tcPr>
          <w:p w:rsidR="00B7479E" w:rsidRPr="005B68C8" w:rsidRDefault="00B7479E" w:rsidP="00700988">
            <w:pPr>
              <w:pStyle w:val="af5"/>
              <w:spacing w:after="0" w:line="240" w:lineRule="auto"/>
              <w:contextualSpacing/>
            </w:pPr>
            <w:r w:rsidRPr="005B68C8">
              <w:t>Через рік</w:t>
            </w:r>
          </w:p>
        </w:tc>
      </w:tr>
      <w:tr w:rsidR="00B7479E" w:rsidRPr="005B68C8" w:rsidTr="006B2854">
        <w:trPr>
          <w:trHeight w:val="229"/>
        </w:trPr>
        <w:tc>
          <w:tcPr>
            <w:tcW w:w="514" w:type="pct"/>
            <w:tcBorders>
              <w:top w:val="single" w:sz="4" w:space="0" w:color="auto"/>
            </w:tcBorders>
            <w:vAlign w:val="center"/>
          </w:tcPr>
          <w:p w:rsidR="00B7479E" w:rsidRPr="005B68C8" w:rsidRDefault="00B7479E" w:rsidP="00700988">
            <w:pPr>
              <w:pStyle w:val="af5"/>
              <w:spacing w:line="240" w:lineRule="auto"/>
              <w:contextualSpacing/>
            </w:pPr>
            <w:r w:rsidRPr="005B68C8">
              <w:t>7-8</w:t>
            </w:r>
          </w:p>
        </w:tc>
        <w:tc>
          <w:tcPr>
            <w:tcW w:w="608" w:type="pct"/>
            <w:tcBorders>
              <w:top w:val="single" w:sz="4" w:space="0" w:color="auto"/>
              <w:right w:val="single" w:sz="4" w:space="0" w:color="auto"/>
            </w:tcBorders>
            <w:vAlign w:val="center"/>
          </w:tcPr>
          <w:p w:rsidR="00B7479E" w:rsidRPr="005B68C8" w:rsidRDefault="00031AEB" w:rsidP="00700988">
            <w:pPr>
              <w:pStyle w:val="af5"/>
              <w:spacing w:after="0" w:line="240" w:lineRule="auto"/>
              <w:contextualSpacing/>
            </w:pPr>
            <w:r>
              <w:t>1,17</w:t>
            </w:r>
          </w:p>
        </w:tc>
        <w:tc>
          <w:tcPr>
            <w:tcW w:w="912" w:type="pct"/>
            <w:tcBorders>
              <w:top w:val="single" w:sz="4" w:space="0" w:color="auto"/>
              <w:left w:val="single" w:sz="4" w:space="0" w:color="auto"/>
              <w:right w:val="single" w:sz="4" w:space="0" w:color="auto"/>
            </w:tcBorders>
            <w:vAlign w:val="center"/>
          </w:tcPr>
          <w:p w:rsidR="00B7479E" w:rsidRPr="005B68C8" w:rsidRDefault="00B7479E" w:rsidP="00700988">
            <w:pPr>
              <w:pStyle w:val="af5"/>
              <w:spacing w:after="0" w:line="240" w:lineRule="auto"/>
              <w:contextualSpacing/>
            </w:pPr>
            <w:r>
              <w:t>2,</w:t>
            </w:r>
            <w:r w:rsidR="00031AEB">
              <w:t>99</w:t>
            </w:r>
          </w:p>
        </w:tc>
        <w:tc>
          <w:tcPr>
            <w:tcW w:w="912" w:type="pct"/>
            <w:tcBorders>
              <w:top w:val="single" w:sz="4" w:space="0" w:color="auto"/>
              <w:left w:val="single" w:sz="4" w:space="0" w:color="auto"/>
            </w:tcBorders>
            <w:vAlign w:val="center"/>
          </w:tcPr>
          <w:p w:rsidR="00B7479E" w:rsidRPr="005B68C8" w:rsidRDefault="00B7479E" w:rsidP="00700988">
            <w:pPr>
              <w:pStyle w:val="af5"/>
              <w:spacing w:after="0" w:line="240" w:lineRule="auto"/>
              <w:contextualSpacing/>
            </w:pPr>
            <w:r w:rsidRPr="005B68C8">
              <w:t>1,82</w:t>
            </w:r>
          </w:p>
        </w:tc>
        <w:tc>
          <w:tcPr>
            <w:tcW w:w="912" w:type="pct"/>
            <w:tcBorders>
              <w:top w:val="single" w:sz="4" w:space="0" w:color="auto"/>
              <w:right w:val="single" w:sz="4" w:space="0" w:color="auto"/>
            </w:tcBorders>
            <w:vAlign w:val="center"/>
          </w:tcPr>
          <w:p w:rsidR="00B7479E" w:rsidRPr="005B68C8" w:rsidRDefault="00031AEB" w:rsidP="00700988">
            <w:pPr>
              <w:pStyle w:val="af5"/>
              <w:spacing w:after="0" w:line="240" w:lineRule="auto"/>
              <w:contextualSpacing/>
            </w:pPr>
            <w:r>
              <w:t>1,33</w:t>
            </w:r>
          </w:p>
        </w:tc>
        <w:tc>
          <w:tcPr>
            <w:tcW w:w="1140" w:type="pct"/>
            <w:tcBorders>
              <w:top w:val="single" w:sz="4" w:space="0" w:color="auto"/>
              <w:left w:val="single" w:sz="4" w:space="0" w:color="auto"/>
            </w:tcBorders>
            <w:vAlign w:val="center"/>
          </w:tcPr>
          <w:p w:rsidR="00B7479E" w:rsidRPr="005B68C8" w:rsidRDefault="00B7479E" w:rsidP="00700988">
            <w:pPr>
              <w:pStyle w:val="af5"/>
              <w:spacing w:after="0" w:line="240" w:lineRule="auto"/>
              <w:contextualSpacing/>
            </w:pPr>
            <w:r w:rsidRPr="005B68C8">
              <w:t>0,16</w:t>
            </w:r>
          </w:p>
        </w:tc>
      </w:tr>
      <w:tr w:rsidR="00B7479E" w:rsidRPr="005B68C8" w:rsidTr="00B7479E">
        <w:tc>
          <w:tcPr>
            <w:tcW w:w="514" w:type="pct"/>
            <w:vAlign w:val="center"/>
          </w:tcPr>
          <w:p w:rsidR="00B7479E" w:rsidRPr="005B68C8" w:rsidRDefault="00B7479E" w:rsidP="00700988">
            <w:pPr>
              <w:pStyle w:val="af5"/>
              <w:spacing w:after="0" w:line="240" w:lineRule="auto"/>
              <w:contextualSpacing/>
            </w:pPr>
            <w:r w:rsidRPr="005B68C8">
              <w:t>11-12</w:t>
            </w:r>
          </w:p>
        </w:tc>
        <w:tc>
          <w:tcPr>
            <w:tcW w:w="608" w:type="pct"/>
            <w:tcBorders>
              <w:right w:val="single" w:sz="4" w:space="0" w:color="auto"/>
            </w:tcBorders>
            <w:vAlign w:val="center"/>
          </w:tcPr>
          <w:p w:rsidR="00B7479E" w:rsidRPr="005B68C8" w:rsidRDefault="00031AEB" w:rsidP="00700988">
            <w:pPr>
              <w:pStyle w:val="af5"/>
              <w:spacing w:after="0" w:line="240" w:lineRule="auto"/>
              <w:contextualSpacing/>
            </w:pPr>
            <w:r>
              <w:t>3,29</w:t>
            </w:r>
          </w:p>
        </w:tc>
        <w:tc>
          <w:tcPr>
            <w:tcW w:w="912" w:type="pct"/>
            <w:tcBorders>
              <w:left w:val="single" w:sz="4" w:space="0" w:color="auto"/>
              <w:right w:val="single" w:sz="4" w:space="0" w:color="auto"/>
            </w:tcBorders>
            <w:vAlign w:val="center"/>
          </w:tcPr>
          <w:p w:rsidR="00B7479E" w:rsidRPr="005B68C8" w:rsidRDefault="00031AEB" w:rsidP="00700988">
            <w:pPr>
              <w:pStyle w:val="af5"/>
              <w:spacing w:after="0" w:line="240" w:lineRule="auto"/>
              <w:contextualSpacing/>
            </w:pPr>
            <w:r>
              <w:t>4,49</w:t>
            </w:r>
          </w:p>
        </w:tc>
        <w:tc>
          <w:tcPr>
            <w:tcW w:w="912" w:type="pct"/>
            <w:tcBorders>
              <w:left w:val="single" w:sz="4" w:space="0" w:color="auto"/>
            </w:tcBorders>
            <w:vAlign w:val="center"/>
          </w:tcPr>
          <w:p w:rsidR="00B7479E" w:rsidRPr="005B68C8" w:rsidRDefault="00B7479E" w:rsidP="00700988">
            <w:pPr>
              <w:pStyle w:val="af5"/>
              <w:spacing w:after="0" w:line="240" w:lineRule="auto"/>
              <w:contextualSpacing/>
            </w:pPr>
            <w:r w:rsidRPr="005B68C8">
              <w:t>1,20</w:t>
            </w:r>
          </w:p>
        </w:tc>
        <w:tc>
          <w:tcPr>
            <w:tcW w:w="912" w:type="pct"/>
            <w:tcBorders>
              <w:right w:val="single" w:sz="4" w:space="0" w:color="auto"/>
            </w:tcBorders>
            <w:vAlign w:val="center"/>
          </w:tcPr>
          <w:p w:rsidR="00B7479E" w:rsidRPr="005B68C8" w:rsidRDefault="00031AEB" w:rsidP="00700988">
            <w:pPr>
              <w:pStyle w:val="af5"/>
              <w:spacing w:after="0" w:line="240" w:lineRule="auto"/>
              <w:contextualSpacing/>
            </w:pPr>
            <w:r>
              <w:t>3,57</w:t>
            </w:r>
          </w:p>
        </w:tc>
        <w:tc>
          <w:tcPr>
            <w:tcW w:w="1140" w:type="pct"/>
            <w:tcBorders>
              <w:left w:val="single" w:sz="4" w:space="0" w:color="auto"/>
            </w:tcBorders>
            <w:vAlign w:val="center"/>
          </w:tcPr>
          <w:p w:rsidR="00B7479E" w:rsidRPr="005B68C8" w:rsidRDefault="00B7479E" w:rsidP="00700988">
            <w:pPr>
              <w:pStyle w:val="af5"/>
              <w:spacing w:after="0" w:line="240" w:lineRule="auto"/>
              <w:contextualSpacing/>
            </w:pPr>
            <w:r w:rsidRPr="005B68C8">
              <w:t>0,28</w:t>
            </w:r>
          </w:p>
        </w:tc>
      </w:tr>
      <w:tr w:rsidR="00B7479E" w:rsidRPr="005B68C8" w:rsidTr="00B7479E">
        <w:tc>
          <w:tcPr>
            <w:tcW w:w="514" w:type="pct"/>
            <w:vAlign w:val="center"/>
          </w:tcPr>
          <w:p w:rsidR="00B7479E" w:rsidRPr="005B68C8" w:rsidRDefault="00B7479E" w:rsidP="00700988">
            <w:pPr>
              <w:pStyle w:val="af5"/>
              <w:spacing w:after="0" w:line="240" w:lineRule="auto"/>
              <w:contextualSpacing/>
            </w:pPr>
            <w:r w:rsidRPr="005B68C8">
              <w:t>14-15</w:t>
            </w:r>
          </w:p>
        </w:tc>
        <w:tc>
          <w:tcPr>
            <w:tcW w:w="608" w:type="pct"/>
            <w:tcBorders>
              <w:right w:val="single" w:sz="4" w:space="0" w:color="auto"/>
            </w:tcBorders>
            <w:vAlign w:val="center"/>
          </w:tcPr>
          <w:p w:rsidR="00B7479E" w:rsidRPr="005B68C8" w:rsidRDefault="00031AEB" w:rsidP="00700988">
            <w:pPr>
              <w:pStyle w:val="af5"/>
              <w:spacing w:after="0" w:line="240" w:lineRule="auto"/>
              <w:contextualSpacing/>
            </w:pPr>
            <w:r>
              <w:t>4,3</w:t>
            </w:r>
            <w:r w:rsidR="00C174A0">
              <w:t>5</w:t>
            </w:r>
          </w:p>
        </w:tc>
        <w:tc>
          <w:tcPr>
            <w:tcW w:w="912" w:type="pct"/>
            <w:tcBorders>
              <w:left w:val="single" w:sz="4" w:space="0" w:color="auto"/>
              <w:right w:val="single" w:sz="4" w:space="0" w:color="auto"/>
            </w:tcBorders>
            <w:vAlign w:val="center"/>
          </w:tcPr>
          <w:p w:rsidR="00B7479E" w:rsidRPr="005B68C8" w:rsidRDefault="00031AEB" w:rsidP="00700988">
            <w:pPr>
              <w:pStyle w:val="af5"/>
              <w:spacing w:after="0" w:line="240" w:lineRule="auto"/>
              <w:contextualSpacing/>
            </w:pPr>
            <w:r>
              <w:t>6,</w:t>
            </w:r>
            <w:r w:rsidR="00C174A0">
              <w:t>2</w:t>
            </w:r>
          </w:p>
        </w:tc>
        <w:tc>
          <w:tcPr>
            <w:tcW w:w="912" w:type="pct"/>
            <w:tcBorders>
              <w:left w:val="single" w:sz="4" w:space="0" w:color="auto"/>
            </w:tcBorders>
            <w:vAlign w:val="center"/>
          </w:tcPr>
          <w:p w:rsidR="00B7479E" w:rsidRPr="005B68C8" w:rsidRDefault="00B7479E" w:rsidP="00700988">
            <w:pPr>
              <w:pStyle w:val="af5"/>
              <w:spacing w:after="0" w:line="240" w:lineRule="auto"/>
              <w:contextualSpacing/>
            </w:pPr>
            <w:r w:rsidRPr="005B68C8">
              <w:t>1,85</w:t>
            </w:r>
          </w:p>
        </w:tc>
        <w:tc>
          <w:tcPr>
            <w:tcW w:w="912" w:type="pct"/>
            <w:tcBorders>
              <w:right w:val="single" w:sz="4" w:space="0" w:color="auto"/>
            </w:tcBorders>
            <w:vAlign w:val="center"/>
          </w:tcPr>
          <w:p w:rsidR="00B7479E" w:rsidRPr="005B68C8" w:rsidRDefault="00031AEB" w:rsidP="00700988">
            <w:pPr>
              <w:pStyle w:val="af5"/>
              <w:spacing w:after="0" w:line="240" w:lineRule="auto"/>
              <w:contextualSpacing/>
            </w:pPr>
            <w:r>
              <w:t>4,74</w:t>
            </w:r>
          </w:p>
        </w:tc>
        <w:tc>
          <w:tcPr>
            <w:tcW w:w="1140" w:type="pct"/>
            <w:tcBorders>
              <w:left w:val="single" w:sz="4" w:space="0" w:color="auto"/>
            </w:tcBorders>
            <w:vAlign w:val="center"/>
          </w:tcPr>
          <w:p w:rsidR="00B7479E" w:rsidRPr="005B68C8" w:rsidRDefault="00B7479E" w:rsidP="00700988">
            <w:pPr>
              <w:pStyle w:val="af5"/>
              <w:spacing w:after="0" w:line="240" w:lineRule="auto"/>
              <w:contextualSpacing/>
            </w:pPr>
            <w:r w:rsidRPr="005B68C8">
              <w:t>0,39</w:t>
            </w:r>
          </w:p>
        </w:tc>
      </w:tr>
    </w:tbl>
    <w:p w:rsidR="00534FB5" w:rsidRDefault="00534FB5" w:rsidP="00534FB5">
      <w:pPr>
        <w:tabs>
          <w:tab w:val="left" w:pos="4253"/>
        </w:tabs>
        <w:ind w:firstLine="709"/>
        <w:contextualSpacing/>
        <w:rPr>
          <w:rFonts w:eastAsia="Batang"/>
        </w:rPr>
      </w:pPr>
    </w:p>
    <w:p w:rsidR="00534FB5" w:rsidRPr="00E40BFA" w:rsidRDefault="00534FB5" w:rsidP="00534FB5">
      <w:pPr>
        <w:tabs>
          <w:tab w:val="left" w:pos="4253"/>
        </w:tabs>
        <w:ind w:firstLine="709"/>
        <w:contextualSpacing/>
      </w:pPr>
      <w:r>
        <w:rPr>
          <w:rFonts w:eastAsia="Batang"/>
        </w:rPr>
        <w:t>З</w:t>
      </w:r>
      <w:r w:rsidRPr="00E40BFA">
        <w:rPr>
          <w:rFonts w:eastAsia="Batang"/>
        </w:rPr>
        <w:t xml:space="preserve"> наведених </w:t>
      </w:r>
      <w:r>
        <w:rPr>
          <w:rFonts w:eastAsia="Batang"/>
        </w:rPr>
        <w:t>у таблиці 4.2</w:t>
      </w:r>
      <w:r w:rsidRPr="00E40BFA">
        <w:rPr>
          <w:rFonts w:eastAsia="Batang"/>
        </w:rPr>
        <w:t xml:space="preserve">.5 даних видно, що у всіх трьох вікових </w:t>
      </w:r>
      <w:r>
        <w:rPr>
          <w:rFonts w:eastAsia="Batang"/>
        </w:rPr>
        <w:t xml:space="preserve">групах дітей </w:t>
      </w:r>
      <w:r w:rsidR="006C493E">
        <w:rPr>
          <w:rFonts w:eastAsia="Batang"/>
        </w:rPr>
        <w:t>із вродженою</w:t>
      </w:r>
      <w:r w:rsidRPr="00E40BFA">
        <w:rPr>
          <w:rFonts w:eastAsia="Batang"/>
        </w:rPr>
        <w:t xml:space="preserve"> глухотою, яким проводили запропоновані лікувально-профілактичні заходи</w:t>
      </w:r>
      <w:r>
        <w:rPr>
          <w:rFonts w:eastAsia="Batang"/>
        </w:rPr>
        <w:t>,</w:t>
      </w:r>
      <w:r w:rsidRPr="00E40BFA">
        <w:rPr>
          <w:rFonts w:eastAsia="Batang"/>
        </w:rPr>
        <w:t xml:space="preserve"> </w:t>
      </w:r>
      <w:r w:rsidRPr="00E40BFA">
        <w:t>приріст інтенсивності карієсу через 12 місяців був значно нижчий у порівнянні з дітьми, які отримували традиційну схему лікування та профілактики. Це підтверджують і цифри редукції приросту ка</w:t>
      </w:r>
      <w:r>
        <w:t>рієсу, що представлені в таблиці 4.2</w:t>
      </w:r>
      <w:r w:rsidRPr="00E40BFA">
        <w:t>.6.</w:t>
      </w:r>
    </w:p>
    <w:p w:rsidR="00534FB5" w:rsidRPr="007527B0" w:rsidRDefault="00534FB5" w:rsidP="00534FB5">
      <w:pPr>
        <w:pStyle w:val="af5"/>
        <w:spacing w:after="0"/>
        <w:ind w:firstLine="567"/>
        <w:contextualSpacing/>
        <w:jc w:val="right"/>
        <w:rPr>
          <w:i/>
        </w:rPr>
      </w:pPr>
      <w:r>
        <w:rPr>
          <w:i/>
        </w:rPr>
        <w:lastRenderedPageBreak/>
        <w:t>Таблиця 4.2</w:t>
      </w:r>
      <w:r w:rsidRPr="007527B0">
        <w:rPr>
          <w:i/>
        </w:rPr>
        <w:t>.6</w:t>
      </w:r>
    </w:p>
    <w:p w:rsidR="00534FB5" w:rsidRPr="007527B0" w:rsidRDefault="00534FB5" w:rsidP="00534FB5">
      <w:pPr>
        <w:pStyle w:val="af5"/>
        <w:spacing w:after="0" w:line="240" w:lineRule="auto"/>
        <w:ind w:firstLine="567"/>
        <w:contextualSpacing/>
        <w:rPr>
          <w:b/>
        </w:rPr>
      </w:pPr>
      <w:r w:rsidRPr="007527B0">
        <w:rPr>
          <w:b/>
        </w:rPr>
        <w:t>Редукція приросту карієсу в</w:t>
      </w:r>
      <w:r>
        <w:rPr>
          <w:b/>
        </w:rPr>
        <w:t xml:space="preserve"> різних вікових групах дітей </w:t>
      </w:r>
      <w:r w:rsidR="006C493E">
        <w:rPr>
          <w:b/>
        </w:rPr>
        <w:t>із вродженою</w:t>
      </w:r>
      <w:r w:rsidRPr="007527B0">
        <w:rPr>
          <w:b/>
        </w:rPr>
        <w:t xml:space="preserve"> глухотою, які отримували запропоновану схему лікування та профілактики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6381"/>
      </w:tblGrid>
      <w:tr w:rsidR="00534FB5" w:rsidRPr="00E40BFA" w:rsidTr="00534FB5">
        <w:tc>
          <w:tcPr>
            <w:tcW w:w="1666" w:type="pct"/>
            <w:vMerge w:val="restart"/>
            <w:tcBorders>
              <w:bottom w:val="single" w:sz="4" w:space="0" w:color="auto"/>
            </w:tcBorders>
          </w:tcPr>
          <w:p w:rsidR="00534FB5" w:rsidRPr="00DA0ED3" w:rsidRDefault="00534FB5" w:rsidP="00534FB5">
            <w:pPr>
              <w:pStyle w:val="af5"/>
              <w:spacing w:after="0" w:line="240" w:lineRule="auto"/>
              <w:contextualSpacing/>
            </w:pPr>
            <w:r w:rsidRPr="00DA0ED3">
              <w:t>Вік обстежених дітей</w:t>
            </w:r>
          </w:p>
        </w:tc>
        <w:tc>
          <w:tcPr>
            <w:tcW w:w="3334" w:type="pct"/>
            <w:tcBorders>
              <w:bottom w:val="single" w:sz="4" w:space="0" w:color="auto"/>
            </w:tcBorders>
          </w:tcPr>
          <w:p w:rsidR="00534FB5" w:rsidRPr="00DA0ED3" w:rsidRDefault="00534FB5" w:rsidP="00534FB5">
            <w:pPr>
              <w:pStyle w:val="af5"/>
              <w:spacing w:after="0" w:line="240" w:lineRule="auto"/>
              <w:contextualSpacing/>
            </w:pPr>
            <w:r w:rsidRPr="00DA0ED3">
              <w:t>Схема лікувально-профілактичних заходів</w:t>
            </w:r>
          </w:p>
        </w:tc>
      </w:tr>
      <w:tr w:rsidR="00534FB5" w:rsidRPr="00E40BFA" w:rsidTr="00700988">
        <w:trPr>
          <w:trHeight w:val="333"/>
        </w:trPr>
        <w:tc>
          <w:tcPr>
            <w:tcW w:w="1666" w:type="pct"/>
            <w:vMerge/>
          </w:tcPr>
          <w:p w:rsidR="00534FB5" w:rsidRPr="00DA0ED3" w:rsidRDefault="00534FB5" w:rsidP="00534FB5">
            <w:pPr>
              <w:pStyle w:val="af5"/>
              <w:spacing w:after="0" w:line="240" w:lineRule="auto"/>
              <w:contextualSpacing/>
            </w:pPr>
          </w:p>
        </w:tc>
        <w:tc>
          <w:tcPr>
            <w:tcW w:w="3334" w:type="pct"/>
            <w:tcBorders>
              <w:bottom w:val="single" w:sz="4" w:space="0" w:color="auto"/>
            </w:tcBorders>
          </w:tcPr>
          <w:p w:rsidR="00534FB5" w:rsidRPr="00DA0ED3" w:rsidRDefault="00534FB5" w:rsidP="00534FB5">
            <w:pPr>
              <w:pStyle w:val="af5"/>
              <w:spacing w:after="0" w:line="240" w:lineRule="auto"/>
              <w:contextualSpacing/>
            </w:pPr>
            <w:r w:rsidRPr="00DA0ED3">
              <w:t>Запропонована</w:t>
            </w:r>
          </w:p>
        </w:tc>
      </w:tr>
      <w:tr w:rsidR="00534FB5" w:rsidRPr="00E40BFA" w:rsidTr="00534FB5">
        <w:tc>
          <w:tcPr>
            <w:tcW w:w="1666" w:type="pct"/>
            <w:vAlign w:val="center"/>
          </w:tcPr>
          <w:p w:rsidR="00534FB5" w:rsidRPr="00DA0ED3" w:rsidRDefault="00534FB5" w:rsidP="00534FB5">
            <w:pPr>
              <w:pStyle w:val="af5"/>
              <w:spacing w:after="0" w:line="240" w:lineRule="auto"/>
              <w:contextualSpacing/>
            </w:pPr>
            <w:r w:rsidRPr="00DA0ED3">
              <w:t>7-8</w:t>
            </w:r>
          </w:p>
        </w:tc>
        <w:tc>
          <w:tcPr>
            <w:tcW w:w="3334" w:type="pct"/>
            <w:tcBorders>
              <w:top w:val="single" w:sz="4" w:space="0" w:color="auto"/>
              <w:bottom w:val="single" w:sz="4" w:space="0" w:color="auto"/>
            </w:tcBorders>
            <w:vAlign w:val="center"/>
          </w:tcPr>
          <w:p w:rsidR="00534FB5" w:rsidRPr="00DA0ED3" w:rsidRDefault="00534FB5" w:rsidP="00534FB5">
            <w:pPr>
              <w:pStyle w:val="af5"/>
              <w:spacing w:after="0" w:line="240" w:lineRule="auto"/>
              <w:contextualSpacing/>
            </w:pPr>
            <w:r w:rsidRPr="00DA0ED3">
              <w:t>91 %</w:t>
            </w:r>
          </w:p>
        </w:tc>
      </w:tr>
      <w:tr w:rsidR="00534FB5" w:rsidRPr="00E40BFA" w:rsidTr="00534FB5">
        <w:tc>
          <w:tcPr>
            <w:tcW w:w="1666" w:type="pct"/>
            <w:vAlign w:val="center"/>
          </w:tcPr>
          <w:p w:rsidR="00534FB5" w:rsidRPr="00DA0ED3" w:rsidRDefault="00534FB5" w:rsidP="00534FB5">
            <w:pPr>
              <w:pStyle w:val="af5"/>
              <w:spacing w:after="0" w:line="240" w:lineRule="auto"/>
              <w:contextualSpacing/>
            </w:pPr>
            <w:r w:rsidRPr="00DA0ED3">
              <w:t>11-12</w:t>
            </w:r>
          </w:p>
        </w:tc>
        <w:tc>
          <w:tcPr>
            <w:tcW w:w="3334" w:type="pct"/>
            <w:tcBorders>
              <w:top w:val="single" w:sz="4" w:space="0" w:color="auto"/>
              <w:bottom w:val="single" w:sz="4" w:space="0" w:color="auto"/>
            </w:tcBorders>
            <w:vAlign w:val="center"/>
          </w:tcPr>
          <w:p w:rsidR="00534FB5" w:rsidRPr="00DA0ED3" w:rsidRDefault="00534FB5" w:rsidP="00534FB5">
            <w:pPr>
              <w:pStyle w:val="af5"/>
              <w:spacing w:after="0" w:line="240" w:lineRule="auto"/>
              <w:contextualSpacing/>
            </w:pPr>
            <w:r w:rsidRPr="00DA0ED3">
              <w:t>77 %</w:t>
            </w:r>
          </w:p>
        </w:tc>
      </w:tr>
      <w:tr w:rsidR="00534FB5" w:rsidRPr="00E40BFA" w:rsidTr="00534FB5">
        <w:tc>
          <w:tcPr>
            <w:tcW w:w="1666" w:type="pct"/>
            <w:vAlign w:val="center"/>
          </w:tcPr>
          <w:p w:rsidR="00534FB5" w:rsidRPr="00DA0ED3" w:rsidRDefault="00534FB5" w:rsidP="00534FB5">
            <w:pPr>
              <w:pStyle w:val="af5"/>
              <w:spacing w:after="0" w:line="240" w:lineRule="auto"/>
              <w:contextualSpacing/>
            </w:pPr>
            <w:r w:rsidRPr="00DA0ED3">
              <w:t>14-15</w:t>
            </w:r>
          </w:p>
        </w:tc>
        <w:tc>
          <w:tcPr>
            <w:tcW w:w="3334" w:type="pct"/>
            <w:tcBorders>
              <w:top w:val="single" w:sz="4" w:space="0" w:color="auto"/>
            </w:tcBorders>
            <w:vAlign w:val="center"/>
          </w:tcPr>
          <w:p w:rsidR="00534FB5" w:rsidRPr="00DA0ED3" w:rsidRDefault="00534FB5" w:rsidP="00534FB5">
            <w:pPr>
              <w:pStyle w:val="af5"/>
              <w:spacing w:after="0" w:line="240" w:lineRule="auto"/>
              <w:contextualSpacing/>
            </w:pPr>
            <w:r w:rsidRPr="00DA0ED3">
              <w:t>79 %</w:t>
            </w:r>
          </w:p>
        </w:tc>
      </w:tr>
    </w:tbl>
    <w:p w:rsidR="00534FB5" w:rsidRPr="00700988" w:rsidRDefault="00534FB5" w:rsidP="00534FB5">
      <w:pPr>
        <w:ind w:firstLine="709"/>
        <w:contextualSpacing/>
        <w:rPr>
          <w:sz w:val="18"/>
        </w:rPr>
      </w:pPr>
    </w:p>
    <w:p w:rsidR="00534FB5" w:rsidRDefault="00534FB5" w:rsidP="00534FB5">
      <w:pPr>
        <w:ind w:firstLine="709"/>
        <w:contextualSpacing/>
      </w:pPr>
      <w:r>
        <w:t>О</w:t>
      </w:r>
      <w:r w:rsidRPr="00E40BFA">
        <w:t>т</w:t>
      </w:r>
      <w:r>
        <w:t>римані дані розрахунку карієспрофілактичної ефективності наведені в таблиці 4.2</w:t>
      </w:r>
      <w:r w:rsidRPr="00E40BFA">
        <w:t>.7.</w:t>
      </w:r>
    </w:p>
    <w:p w:rsidR="00534FB5" w:rsidRPr="007527B0" w:rsidRDefault="00534FB5" w:rsidP="00534FB5">
      <w:pPr>
        <w:pStyle w:val="af5"/>
        <w:spacing w:after="0"/>
        <w:ind w:firstLine="567"/>
        <w:contextualSpacing/>
        <w:jc w:val="right"/>
        <w:rPr>
          <w:i/>
        </w:rPr>
      </w:pPr>
      <w:r>
        <w:rPr>
          <w:i/>
        </w:rPr>
        <w:t>Таблиця 4.2</w:t>
      </w:r>
      <w:r w:rsidRPr="007527B0">
        <w:rPr>
          <w:i/>
        </w:rPr>
        <w:t>.7</w:t>
      </w:r>
    </w:p>
    <w:p w:rsidR="00534FB5" w:rsidRPr="007527B0" w:rsidRDefault="00534FB5" w:rsidP="00534FB5">
      <w:pPr>
        <w:spacing w:line="240" w:lineRule="auto"/>
        <w:ind w:firstLine="567"/>
        <w:contextualSpacing/>
        <w:jc w:val="center"/>
        <w:rPr>
          <w:b/>
          <w:bCs/>
        </w:rPr>
      </w:pPr>
      <w:r w:rsidRPr="007527B0">
        <w:rPr>
          <w:b/>
          <w:bCs/>
        </w:rPr>
        <w:t>Карієспрофілактична ефективність запропонованого лікувально-профілактич</w:t>
      </w:r>
      <w:r>
        <w:rPr>
          <w:b/>
          <w:bCs/>
        </w:rPr>
        <w:t xml:space="preserve">ного комплексу в дітей </w:t>
      </w:r>
      <w:r w:rsidR="006C493E">
        <w:rPr>
          <w:b/>
          <w:bCs/>
        </w:rPr>
        <w:t>із вродженою</w:t>
      </w:r>
      <w:r w:rsidRPr="007527B0">
        <w:rPr>
          <w:b/>
          <w:bCs/>
        </w:rPr>
        <w:t xml:space="preserve"> глухотою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6"/>
        <w:gridCol w:w="6334"/>
      </w:tblGrid>
      <w:tr w:rsidR="00534FB5" w:rsidRPr="00E40BFA" w:rsidTr="00534FB5">
        <w:tc>
          <w:tcPr>
            <w:tcW w:w="3473" w:type="dxa"/>
            <w:vMerge w:val="restart"/>
            <w:tcBorders>
              <w:bottom w:val="single" w:sz="4" w:space="0" w:color="auto"/>
            </w:tcBorders>
          </w:tcPr>
          <w:p w:rsidR="00534FB5" w:rsidRPr="00DA0ED3" w:rsidRDefault="00534FB5" w:rsidP="00534FB5">
            <w:pPr>
              <w:pStyle w:val="af5"/>
              <w:spacing w:after="0" w:line="240" w:lineRule="auto"/>
              <w:contextualSpacing/>
            </w:pPr>
            <w:r w:rsidRPr="00DA0ED3">
              <w:t>Вік обстежених дітей</w:t>
            </w:r>
          </w:p>
        </w:tc>
        <w:tc>
          <w:tcPr>
            <w:tcW w:w="6948" w:type="dxa"/>
            <w:tcBorders>
              <w:bottom w:val="single" w:sz="4" w:space="0" w:color="auto"/>
            </w:tcBorders>
          </w:tcPr>
          <w:p w:rsidR="00534FB5" w:rsidRPr="00DA0ED3" w:rsidRDefault="00534FB5" w:rsidP="00534FB5">
            <w:pPr>
              <w:pStyle w:val="af5"/>
              <w:spacing w:after="0" w:line="240" w:lineRule="auto"/>
              <w:contextualSpacing/>
            </w:pPr>
            <w:r w:rsidRPr="00DA0ED3">
              <w:t>Схема лікувально-профілактичних заходів</w:t>
            </w:r>
          </w:p>
        </w:tc>
      </w:tr>
      <w:tr w:rsidR="00534FB5" w:rsidRPr="00E40BFA" w:rsidTr="00700988">
        <w:trPr>
          <w:trHeight w:val="311"/>
        </w:trPr>
        <w:tc>
          <w:tcPr>
            <w:tcW w:w="3473" w:type="dxa"/>
            <w:vMerge/>
          </w:tcPr>
          <w:p w:rsidR="00534FB5" w:rsidRPr="00DA0ED3" w:rsidRDefault="00534FB5" w:rsidP="00534FB5">
            <w:pPr>
              <w:pStyle w:val="af5"/>
              <w:spacing w:after="0" w:line="240" w:lineRule="auto"/>
              <w:contextualSpacing/>
            </w:pPr>
          </w:p>
        </w:tc>
        <w:tc>
          <w:tcPr>
            <w:tcW w:w="6948" w:type="dxa"/>
            <w:tcBorders>
              <w:bottom w:val="single" w:sz="4" w:space="0" w:color="auto"/>
            </w:tcBorders>
          </w:tcPr>
          <w:p w:rsidR="00534FB5" w:rsidRPr="00DA0ED3" w:rsidRDefault="00534FB5" w:rsidP="00534FB5">
            <w:pPr>
              <w:pStyle w:val="af5"/>
              <w:spacing w:after="0" w:line="240" w:lineRule="auto"/>
              <w:contextualSpacing/>
            </w:pPr>
            <w:r w:rsidRPr="00DA0ED3">
              <w:t>Запропонована</w:t>
            </w:r>
          </w:p>
        </w:tc>
      </w:tr>
      <w:tr w:rsidR="00534FB5" w:rsidRPr="00E40BFA" w:rsidTr="00534FB5">
        <w:tc>
          <w:tcPr>
            <w:tcW w:w="3473" w:type="dxa"/>
            <w:vAlign w:val="center"/>
          </w:tcPr>
          <w:p w:rsidR="00534FB5" w:rsidRPr="00DA0ED3" w:rsidRDefault="00534FB5" w:rsidP="00534FB5">
            <w:pPr>
              <w:pStyle w:val="af5"/>
              <w:spacing w:after="0" w:line="240" w:lineRule="auto"/>
              <w:contextualSpacing/>
            </w:pPr>
            <w:r w:rsidRPr="00DA0ED3">
              <w:t>7-8</w:t>
            </w:r>
          </w:p>
        </w:tc>
        <w:tc>
          <w:tcPr>
            <w:tcW w:w="6948" w:type="dxa"/>
            <w:tcBorders>
              <w:top w:val="single" w:sz="4" w:space="0" w:color="auto"/>
              <w:bottom w:val="single" w:sz="4" w:space="0" w:color="auto"/>
            </w:tcBorders>
            <w:vAlign w:val="center"/>
          </w:tcPr>
          <w:p w:rsidR="00534FB5" w:rsidRPr="00DA0ED3" w:rsidRDefault="00534FB5" w:rsidP="00534FB5">
            <w:pPr>
              <w:pStyle w:val="af5"/>
              <w:spacing w:after="0" w:line="240" w:lineRule="auto"/>
              <w:contextualSpacing/>
            </w:pPr>
            <w:r w:rsidRPr="00DA0ED3">
              <w:t>21 %</w:t>
            </w:r>
          </w:p>
        </w:tc>
      </w:tr>
      <w:tr w:rsidR="00534FB5" w:rsidRPr="00E40BFA" w:rsidTr="00534FB5">
        <w:tc>
          <w:tcPr>
            <w:tcW w:w="3473" w:type="dxa"/>
            <w:vAlign w:val="center"/>
          </w:tcPr>
          <w:p w:rsidR="00534FB5" w:rsidRPr="00DA0ED3" w:rsidRDefault="00534FB5" w:rsidP="00534FB5">
            <w:pPr>
              <w:pStyle w:val="af5"/>
              <w:spacing w:after="0" w:line="240" w:lineRule="auto"/>
              <w:contextualSpacing/>
            </w:pPr>
            <w:r w:rsidRPr="00DA0ED3">
              <w:t>11-12</w:t>
            </w:r>
          </w:p>
        </w:tc>
        <w:tc>
          <w:tcPr>
            <w:tcW w:w="6948" w:type="dxa"/>
            <w:tcBorders>
              <w:top w:val="single" w:sz="4" w:space="0" w:color="auto"/>
              <w:bottom w:val="single" w:sz="4" w:space="0" w:color="auto"/>
            </w:tcBorders>
            <w:vAlign w:val="center"/>
          </w:tcPr>
          <w:p w:rsidR="00534FB5" w:rsidRPr="00DA0ED3" w:rsidRDefault="00534FB5" w:rsidP="00534FB5">
            <w:pPr>
              <w:pStyle w:val="af5"/>
              <w:spacing w:after="0" w:line="240" w:lineRule="auto"/>
              <w:contextualSpacing/>
            </w:pPr>
            <w:r w:rsidRPr="00DA0ED3">
              <w:t>20 %</w:t>
            </w:r>
          </w:p>
        </w:tc>
      </w:tr>
      <w:tr w:rsidR="00534FB5" w:rsidRPr="00E40BFA" w:rsidTr="00534FB5">
        <w:tc>
          <w:tcPr>
            <w:tcW w:w="3473" w:type="dxa"/>
            <w:vAlign w:val="center"/>
          </w:tcPr>
          <w:p w:rsidR="00534FB5" w:rsidRPr="00DA0ED3" w:rsidRDefault="00534FB5" w:rsidP="00534FB5">
            <w:pPr>
              <w:pStyle w:val="af5"/>
              <w:spacing w:after="0" w:line="240" w:lineRule="auto"/>
              <w:contextualSpacing/>
            </w:pPr>
            <w:r w:rsidRPr="00DA0ED3">
              <w:t>14-15</w:t>
            </w:r>
          </w:p>
        </w:tc>
        <w:tc>
          <w:tcPr>
            <w:tcW w:w="6948" w:type="dxa"/>
            <w:tcBorders>
              <w:top w:val="single" w:sz="4" w:space="0" w:color="auto"/>
            </w:tcBorders>
            <w:vAlign w:val="center"/>
          </w:tcPr>
          <w:p w:rsidR="00534FB5" w:rsidRPr="00DA0ED3" w:rsidRDefault="00534FB5" w:rsidP="00534FB5">
            <w:pPr>
              <w:pStyle w:val="af5"/>
              <w:spacing w:after="0" w:line="240" w:lineRule="auto"/>
              <w:contextualSpacing/>
            </w:pPr>
            <w:r w:rsidRPr="00DA0ED3">
              <w:t>25 %</w:t>
            </w:r>
          </w:p>
        </w:tc>
      </w:tr>
    </w:tbl>
    <w:p w:rsidR="00534FB5" w:rsidRPr="00700988" w:rsidRDefault="00534FB5" w:rsidP="00534FB5">
      <w:pPr>
        <w:contextualSpacing/>
        <w:rPr>
          <w:sz w:val="14"/>
        </w:rPr>
      </w:pPr>
    </w:p>
    <w:p w:rsidR="00534FB5" w:rsidRPr="00E40BFA" w:rsidRDefault="00534FB5" w:rsidP="00700988">
      <w:pPr>
        <w:ind w:firstLine="567"/>
        <w:contextualSpacing/>
        <w:rPr>
          <w:bCs/>
        </w:rPr>
      </w:pPr>
      <w:r>
        <w:t>На рисунку 4.2.8</w:t>
      </w:r>
      <w:r w:rsidRPr="00E40BFA">
        <w:t xml:space="preserve"> на</w:t>
      </w:r>
      <w:r>
        <w:t>оч</w:t>
      </w:r>
      <w:r w:rsidRPr="00E40BFA">
        <w:t xml:space="preserve">но зображено високу </w:t>
      </w:r>
      <w:r w:rsidRPr="00E40BFA">
        <w:rPr>
          <w:bCs/>
        </w:rPr>
        <w:t>карієспрофілактичну ефективність запропонованого лікувально-профілактичного комплексу</w:t>
      </w:r>
      <w:r>
        <w:rPr>
          <w:bCs/>
        </w:rPr>
        <w:t xml:space="preserve"> у всіх вікових групах дітей </w:t>
      </w:r>
      <w:r w:rsidR="006C493E">
        <w:rPr>
          <w:bCs/>
        </w:rPr>
        <w:t>із вродженою</w:t>
      </w:r>
      <w:r w:rsidRPr="00E40BFA">
        <w:rPr>
          <w:bCs/>
        </w:rPr>
        <w:t xml:space="preserve"> глухотою.</w:t>
      </w:r>
    </w:p>
    <w:p w:rsidR="00534FB5" w:rsidRDefault="006C493E" w:rsidP="00700988">
      <w:pPr>
        <w:ind w:firstLine="709"/>
        <w:jc w:val="center"/>
        <w:rPr>
          <w:noProof/>
          <w:lang w:eastAsia="uk-UA"/>
        </w:rPr>
      </w:pPr>
      <w:r>
        <w:rPr>
          <w:noProof/>
          <w:lang w:val="ru-RU"/>
        </w:rPr>
        <w:drawing>
          <wp:inline distT="0" distB="0" distL="0" distR="0">
            <wp:extent cx="3416300" cy="2654300"/>
            <wp:effectExtent l="19050" t="0" r="12700" b="0"/>
            <wp:docPr id="4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34FB5" w:rsidRDefault="00534FB5" w:rsidP="0032675F">
      <w:pPr>
        <w:ind w:firstLine="567"/>
        <w:contextualSpacing/>
        <w:rPr>
          <w:bCs/>
        </w:rPr>
      </w:pPr>
      <w:r>
        <w:t>Рис. 4.2.8.</w:t>
      </w:r>
      <w:r w:rsidRPr="00E40BFA">
        <w:t xml:space="preserve"> </w:t>
      </w:r>
      <w:r w:rsidRPr="00E40BFA">
        <w:rPr>
          <w:bCs/>
        </w:rPr>
        <w:t>Карієспрофілактична ефективність запропонованого лікувально-профі</w:t>
      </w:r>
      <w:r>
        <w:rPr>
          <w:bCs/>
        </w:rPr>
        <w:t xml:space="preserve">лактичного комплексу у дітей </w:t>
      </w:r>
      <w:r w:rsidR="006C493E">
        <w:rPr>
          <w:bCs/>
        </w:rPr>
        <w:t>із вродженою</w:t>
      </w:r>
      <w:r w:rsidRPr="00E40BFA">
        <w:rPr>
          <w:bCs/>
        </w:rPr>
        <w:t xml:space="preserve"> глухотою.</w:t>
      </w:r>
    </w:p>
    <w:p w:rsidR="00D06C88" w:rsidRDefault="00534FB5" w:rsidP="00C95EEC">
      <w:pPr>
        <w:ind w:firstLine="567"/>
        <w:contextualSpacing/>
        <w:rPr>
          <w:color w:val="000000"/>
        </w:rPr>
      </w:pPr>
      <w:r w:rsidRPr="00E40BFA">
        <w:rPr>
          <w:bCs/>
        </w:rPr>
        <w:lastRenderedPageBreak/>
        <w:t xml:space="preserve">Отже, можна підсумувати всі вищі наведені дані </w:t>
      </w:r>
      <w:r>
        <w:rPr>
          <w:bCs/>
        </w:rPr>
        <w:t>й</w:t>
      </w:r>
      <w:r w:rsidRPr="00E40BFA">
        <w:rPr>
          <w:bCs/>
        </w:rPr>
        <w:t xml:space="preserve"> зазначити</w:t>
      </w:r>
      <w:r>
        <w:rPr>
          <w:bCs/>
        </w:rPr>
        <w:t xml:space="preserve"> наступне.</w:t>
      </w:r>
      <w:r w:rsidRPr="00E40BFA">
        <w:rPr>
          <w:bCs/>
        </w:rPr>
        <w:t xml:space="preserve"> </w:t>
      </w:r>
      <w:r>
        <w:rPr>
          <w:bCs/>
        </w:rPr>
        <w:t>Д</w:t>
      </w:r>
      <w:r>
        <w:t xml:space="preserve">іти </w:t>
      </w:r>
      <w:r w:rsidRPr="00E40BFA">
        <w:t>7-8 та 11-12 років з вродженою глухотою мали карієс ІІ ступеня активності (субкомпенсована форма), що відповідає ІІ диспансерній групі. Діти третьої</w:t>
      </w:r>
      <w:r>
        <w:t xml:space="preserve"> </w:t>
      </w:r>
      <w:r w:rsidRPr="00E40BFA">
        <w:t>вікової групи (14-15 років)</w:t>
      </w:r>
      <w:r>
        <w:t xml:space="preserve"> </w:t>
      </w:r>
      <w:r w:rsidRPr="00E40BFA">
        <w:t>мали</w:t>
      </w:r>
      <w:r>
        <w:t xml:space="preserve"> </w:t>
      </w:r>
      <w:r w:rsidRPr="00E40BFA">
        <w:t>ІІІ ступінь активності каріозного процесу (декомпенсована форма)</w:t>
      </w:r>
      <w:r>
        <w:t>,</w:t>
      </w:r>
      <w:r w:rsidRPr="00E40BFA">
        <w:t xml:space="preserve"> </w:t>
      </w:r>
      <w:r>
        <w:t>тобто належали</w:t>
      </w:r>
      <w:r w:rsidRPr="00E40BFA">
        <w:t xml:space="preserve"> до третьої диспансерної групи. </w:t>
      </w:r>
      <w:r w:rsidR="00C95EEC">
        <w:rPr>
          <w:color w:val="000000"/>
        </w:rPr>
        <w:t xml:space="preserve"> </w:t>
      </w:r>
    </w:p>
    <w:p w:rsidR="00534FB5" w:rsidRPr="00E40BFA" w:rsidRDefault="00534FB5" w:rsidP="00D06C88">
      <w:pPr>
        <w:ind w:firstLine="567"/>
        <w:contextualSpacing/>
        <w:rPr>
          <w:color w:val="000000"/>
        </w:rPr>
      </w:pPr>
      <w:r w:rsidRPr="00E40BFA">
        <w:t>Протягом 12 місяців спостереження поширеність карієсу зубів у</w:t>
      </w:r>
      <w:r>
        <w:t xml:space="preserve"> ДВГ</w:t>
      </w:r>
      <w:r w:rsidRPr="00E40BFA">
        <w:t xml:space="preserve"> всіх трьох вікових груп, які отримували запропонований комплекс лікувально-профілактичних заходів, не з</w:t>
      </w:r>
      <w:r w:rsidR="00C95EEC">
        <w:t>росла.</w:t>
      </w:r>
      <w:r w:rsidR="00C95EEC" w:rsidRPr="00E40BFA">
        <w:t xml:space="preserve"> </w:t>
      </w:r>
      <w:r w:rsidRPr="00E40BFA">
        <w:t>Інтенсивність карієсу зубів</w:t>
      </w:r>
      <w:r>
        <w:t xml:space="preserve"> у всіх вікових групах дітей </w:t>
      </w:r>
      <w:r w:rsidR="006C493E">
        <w:t>із вродженою</w:t>
      </w:r>
      <w:r w:rsidRPr="00E40BFA">
        <w:t xml:space="preserve"> глухотою, які отримували запропонований комплекс заходів</w:t>
      </w:r>
      <w:r>
        <w:t xml:space="preserve">, </w:t>
      </w:r>
      <w:r w:rsidRPr="00E40BFA">
        <w:t>протягом всього часу спостереження знижувалас</w:t>
      </w:r>
      <w:r>
        <w:t>я</w:t>
      </w:r>
      <w:r w:rsidRPr="00E40BFA">
        <w:t xml:space="preserve">. </w:t>
      </w:r>
      <w:r>
        <w:t>Водночас у</w:t>
      </w:r>
      <w:r w:rsidRPr="00E40BFA">
        <w:t xml:space="preserve"> групі</w:t>
      </w:r>
      <w:r>
        <w:t xml:space="preserve"> ДВГ</w:t>
      </w:r>
      <w:r w:rsidRPr="00E40BFA">
        <w:t>, що отримували стандартні заходи лікування та профілактики</w:t>
      </w:r>
      <w:r>
        <w:t>,</w:t>
      </w:r>
      <w:r w:rsidRPr="00E40BFA">
        <w:t xml:space="preserve"> </w:t>
      </w:r>
      <w:r>
        <w:t>помічено зростання цього</w:t>
      </w:r>
      <w:r w:rsidRPr="00E40BFA">
        <w:t xml:space="preserve"> показник</w:t>
      </w:r>
      <w:r>
        <w:t>а</w:t>
      </w:r>
      <w:r w:rsidRPr="00E40BFA">
        <w:t>.</w:t>
      </w:r>
      <w:r w:rsidR="00C95EEC">
        <w:rPr>
          <w:color w:val="000000"/>
        </w:rPr>
        <w:t xml:space="preserve"> </w:t>
      </w:r>
      <w:r w:rsidRPr="00E40BFA">
        <w:t xml:space="preserve">Інтенсивність карієсу зубів в першій, другій та третій вікових групах </w:t>
      </w:r>
      <w:r>
        <w:t>ДВГ</w:t>
      </w:r>
      <w:r w:rsidRPr="00E40BFA">
        <w:t xml:space="preserve">, </w:t>
      </w:r>
      <w:r>
        <w:t>які</w:t>
      </w:r>
      <w:r w:rsidRPr="00E40BFA">
        <w:t xml:space="preserve"> отримували запропоновані заходи лікування та профілактики</w:t>
      </w:r>
      <w:r>
        <w:t>,</w:t>
      </w:r>
      <w:r w:rsidRPr="00E40BFA">
        <w:t xml:space="preserve"> через 12 місяців була на 27</w:t>
      </w:r>
      <w:r>
        <w:t> </w:t>
      </w:r>
      <w:r w:rsidRPr="00E40BFA">
        <w:t>%, 26</w:t>
      </w:r>
      <w:r>
        <w:t> </w:t>
      </w:r>
      <w:r w:rsidRPr="00E40BFA">
        <w:t>% та 33</w:t>
      </w:r>
      <w:r>
        <w:t> </w:t>
      </w:r>
      <w:r w:rsidRPr="00E40BFA">
        <w:t>%</w:t>
      </w:r>
      <w:r>
        <w:t xml:space="preserve"> </w:t>
      </w:r>
      <w:r w:rsidRPr="00E40BFA">
        <w:t>достовірно (Р&lt;0,05)</w:t>
      </w:r>
      <w:r>
        <w:t xml:space="preserve"> </w:t>
      </w:r>
      <w:r w:rsidRPr="00E40BFA">
        <w:t>нижчою</w:t>
      </w:r>
      <w:r>
        <w:t>,</w:t>
      </w:r>
      <w:r w:rsidRPr="00E40BFA">
        <w:t xml:space="preserve"> порівняно з інтенсивністю карієсу в групах дітей, які отримували традиційні заходи лікування та профілактики. </w:t>
      </w:r>
    </w:p>
    <w:p w:rsidR="00534FB5" w:rsidRPr="00E40BFA" w:rsidRDefault="00534FB5" w:rsidP="00534FB5">
      <w:pPr>
        <w:ind w:firstLine="567"/>
        <w:contextualSpacing/>
      </w:pPr>
      <w:r w:rsidRPr="00E40BFA">
        <w:t>Приріст інтенсивності враження карієсом зубів</w:t>
      </w:r>
      <w:r w:rsidRPr="00E40BFA">
        <w:rPr>
          <w:rFonts w:eastAsia="Batang"/>
        </w:rPr>
        <w:t xml:space="preserve"> через 12 місяців після проведення лікувально-профілактичних заходів у всі</w:t>
      </w:r>
      <w:r>
        <w:rPr>
          <w:rFonts w:eastAsia="Batang"/>
        </w:rPr>
        <w:t xml:space="preserve">х трьох вікових групах дітей </w:t>
      </w:r>
      <w:r w:rsidR="006C493E">
        <w:rPr>
          <w:rFonts w:eastAsia="Batang"/>
        </w:rPr>
        <w:t>із вродженою</w:t>
      </w:r>
      <w:r w:rsidRPr="00E40BFA">
        <w:rPr>
          <w:rFonts w:eastAsia="Batang"/>
        </w:rPr>
        <w:t xml:space="preserve"> глухотою, яким проводили запропоновані лікувально-профілактичні заходи</w:t>
      </w:r>
      <w:r>
        <w:rPr>
          <w:rFonts w:eastAsia="Batang"/>
        </w:rPr>
        <w:t xml:space="preserve">, </w:t>
      </w:r>
      <w:r w:rsidRPr="00E40BFA">
        <w:t>був значно нижчий у порівнянні з дітьми, які отримували традиційну схему лікування та профілактики.</w:t>
      </w:r>
    </w:p>
    <w:p w:rsidR="00534FB5" w:rsidRPr="00E40BFA" w:rsidRDefault="00534FB5" w:rsidP="00534FB5">
      <w:pPr>
        <w:ind w:firstLine="567"/>
        <w:contextualSpacing/>
      </w:pPr>
      <w:r w:rsidRPr="00E40BFA">
        <w:t xml:space="preserve">Редукція приросту карієсу зубів у </w:t>
      </w:r>
      <w:r>
        <w:t>ДВГ</w:t>
      </w:r>
      <w:r w:rsidRPr="00E40BFA">
        <w:t>, які отримували запропоновану схему лікування та профілактики с</w:t>
      </w:r>
      <w:r>
        <w:t xml:space="preserve">тановить </w:t>
      </w:r>
      <w:r w:rsidRPr="00E40BFA">
        <w:t>91</w:t>
      </w:r>
      <w:r>
        <w:t> </w:t>
      </w:r>
      <w:r w:rsidRPr="00E40BFA">
        <w:t>%</w:t>
      </w:r>
      <w:r>
        <w:t xml:space="preserve"> </w:t>
      </w:r>
      <w:r w:rsidRPr="00E40BFA">
        <w:t>(7-8 років), 77</w:t>
      </w:r>
      <w:r>
        <w:t> </w:t>
      </w:r>
      <w:r w:rsidRPr="00E40BFA">
        <w:t>% (11-12 років) та 79</w:t>
      </w:r>
      <w:r>
        <w:t> </w:t>
      </w:r>
      <w:r w:rsidRPr="00E40BFA">
        <w:t>% (14-15 років).</w:t>
      </w:r>
    </w:p>
    <w:p w:rsidR="00534FB5" w:rsidRPr="00B21183" w:rsidRDefault="00534FB5" w:rsidP="00B21183">
      <w:pPr>
        <w:ind w:firstLine="567"/>
        <w:contextualSpacing/>
        <w:rPr>
          <w:bCs/>
        </w:rPr>
      </w:pPr>
      <w:r w:rsidRPr="00E40BFA">
        <w:rPr>
          <w:bCs/>
        </w:rPr>
        <w:t>Карієспрофілактична ефективність запропонованого лікувально-профі</w:t>
      </w:r>
      <w:r>
        <w:rPr>
          <w:bCs/>
        </w:rPr>
        <w:t xml:space="preserve">лактичного комплексу в </w:t>
      </w:r>
      <w:r w:rsidR="00EA2B23">
        <w:rPr>
          <w:bCs/>
        </w:rPr>
        <w:t xml:space="preserve">ДВГ </w:t>
      </w:r>
      <w:r>
        <w:rPr>
          <w:bCs/>
        </w:rPr>
        <w:t>сягнула</w:t>
      </w:r>
      <w:r w:rsidRPr="00E40BFA">
        <w:rPr>
          <w:bCs/>
        </w:rPr>
        <w:t xml:space="preserve"> 21</w:t>
      </w:r>
      <w:r>
        <w:rPr>
          <w:bCs/>
        </w:rPr>
        <w:t> </w:t>
      </w:r>
      <w:r w:rsidRPr="00E40BFA">
        <w:rPr>
          <w:bCs/>
        </w:rPr>
        <w:t>% в першій віковій групі, 20</w:t>
      </w:r>
      <w:r>
        <w:rPr>
          <w:bCs/>
        </w:rPr>
        <w:t> </w:t>
      </w:r>
      <w:r w:rsidRPr="00E40BFA">
        <w:rPr>
          <w:bCs/>
        </w:rPr>
        <w:t xml:space="preserve">% </w:t>
      </w:r>
      <w:r>
        <w:rPr>
          <w:bCs/>
        </w:rPr>
        <w:t>– у</w:t>
      </w:r>
      <w:r w:rsidRPr="00E40BFA">
        <w:rPr>
          <w:bCs/>
        </w:rPr>
        <w:t xml:space="preserve"> другій віковій групі та 25</w:t>
      </w:r>
      <w:r>
        <w:rPr>
          <w:bCs/>
        </w:rPr>
        <w:t> </w:t>
      </w:r>
      <w:r w:rsidRPr="00E40BFA">
        <w:rPr>
          <w:bCs/>
        </w:rPr>
        <w:t xml:space="preserve">% </w:t>
      </w:r>
      <w:r>
        <w:rPr>
          <w:bCs/>
        </w:rPr>
        <w:t xml:space="preserve">– </w:t>
      </w:r>
      <w:r w:rsidRPr="00E40BFA">
        <w:rPr>
          <w:bCs/>
        </w:rPr>
        <w:t>в третій віковій групі.</w:t>
      </w:r>
    </w:p>
    <w:p w:rsidR="00534FB5" w:rsidRDefault="00534FB5" w:rsidP="00534FB5">
      <w:pPr>
        <w:ind w:firstLine="567"/>
        <w:contextualSpacing/>
        <w:rPr>
          <w:b/>
        </w:rPr>
      </w:pPr>
      <w:r w:rsidRPr="00B67973">
        <w:rPr>
          <w:b/>
        </w:rPr>
        <w:lastRenderedPageBreak/>
        <w:t>4.3. Динам</w:t>
      </w:r>
      <w:r>
        <w:rPr>
          <w:b/>
        </w:rPr>
        <w:t xml:space="preserve">іка зміни стану тканин пародонта у дітей </w:t>
      </w:r>
      <w:r w:rsidR="006C493E">
        <w:rPr>
          <w:b/>
        </w:rPr>
        <w:t>із вродженою</w:t>
      </w:r>
      <w:r w:rsidRPr="00B67973">
        <w:rPr>
          <w:b/>
        </w:rPr>
        <w:t xml:space="preserve"> глухотою</w:t>
      </w:r>
      <w:r>
        <w:rPr>
          <w:b/>
        </w:rPr>
        <w:t xml:space="preserve"> </w:t>
      </w:r>
      <w:r w:rsidRPr="00B67973">
        <w:rPr>
          <w:b/>
        </w:rPr>
        <w:t>під дією лікувально-профілактичних заходів</w:t>
      </w:r>
    </w:p>
    <w:p w:rsidR="00534FB5" w:rsidRDefault="00534FB5" w:rsidP="00534FB5">
      <w:pPr>
        <w:ind w:firstLine="567"/>
        <w:contextualSpacing/>
        <w:rPr>
          <w:b/>
        </w:rPr>
      </w:pPr>
    </w:p>
    <w:p w:rsidR="00534FB5" w:rsidRPr="00F014EC" w:rsidRDefault="00534FB5" w:rsidP="00534FB5">
      <w:pPr>
        <w:ind w:firstLine="709"/>
        <w:contextualSpacing/>
        <w:rPr>
          <w:spacing w:val="-10"/>
        </w:rPr>
      </w:pPr>
      <w:r>
        <w:t xml:space="preserve">Уже через місяць після початку застосування запропонованої схеми лікування та профілактики стан тканин пародонта у ДВГ всіх вікових груп </w:t>
      </w:r>
      <w:r w:rsidRPr="00F014EC">
        <w:rPr>
          <w:spacing w:val="-10"/>
        </w:rPr>
        <w:t>суттєво по</w:t>
      </w:r>
      <w:r>
        <w:rPr>
          <w:spacing w:val="-10"/>
        </w:rPr>
        <w:t>ліпш</w:t>
      </w:r>
      <w:r w:rsidRPr="00F014EC">
        <w:rPr>
          <w:spacing w:val="-10"/>
        </w:rPr>
        <w:t>ився</w:t>
      </w:r>
      <w:r>
        <w:rPr>
          <w:spacing w:val="-10"/>
        </w:rPr>
        <w:t>,</w:t>
      </w:r>
      <w:r w:rsidRPr="00F014EC">
        <w:rPr>
          <w:spacing w:val="-10"/>
        </w:rPr>
        <w:t xml:space="preserve"> не було виявлено жодного випадку середнього чи</w:t>
      </w:r>
      <w:r>
        <w:rPr>
          <w:spacing w:val="-10"/>
        </w:rPr>
        <w:t xml:space="preserve"> </w:t>
      </w:r>
      <w:r w:rsidRPr="00F014EC">
        <w:rPr>
          <w:spacing w:val="-10"/>
        </w:rPr>
        <w:t xml:space="preserve">важкого ступеня важкості гінгівіту. Через рік у дітей </w:t>
      </w:r>
      <w:r>
        <w:rPr>
          <w:spacing w:val="-10"/>
        </w:rPr>
        <w:t>ц</w:t>
      </w:r>
      <w:r w:rsidRPr="00F014EC">
        <w:rPr>
          <w:spacing w:val="-10"/>
        </w:rPr>
        <w:t xml:space="preserve">их груп клінічно майже зникли ознаки запалення тканин пародонта, що не можна констатувати </w:t>
      </w:r>
      <w:r>
        <w:rPr>
          <w:spacing w:val="-10"/>
        </w:rPr>
        <w:t>щодо</w:t>
      </w:r>
      <w:r w:rsidRPr="00F014EC">
        <w:rPr>
          <w:spacing w:val="-10"/>
        </w:rPr>
        <w:t xml:space="preserve"> груп</w:t>
      </w:r>
      <w:r>
        <w:rPr>
          <w:spacing w:val="-10"/>
        </w:rPr>
        <w:t>и</w:t>
      </w:r>
      <w:r w:rsidRPr="00F014EC">
        <w:rPr>
          <w:spacing w:val="-10"/>
        </w:rPr>
        <w:t xml:space="preserve"> дітей, </w:t>
      </w:r>
      <w:r>
        <w:rPr>
          <w:spacing w:val="-10"/>
        </w:rPr>
        <w:t>які</w:t>
      </w:r>
      <w:r w:rsidRPr="00F014EC">
        <w:rPr>
          <w:spacing w:val="-10"/>
        </w:rPr>
        <w:t xml:space="preserve"> проходил</w:t>
      </w:r>
      <w:r>
        <w:rPr>
          <w:spacing w:val="-10"/>
        </w:rPr>
        <w:t>и</w:t>
      </w:r>
      <w:r w:rsidRPr="00F014EC">
        <w:rPr>
          <w:spacing w:val="-10"/>
        </w:rPr>
        <w:t xml:space="preserve"> стандартну процедуру лікування та профілактики. Це підтверджено даними індексної оцінки стану тканин пародонта (див. табл.</w:t>
      </w:r>
      <w:r>
        <w:rPr>
          <w:spacing w:val="-10"/>
        </w:rPr>
        <w:t> </w:t>
      </w:r>
      <w:r w:rsidRPr="00F014EC">
        <w:rPr>
          <w:spacing w:val="-10"/>
        </w:rPr>
        <w:t xml:space="preserve">4.3.1., 4.3.2). </w:t>
      </w:r>
    </w:p>
    <w:p w:rsidR="00534FB5" w:rsidRPr="00EA4C61" w:rsidRDefault="00534FB5" w:rsidP="00534FB5">
      <w:pPr>
        <w:tabs>
          <w:tab w:val="left" w:pos="4253"/>
        </w:tabs>
        <w:ind w:firstLine="709"/>
        <w:contextualSpacing/>
        <w:jc w:val="right"/>
        <w:rPr>
          <w:i/>
        </w:rPr>
      </w:pPr>
      <w:r w:rsidRPr="00EA4C61">
        <w:rPr>
          <w:i/>
        </w:rPr>
        <w:t xml:space="preserve">Таблиця 4.3.1 </w:t>
      </w:r>
    </w:p>
    <w:p w:rsidR="00B673E9" w:rsidRPr="00EA4C61" w:rsidRDefault="00534FB5" w:rsidP="00B673E9">
      <w:pPr>
        <w:tabs>
          <w:tab w:val="left" w:pos="4253"/>
        </w:tabs>
        <w:spacing w:line="240" w:lineRule="auto"/>
        <w:ind w:firstLine="709"/>
        <w:contextualSpacing/>
        <w:jc w:val="center"/>
        <w:rPr>
          <w:b/>
        </w:rPr>
      </w:pPr>
      <w:r w:rsidRPr="00EA4C61">
        <w:rPr>
          <w:b/>
        </w:rPr>
        <w:t xml:space="preserve">Динаміка змін </w:t>
      </w:r>
      <w:r>
        <w:rPr>
          <w:b/>
          <w:color w:val="000000"/>
          <w:shd w:val="clear" w:color="auto" w:fill="FFFFFF"/>
        </w:rPr>
        <w:t>стану тканин пародонта</w:t>
      </w:r>
      <w:r w:rsidRPr="00EA4C61">
        <w:rPr>
          <w:b/>
          <w:color w:val="000000"/>
          <w:shd w:val="clear" w:color="auto" w:fill="FFFFFF"/>
        </w:rPr>
        <w:t xml:space="preserve"> за індексом </w:t>
      </w:r>
      <w:r w:rsidRPr="00EA4C61">
        <w:rPr>
          <w:b/>
          <w:color w:val="000000"/>
          <w:bdr w:val="none" w:sz="0" w:space="0" w:color="auto" w:frame="1"/>
        </w:rPr>
        <w:t>РМА в модифікації</w:t>
      </w:r>
      <w:r>
        <w:rPr>
          <w:b/>
          <w:color w:val="000000"/>
          <w:bdr w:val="none" w:sz="0" w:space="0" w:color="auto" w:frame="1"/>
        </w:rPr>
        <w:t xml:space="preserve"> </w:t>
      </w:r>
      <w:r w:rsidRPr="00EA4C61">
        <w:rPr>
          <w:b/>
          <w:color w:val="000000"/>
          <w:bdr w:val="none" w:sz="0" w:space="0" w:color="auto" w:frame="1"/>
        </w:rPr>
        <w:t xml:space="preserve">Парма (1960) </w:t>
      </w:r>
      <w:r w:rsidRPr="00EA4C61">
        <w:rPr>
          <w:b/>
        </w:rPr>
        <w:t>у дітей 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841"/>
        <w:gridCol w:w="2128"/>
        <w:gridCol w:w="2126"/>
        <w:gridCol w:w="2232"/>
      </w:tblGrid>
      <w:tr w:rsidR="00534FB5" w:rsidRPr="00E40BFA" w:rsidTr="00534FB5">
        <w:tc>
          <w:tcPr>
            <w:tcW w:w="649" w:type="pct"/>
            <w:vMerge w:val="restart"/>
          </w:tcPr>
          <w:p w:rsidR="00534FB5" w:rsidRPr="00E40BFA" w:rsidRDefault="00534FB5" w:rsidP="00B673E9">
            <w:pPr>
              <w:spacing w:line="240" w:lineRule="auto"/>
              <w:contextualSpacing/>
              <w:jc w:val="center"/>
            </w:pPr>
            <w:r w:rsidRPr="00E40BFA">
              <w:t>Г</w:t>
            </w:r>
            <w:r>
              <w:t xml:space="preserve">рупи </w:t>
            </w:r>
          </w:p>
        </w:tc>
        <w:tc>
          <w:tcPr>
            <w:tcW w:w="4351" w:type="pct"/>
            <w:gridSpan w:val="4"/>
          </w:tcPr>
          <w:p w:rsidR="00534FB5" w:rsidRPr="0058053F" w:rsidRDefault="00534FB5" w:rsidP="00B673E9">
            <w:pPr>
              <w:spacing w:line="240" w:lineRule="auto"/>
              <w:contextualSpacing/>
              <w:jc w:val="center"/>
              <w:rPr>
                <w:lang w:val="en-AU"/>
              </w:rPr>
            </w:pPr>
            <w:r>
              <w:rPr>
                <w:color w:val="000000"/>
                <w:shd w:val="clear" w:color="auto" w:fill="FFFFFF"/>
              </w:rPr>
              <w:t>Індекс</w:t>
            </w:r>
            <w:r w:rsidRPr="00E40BFA">
              <w:rPr>
                <w:color w:val="000000"/>
                <w:shd w:val="clear" w:color="auto" w:fill="FFFFFF"/>
              </w:rPr>
              <w:t xml:space="preserve"> </w:t>
            </w:r>
            <w:r w:rsidRPr="00E40BFA">
              <w:rPr>
                <w:color w:val="000000"/>
                <w:bdr w:val="none" w:sz="0" w:space="0" w:color="auto" w:frame="1"/>
              </w:rPr>
              <w:t>РМА</w:t>
            </w:r>
            <w:r>
              <w:t xml:space="preserve"> </w:t>
            </w:r>
            <w:r w:rsidRPr="00E40BFA">
              <w:rPr>
                <w:color w:val="000000"/>
                <w:bdr w:val="none" w:sz="0" w:space="0" w:color="auto" w:frame="1"/>
              </w:rPr>
              <w:t>(%)</w:t>
            </w:r>
            <w:r>
              <w:rPr>
                <w:color w:val="000000"/>
                <w:bdr w:val="none" w:sz="0" w:space="0" w:color="auto" w:frame="1"/>
              </w:rPr>
              <w:t>,</w:t>
            </w:r>
            <w:r>
              <w:rPr>
                <w:color w:val="000000"/>
                <w:bdr w:val="none" w:sz="0" w:space="0" w:color="auto" w:frame="1"/>
                <w:lang w:val="en-AU"/>
              </w:rPr>
              <w:t xml:space="preserve"> M±m</w:t>
            </w:r>
          </w:p>
        </w:tc>
      </w:tr>
      <w:tr w:rsidR="00534FB5" w:rsidRPr="00E40BFA" w:rsidTr="00534FB5">
        <w:trPr>
          <w:trHeight w:val="289"/>
        </w:trPr>
        <w:tc>
          <w:tcPr>
            <w:tcW w:w="649" w:type="pct"/>
            <w:vMerge/>
            <w:tcBorders>
              <w:bottom w:val="single" w:sz="4" w:space="0" w:color="auto"/>
            </w:tcBorders>
          </w:tcPr>
          <w:p w:rsidR="00534FB5" w:rsidRPr="00E40BFA" w:rsidRDefault="00534FB5" w:rsidP="00B673E9">
            <w:pPr>
              <w:spacing w:line="240" w:lineRule="auto"/>
              <w:contextualSpacing/>
              <w:jc w:val="center"/>
            </w:pPr>
          </w:p>
        </w:tc>
        <w:tc>
          <w:tcPr>
            <w:tcW w:w="962" w:type="pct"/>
            <w:tcBorders>
              <w:bottom w:val="single" w:sz="4" w:space="0" w:color="auto"/>
            </w:tcBorders>
          </w:tcPr>
          <w:p w:rsidR="00534FB5" w:rsidRPr="00E40BFA" w:rsidRDefault="00534FB5" w:rsidP="00B673E9">
            <w:pPr>
              <w:spacing w:line="240" w:lineRule="auto"/>
              <w:contextualSpacing/>
              <w:jc w:val="center"/>
            </w:pPr>
            <w:r w:rsidRPr="00E40BFA">
              <w:t>До лікування</w:t>
            </w:r>
          </w:p>
        </w:tc>
        <w:tc>
          <w:tcPr>
            <w:tcW w:w="1111" w:type="pct"/>
            <w:tcBorders>
              <w:bottom w:val="single" w:sz="4" w:space="0" w:color="auto"/>
            </w:tcBorders>
          </w:tcPr>
          <w:p w:rsidR="00534FB5" w:rsidRPr="00E40BFA" w:rsidRDefault="00534FB5" w:rsidP="00B673E9">
            <w:pPr>
              <w:spacing w:line="240" w:lineRule="auto"/>
              <w:contextualSpacing/>
              <w:jc w:val="center"/>
            </w:pPr>
            <w:r w:rsidRPr="00E40BFA">
              <w:t>Через 1 місяць</w:t>
            </w:r>
          </w:p>
        </w:tc>
        <w:tc>
          <w:tcPr>
            <w:tcW w:w="1111" w:type="pct"/>
            <w:tcBorders>
              <w:bottom w:val="single" w:sz="4" w:space="0" w:color="auto"/>
            </w:tcBorders>
          </w:tcPr>
          <w:p w:rsidR="00534FB5" w:rsidRPr="00E40BFA" w:rsidRDefault="00534FB5" w:rsidP="00B673E9">
            <w:pPr>
              <w:spacing w:line="240" w:lineRule="auto"/>
              <w:contextualSpacing/>
              <w:jc w:val="center"/>
            </w:pPr>
            <w:r w:rsidRPr="00E40BFA">
              <w:t>Через 6 місяців</w:t>
            </w:r>
          </w:p>
        </w:tc>
        <w:tc>
          <w:tcPr>
            <w:tcW w:w="1167" w:type="pct"/>
            <w:tcBorders>
              <w:bottom w:val="single" w:sz="4" w:space="0" w:color="auto"/>
            </w:tcBorders>
          </w:tcPr>
          <w:p w:rsidR="00534FB5" w:rsidRPr="00E40BFA" w:rsidRDefault="00534FB5" w:rsidP="00B673E9">
            <w:pPr>
              <w:spacing w:line="240" w:lineRule="auto"/>
              <w:contextualSpacing/>
              <w:jc w:val="center"/>
            </w:pPr>
            <w:r w:rsidRPr="00E40BFA">
              <w:t>Через 12 місяців</w:t>
            </w:r>
          </w:p>
        </w:tc>
      </w:tr>
      <w:tr w:rsidR="00534FB5" w:rsidRPr="00E40BFA" w:rsidTr="00534FB5">
        <w:tc>
          <w:tcPr>
            <w:tcW w:w="649" w:type="pct"/>
          </w:tcPr>
          <w:p w:rsidR="00534FB5" w:rsidRPr="00E40BFA" w:rsidRDefault="00534FB5" w:rsidP="00B673E9">
            <w:pPr>
              <w:spacing w:line="240" w:lineRule="auto"/>
              <w:contextualSpacing/>
            </w:pPr>
            <w:r w:rsidRPr="00E40BFA">
              <w:t>КГ1</w:t>
            </w:r>
          </w:p>
        </w:tc>
        <w:tc>
          <w:tcPr>
            <w:tcW w:w="962" w:type="pct"/>
          </w:tcPr>
          <w:p w:rsidR="00534FB5" w:rsidRPr="00E40BFA" w:rsidRDefault="00534FB5" w:rsidP="00B673E9">
            <w:pPr>
              <w:spacing w:line="240" w:lineRule="auto"/>
              <w:contextualSpacing/>
            </w:pPr>
            <w:r w:rsidRPr="00E40BFA">
              <w:t>9,80±6,53</w:t>
            </w:r>
          </w:p>
        </w:tc>
        <w:tc>
          <w:tcPr>
            <w:tcW w:w="1112" w:type="pct"/>
          </w:tcPr>
          <w:p w:rsidR="00534FB5" w:rsidRPr="00E40BFA" w:rsidRDefault="00534FB5" w:rsidP="00B673E9">
            <w:pPr>
              <w:spacing w:line="240" w:lineRule="auto"/>
              <w:contextualSpacing/>
              <w:jc w:val="center"/>
            </w:pPr>
            <w:r w:rsidRPr="00E40BFA">
              <w:t>-</w:t>
            </w:r>
          </w:p>
        </w:tc>
        <w:tc>
          <w:tcPr>
            <w:tcW w:w="1111" w:type="pct"/>
          </w:tcPr>
          <w:p w:rsidR="00534FB5" w:rsidRPr="00E40BFA" w:rsidRDefault="00534FB5" w:rsidP="00B673E9">
            <w:pPr>
              <w:spacing w:line="240" w:lineRule="auto"/>
              <w:contextualSpacing/>
              <w:jc w:val="center"/>
            </w:pPr>
            <w:r w:rsidRPr="00E40BFA">
              <w:t>-</w:t>
            </w:r>
          </w:p>
        </w:tc>
        <w:tc>
          <w:tcPr>
            <w:tcW w:w="1167" w:type="pct"/>
          </w:tcPr>
          <w:p w:rsidR="00534FB5" w:rsidRPr="00E40BFA" w:rsidRDefault="00534FB5" w:rsidP="00B673E9">
            <w:pPr>
              <w:spacing w:line="240" w:lineRule="auto"/>
              <w:contextualSpacing/>
              <w:jc w:val="center"/>
            </w:pPr>
            <w:r w:rsidRPr="00E40BFA">
              <w:t>-</w:t>
            </w:r>
          </w:p>
        </w:tc>
      </w:tr>
      <w:tr w:rsidR="00534FB5" w:rsidRPr="00E40BFA" w:rsidTr="00534FB5">
        <w:tc>
          <w:tcPr>
            <w:tcW w:w="649" w:type="pct"/>
          </w:tcPr>
          <w:p w:rsidR="00534FB5" w:rsidRPr="00E40BFA" w:rsidRDefault="00534FB5" w:rsidP="00B673E9">
            <w:pPr>
              <w:spacing w:line="240" w:lineRule="auto"/>
              <w:contextualSpacing/>
            </w:pPr>
            <w:r w:rsidRPr="00E40BFA">
              <w:t>ОГ1а</w:t>
            </w:r>
          </w:p>
        </w:tc>
        <w:tc>
          <w:tcPr>
            <w:tcW w:w="962" w:type="pct"/>
          </w:tcPr>
          <w:p w:rsidR="00534FB5" w:rsidRPr="00E40BFA" w:rsidRDefault="00534FB5" w:rsidP="00B673E9">
            <w:pPr>
              <w:spacing w:line="240" w:lineRule="auto"/>
              <w:contextualSpacing/>
            </w:pPr>
            <w:r w:rsidRPr="00E40BFA">
              <w:t>33,55±11,76</w:t>
            </w:r>
          </w:p>
          <w:p w:rsidR="00534FB5" w:rsidRPr="00E40BFA" w:rsidRDefault="00534FB5" w:rsidP="00B673E9">
            <w:pPr>
              <w:spacing w:line="240" w:lineRule="auto"/>
              <w:contextualSpacing/>
            </w:pPr>
            <w:r w:rsidRPr="00E40BFA">
              <w:t>Р</w:t>
            </w:r>
            <w:r w:rsidRPr="00E40BFA">
              <w:rPr>
                <w:vertAlign w:val="subscript"/>
              </w:rPr>
              <w:t>2</w:t>
            </w:r>
            <w:r w:rsidRPr="00E40BFA">
              <w:t>&lt;0,05</w:t>
            </w:r>
          </w:p>
        </w:tc>
        <w:tc>
          <w:tcPr>
            <w:tcW w:w="1112" w:type="pct"/>
          </w:tcPr>
          <w:p w:rsidR="00534FB5" w:rsidRPr="00E40BFA" w:rsidRDefault="00534FB5" w:rsidP="00B673E9">
            <w:pPr>
              <w:spacing w:line="240" w:lineRule="auto"/>
              <w:contextualSpacing/>
            </w:pPr>
            <w:r w:rsidRPr="00E40BFA">
              <w:t>16</w:t>
            </w:r>
            <w:r w:rsidR="00B673E9">
              <w:t>,82±2</w:t>
            </w:r>
            <w:r w:rsidRPr="00E40BFA">
              <w:t>,73</w:t>
            </w:r>
          </w:p>
          <w:p w:rsidR="00534FB5" w:rsidRPr="00E40BFA" w:rsidRDefault="00534FB5" w:rsidP="00B673E9">
            <w:pPr>
              <w:spacing w:line="240" w:lineRule="auto"/>
              <w:contextualSpacing/>
            </w:pPr>
            <w:r w:rsidRPr="00E40BFA">
              <w:t>Р</w:t>
            </w:r>
            <w:r w:rsidRPr="00E40BFA">
              <w:rPr>
                <w:vertAlign w:val="subscript"/>
              </w:rPr>
              <w:t>2</w:t>
            </w:r>
            <w:r w:rsidR="008B27F6" w:rsidRPr="00E40BFA">
              <w:t>&gt;</w:t>
            </w:r>
            <w:r w:rsidRPr="00E40BFA">
              <w:t>0,05</w:t>
            </w:r>
          </w:p>
        </w:tc>
        <w:tc>
          <w:tcPr>
            <w:tcW w:w="1111" w:type="pct"/>
          </w:tcPr>
          <w:p w:rsidR="00534FB5" w:rsidRPr="00E40BFA" w:rsidRDefault="00B673E9" w:rsidP="00B673E9">
            <w:pPr>
              <w:spacing w:line="240" w:lineRule="auto"/>
              <w:contextualSpacing/>
            </w:pPr>
            <w:r>
              <w:t>17,90±2</w:t>
            </w:r>
            <w:r w:rsidR="00534FB5" w:rsidRPr="00E40BFA">
              <w:t>,86</w:t>
            </w:r>
          </w:p>
          <w:p w:rsidR="00534FB5" w:rsidRPr="00E40BFA" w:rsidRDefault="00534FB5" w:rsidP="00B673E9">
            <w:pPr>
              <w:spacing w:line="240" w:lineRule="auto"/>
              <w:contextualSpacing/>
            </w:pPr>
            <w:r w:rsidRPr="00E40BFA">
              <w:t>Р</w:t>
            </w:r>
            <w:r w:rsidRPr="00E40BFA">
              <w:rPr>
                <w:vertAlign w:val="subscript"/>
              </w:rPr>
              <w:t>2</w:t>
            </w:r>
            <w:r w:rsidR="008B27F6" w:rsidRPr="00E40BFA">
              <w:t>&gt;</w:t>
            </w:r>
            <w:r w:rsidRPr="00E40BFA">
              <w:t>0,05</w:t>
            </w:r>
          </w:p>
        </w:tc>
        <w:tc>
          <w:tcPr>
            <w:tcW w:w="1167" w:type="pct"/>
          </w:tcPr>
          <w:p w:rsidR="00534FB5" w:rsidRPr="00E40BFA" w:rsidRDefault="00B673E9" w:rsidP="00B673E9">
            <w:pPr>
              <w:spacing w:line="240" w:lineRule="auto"/>
              <w:contextualSpacing/>
            </w:pPr>
            <w:r>
              <w:t>9,90±2</w:t>
            </w:r>
            <w:r w:rsidR="00534FB5" w:rsidRPr="00E40BFA">
              <w:t>,01</w:t>
            </w:r>
          </w:p>
          <w:p w:rsidR="00534FB5" w:rsidRPr="00E40BFA" w:rsidRDefault="00534FB5" w:rsidP="00B673E9">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B673E9">
            <w:pPr>
              <w:spacing w:line="240" w:lineRule="auto"/>
              <w:contextualSpacing/>
            </w:pPr>
            <w:r w:rsidRPr="00E40BFA">
              <w:t>ОГ1б</w:t>
            </w:r>
          </w:p>
        </w:tc>
        <w:tc>
          <w:tcPr>
            <w:tcW w:w="962" w:type="pct"/>
          </w:tcPr>
          <w:p w:rsidR="00534FB5" w:rsidRPr="00E40BFA" w:rsidRDefault="00534FB5" w:rsidP="00B673E9">
            <w:pPr>
              <w:spacing w:line="240" w:lineRule="auto"/>
              <w:contextualSpacing/>
            </w:pPr>
            <w:r w:rsidRPr="00E40BFA">
              <w:t>33,17±10,30</w:t>
            </w:r>
          </w:p>
          <w:p w:rsidR="00534FB5" w:rsidRPr="00E40BFA" w:rsidRDefault="00534FB5" w:rsidP="00B673E9">
            <w:pPr>
              <w:spacing w:line="240" w:lineRule="auto"/>
              <w:contextualSpacing/>
            </w:pPr>
            <w:r w:rsidRPr="00E40BFA">
              <w:t>Р</w:t>
            </w:r>
            <w:r w:rsidRPr="00E40BFA">
              <w:rPr>
                <w:vertAlign w:val="subscript"/>
              </w:rPr>
              <w:t>1</w:t>
            </w:r>
            <w:r w:rsidRPr="00E40BFA">
              <w:t>&lt;0,05</w:t>
            </w:r>
          </w:p>
          <w:p w:rsidR="00534FB5" w:rsidRPr="00E40BFA" w:rsidRDefault="00534FB5" w:rsidP="00B673E9">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B673E9" w:rsidP="00B673E9">
            <w:pPr>
              <w:spacing w:line="240" w:lineRule="auto"/>
              <w:contextualSpacing/>
            </w:pPr>
            <w:r>
              <w:t>9,75±2</w:t>
            </w:r>
            <w:r w:rsidR="00534FB5" w:rsidRPr="00E40BFA">
              <w:t>,00</w:t>
            </w:r>
          </w:p>
          <w:p w:rsidR="00534FB5" w:rsidRPr="00E40BFA" w:rsidRDefault="00534FB5" w:rsidP="00B673E9">
            <w:pPr>
              <w:spacing w:line="240" w:lineRule="auto"/>
              <w:contextualSpacing/>
            </w:pPr>
            <w:r w:rsidRPr="00E40BFA">
              <w:t>Р</w:t>
            </w:r>
            <w:r w:rsidRPr="00E40BFA">
              <w:rPr>
                <w:vertAlign w:val="subscript"/>
              </w:rPr>
              <w:t>1</w:t>
            </w:r>
            <w:r w:rsidRPr="00E40BFA">
              <w:t>&gt;0,05</w:t>
            </w:r>
          </w:p>
          <w:p w:rsidR="00534FB5" w:rsidRPr="00E40BFA" w:rsidRDefault="00534FB5" w:rsidP="00B673E9">
            <w:pPr>
              <w:spacing w:line="240" w:lineRule="auto"/>
              <w:contextualSpacing/>
            </w:pPr>
            <w:r w:rsidRPr="00E40BFA">
              <w:t>Р</w:t>
            </w:r>
            <w:r w:rsidRPr="00E40BFA">
              <w:rPr>
                <w:vertAlign w:val="subscript"/>
              </w:rPr>
              <w:t>3</w:t>
            </w:r>
            <w:r w:rsidRPr="00E40BFA">
              <w:t>&lt;0,05</w:t>
            </w:r>
          </w:p>
        </w:tc>
        <w:tc>
          <w:tcPr>
            <w:tcW w:w="1111" w:type="pct"/>
          </w:tcPr>
          <w:p w:rsidR="00534FB5" w:rsidRPr="00E40BFA" w:rsidRDefault="00B673E9" w:rsidP="00B673E9">
            <w:pPr>
              <w:spacing w:line="240" w:lineRule="auto"/>
              <w:contextualSpacing/>
            </w:pPr>
            <w:r>
              <w:t>12,25±2</w:t>
            </w:r>
            <w:r w:rsidR="00534FB5" w:rsidRPr="00E40BFA">
              <w:t>,16</w:t>
            </w:r>
          </w:p>
          <w:p w:rsidR="00534FB5" w:rsidRPr="00E40BFA" w:rsidRDefault="00534FB5" w:rsidP="00B673E9">
            <w:pPr>
              <w:spacing w:line="240" w:lineRule="auto"/>
              <w:contextualSpacing/>
            </w:pPr>
            <w:r w:rsidRPr="00E40BFA">
              <w:t>Р</w:t>
            </w:r>
            <w:r w:rsidRPr="00E40BFA">
              <w:rPr>
                <w:vertAlign w:val="subscript"/>
              </w:rPr>
              <w:t>1</w:t>
            </w:r>
            <w:r w:rsidRPr="00E40BFA">
              <w:t>&gt;0,05</w:t>
            </w:r>
          </w:p>
          <w:p w:rsidR="00534FB5" w:rsidRPr="00E40BFA" w:rsidRDefault="00534FB5" w:rsidP="00B673E9">
            <w:pPr>
              <w:spacing w:line="240" w:lineRule="auto"/>
              <w:contextualSpacing/>
            </w:pPr>
            <w:r w:rsidRPr="00E40BFA">
              <w:t>Р</w:t>
            </w:r>
            <w:r w:rsidRPr="00E40BFA">
              <w:rPr>
                <w:vertAlign w:val="subscript"/>
              </w:rPr>
              <w:t>3</w:t>
            </w:r>
            <w:r w:rsidRPr="00E40BFA">
              <w:t>&lt;0,05</w:t>
            </w:r>
          </w:p>
        </w:tc>
        <w:tc>
          <w:tcPr>
            <w:tcW w:w="1167" w:type="pct"/>
          </w:tcPr>
          <w:p w:rsidR="00534FB5" w:rsidRPr="00E40BFA" w:rsidRDefault="00B673E9" w:rsidP="00B673E9">
            <w:pPr>
              <w:spacing w:line="240" w:lineRule="auto"/>
              <w:contextualSpacing/>
            </w:pPr>
            <w:r>
              <w:t>3,75±1</w:t>
            </w:r>
            <w:r w:rsidR="00534FB5" w:rsidRPr="00E40BFA">
              <w:t>,96</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&lt;0,05</w:t>
            </w:r>
          </w:p>
        </w:tc>
      </w:tr>
      <w:tr w:rsidR="00534FB5" w:rsidRPr="00E40BFA" w:rsidTr="00534FB5">
        <w:tc>
          <w:tcPr>
            <w:tcW w:w="649" w:type="pct"/>
          </w:tcPr>
          <w:p w:rsidR="00534FB5" w:rsidRPr="00E40BFA" w:rsidRDefault="00534FB5" w:rsidP="00B673E9">
            <w:pPr>
              <w:spacing w:line="240" w:lineRule="auto"/>
              <w:contextualSpacing/>
            </w:pPr>
            <w:r w:rsidRPr="00E40BFA">
              <w:t>КГ2</w:t>
            </w:r>
          </w:p>
        </w:tc>
        <w:tc>
          <w:tcPr>
            <w:tcW w:w="962" w:type="pct"/>
          </w:tcPr>
          <w:p w:rsidR="00534FB5" w:rsidRPr="00E40BFA" w:rsidRDefault="00534FB5" w:rsidP="00B673E9">
            <w:pPr>
              <w:spacing w:line="240" w:lineRule="auto"/>
              <w:contextualSpacing/>
            </w:pPr>
            <w:r w:rsidRPr="00E40BFA">
              <w:t>11,70±6,28</w:t>
            </w:r>
          </w:p>
        </w:tc>
        <w:tc>
          <w:tcPr>
            <w:tcW w:w="1112" w:type="pct"/>
          </w:tcPr>
          <w:p w:rsidR="00534FB5" w:rsidRPr="00E40BFA" w:rsidRDefault="00534FB5" w:rsidP="00B673E9">
            <w:pPr>
              <w:spacing w:line="240" w:lineRule="auto"/>
              <w:contextualSpacing/>
              <w:jc w:val="center"/>
            </w:pPr>
            <w:r w:rsidRPr="00E40BFA">
              <w:t>-</w:t>
            </w:r>
          </w:p>
        </w:tc>
        <w:tc>
          <w:tcPr>
            <w:tcW w:w="1111" w:type="pct"/>
          </w:tcPr>
          <w:p w:rsidR="00534FB5" w:rsidRPr="00E40BFA" w:rsidRDefault="00534FB5" w:rsidP="00B673E9">
            <w:pPr>
              <w:spacing w:line="240" w:lineRule="auto"/>
              <w:contextualSpacing/>
              <w:jc w:val="center"/>
            </w:pPr>
            <w:r w:rsidRPr="00E40BFA">
              <w:t>-</w:t>
            </w:r>
          </w:p>
        </w:tc>
        <w:tc>
          <w:tcPr>
            <w:tcW w:w="1167" w:type="pct"/>
          </w:tcPr>
          <w:p w:rsidR="00534FB5" w:rsidRPr="00E40BFA" w:rsidRDefault="00534FB5" w:rsidP="00B673E9">
            <w:pPr>
              <w:spacing w:line="240" w:lineRule="auto"/>
              <w:contextualSpacing/>
              <w:jc w:val="center"/>
            </w:pPr>
            <w:r w:rsidRPr="00E40BFA">
              <w:t>-</w:t>
            </w:r>
          </w:p>
        </w:tc>
      </w:tr>
      <w:tr w:rsidR="00534FB5" w:rsidRPr="00E40BFA" w:rsidTr="00534FB5">
        <w:tc>
          <w:tcPr>
            <w:tcW w:w="649" w:type="pct"/>
          </w:tcPr>
          <w:p w:rsidR="00534FB5" w:rsidRPr="00E40BFA" w:rsidRDefault="00534FB5" w:rsidP="00B673E9">
            <w:pPr>
              <w:spacing w:line="240" w:lineRule="auto"/>
              <w:contextualSpacing/>
            </w:pPr>
            <w:r w:rsidRPr="00E40BFA">
              <w:t>ОГ2а</w:t>
            </w:r>
          </w:p>
        </w:tc>
        <w:tc>
          <w:tcPr>
            <w:tcW w:w="962" w:type="pct"/>
          </w:tcPr>
          <w:p w:rsidR="00534FB5" w:rsidRPr="00E40BFA" w:rsidRDefault="00534FB5" w:rsidP="00B673E9">
            <w:pPr>
              <w:spacing w:line="240" w:lineRule="auto"/>
              <w:contextualSpacing/>
            </w:pPr>
            <w:r w:rsidRPr="00E40BFA">
              <w:t>24,50±11,01</w:t>
            </w:r>
          </w:p>
          <w:p w:rsidR="00534FB5" w:rsidRPr="00E40BFA" w:rsidRDefault="00534FB5" w:rsidP="00B673E9">
            <w:pPr>
              <w:spacing w:line="240" w:lineRule="auto"/>
              <w:contextualSpacing/>
            </w:pPr>
            <w:r w:rsidRPr="00E40BFA">
              <w:t>Р</w:t>
            </w:r>
            <w:r w:rsidRPr="00E40BFA">
              <w:rPr>
                <w:vertAlign w:val="subscript"/>
              </w:rPr>
              <w:t>2</w:t>
            </w:r>
            <w:r w:rsidR="008B27F6" w:rsidRPr="00E40BFA">
              <w:t>&gt;</w:t>
            </w:r>
            <w:r w:rsidRPr="00E40BFA">
              <w:t>0,05</w:t>
            </w:r>
          </w:p>
        </w:tc>
        <w:tc>
          <w:tcPr>
            <w:tcW w:w="1112" w:type="pct"/>
          </w:tcPr>
          <w:p w:rsidR="00534FB5" w:rsidRPr="00E40BFA" w:rsidRDefault="00B673E9" w:rsidP="00B673E9">
            <w:pPr>
              <w:spacing w:line="240" w:lineRule="auto"/>
              <w:contextualSpacing/>
            </w:pPr>
            <w:r>
              <w:t>10,90±1</w:t>
            </w:r>
            <w:r w:rsidR="00534FB5" w:rsidRPr="00E40BFA">
              <w:t>,72</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11" w:type="pct"/>
          </w:tcPr>
          <w:p w:rsidR="00534FB5" w:rsidRPr="00E40BFA" w:rsidRDefault="00534FB5" w:rsidP="00B673E9">
            <w:pPr>
              <w:spacing w:line="240" w:lineRule="auto"/>
              <w:contextualSpacing/>
            </w:pPr>
            <w:r w:rsidRPr="00E40BFA">
              <w:t>15,70±6,76</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67" w:type="pct"/>
          </w:tcPr>
          <w:p w:rsidR="00534FB5" w:rsidRPr="00E40BFA" w:rsidRDefault="00534FB5" w:rsidP="00B673E9">
            <w:pPr>
              <w:spacing w:line="240" w:lineRule="auto"/>
              <w:contextualSpacing/>
            </w:pPr>
            <w:r w:rsidRPr="00E40BFA">
              <w:t>9,10±4,00</w:t>
            </w:r>
          </w:p>
          <w:p w:rsidR="00534FB5" w:rsidRPr="00E40BFA" w:rsidRDefault="00534FB5" w:rsidP="00B673E9">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B673E9">
            <w:pPr>
              <w:spacing w:line="240" w:lineRule="auto"/>
              <w:contextualSpacing/>
            </w:pPr>
            <w:r w:rsidRPr="00E40BFA">
              <w:t>ОГ2б</w:t>
            </w:r>
          </w:p>
        </w:tc>
        <w:tc>
          <w:tcPr>
            <w:tcW w:w="962" w:type="pct"/>
          </w:tcPr>
          <w:p w:rsidR="00534FB5" w:rsidRPr="00E40BFA" w:rsidRDefault="00534FB5" w:rsidP="00B673E9">
            <w:pPr>
              <w:spacing w:line="240" w:lineRule="auto"/>
              <w:contextualSpacing/>
            </w:pPr>
            <w:r w:rsidRPr="00E40BFA">
              <w:t>24,91±9,64</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B673E9" w:rsidP="00B673E9">
            <w:pPr>
              <w:spacing w:line="240" w:lineRule="auto"/>
              <w:contextualSpacing/>
            </w:pPr>
            <w:r>
              <w:t>6,27±1</w:t>
            </w:r>
            <w:r w:rsidR="00534FB5" w:rsidRPr="00E40BFA">
              <w:t>,28</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&lt;0,05</w:t>
            </w:r>
          </w:p>
        </w:tc>
        <w:tc>
          <w:tcPr>
            <w:tcW w:w="1111" w:type="pct"/>
          </w:tcPr>
          <w:p w:rsidR="00534FB5" w:rsidRPr="00E40BFA" w:rsidRDefault="00534FB5" w:rsidP="00B673E9">
            <w:pPr>
              <w:spacing w:line="240" w:lineRule="auto"/>
              <w:contextualSpacing/>
            </w:pPr>
            <w:r w:rsidRPr="00E40BFA">
              <w:t>12,27±5,51</w:t>
            </w:r>
          </w:p>
          <w:p w:rsidR="00534FB5" w:rsidRPr="00E40BFA" w:rsidRDefault="00534FB5" w:rsidP="00B673E9">
            <w:pPr>
              <w:spacing w:line="240" w:lineRule="auto"/>
              <w:contextualSpacing/>
            </w:pPr>
            <w:r w:rsidRPr="00E40BFA">
              <w:t>Р</w:t>
            </w:r>
            <w:r w:rsidRPr="00E40BFA">
              <w:rPr>
                <w:vertAlign w:val="subscript"/>
              </w:rPr>
              <w:t>1</w:t>
            </w:r>
            <w:r w:rsidRPr="00E40BFA">
              <w:t>&gt;0,05</w:t>
            </w:r>
          </w:p>
          <w:p w:rsidR="00534FB5" w:rsidRPr="00E40BFA" w:rsidRDefault="00534FB5" w:rsidP="00B673E9">
            <w:pPr>
              <w:spacing w:line="240" w:lineRule="auto"/>
              <w:contextualSpacing/>
            </w:pPr>
            <w:r w:rsidRPr="00E40BFA">
              <w:t>Р</w:t>
            </w:r>
            <w:r w:rsidRPr="00E40BFA">
              <w:rPr>
                <w:vertAlign w:val="subscript"/>
              </w:rPr>
              <w:t>3</w:t>
            </w:r>
            <w:r w:rsidRPr="00E40BFA">
              <w:t>&gt;0,05</w:t>
            </w:r>
          </w:p>
        </w:tc>
        <w:tc>
          <w:tcPr>
            <w:tcW w:w="1167" w:type="pct"/>
          </w:tcPr>
          <w:p w:rsidR="00534FB5" w:rsidRPr="00E40BFA" w:rsidRDefault="00534FB5" w:rsidP="00B673E9">
            <w:pPr>
              <w:spacing w:line="240" w:lineRule="auto"/>
              <w:contextualSpacing/>
            </w:pPr>
            <w:r w:rsidRPr="00E40BFA">
              <w:t>3,09±2,07</w:t>
            </w:r>
          </w:p>
          <w:p w:rsidR="00534FB5" w:rsidRPr="00E40BFA" w:rsidRDefault="00534FB5" w:rsidP="00B673E9">
            <w:pPr>
              <w:spacing w:line="240" w:lineRule="auto"/>
              <w:contextualSpacing/>
            </w:pPr>
            <w:r w:rsidRPr="00E40BFA">
              <w:t>Р</w:t>
            </w:r>
            <w:r w:rsidRPr="00E40BFA">
              <w:rPr>
                <w:vertAlign w:val="subscript"/>
              </w:rPr>
              <w:t>1</w:t>
            </w:r>
            <w:r w:rsidR="008B27F6" w:rsidRPr="00E40BFA">
              <w:t>&lt;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&gt;0,05</w:t>
            </w:r>
          </w:p>
        </w:tc>
      </w:tr>
      <w:tr w:rsidR="00534FB5" w:rsidRPr="00E40BFA" w:rsidTr="00534FB5">
        <w:tc>
          <w:tcPr>
            <w:tcW w:w="649" w:type="pct"/>
          </w:tcPr>
          <w:p w:rsidR="00534FB5" w:rsidRPr="00E40BFA" w:rsidRDefault="00534FB5" w:rsidP="00B673E9">
            <w:pPr>
              <w:spacing w:line="240" w:lineRule="auto"/>
              <w:contextualSpacing/>
            </w:pPr>
            <w:r w:rsidRPr="00E40BFA">
              <w:t>КГ3</w:t>
            </w:r>
          </w:p>
        </w:tc>
        <w:tc>
          <w:tcPr>
            <w:tcW w:w="962" w:type="pct"/>
          </w:tcPr>
          <w:p w:rsidR="00534FB5" w:rsidRPr="00E40BFA" w:rsidRDefault="00534FB5" w:rsidP="00B673E9">
            <w:pPr>
              <w:spacing w:line="240" w:lineRule="auto"/>
              <w:contextualSpacing/>
            </w:pPr>
            <w:r w:rsidRPr="00E40BFA">
              <w:t>7,67±4,29</w:t>
            </w:r>
          </w:p>
        </w:tc>
        <w:tc>
          <w:tcPr>
            <w:tcW w:w="1112" w:type="pct"/>
          </w:tcPr>
          <w:p w:rsidR="00534FB5" w:rsidRPr="00E40BFA" w:rsidRDefault="00534FB5" w:rsidP="00B673E9">
            <w:pPr>
              <w:spacing w:line="240" w:lineRule="auto"/>
              <w:contextualSpacing/>
              <w:jc w:val="center"/>
            </w:pPr>
            <w:r w:rsidRPr="00E40BFA">
              <w:t>-</w:t>
            </w:r>
          </w:p>
        </w:tc>
        <w:tc>
          <w:tcPr>
            <w:tcW w:w="1111" w:type="pct"/>
          </w:tcPr>
          <w:p w:rsidR="00534FB5" w:rsidRPr="00E40BFA" w:rsidRDefault="00534FB5" w:rsidP="00B673E9">
            <w:pPr>
              <w:spacing w:line="240" w:lineRule="auto"/>
              <w:contextualSpacing/>
              <w:jc w:val="center"/>
            </w:pPr>
            <w:r w:rsidRPr="00E40BFA">
              <w:t>-</w:t>
            </w:r>
          </w:p>
        </w:tc>
        <w:tc>
          <w:tcPr>
            <w:tcW w:w="1167" w:type="pct"/>
          </w:tcPr>
          <w:p w:rsidR="00534FB5" w:rsidRPr="00E40BFA" w:rsidRDefault="00534FB5" w:rsidP="00B673E9">
            <w:pPr>
              <w:spacing w:line="240" w:lineRule="auto"/>
              <w:contextualSpacing/>
              <w:jc w:val="center"/>
            </w:pPr>
            <w:r w:rsidRPr="00E40BFA">
              <w:t>-</w:t>
            </w:r>
          </w:p>
        </w:tc>
      </w:tr>
      <w:tr w:rsidR="00534FB5" w:rsidRPr="00E40BFA" w:rsidTr="00534FB5">
        <w:tc>
          <w:tcPr>
            <w:tcW w:w="649" w:type="pct"/>
          </w:tcPr>
          <w:p w:rsidR="00534FB5" w:rsidRPr="00E40BFA" w:rsidRDefault="00534FB5" w:rsidP="00B673E9">
            <w:pPr>
              <w:spacing w:line="240" w:lineRule="auto"/>
              <w:contextualSpacing/>
            </w:pPr>
            <w:r w:rsidRPr="00E40BFA">
              <w:t>ОГ3а</w:t>
            </w:r>
          </w:p>
        </w:tc>
        <w:tc>
          <w:tcPr>
            <w:tcW w:w="962" w:type="pct"/>
          </w:tcPr>
          <w:p w:rsidR="00534FB5" w:rsidRPr="00E40BFA" w:rsidRDefault="00534FB5" w:rsidP="00B673E9">
            <w:pPr>
              <w:spacing w:line="240" w:lineRule="auto"/>
              <w:contextualSpacing/>
            </w:pPr>
            <w:r w:rsidRPr="00E40BFA">
              <w:t>14,85±5,85</w:t>
            </w:r>
          </w:p>
          <w:p w:rsidR="00534FB5" w:rsidRPr="00E40BFA" w:rsidRDefault="00534FB5" w:rsidP="00B673E9">
            <w:pPr>
              <w:spacing w:line="240" w:lineRule="auto"/>
              <w:contextualSpacing/>
            </w:pPr>
            <w:r w:rsidRPr="00E40BFA">
              <w:t>Р</w:t>
            </w:r>
            <w:r w:rsidRPr="00E40BFA">
              <w:rPr>
                <w:vertAlign w:val="subscript"/>
              </w:rPr>
              <w:t>2</w:t>
            </w:r>
            <w:r w:rsidR="008B27F6" w:rsidRPr="00E40BFA">
              <w:t>&gt;</w:t>
            </w:r>
            <w:r w:rsidRPr="00E40BFA">
              <w:t>0,05</w:t>
            </w:r>
          </w:p>
        </w:tc>
        <w:tc>
          <w:tcPr>
            <w:tcW w:w="1112" w:type="pct"/>
          </w:tcPr>
          <w:p w:rsidR="00534FB5" w:rsidRPr="00E40BFA" w:rsidRDefault="00B673E9" w:rsidP="00B673E9">
            <w:pPr>
              <w:spacing w:line="240" w:lineRule="auto"/>
              <w:contextualSpacing/>
            </w:pPr>
            <w:r>
              <w:t>10,46±1</w:t>
            </w:r>
            <w:r w:rsidR="00534FB5" w:rsidRPr="00E40BFA">
              <w:t>,05</w:t>
            </w:r>
          </w:p>
          <w:p w:rsidR="00534FB5" w:rsidRPr="00E40BFA" w:rsidRDefault="00534FB5" w:rsidP="00B673E9">
            <w:pPr>
              <w:spacing w:line="240" w:lineRule="auto"/>
              <w:contextualSpacing/>
            </w:pPr>
            <w:r w:rsidRPr="00E40BFA">
              <w:t>Р</w:t>
            </w:r>
            <w:r w:rsidRPr="00E40BFA">
              <w:rPr>
                <w:vertAlign w:val="subscript"/>
              </w:rPr>
              <w:t>2</w:t>
            </w:r>
            <w:r w:rsidR="008B27F6" w:rsidRPr="00E40BFA">
              <w:t>&gt;</w:t>
            </w:r>
            <w:r w:rsidRPr="00E40BFA">
              <w:t>0,05</w:t>
            </w:r>
          </w:p>
        </w:tc>
        <w:tc>
          <w:tcPr>
            <w:tcW w:w="1111" w:type="pct"/>
          </w:tcPr>
          <w:p w:rsidR="00534FB5" w:rsidRPr="00E40BFA" w:rsidRDefault="00B673E9" w:rsidP="00B673E9">
            <w:pPr>
              <w:spacing w:line="240" w:lineRule="auto"/>
              <w:contextualSpacing/>
            </w:pPr>
            <w:r>
              <w:t>7,54±1</w:t>
            </w:r>
            <w:r w:rsidR="00534FB5" w:rsidRPr="00E40BFA">
              <w:t>,02</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67" w:type="pct"/>
          </w:tcPr>
          <w:p w:rsidR="00534FB5" w:rsidRPr="00E40BFA" w:rsidRDefault="00B673E9" w:rsidP="00B673E9">
            <w:pPr>
              <w:spacing w:line="240" w:lineRule="auto"/>
              <w:contextualSpacing/>
            </w:pPr>
            <w:r>
              <w:t>7,00±</w:t>
            </w:r>
            <w:r w:rsidR="006175CB">
              <w:t>2</w:t>
            </w:r>
            <w:r w:rsidR="00534FB5" w:rsidRPr="00E40BFA">
              <w:t>,90</w:t>
            </w:r>
          </w:p>
          <w:p w:rsidR="00534FB5" w:rsidRPr="00E40BFA" w:rsidRDefault="00534FB5" w:rsidP="00B673E9">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B673E9">
            <w:pPr>
              <w:spacing w:line="240" w:lineRule="auto"/>
              <w:contextualSpacing/>
            </w:pPr>
            <w:r w:rsidRPr="00E40BFA">
              <w:t>ОГ3б</w:t>
            </w:r>
          </w:p>
        </w:tc>
        <w:tc>
          <w:tcPr>
            <w:tcW w:w="962" w:type="pct"/>
          </w:tcPr>
          <w:p w:rsidR="00534FB5" w:rsidRPr="00E40BFA" w:rsidRDefault="00534FB5" w:rsidP="00B673E9">
            <w:pPr>
              <w:spacing w:line="240" w:lineRule="auto"/>
              <w:contextualSpacing/>
            </w:pPr>
            <w:r w:rsidRPr="00E40BFA">
              <w:t>14,69±5,78</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&gt;0,05</w:t>
            </w:r>
          </w:p>
        </w:tc>
        <w:tc>
          <w:tcPr>
            <w:tcW w:w="1112" w:type="pct"/>
          </w:tcPr>
          <w:p w:rsidR="00534FB5" w:rsidRPr="00E40BFA" w:rsidRDefault="00B673E9" w:rsidP="00B673E9">
            <w:pPr>
              <w:spacing w:line="240" w:lineRule="auto"/>
              <w:contextualSpacing/>
            </w:pPr>
            <w:r>
              <w:t>7,77±1</w:t>
            </w:r>
            <w:r w:rsidR="00534FB5" w:rsidRPr="00E40BFA">
              <w:t>,12</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008B27F6" w:rsidRPr="00E40BFA">
              <w:t>&gt;</w:t>
            </w:r>
            <w:r w:rsidRPr="00E40BFA">
              <w:t>0,05</w:t>
            </w:r>
          </w:p>
        </w:tc>
        <w:tc>
          <w:tcPr>
            <w:tcW w:w="1111" w:type="pct"/>
          </w:tcPr>
          <w:p w:rsidR="00534FB5" w:rsidRPr="00E40BFA" w:rsidRDefault="00B673E9" w:rsidP="00B673E9">
            <w:pPr>
              <w:spacing w:line="240" w:lineRule="auto"/>
              <w:contextualSpacing/>
            </w:pPr>
            <w:r>
              <w:t>3,85±1</w:t>
            </w:r>
            <w:r w:rsidR="00534FB5" w:rsidRPr="00E40BFA">
              <w:t>,19</w:t>
            </w:r>
          </w:p>
          <w:p w:rsidR="00534FB5" w:rsidRPr="00E40BFA" w:rsidRDefault="00534FB5" w:rsidP="00B673E9">
            <w:pPr>
              <w:spacing w:line="240" w:lineRule="auto"/>
              <w:contextualSpacing/>
            </w:pPr>
            <w:r w:rsidRPr="00E40BFA">
              <w:t>Р</w:t>
            </w:r>
            <w:r w:rsidRPr="00E40BFA">
              <w:rPr>
                <w:vertAlign w:val="subscript"/>
              </w:rPr>
              <w:t>1</w:t>
            </w:r>
            <w:r w:rsidR="008B27F6" w:rsidRPr="00E40BFA">
              <w:t>&gt;</w:t>
            </w:r>
            <w:r w:rsidRPr="00E40BFA">
              <w:t>0,05</w:t>
            </w:r>
          </w:p>
          <w:p w:rsidR="00534FB5" w:rsidRPr="00E40BFA" w:rsidRDefault="00534FB5" w:rsidP="00B673E9">
            <w:pPr>
              <w:spacing w:line="240" w:lineRule="auto"/>
              <w:contextualSpacing/>
            </w:pPr>
            <w:r w:rsidRPr="00E40BFA">
              <w:t>Р</w:t>
            </w:r>
            <w:r w:rsidRPr="00E40BFA">
              <w:rPr>
                <w:vertAlign w:val="subscript"/>
              </w:rPr>
              <w:t>3</w:t>
            </w:r>
            <w:r w:rsidRPr="00E40BFA">
              <w:t>&lt;0,05</w:t>
            </w:r>
          </w:p>
        </w:tc>
        <w:tc>
          <w:tcPr>
            <w:tcW w:w="1167" w:type="pct"/>
          </w:tcPr>
          <w:p w:rsidR="00534FB5" w:rsidRPr="00E40BFA" w:rsidRDefault="00534FB5" w:rsidP="00B673E9">
            <w:pPr>
              <w:spacing w:line="240" w:lineRule="auto"/>
              <w:contextualSpacing/>
            </w:pPr>
            <w:r w:rsidRPr="00E40BFA">
              <w:t>2,23±1,59</w:t>
            </w:r>
          </w:p>
          <w:p w:rsidR="00534FB5" w:rsidRPr="00E40BFA" w:rsidRDefault="00534FB5" w:rsidP="00B673E9">
            <w:pPr>
              <w:spacing w:line="240" w:lineRule="auto"/>
              <w:contextualSpacing/>
            </w:pPr>
            <w:r w:rsidRPr="00E40BFA">
              <w:t>Р</w:t>
            </w:r>
            <w:r w:rsidRPr="00E40BFA">
              <w:rPr>
                <w:vertAlign w:val="subscript"/>
              </w:rPr>
              <w:t>1</w:t>
            </w:r>
            <w:r w:rsidRPr="00E40BFA">
              <w:t>&gt;0,05</w:t>
            </w:r>
          </w:p>
          <w:p w:rsidR="00534FB5" w:rsidRPr="00E40BFA" w:rsidRDefault="00534FB5" w:rsidP="00B673E9">
            <w:pPr>
              <w:spacing w:line="240" w:lineRule="auto"/>
              <w:contextualSpacing/>
            </w:pPr>
            <w:r w:rsidRPr="00E40BFA">
              <w:t>Р</w:t>
            </w:r>
            <w:r w:rsidRPr="00E40BFA">
              <w:rPr>
                <w:vertAlign w:val="subscript"/>
              </w:rPr>
              <w:t>3</w:t>
            </w:r>
            <w:r w:rsidR="008B27F6" w:rsidRPr="00E40BFA">
              <w:t>&lt;</w:t>
            </w:r>
            <w:r w:rsidRPr="00E40BFA">
              <w:t>,05</w:t>
            </w:r>
          </w:p>
        </w:tc>
      </w:tr>
    </w:tbl>
    <w:p w:rsidR="00534FB5" w:rsidRPr="00C727AC" w:rsidRDefault="00534FB5" w:rsidP="00B673E9">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sidR="00574A62">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2911BD" w:rsidRDefault="00534FB5" w:rsidP="00534FB5">
      <w:pPr>
        <w:tabs>
          <w:tab w:val="left" w:pos="4253"/>
        </w:tabs>
        <w:contextualSpacing/>
        <w:rPr>
          <w:sz w:val="22"/>
        </w:rPr>
      </w:pPr>
    </w:p>
    <w:p w:rsidR="00534FB5" w:rsidRDefault="00534FB5" w:rsidP="00534FB5">
      <w:pPr>
        <w:tabs>
          <w:tab w:val="left" w:pos="4253"/>
        </w:tabs>
        <w:ind w:firstLine="567"/>
        <w:contextualSpacing/>
        <w:rPr>
          <w:spacing w:val="4"/>
        </w:rPr>
      </w:pPr>
    </w:p>
    <w:p w:rsidR="00534FB5" w:rsidRDefault="00534FB5" w:rsidP="00534FB5">
      <w:pPr>
        <w:tabs>
          <w:tab w:val="left" w:pos="4253"/>
        </w:tabs>
        <w:ind w:firstLine="567"/>
        <w:contextualSpacing/>
      </w:pPr>
      <w:r w:rsidRPr="002F74DD">
        <w:rPr>
          <w:spacing w:val="4"/>
        </w:rPr>
        <w:lastRenderedPageBreak/>
        <w:t>На рис</w:t>
      </w:r>
      <w:r>
        <w:rPr>
          <w:spacing w:val="4"/>
        </w:rPr>
        <w:t>унках</w:t>
      </w:r>
      <w:r w:rsidRPr="002F74DD">
        <w:rPr>
          <w:spacing w:val="4"/>
        </w:rPr>
        <w:t xml:space="preserve"> 4.3.1</w:t>
      </w:r>
      <w:r>
        <w:rPr>
          <w:spacing w:val="4"/>
        </w:rPr>
        <w:t xml:space="preserve"> – 4.3.3 </w:t>
      </w:r>
      <w:r w:rsidRPr="002F74DD">
        <w:rPr>
          <w:spacing w:val="4"/>
        </w:rPr>
        <w:t xml:space="preserve">зображено динаміку змін </w:t>
      </w:r>
      <w:r w:rsidRPr="002F74DD">
        <w:rPr>
          <w:color w:val="000000"/>
          <w:spacing w:val="4"/>
          <w:shd w:val="clear" w:color="auto" w:fill="FFFFFF"/>
        </w:rPr>
        <w:t xml:space="preserve">стану </w:t>
      </w:r>
      <w:r>
        <w:rPr>
          <w:color w:val="000000"/>
          <w:shd w:val="clear" w:color="auto" w:fill="FFFFFF"/>
        </w:rPr>
        <w:t>тканин пародонта</w:t>
      </w:r>
      <w:r w:rsidRPr="00E40BFA">
        <w:rPr>
          <w:color w:val="000000"/>
          <w:shd w:val="clear" w:color="auto" w:fill="FFFFFF"/>
        </w:rPr>
        <w:t xml:space="preserve"> за індексом</w:t>
      </w:r>
      <w:r>
        <w:rPr>
          <w:color w:val="000000"/>
          <w:bdr w:val="none" w:sz="0" w:space="0" w:color="auto" w:frame="1"/>
        </w:rPr>
        <w:t xml:space="preserve"> РМА в модифікації</w:t>
      </w:r>
      <w:r w:rsidRPr="00E40BFA">
        <w:rPr>
          <w:color w:val="000000"/>
          <w:bdr w:val="none" w:sz="0" w:space="0" w:color="auto" w:frame="1"/>
        </w:rPr>
        <w:t xml:space="preserve"> Парма</w:t>
      </w:r>
      <w:r>
        <w:rPr>
          <w:color w:val="000000"/>
          <w:bdr w:val="none" w:sz="0" w:space="0" w:color="auto" w:frame="1"/>
        </w:rPr>
        <w:t xml:space="preserve"> </w:t>
      </w:r>
      <w:r w:rsidRPr="00E40BFA">
        <w:t>у</w:t>
      </w:r>
      <w:r>
        <w:t xml:space="preserve"> </w:t>
      </w:r>
      <w:r w:rsidRPr="00E40BFA">
        <w:t xml:space="preserve">дітей </w:t>
      </w:r>
      <w:r>
        <w:t>ОГ та КГ</w:t>
      </w:r>
      <w:r w:rsidRPr="00E40BFA">
        <w:t xml:space="preserve"> </w:t>
      </w:r>
      <w:r>
        <w:t>на етапах лікування.</w:t>
      </w:r>
    </w:p>
    <w:p w:rsidR="00534FB5" w:rsidRPr="00596B5D" w:rsidRDefault="00534FB5" w:rsidP="00534FB5">
      <w:pPr>
        <w:tabs>
          <w:tab w:val="left" w:pos="4253"/>
        </w:tabs>
        <w:ind w:firstLine="567"/>
        <w:contextualSpacing/>
        <w:rPr>
          <w:sz w:val="20"/>
        </w:rPr>
      </w:pPr>
    </w:p>
    <w:p w:rsidR="00534FB5" w:rsidRPr="00652D94" w:rsidRDefault="006C493E" w:rsidP="00534FB5">
      <w:pPr>
        <w:contextualSpacing/>
        <w:jc w:val="center"/>
        <w:rPr>
          <w:spacing w:val="4"/>
        </w:rPr>
      </w:pPr>
      <w:r>
        <w:rPr>
          <w:noProof/>
          <w:lang w:val="ru-RU"/>
        </w:rPr>
        <w:drawing>
          <wp:inline distT="0" distB="0" distL="0" distR="0">
            <wp:extent cx="4800600" cy="2647950"/>
            <wp:effectExtent l="0" t="0" r="0" b="0"/>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34FB5" w:rsidRDefault="00534FB5" w:rsidP="00534FB5">
      <w:pPr>
        <w:tabs>
          <w:tab w:val="left" w:pos="4253"/>
        </w:tabs>
        <w:ind w:firstLine="567"/>
      </w:pPr>
      <w:r w:rsidRPr="00E40BFA">
        <w:rPr>
          <w:noProof/>
          <w:lang w:eastAsia="uk-UA"/>
        </w:rPr>
        <w:t xml:space="preserve">Рис. </w:t>
      </w:r>
      <w:r>
        <w:rPr>
          <w:noProof/>
          <w:lang w:eastAsia="uk-UA"/>
        </w:rPr>
        <w:t>4</w:t>
      </w:r>
      <w:r w:rsidRPr="00E40BFA">
        <w:rPr>
          <w:noProof/>
          <w:lang w:eastAsia="uk-UA"/>
        </w:rPr>
        <w:t>.</w:t>
      </w:r>
      <w:r>
        <w:rPr>
          <w:noProof/>
          <w:lang w:eastAsia="uk-UA"/>
        </w:rPr>
        <w:t>3.1.</w:t>
      </w:r>
      <w:r w:rsidRPr="00E40BFA">
        <w:rPr>
          <w:noProof/>
          <w:lang w:eastAsia="uk-UA"/>
        </w:rPr>
        <w:t xml:space="preserve"> </w:t>
      </w:r>
      <w:r w:rsidRPr="00E40BFA">
        <w:t xml:space="preserve">Динаміка змін </w:t>
      </w:r>
      <w:r>
        <w:rPr>
          <w:color w:val="000000"/>
          <w:shd w:val="clear" w:color="auto" w:fill="FFFFFF"/>
        </w:rPr>
        <w:t>стану тканин пародонта</w:t>
      </w:r>
      <w:r w:rsidRPr="00E40BFA">
        <w:rPr>
          <w:color w:val="000000"/>
          <w:shd w:val="clear" w:color="auto" w:fill="FFFFFF"/>
        </w:rPr>
        <w:t xml:space="preserve"> за індексом </w:t>
      </w:r>
      <w:r w:rsidRPr="00E40BFA">
        <w:rPr>
          <w:color w:val="000000"/>
          <w:bdr w:val="none" w:sz="0" w:space="0" w:color="auto" w:frame="1"/>
        </w:rPr>
        <w:t>РМА в модифікації</w:t>
      </w:r>
      <w:r>
        <w:rPr>
          <w:color w:val="000000"/>
          <w:bdr w:val="none" w:sz="0" w:space="0" w:color="auto" w:frame="1"/>
        </w:rPr>
        <w:t xml:space="preserve"> </w:t>
      </w:r>
      <w:r w:rsidRPr="00E40BFA">
        <w:rPr>
          <w:color w:val="000000"/>
          <w:bdr w:val="none" w:sz="0" w:space="0" w:color="auto" w:frame="1"/>
        </w:rPr>
        <w:t xml:space="preserve">Парма (1960) (%) </w:t>
      </w:r>
      <w:r w:rsidRPr="00E40BFA">
        <w:t>у дітей 7-8 років основної та контрольної груп до та після проведення лікувально-профілактичних заходів.</w:t>
      </w:r>
    </w:p>
    <w:p w:rsidR="00534FB5" w:rsidRPr="00596B5D" w:rsidRDefault="00534FB5" w:rsidP="00534FB5">
      <w:pPr>
        <w:contextualSpacing/>
        <w:rPr>
          <w:sz w:val="8"/>
        </w:rPr>
      </w:pPr>
    </w:p>
    <w:p w:rsidR="00534FB5" w:rsidRDefault="006C493E" w:rsidP="00534FB5">
      <w:pPr>
        <w:tabs>
          <w:tab w:val="left" w:pos="4253"/>
        </w:tabs>
        <w:jc w:val="center"/>
      </w:pPr>
      <w:r>
        <w:rPr>
          <w:noProof/>
          <w:lang w:val="ru-RU"/>
        </w:rPr>
        <w:drawing>
          <wp:inline distT="0" distB="0" distL="0" distR="0">
            <wp:extent cx="4543425" cy="2828925"/>
            <wp:effectExtent l="0" t="0" r="0" b="0"/>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34FB5" w:rsidRDefault="00534FB5" w:rsidP="00534FB5">
      <w:pPr>
        <w:tabs>
          <w:tab w:val="left" w:pos="4253"/>
        </w:tabs>
        <w:ind w:firstLine="567"/>
      </w:pPr>
      <w:r w:rsidRPr="00E40BFA">
        <w:t xml:space="preserve">Рис. </w:t>
      </w:r>
      <w:r>
        <w:t>4</w:t>
      </w:r>
      <w:r w:rsidRPr="00E40BFA">
        <w:t>.</w:t>
      </w:r>
      <w:r>
        <w:t>3.2.</w:t>
      </w:r>
      <w:r w:rsidRPr="00E40BFA">
        <w:t xml:space="preserve"> Динаміка змін </w:t>
      </w:r>
      <w:r>
        <w:rPr>
          <w:color w:val="000000"/>
          <w:shd w:val="clear" w:color="auto" w:fill="FFFFFF"/>
        </w:rPr>
        <w:t>стану тканин пародонта</w:t>
      </w:r>
      <w:r w:rsidRPr="00E40BFA">
        <w:rPr>
          <w:color w:val="000000"/>
          <w:shd w:val="clear" w:color="auto" w:fill="FFFFFF"/>
        </w:rPr>
        <w:t xml:space="preserve"> за індексом </w:t>
      </w:r>
      <w:r w:rsidRPr="00E40BFA">
        <w:rPr>
          <w:color w:val="000000"/>
          <w:bdr w:val="none" w:sz="0" w:space="0" w:color="auto" w:frame="1"/>
        </w:rPr>
        <w:t>РМА в модифікації</w:t>
      </w:r>
      <w:r>
        <w:rPr>
          <w:color w:val="000000"/>
          <w:bdr w:val="none" w:sz="0" w:space="0" w:color="auto" w:frame="1"/>
        </w:rPr>
        <w:t xml:space="preserve"> </w:t>
      </w:r>
      <w:r w:rsidRPr="00E40BFA">
        <w:rPr>
          <w:color w:val="000000"/>
          <w:bdr w:val="none" w:sz="0" w:space="0" w:color="auto" w:frame="1"/>
        </w:rPr>
        <w:t>Парма</w:t>
      </w:r>
      <w:r>
        <w:rPr>
          <w:color w:val="000000"/>
          <w:bdr w:val="none" w:sz="0" w:space="0" w:color="auto" w:frame="1"/>
        </w:rPr>
        <w:t xml:space="preserve"> </w:t>
      </w:r>
      <w:r w:rsidRPr="00E40BFA">
        <w:rPr>
          <w:color w:val="000000"/>
          <w:bdr w:val="none" w:sz="0" w:space="0" w:color="auto" w:frame="1"/>
        </w:rPr>
        <w:t xml:space="preserve">(1960) (%) </w:t>
      </w:r>
      <w:r w:rsidRPr="00E40BFA">
        <w:t>у дітей 11-12 років основної та контрольної груп до та після проведення лікувально-профілактичних заходів.</w:t>
      </w:r>
    </w:p>
    <w:p w:rsidR="00534FB5" w:rsidRDefault="006C493E" w:rsidP="00534FB5">
      <w:pPr>
        <w:tabs>
          <w:tab w:val="left" w:pos="4253"/>
        </w:tabs>
        <w:jc w:val="center"/>
      </w:pPr>
      <w:r>
        <w:rPr>
          <w:noProof/>
          <w:lang w:val="ru-RU"/>
        </w:rPr>
        <w:lastRenderedPageBreak/>
        <w:drawing>
          <wp:inline distT="0" distB="0" distL="0" distR="0">
            <wp:extent cx="4648200" cy="2705100"/>
            <wp:effectExtent l="0" t="0" r="0" b="0"/>
            <wp:docPr id="47" name="Объект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34FB5" w:rsidRDefault="00534FB5" w:rsidP="00534FB5">
      <w:pPr>
        <w:tabs>
          <w:tab w:val="left" w:pos="4253"/>
        </w:tabs>
        <w:ind w:firstLine="567"/>
        <w:contextualSpacing/>
      </w:pPr>
      <w:r w:rsidRPr="00EE5D48">
        <w:t>Рис. 4.3.3</w:t>
      </w:r>
      <w:r>
        <w:t>.</w:t>
      </w:r>
      <w:r w:rsidRPr="00EE5D48">
        <w:t xml:space="preserve"> Динаміка змін </w:t>
      </w:r>
      <w:r>
        <w:rPr>
          <w:color w:val="000000"/>
          <w:shd w:val="clear" w:color="auto" w:fill="FFFFFF"/>
        </w:rPr>
        <w:t>стану тканин пародонта</w:t>
      </w:r>
      <w:r w:rsidRPr="00EE5D48">
        <w:rPr>
          <w:color w:val="000000"/>
          <w:shd w:val="clear" w:color="auto" w:fill="FFFFFF"/>
        </w:rPr>
        <w:t xml:space="preserve"> за індексом </w:t>
      </w:r>
      <w:r w:rsidRPr="00EE5D48">
        <w:rPr>
          <w:color w:val="000000"/>
          <w:bdr w:val="none" w:sz="0" w:space="0" w:color="auto" w:frame="1"/>
        </w:rPr>
        <w:t>РМА в модифікації</w:t>
      </w:r>
      <w:r>
        <w:rPr>
          <w:color w:val="000000"/>
          <w:bdr w:val="none" w:sz="0" w:space="0" w:color="auto" w:frame="1"/>
        </w:rPr>
        <w:t xml:space="preserve"> </w:t>
      </w:r>
      <w:r w:rsidRPr="00EE5D48">
        <w:rPr>
          <w:color w:val="000000"/>
          <w:bdr w:val="none" w:sz="0" w:space="0" w:color="auto" w:frame="1"/>
        </w:rPr>
        <w:t>Парма</w:t>
      </w:r>
      <w:r>
        <w:rPr>
          <w:color w:val="000000"/>
          <w:bdr w:val="none" w:sz="0" w:space="0" w:color="auto" w:frame="1"/>
        </w:rPr>
        <w:t xml:space="preserve"> </w:t>
      </w:r>
      <w:r w:rsidRPr="00EE5D48">
        <w:rPr>
          <w:color w:val="000000"/>
          <w:bdr w:val="none" w:sz="0" w:space="0" w:color="auto" w:frame="1"/>
        </w:rPr>
        <w:t xml:space="preserve">(1960) (%) </w:t>
      </w:r>
      <w:r w:rsidRPr="00EE5D48">
        <w:t>у дітей 14-15 років основної та контрольної груп до та після проведення лікувально-профілактичних заходів.</w:t>
      </w:r>
    </w:p>
    <w:p w:rsidR="00534FB5" w:rsidRDefault="00534FB5" w:rsidP="00534FB5">
      <w:pPr>
        <w:tabs>
          <w:tab w:val="left" w:pos="4253"/>
        </w:tabs>
        <w:contextualSpacing/>
      </w:pPr>
    </w:p>
    <w:p w:rsidR="00534FB5" w:rsidRPr="00110BE4" w:rsidRDefault="00534FB5" w:rsidP="00534FB5">
      <w:pPr>
        <w:ind w:firstLine="709"/>
        <w:contextualSpacing/>
        <w:rPr>
          <w:lang w:val="ru-RU"/>
        </w:rPr>
      </w:pPr>
      <w:r w:rsidRPr="00E40BFA">
        <w:t>Протягом року спостереження у дітей ОГ під дією обох лікувально-профілактичних комплексів було досягнуто п</w:t>
      </w:r>
      <w:r>
        <w:t>оліпшення стану тканин пародонта</w:t>
      </w:r>
      <w:r w:rsidRPr="00E40BFA">
        <w:t>.</w:t>
      </w:r>
    </w:p>
    <w:p w:rsidR="00534FB5" w:rsidRDefault="00534FB5" w:rsidP="00534FB5">
      <w:pPr>
        <w:ind w:firstLine="709"/>
        <w:contextualSpacing/>
      </w:pPr>
      <w:r>
        <w:t>З даних, наведених на</w:t>
      </w:r>
      <w:r w:rsidRPr="002F74DD">
        <w:rPr>
          <w:spacing w:val="4"/>
        </w:rPr>
        <w:t xml:space="preserve"> рис</w:t>
      </w:r>
      <w:r>
        <w:rPr>
          <w:spacing w:val="4"/>
        </w:rPr>
        <w:t>унках</w:t>
      </w:r>
      <w:r w:rsidRPr="002F74DD">
        <w:rPr>
          <w:spacing w:val="4"/>
        </w:rPr>
        <w:t xml:space="preserve"> 4.3.1</w:t>
      </w:r>
      <w:r>
        <w:rPr>
          <w:spacing w:val="4"/>
        </w:rPr>
        <w:t xml:space="preserve"> – 4.3.3, видно, що ч</w:t>
      </w:r>
      <w:r w:rsidRPr="00E40BFA">
        <w:t xml:space="preserve">ерез 1 місяць від початку проведення запропонованих лікувально-профілактичних заходів </w:t>
      </w:r>
      <w:r>
        <w:t xml:space="preserve">у дітей в першій віковій групі </w:t>
      </w:r>
      <w:r w:rsidRPr="00E40BFA">
        <w:t xml:space="preserve">індекс РМА знизився </w:t>
      </w:r>
      <w:r>
        <w:t>у</w:t>
      </w:r>
      <w:r w:rsidRPr="00E40BFA">
        <w:t xml:space="preserve"> 3,4</w:t>
      </w:r>
      <w:r>
        <w:t> раза</w:t>
      </w:r>
      <w:r w:rsidRPr="00E40BFA">
        <w:t>,</w:t>
      </w:r>
      <w:r>
        <w:t xml:space="preserve"> у </w:t>
      </w:r>
      <w:r w:rsidRPr="00E40BFA">
        <w:t xml:space="preserve">другій віковій групі </w:t>
      </w:r>
      <w:r>
        <w:t xml:space="preserve">– </w:t>
      </w:r>
      <w:r w:rsidRPr="00E40BFA">
        <w:t>в 4</w:t>
      </w:r>
      <w:r>
        <w:t> рази</w:t>
      </w:r>
      <w:r w:rsidRPr="00E40BFA">
        <w:t xml:space="preserve"> і в третій віковій групі </w:t>
      </w:r>
      <w:r>
        <w:t xml:space="preserve">– </w:t>
      </w:r>
      <w:r w:rsidRPr="00E40BFA">
        <w:t>в 1,9</w:t>
      </w:r>
      <w:r>
        <w:t> </w:t>
      </w:r>
      <w:r w:rsidRPr="00E40BFA">
        <w:t>раз</w:t>
      </w:r>
      <w:r>
        <w:t>а</w:t>
      </w:r>
      <w:r w:rsidRPr="00E40BFA">
        <w:t>.</w:t>
      </w:r>
    </w:p>
    <w:p w:rsidR="00534FB5" w:rsidRDefault="00534FB5" w:rsidP="00534FB5">
      <w:pPr>
        <w:ind w:firstLine="709"/>
        <w:contextualSpacing/>
      </w:pPr>
      <w:r w:rsidRPr="00E40BFA">
        <w:t xml:space="preserve">Через 6 місяців </w:t>
      </w:r>
      <w:r>
        <w:t>у</w:t>
      </w:r>
      <w:r w:rsidRPr="00E40BFA">
        <w:t xml:space="preserve"> першій та другій віковій групах дітей, що отримували обидва лікувально-профілактичн</w:t>
      </w:r>
      <w:r>
        <w:t>і</w:t>
      </w:r>
      <w:r w:rsidRPr="00E40BFA">
        <w:t xml:space="preserve"> комплекси</w:t>
      </w:r>
      <w:r>
        <w:t>,</w:t>
      </w:r>
      <w:r w:rsidRPr="00E40BFA">
        <w:t xml:space="preserve"> відбулос</w:t>
      </w:r>
      <w:r>
        <w:t>я</w:t>
      </w:r>
      <w:r w:rsidRPr="00E40BFA">
        <w:t xml:space="preserve"> незначне підвищення індексу РМА, в третій віковій групі такої тенденції не спостерігалос</w:t>
      </w:r>
      <w:r>
        <w:t>я</w:t>
      </w:r>
      <w:r w:rsidRPr="00E40BFA">
        <w:t xml:space="preserve">. </w:t>
      </w:r>
    </w:p>
    <w:p w:rsidR="00534FB5" w:rsidRDefault="00534FB5" w:rsidP="00534FB5">
      <w:pPr>
        <w:ind w:firstLine="709"/>
        <w:contextualSpacing/>
      </w:pPr>
      <w:r w:rsidRPr="00E40BFA">
        <w:t>Через 12 місяців</w:t>
      </w:r>
      <w:r>
        <w:t xml:space="preserve"> </w:t>
      </w:r>
      <w:r w:rsidRPr="00E40BFA">
        <w:t>від початку проведення лікувально-профілактичних заходів в ОГ1б</w:t>
      </w:r>
      <w:r>
        <w:t>, ОГ2б та ОГ3б</w:t>
      </w:r>
      <w:r w:rsidRPr="00E40BFA">
        <w:t xml:space="preserve"> індекс РМА знизився в 8,9</w:t>
      </w:r>
      <w:r>
        <w:t> </w:t>
      </w:r>
      <w:r w:rsidRPr="00E40BFA">
        <w:t>раз</w:t>
      </w:r>
      <w:r>
        <w:t>а</w:t>
      </w:r>
      <w:r w:rsidRPr="00E40BFA">
        <w:t>,</w:t>
      </w:r>
      <w:r>
        <w:t xml:space="preserve"> 8,1 раза та 6,6 раза відповідно, тоді</w:t>
      </w:r>
      <w:r w:rsidRPr="00E40BFA">
        <w:t xml:space="preserve"> як в ОГ1а</w:t>
      </w:r>
      <w:r>
        <w:t xml:space="preserve">, ОГ2а та ОГ3а </w:t>
      </w:r>
      <w:r w:rsidRPr="00E40BFA">
        <w:t>відбулося зниження цього показник</w:t>
      </w:r>
      <w:r>
        <w:t>а</w:t>
      </w:r>
      <w:r w:rsidRPr="00E40BFA">
        <w:t xml:space="preserve"> у 3,4</w:t>
      </w:r>
      <w:r>
        <w:t> раза, 2,7 раза та 2,1 раза відповідно.</w:t>
      </w:r>
    </w:p>
    <w:p w:rsidR="00534FB5" w:rsidRDefault="00534FB5" w:rsidP="00534FB5">
      <w:pPr>
        <w:ind w:firstLine="709"/>
        <w:contextualSpacing/>
      </w:pPr>
      <w:r w:rsidRPr="00E40BFA">
        <w:t>Наведені вище дані свідчать про більш високу ефективність запропонованого комплексу</w:t>
      </w:r>
      <w:r w:rsidRPr="00B702FB">
        <w:t xml:space="preserve"> </w:t>
      </w:r>
      <w:r>
        <w:t>в</w:t>
      </w:r>
      <w:r w:rsidRPr="00E40BFA">
        <w:t xml:space="preserve"> дітей </w:t>
      </w:r>
      <w:r w:rsidR="006C493E">
        <w:t>із вродженою</w:t>
      </w:r>
      <w:r w:rsidRPr="00E40BFA">
        <w:t xml:space="preserve"> глухотою</w:t>
      </w:r>
      <w:r>
        <w:t>,</w:t>
      </w:r>
      <w:r w:rsidRPr="00E40BFA">
        <w:t xml:space="preserve"> порівняно з </w:t>
      </w:r>
      <w:r w:rsidRPr="00E40BFA">
        <w:lastRenderedPageBreak/>
        <w:t>традиційними схемами для профілактики та лікува</w:t>
      </w:r>
      <w:r>
        <w:t>ння захворювань тканин пародонта</w:t>
      </w:r>
      <w:r w:rsidRPr="00E40BFA">
        <w:t xml:space="preserve">. </w:t>
      </w:r>
    </w:p>
    <w:p w:rsidR="00534FB5" w:rsidRDefault="00534FB5" w:rsidP="00534FB5">
      <w:pPr>
        <w:tabs>
          <w:tab w:val="left" w:pos="4253"/>
        </w:tabs>
        <w:ind w:firstLine="709"/>
        <w:contextualSpacing/>
        <w:rPr>
          <w:color w:val="000000"/>
          <w:shd w:val="clear" w:color="auto" w:fill="FFFFFF"/>
        </w:rPr>
      </w:pPr>
      <w:r w:rsidRPr="00EE5D48">
        <w:rPr>
          <w:color w:val="000000"/>
          <w:shd w:val="clear" w:color="auto" w:fill="FFFFFF"/>
        </w:rPr>
        <w:t>Для оцінки інтенсивності</w:t>
      </w:r>
      <w:r>
        <w:rPr>
          <w:color w:val="000000"/>
          <w:shd w:val="clear" w:color="auto" w:fill="FFFFFF"/>
        </w:rPr>
        <w:t>,</w:t>
      </w:r>
      <w:r w:rsidRPr="00EE5D48">
        <w:rPr>
          <w:color w:val="000000"/>
          <w:shd w:val="clear" w:color="auto" w:fill="FFFFFF"/>
        </w:rPr>
        <w:t xml:space="preserve"> поширено</w:t>
      </w:r>
      <w:r>
        <w:rPr>
          <w:color w:val="000000"/>
          <w:shd w:val="clear" w:color="auto" w:fill="FFFFFF"/>
        </w:rPr>
        <w:t xml:space="preserve">сті захворювань тканин пародонта серед обстежених груп ДВГ і ДНС </w:t>
      </w:r>
      <w:r w:rsidRPr="00EE5D48">
        <w:rPr>
          <w:color w:val="000000"/>
          <w:shd w:val="clear" w:color="auto" w:fill="FFFFFF"/>
        </w:rPr>
        <w:t>та для планування заходів щодо лікування і профілактики цих захворювань бу</w:t>
      </w:r>
      <w:r>
        <w:rPr>
          <w:color w:val="000000"/>
          <w:shd w:val="clear" w:color="auto" w:fill="FFFFFF"/>
        </w:rPr>
        <w:t>ло</w:t>
      </w:r>
      <w:r w:rsidRPr="00EE5D48">
        <w:rPr>
          <w:color w:val="000000"/>
          <w:shd w:val="clear" w:color="auto" w:fill="FFFFFF"/>
        </w:rPr>
        <w:t xml:space="preserve"> використан</w:t>
      </w:r>
      <w:r>
        <w:rPr>
          <w:color w:val="000000"/>
          <w:shd w:val="clear" w:color="auto" w:fill="FFFFFF"/>
        </w:rPr>
        <w:t>о</w:t>
      </w:r>
      <w:r w:rsidRPr="00EE5D48">
        <w:rPr>
          <w:color w:val="000000"/>
          <w:shd w:val="clear" w:color="auto" w:fill="FFFFFF"/>
        </w:rPr>
        <w:t xml:space="preserve"> комунальний індекс потр</w:t>
      </w:r>
      <w:r>
        <w:rPr>
          <w:color w:val="000000"/>
          <w:shd w:val="clear" w:color="auto" w:fill="FFFFFF"/>
        </w:rPr>
        <w:t>еби в лікуванні захворювань тканин пародонта</w:t>
      </w:r>
      <w:r w:rsidRPr="00EE5D48">
        <w:rPr>
          <w:color w:val="000000"/>
          <w:shd w:val="clear" w:color="auto" w:fill="FFFFFF"/>
        </w:rPr>
        <w:t xml:space="preserve"> </w:t>
      </w:r>
      <w:r w:rsidRPr="00110BE4">
        <w:rPr>
          <w:color w:val="000000"/>
          <w:shd w:val="clear" w:color="auto" w:fill="FFFFFF"/>
        </w:rPr>
        <w:t>(</w:t>
      </w:r>
      <w:r w:rsidRPr="00EE5D48">
        <w:rPr>
          <w:color w:val="000000"/>
          <w:shd w:val="clear" w:color="auto" w:fill="FFFFFF"/>
        </w:rPr>
        <w:t>CPITN</w:t>
      </w:r>
      <w:r w:rsidRPr="00110BE4">
        <w:rPr>
          <w:color w:val="000000"/>
          <w:shd w:val="clear" w:color="auto" w:fill="FFFFFF"/>
        </w:rPr>
        <w:t>)</w:t>
      </w:r>
      <w:r w:rsidRPr="00EE5D48">
        <w:rPr>
          <w:color w:val="000000"/>
          <w:shd w:val="clear" w:color="auto" w:fill="FFFFFF"/>
        </w:rPr>
        <w:t xml:space="preserve"> </w:t>
      </w:r>
      <w:r w:rsidRPr="00525702">
        <w:t>[40]</w:t>
      </w:r>
      <w:r w:rsidRPr="00110BE4">
        <w:t xml:space="preserve"> (див</w:t>
      </w:r>
      <w:r w:rsidRPr="00EE5D48">
        <w:rPr>
          <w:color w:val="000000"/>
          <w:shd w:val="clear" w:color="auto" w:fill="FFFFFF"/>
        </w:rPr>
        <w:t>.</w:t>
      </w:r>
      <w:r w:rsidR="00596B5D">
        <w:rPr>
          <w:color w:val="000000"/>
          <w:shd w:val="clear" w:color="auto" w:fill="FFFFFF"/>
        </w:rPr>
        <w:t> </w:t>
      </w:r>
      <w:r w:rsidRPr="00110BE4">
        <w:rPr>
          <w:color w:val="000000"/>
          <w:shd w:val="clear" w:color="auto" w:fill="FFFFFF"/>
        </w:rPr>
        <w:t>табл.</w:t>
      </w:r>
      <w:r>
        <w:rPr>
          <w:color w:val="000000"/>
          <w:shd w:val="clear" w:color="auto" w:fill="FFFFFF"/>
        </w:rPr>
        <w:t> </w:t>
      </w:r>
      <w:r w:rsidRPr="00110BE4">
        <w:rPr>
          <w:color w:val="000000"/>
          <w:shd w:val="clear" w:color="auto" w:fill="FFFFFF"/>
        </w:rPr>
        <w:t>4.3.2).</w:t>
      </w:r>
      <w:r>
        <w:rPr>
          <w:color w:val="000000"/>
          <w:shd w:val="clear" w:color="auto" w:fill="FFFFFF"/>
        </w:rPr>
        <w:t xml:space="preserve"> </w:t>
      </w:r>
    </w:p>
    <w:p w:rsidR="00534FB5" w:rsidRPr="00110BE4" w:rsidRDefault="00534FB5" w:rsidP="00534FB5">
      <w:pPr>
        <w:ind w:firstLine="709"/>
        <w:rPr>
          <w:sz w:val="6"/>
        </w:rPr>
      </w:pPr>
    </w:p>
    <w:p w:rsidR="00534FB5" w:rsidRPr="00A4317D" w:rsidRDefault="00534FB5" w:rsidP="00534FB5">
      <w:pPr>
        <w:tabs>
          <w:tab w:val="left" w:pos="4253"/>
        </w:tabs>
        <w:contextualSpacing/>
        <w:jc w:val="right"/>
        <w:rPr>
          <w:i/>
        </w:rPr>
      </w:pPr>
      <w:r w:rsidRPr="00A4317D">
        <w:rPr>
          <w:i/>
        </w:rPr>
        <w:t>Таблиця 4.3.2</w:t>
      </w:r>
    </w:p>
    <w:p w:rsidR="00534FB5" w:rsidRPr="00A4317D" w:rsidRDefault="00534FB5" w:rsidP="00534FB5">
      <w:pPr>
        <w:tabs>
          <w:tab w:val="left" w:pos="4253"/>
        </w:tabs>
        <w:spacing w:line="240" w:lineRule="auto"/>
        <w:ind w:firstLine="709"/>
        <w:contextualSpacing/>
        <w:jc w:val="center"/>
        <w:rPr>
          <w:b/>
        </w:rPr>
      </w:pPr>
      <w:r w:rsidRPr="00A4317D">
        <w:rPr>
          <w:b/>
        </w:rPr>
        <w:t xml:space="preserve">Динаміка змін </w:t>
      </w:r>
      <w:r w:rsidRPr="00A4317D">
        <w:rPr>
          <w:b/>
          <w:color w:val="000000"/>
          <w:shd w:val="clear" w:color="auto" w:fill="FFFFFF"/>
        </w:rPr>
        <w:t>комунального індексу потреби в лікуванні хвороб пародонт</w:t>
      </w:r>
      <w:r>
        <w:rPr>
          <w:b/>
          <w:color w:val="000000"/>
          <w:shd w:val="clear" w:color="auto" w:fill="FFFFFF"/>
        </w:rPr>
        <w:t>а</w:t>
      </w:r>
      <w:r w:rsidRPr="00A4317D">
        <w:rPr>
          <w:b/>
        </w:rPr>
        <w:t xml:space="preserve"> у дітей</w:t>
      </w:r>
      <w:r>
        <w:rPr>
          <w:b/>
        </w:rPr>
        <w:t xml:space="preserve"> </w:t>
      </w:r>
      <w:r w:rsidRPr="00A4317D">
        <w:rPr>
          <w:b/>
        </w:rPr>
        <w:t>основної та контрольної груп</w:t>
      </w:r>
      <w:r>
        <w:rPr>
          <w:b/>
        </w:rPr>
        <w:t xml:space="preserve"> </w:t>
      </w:r>
      <w:r w:rsidRPr="00A4317D">
        <w:rPr>
          <w:b/>
        </w:rPr>
        <w:t>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983"/>
        <w:gridCol w:w="1985"/>
        <w:gridCol w:w="2126"/>
        <w:gridCol w:w="2234"/>
      </w:tblGrid>
      <w:tr w:rsidR="00534FB5" w:rsidRPr="00E40BFA" w:rsidTr="00534FB5">
        <w:tc>
          <w:tcPr>
            <w:tcW w:w="649" w:type="pct"/>
            <w:vMerge w:val="restart"/>
          </w:tcPr>
          <w:p w:rsidR="00534FB5" w:rsidRPr="00EE5D48" w:rsidRDefault="00534FB5" w:rsidP="00534FB5">
            <w:pPr>
              <w:spacing w:line="240" w:lineRule="auto"/>
              <w:contextualSpacing/>
              <w:jc w:val="center"/>
            </w:pPr>
            <w:r w:rsidRPr="00EE5D48">
              <w:t>Г</w:t>
            </w:r>
            <w:r>
              <w:t>рупи обсте-жених</w:t>
            </w:r>
          </w:p>
        </w:tc>
        <w:tc>
          <w:tcPr>
            <w:tcW w:w="4351" w:type="pct"/>
            <w:gridSpan w:val="4"/>
          </w:tcPr>
          <w:p w:rsidR="00534FB5" w:rsidRPr="00EE5D48" w:rsidRDefault="00534FB5" w:rsidP="00534FB5">
            <w:pPr>
              <w:spacing w:line="240" w:lineRule="auto"/>
              <w:contextualSpacing/>
              <w:jc w:val="center"/>
              <w:rPr>
                <w:lang w:val="en-AU"/>
              </w:rPr>
            </w:pPr>
            <w:r w:rsidRPr="00EE5D48">
              <w:rPr>
                <w:color w:val="000000"/>
                <w:shd w:val="clear" w:color="auto" w:fill="FFFFFF"/>
              </w:rPr>
              <w:t>CPITN, бали, M</w:t>
            </w:r>
            <w:r w:rsidRPr="00EE5D48">
              <w:rPr>
                <w:color w:val="000000"/>
                <w:shd w:val="clear" w:color="auto" w:fill="FFFFFF"/>
                <w:lang w:val="en-AU"/>
              </w:rPr>
              <w:t>±m</w:t>
            </w:r>
          </w:p>
        </w:tc>
      </w:tr>
      <w:tr w:rsidR="00534FB5" w:rsidRPr="00E40BFA" w:rsidTr="00534FB5">
        <w:trPr>
          <w:trHeight w:val="360"/>
        </w:trPr>
        <w:tc>
          <w:tcPr>
            <w:tcW w:w="649" w:type="pct"/>
            <w:vMerge/>
            <w:tcBorders>
              <w:bottom w:val="single" w:sz="4" w:space="0" w:color="auto"/>
            </w:tcBorders>
          </w:tcPr>
          <w:p w:rsidR="00534FB5" w:rsidRPr="00E40BFA" w:rsidRDefault="00534FB5" w:rsidP="00534FB5">
            <w:pPr>
              <w:spacing w:line="240" w:lineRule="auto"/>
              <w:contextualSpacing/>
              <w:jc w:val="center"/>
            </w:pPr>
          </w:p>
        </w:tc>
        <w:tc>
          <w:tcPr>
            <w:tcW w:w="1036" w:type="pct"/>
            <w:tcBorders>
              <w:bottom w:val="single" w:sz="4" w:space="0" w:color="auto"/>
            </w:tcBorders>
          </w:tcPr>
          <w:p w:rsidR="00534FB5" w:rsidRPr="00E40BFA" w:rsidRDefault="00534FB5" w:rsidP="00534FB5">
            <w:pPr>
              <w:spacing w:line="240" w:lineRule="auto"/>
              <w:contextualSpacing/>
              <w:jc w:val="center"/>
            </w:pPr>
            <w:r w:rsidRPr="00E40BFA">
              <w:t>До лікування</w:t>
            </w:r>
          </w:p>
        </w:tc>
        <w:tc>
          <w:tcPr>
            <w:tcW w:w="1037" w:type="pct"/>
            <w:tcBorders>
              <w:bottom w:val="single" w:sz="4" w:space="0" w:color="auto"/>
            </w:tcBorders>
          </w:tcPr>
          <w:p w:rsidR="00534FB5" w:rsidRPr="00E40BFA" w:rsidRDefault="00534FB5" w:rsidP="00534FB5">
            <w:pPr>
              <w:spacing w:line="240" w:lineRule="auto"/>
              <w:contextualSpacing/>
              <w:jc w:val="center"/>
            </w:pPr>
            <w:r w:rsidRPr="00E40BFA">
              <w:t>Через 1 місяць</w:t>
            </w:r>
          </w:p>
        </w:tc>
        <w:tc>
          <w:tcPr>
            <w:tcW w:w="1111" w:type="pct"/>
            <w:tcBorders>
              <w:bottom w:val="single" w:sz="4" w:space="0" w:color="auto"/>
            </w:tcBorders>
          </w:tcPr>
          <w:p w:rsidR="00534FB5" w:rsidRPr="00E40BFA" w:rsidRDefault="00534FB5" w:rsidP="00534FB5">
            <w:pPr>
              <w:spacing w:line="240" w:lineRule="auto"/>
              <w:contextualSpacing/>
              <w:jc w:val="center"/>
            </w:pPr>
            <w:r w:rsidRPr="00E40BFA">
              <w:t>Через 6 місяців</w:t>
            </w:r>
          </w:p>
        </w:tc>
        <w:tc>
          <w:tcPr>
            <w:tcW w:w="1167" w:type="pct"/>
            <w:tcBorders>
              <w:bottom w:val="single" w:sz="4" w:space="0" w:color="auto"/>
            </w:tcBorders>
          </w:tcPr>
          <w:p w:rsidR="00534FB5" w:rsidRPr="00E40BFA" w:rsidRDefault="00534FB5" w:rsidP="00534FB5">
            <w:pPr>
              <w:spacing w:line="240" w:lineRule="auto"/>
              <w:contextualSpacing/>
              <w:jc w:val="center"/>
            </w:pPr>
            <w:r w:rsidRPr="00E40BFA">
              <w:t>Через 12 місяців</w:t>
            </w:r>
          </w:p>
        </w:tc>
      </w:tr>
      <w:tr w:rsidR="00534FB5" w:rsidRPr="00E40BFA" w:rsidTr="00534FB5">
        <w:trPr>
          <w:trHeight w:val="495"/>
        </w:trPr>
        <w:tc>
          <w:tcPr>
            <w:tcW w:w="649" w:type="pct"/>
            <w:tcBorders>
              <w:bottom w:val="single" w:sz="4" w:space="0" w:color="auto"/>
            </w:tcBorders>
          </w:tcPr>
          <w:p w:rsidR="00534FB5" w:rsidRPr="00E40BFA" w:rsidRDefault="00534FB5" w:rsidP="00534FB5">
            <w:pPr>
              <w:spacing w:line="240" w:lineRule="auto"/>
              <w:contextualSpacing/>
            </w:pPr>
            <w:r>
              <w:t>КГ1</w:t>
            </w:r>
          </w:p>
        </w:tc>
        <w:tc>
          <w:tcPr>
            <w:tcW w:w="1036" w:type="pct"/>
            <w:tcBorders>
              <w:bottom w:val="single" w:sz="4" w:space="0" w:color="auto"/>
            </w:tcBorders>
          </w:tcPr>
          <w:p w:rsidR="00534FB5" w:rsidRPr="00E40BFA" w:rsidRDefault="00534FB5" w:rsidP="00534FB5">
            <w:pPr>
              <w:spacing w:line="240" w:lineRule="auto"/>
              <w:contextualSpacing/>
            </w:pPr>
            <w:r w:rsidRPr="00E40BFA">
              <w:t>1,08±0,23</w:t>
            </w:r>
          </w:p>
        </w:tc>
        <w:tc>
          <w:tcPr>
            <w:tcW w:w="1037" w:type="pct"/>
            <w:tcBorders>
              <w:bottom w:val="single" w:sz="4" w:space="0" w:color="auto"/>
            </w:tcBorders>
          </w:tcPr>
          <w:p w:rsidR="00534FB5" w:rsidRPr="00E40BFA" w:rsidRDefault="00534FB5" w:rsidP="00534FB5">
            <w:pPr>
              <w:spacing w:line="240" w:lineRule="auto"/>
              <w:contextualSpacing/>
              <w:jc w:val="center"/>
            </w:pPr>
            <w:r w:rsidRPr="00E40BFA">
              <w:t>-</w:t>
            </w:r>
          </w:p>
        </w:tc>
        <w:tc>
          <w:tcPr>
            <w:tcW w:w="1111" w:type="pct"/>
            <w:tcBorders>
              <w:bottom w:val="single" w:sz="4" w:space="0" w:color="auto"/>
            </w:tcBorders>
          </w:tcPr>
          <w:p w:rsidR="00534FB5" w:rsidRPr="00E40BFA" w:rsidRDefault="00534FB5" w:rsidP="00534FB5">
            <w:pPr>
              <w:spacing w:line="240" w:lineRule="auto"/>
              <w:contextualSpacing/>
              <w:jc w:val="center"/>
            </w:pPr>
            <w:r w:rsidRPr="00E40BFA">
              <w:t>-</w:t>
            </w:r>
          </w:p>
        </w:tc>
        <w:tc>
          <w:tcPr>
            <w:tcW w:w="1167" w:type="pct"/>
            <w:tcBorders>
              <w:bottom w:val="single" w:sz="4" w:space="0" w:color="auto"/>
            </w:tcBorders>
          </w:tcPr>
          <w:p w:rsidR="00534FB5" w:rsidRPr="00E40BFA" w:rsidRDefault="00534FB5" w:rsidP="00534FB5">
            <w:pPr>
              <w:spacing w:line="240" w:lineRule="auto"/>
              <w:contextualSpacing/>
              <w:jc w:val="center"/>
            </w:pPr>
            <w:r w:rsidRPr="00E40BFA">
              <w:t>-</w:t>
            </w:r>
          </w:p>
        </w:tc>
      </w:tr>
      <w:tr w:rsidR="00534FB5" w:rsidRPr="00E40BFA" w:rsidTr="00534FB5">
        <w:trPr>
          <w:trHeight w:val="960"/>
        </w:trPr>
        <w:tc>
          <w:tcPr>
            <w:tcW w:w="649" w:type="pct"/>
            <w:tcBorders>
              <w:bottom w:val="single" w:sz="4" w:space="0" w:color="auto"/>
            </w:tcBorders>
          </w:tcPr>
          <w:p w:rsidR="00534FB5" w:rsidRPr="00E40BFA" w:rsidRDefault="00534FB5" w:rsidP="00534FB5">
            <w:pPr>
              <w:spacing w:line="240" w:lineRule="auto"/>
              <w:contextualSpacing/>
            </w:pPr>
            <w:r w:rsidRPr="00E40BFA">
              <w:t>ОГ1а</w:t>
            </w:r>
          </w:p>
        </w:tc>
        <w:tc>
          <w:tcPr>
            <w:tcW w:w="1036" w:type="pct"/>
            <w:tcBorders>
              <w:bottom w:val="single" w:sz="4" w:space="0" w:color="auto"/>
            </w:tcBorders>
          </w:tcPr>
          <w:p w:rsidR="00534FB5" w:rsidRPr="00E40BFA" w:rsidRDefault="00534FB5" w:rsidP="00534FB5">
            <w:pPr>
              <w:spacing w:line="240" w:lineRule="auto"/>
              <w:contextualSpacing/>
            </w:pPr>
            <w:r w:rsidRPr="00E40BFA">
              <w:t>1,83±0,11</w:t>
            </w:r>
          </w:p>
          <w:p w:rsidR="00534FB5" w:rsidRPr="00E40BFA" w:rsidRDefault="00534FB5" w:rsidP="00B673E9">
            <w:pPr>
              <w:spacing w:line="240" w:lineRule="auto"/>
              <w:contextualSpacing/>
            </w:pPr>
            <w:r w:rsidRPr="00E40BFA">
              <w:t>Р</w:t>
            </w:r>
            <w:r w:rsidRPr="00E40BFA">
              <w:rPr>
                <w:vertAlign w:val="subscript"/>
              </w:rPr>
              <w:t>2</w:t>
            </w:r>
            <w:r w:rsidRPr="00E40BFA">
              <w:t>&lt;0,01</w:t>
            </w:r>
          </w:p>
        </w:tc>
        <w:tc>
          <w:tcPr>
            <w:tcW w:w="1037" w:type="pct"/>
            <w:tcBorders>
              <w:bottom w:val="single" w:sz="4" w:space="0" w:color="auto"/>
            </w:tcBorders>
          </w:tcPr>
          <w:p w:rsidR="00534FB5" w:rsidRPr="00E40BFA" w:rsidRDefault="00534FB5" w:rsidP="00534FB5">
            <w:pPr>
              <w:spacing w:line="240" w:lineRule="auto"/>
              <w:contextualSpacing/>
            </w:pPr>
            <w:r w:rsidRPr="00E40BFA">
              <w:t>1,57±0,13</w:t>
            </w:r>
          </w:p>
          <w:p w:rsidR="00534FB5" w:rsidRPr="00E40BFA" w:rsidRDefault="00534FB5" w:rsidP="00B673E9">
            <w:pPr>
              <w:spacing w:line="240" w:lineRule="auto"/>
              <w:contextualSpacing/>
            </w:pPr>
            <w:r w:rsidRPr="00E40BFA">
              <w:t>Р</w:t>
            </w:r>
            <w:r w:rsidRPr="00E40BFA">
              <w:rPr>
                <w:vertAlign w:val="subscript"/>
              </w:rPr>
              <w:t>2</w:t>
            </w:r>
            <w:r w:rsidR="003A306D" w:rsidRPr="00E40BFA">
              <w:t>&lt;</w:t>
            </w:r>
            <w:r w:rsidRPr="00E40BFA">
              <w:t>0,05</w:t>
            </w:r>
          </w:p>
        </w:tc>
        <w:tc>
          <w:tcPr>
            <w:tcW w:w="1111" w:type="pct"/>
            <w:tcBorders>
              <w:bottom w:val="single" w:sz="4" w:space="0" w:color="auto"/>
            </w:tcBorders>
          </w:tcPr>
          <w:p w:rsidR="00534FB5" w:rsidRPr="00E40BFA" w:rsidRDefault="00534FB5" w:rsidP="00534FB5">
            <w:pPr>
              <w:spacing w:line="240" w:lineRule="auto"/>
              <w:contextualSpacing/>
            </w:pPr>
            <w:r w:rsidRPr="00E40BFA">
              <w:t>1,42±0,23</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67" w:type="pct"/>
            <w:tcBorders>
              <w:bottom w:val="single" w:sz="4" w:space="0" w:color="auto"/>
            </w:tcBorders>
          </w:tcPr>
          <w:p w:rsidR="00534FB5" w:rsidRPr="00E40BFA" w:rsidRDefault="00534FB5" w:rsidP="00534FB5">
            <w:pPr>
              <w:spacing w:line="240" w:lineRule="auto"/>
              <w:contextualSpacing/>
            </w:pPr>
            <w:r w:rsidRPr="00E40BFA">
              <w:t>1,18±0,20</w:t>
            </w:r>
          </w:p>
          <w:p w:rsidR="00534FB5" w:rsidRPr="00E40BFA" w:rsidRDefault="00534FB5" w:rsidP="00B673E9">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534FB5">
            <w:pPr>
              <w:spacing w:line="240" w:lineRule="auto"/>
              <w:contextualSpacing/>
            </w:pPr>
            <w:r w:rsidRPr="00E40BFA">
              <w:t>ОГ1б</w:t>
            </w:r>
          </w:p>
        </w:tc>
        <w:tc>
          <w:tcPr>
            <w:tcW w:w="1036" w:type="pct"/>
          </w:tcPr>
          <w:p w:rsidR="00534FB5" w:rsidRPr="00E40BFA" w:rsidRDefault="00534FB5" w:rsidP="00534FB5">
            <w:pPr>
              <w:spacing w:line="240" w:lineRule="auto"/>
              <w:contextualSpacing/>
            </w:pPr>
            <w:r w:rsidRPr="00E40BFA">
              <w:t>1,76±0,16</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1,35±0,19</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1,04±0,24</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67" w:type="pct"/>
          </w:tcPr>
          <w:p w:rsidR="00534FB5" w:rsidRPr="00E40BFA" w:rsidRDefault="00534FB5" w:rsidP="00534FB5">
            <w:pPr>
              <w:spacing w:line="240" w:lineRule="auto"/>
              <w:contextualSpacing/>
            </w:pPr>
            <w:r w:rsidRPr="00E40BFA">
              <w:t>0,58±0,20</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649" w:type="pct"/>
          </w:tcPr>
          <w:p w:rsidR="00534FB5" w:rsidRPr="00E40BFA" w:rsidRDefault="00534FB5" w:rsidP="00534FB5">
            <w:pPr>
              <w:spacing w:line="240" w:lineRule="auto"/>
              <w:contextualSpacing/>
            </w:pPr>
            <w:r w:rsidRPr="00E40BFA">
              <w:t>КГ2</w:t>
            </w:r>
          </w:p>
        </w:tc>
        <w:tc>
          <w:tcPr>
            <w:tcW w:w="1036" w:type="pct"/>
          </w:tcPr>
          <w:p w:rsidR="00534FB5" w:rsidRPr="00E40BFA" w:rsidRDefault="00534FB5" w:rsidP="00534FB5">
            <w:pPr>
              <w:spacing w:line="240" w:lineRule="auto"/>
              <w:contextualSpacing/>
            </w:pPr>
            <w:r w:rsidRPr="00E40BFA">
              <w:t>1,23±0,20</w:t>
            </w:r>
          </w:p>
        </w:tc>
        <w:tc>
          <w:tcPr>
            <w:tcW w:w="1037" w:type="pct"/>
          </w:tcPr>
          <w:p w:rsidR="00534FB5" w:rsidRPr="00E40BFA" w:rsidRDefault="00534FB5" w:rsidP="00534FB5">
            <w:pPr>
              <w:spacing w:line="240" w:lineRule="auto"/>
              <w:contextualSpacing/>
              <w:jc w:val="center"/>
            </w:pPr>
            <w:r w:rsidRPr="00E40BFA">
              <w:t>-</w:t>
            </w:r>
          </w:p>
        </w:tc>
        <w:tc>
          <w:tcPr>
            <w:tcW w:w="1111" w:type="pct"/>
          </w:tcPr>
          <w:p w:rsidR="00534FB5" w:rsidRPr="00E40BFA" w:rsidRDefault="00534FB5" w:rsidP="00534FB5">
            <w:pPr>
              <w:spacing w:line="240" w:lineRule="auto"/>
              <w:contextualSpacing/>
              <w:jc w:val="center"/>
            </w:pPr>
            <w:r w:rsidRPr="00E40BFA">
              <w:t>-</w:t>
            </w:r>
          </w:p>
        </w:tc>
        <w:tc>
          <w:tcPr>
            <w:tcW w:w="1167" w:type="pct"/>
          </w:tcPr>
          <w:p w:rsidR="00534FB5" w:rsidRPr="00E40BFA" w:rsidRDefault="00534FB5" w:rsidP="00534FB5">
            <w:pPr>
              <w:spacing w:line="240" w:lineRule="auto"/>
              <w:contextualSpacing/>
              <w:jc w:val="center"/>
            </w:pPr>
            <w:r w:rsidRPr="00E40BFA">
              <w:t>-</w:t>
            </w:r>
          </w:p>
        </w:tc>
      </w:tr>
      <w:tr w:rsidR="00534FB5" w:rsidRPr="00E40BFA" w:rsidTr="00534FB5">
        <w:tc>
          <w:tcPr>
            <w:tcW w:w="649" w:type="pct"/>
          </w:tcPr>
          <w:p w:rsidR="00534FB5" w:rsidRPr="00E40BFA" w:rsidRDefault="00534FB5" w:rsidP="00534FB5">
            <w:pPr>
              <w:spacing w:line="240" w:lineRule="auto"/>
              <w:contextualSpacing/>
            </w:pPr>
            <w:r w:rsidRPr="00E40BFA">
              <w:t>ОГ2а</w:t>
            </w:r>
          </w:p>
        </w:tc>
        <w:tc>
          <w:tcPr>
            <w:tcW w:w="1036" w:type="pct"/>
          </w:tcPr>
          <w:p w:rsidR="00534FB5" w:rsidRPr="00E40BFA" w:rsidRDefault="00534FB5" w:rsidP="00534FB5">
            <w:pPr>
              <w:spacing w:line="240" w:lineRule="auto"/>
              <w:contextualSpacing/>
            </w:pPr>
            <w:r w:rsidRPr="00E40BFA">
              <w:t>1,74±0,11</w:t>
            </w:r>
          </w:p>
          <w:p w:rsidR="00534FB5" w:rsidRPr="00E40BFA" w:rsidRDefault="00534FB5" w:rsidP="00B673E9">
            <w:pPr>
              <w:spacing w:line="240" w:lineRule="auto"/>
              <w:contextualSpacing/>
            </w:pPr>
            <w:r w:rsidRPr="00E40BFA">
              <w:t>Р</w:t>
            </w:r>
            <w:r w:rsidRPr="00E40BFA">
              <w:rPr>
                <w:vertAlign w:val="subscript"/>
              </w:rPr>
              <w:t>2</w:t>
            </w:r>
            <w:r w:rsidRPr="00E40BFA">
              <w:t>&lt;0,05</w:t>
            </w:r>
          </w:p>
        </w:tc>
        <w:tc>
          <w:tcPr>
            <w:tcW w:w="1037" w:type="pct"/>
          </w:tcPr>
          <w:p w:rsidR="00534FB5" w:rsidRPr="00E40BFA" w:rsidRDefault="00534FB5" w:rsidP="00534FB5">
            <w:pPr>
              <w:spacing w:line="240" w:lineRule="auto"/>
              <w:contextualSpacing/>
            </w:pPr>
            <w:r w:rsidRPr="00E40BFA">
              <w:t>1,37±0,19</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11" w:type="pct"/>
          </w:tcPr>
          <w:p w:rsidR="00534FB5" w:rsidRPr="00E40BFA" w:rsidRDefault="00534FB5" w:rsidP="00534FB5">
            <w:pPr>
              <w:spacing w:line="240" w:lineRule="auto"/>
              <w:contextualSpacing/>
            </w:pPr>
            <w:r w:rsidRPr="00E40BFA">
              <w:t>1,45±0,21</w:t>
            </w:r>
          </w:p>
          <w:p w:rsidR="00534FB5" w:rsidRPr="00E40BFA" w:rsidRDefault="00534FB5" w:rsidP="00B673E9">
            <w:pPr>
              <w:spacing w:line="240" w:lineRule="auto"/>
              <w:contextualSpacing/>
            </w:pPr>
            <w:r w:rsidRPr="00E40BFA">
              <w:t>Р</w:t>
            </w:r>
            <w:r w:rsidRPr="00E40BFA">
              <w:rPr>
                <w:vertAlign w:val="subscript"/>
              </w:rPr>
              <w:t>1</w:t>
            </w:r>
            <w:r w:rsidRPr="00E40BFA">
              <w:t>&gt;0,05</w:t>
            </w:r>
          </w:p>
        </w:tc>
        <w:tc>
          <w:tcPr>
            <w:tcW w:w="1167" w:type="pct"/>
          </w:tcPr>
          <w:p w:rsidR="00534FB5" w:rsidRPr="00E40BFA" w:rsidRDefault="00534FB5" w:rsidP="00534FB5">
            <w:pPr>
              <w:spacing w:line="240" w:lineRule="auto"/>
              <w:contextualSpacing/>
            </w:pPr>
            <w:r w:rsidRPr="00E40BFA">
              <w:t>1,25±0,20</w:t>
            </w:r>
          </w:p>
          <w:p w:rsidR="00534FB5" w:rsidRPr="00E40BFA" w:rsidRDefault="00534FB5" w:rsidP="00B673E9">
            <w:pPr>
              <w:spacing w:line="240" w:lineRule="auto"/>
              <w:contextualSpacing/>
            </w:pPr>
            <w:r w:rsidRPr="00E40BFA">
              <w:t>Р</w:t>
            </w:r>
            <w:r w:rsidRPr="00E40BFA">
              <w:rPr>
                <w:vertAlign w:val="subscript"/>
              </w:rPr>
              <w:t>1</w:t>
            </w:r>
            <w:r w:rsidRPr="00E40BFA">
              <w:t>&gt;0,05</w:t>
            </w:r>
          </w:p>
        </w:tc>
      </w:tr>
      <w:tr w:rsidR="00534FB5" w:rsidRPr="00E40BFA" w:rsidTr="00534FB5">
        <w:tc>
          <w:tcPr>
            <w:tcW w:w="649" w:type="pct"/>
          </w:tcPr>
          <w:p w:rsidR="00534FB5" w:rsidRPr="00E40BFA" w:rsidRDefault="00534FB5" w:rsidP="00534FB5">
            <w:pPr>
              <w:spacing w:line="240" w:lineRule="auto"/>
              <w:contextualSpacing/>
            </w:pPr>
            <w:r w:rsidRPr="00E40BFA">
              <w:t>ОГ2б</w:t>
            </w:r>
          </w:p>
        </w:tc>
        <w:tc>
          <w:tcPr>
            <w:tcW w:w="1036" w:type="pct"/>
          </w:tcPr>
          <w:p w:rsidR="00534FB5" w:rsidRPr="00E40BFA" w:rsidRDefault="00534FB5" w:rsidP="00534FB5">
            <w:pPr>
              <w:spacing w:line="240" w:lineRule="auto"/>
              <w:contextualSpacing/>
            </w:pPr>
            <w:r w:rsidRPr="00E40BFA">
              <w:t>1,68±0,11</w:t>
            </w:r>
          </w:p>
          <w:p w:rsidR="00534FB5" w:rsidRPr="00E40BFA" w:rsidRDefault="00534FB5" w:rsidP="00534FB5">
            <w:pPr>
              <w:spacing w:line="240" w:lineRule="auto"/>
              <w:contextualSpacing/>
            </w:pPr>
            <w:r w:rsidRPr="00E40BFA">
              <w:t>Р</w:t>
            </w:r>
            <w:r w:rsidRPr="00E40BFA">
              <w:rPr>
                <w:vertAlign w:val="subscript"/>
              </w:rPr>
              <w:t>1</w:t>
            </w:r>
            <w:r>
              <w:t>&lt;</w:t>
            </w:r>
            <w:r w:rsidRPr="00E40BFA">
              <w: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1,03±0,20</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1,30±0,15</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67" w:type="pct"/>
          </w:tcPr>
          <w:p w:rsidR="00534FB5" w:rsidRPr="00E40BFA" w:rsidRDefault="00534FB5" w:rsidP="00534FB5">
            <w:pPr>
              <w:spacing w:line="240" w:lineRule="auto"/>
              <w:contextualSpacing/>
            </w:pPr>
            <w:r w:rsidRPr="00E40BFA">
              <w:t>0,62±0,20</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&lt;0,05</w:t>
            </w:r>
          </w:p>
        </w:tc>
      </w:tr>
      <w:tr w:rsidR="00534FB5" w:rsidRPr="00E40BFA" w:rsidTr="00534FB5">
        <w:tc>
          <w:tcPr>
            <w:tcW w:w="649" w:type="pct"/>
          </w:tcPr>
          <w:p w:rsidR="00534FB5" w:rsidRPr="00E40BFA" w:rsidRDefault="00534FB5" w:rsidP="00534FB5">
            <w:pPr>
              <w:spacing w:line="240" w:lineRule="auto"/>
              <w:contextualSpacing/>
            </w:pPr>
            <w:r w:rsidRPr="00E40BFA">
              <w:t>КГ3</w:t>
            </w:r>
          </w:p>
        </w:tc>
        <w:tc>
          <w:tcPr>
            <w:tcW w:w="1036" w:type="pct"/>
          </w:tcPr>
          <w:p w:rsidR="00534FB5" w:rsidRPr="00E40BFA" w:rsidRDefault="00534FB5" w:rsidP="00534FB5">
            <w:pPr>
              <w:spacing w:line="240" w:lineRule="auto"/>
              <w:contextualSpacing/>
            </w:pPr>
            <w:r w:rsidRPr="00E40BFA">
              <w:t>1,19±0,15</w:t>
            </w:r>
          </w:p>
        </w:tc>
        <w:tc>
          <w:tcPr>
            <w:tcW w:w="1037" w:type="pct"/>
          </w:tcPr>
          <w:p w:rsidR="00534FB5" w:rsidRPr="00E40BFA" w:rsidRDefault="00534FB5" w:rsidP="00534FB5">
            <w:pPr>
              <w:spacing w:line="240" w:lineRule="auto"/>
              <w:contextualSpacing/>
              <w:jc w:val="center"/>
            </w:pPr>
            <w:r w:rsidRPr="00E40BFA">
              <w:t>-</w:t>
            </w:r>
          </w:p>
        </w:tc>
        <w:tc>
          <w:tcPr>
            <w:tcW w:w="1111" w:type="pct"/>
          </w:tcPr>
          <w:p w:rsidR="00534FB5" w:rsidRPr="00E40BFA" w:rsidRDefault="00534FB5" w:rsidP="00534FB5">
            <w:pPr>
              <w:spacing w:line="240" w:lineRule="auto"/>
              <w:contextualSpacing/>
              <w:jc w:val="center"/>
            </w:pPr>
            <w:r w:rsidRPr="00E40BFA">
              <w:t>-</w:t>
            </w:r>
          </w:p>
        </w:tc>
        <w:tc>
          <w:tcPr>
            <w:tcW w:w="1167" w:type="pct"/>
          </w:tcPr>
          <w:p w:rsidR="00534FB5" w:rsidRPr="00E40BFA" w:rsidRDefault="00534FB5" w:rsidP="00534FB5">
            <w:pPr>
              <w:spacing w:line="240" w:lineRule="auto"/>
              <w:contextualSpacing/>
              <w:jc w:val="center"/>
            </w:pPr>
            <w:r w:rsidRPr="00E40BFA">
              <w:t>-</w:t>
            </w:r>
          </w:p>
        </w:tc>
      </w:tr>
      <w:tr w:rsidR="00534FB5" w:rsidRPr="00E40BFA" w:rsidTr="00534FB5">
        <w:tc>
          <w:tcPr>
            <w:tcW w:w="649" w:type="pct"/>
          </w:tcPr>
          <w:p w:rsidR="00534FB5" w:rsidRPr="00E40BFA" w:rsidRDefault="00534FB5" w:rsidP="00534FB5">
            <w:pPr>
              <w:spacing w:line="240" w:lineRule="auto"/>
              <w:contextualSpacing/>
            </w:pPr>
            <w:r w:rsidRPr="00E40BFA">
              <w:t>ОГ3а</w:t>
            </w:r>
          </w:p>
        </w:tc>
        <w:tc>
          <w:tcPr>
            <w:tcW w:w="1036" w:type="pct"/>
          </w:tcPr>
          <w:p w:rsidR="00534FB5" w:rsidRPr="00E40BFA" w:rsidRDefault="00534FB5" w:rsidP="00534FB5">
            <w:pPr>
              <w:spacing w:line="240" w:lineRule="auto"/>
              <w:contextualSpacing/>
            </w:pPr>
            <w:r w:rsidRPr="00E40BFA">
              <w:t>1,65±0,10</w:t>
            </w:r>
          </w:p>
          <w:p w:rsidR="00534FB5" w:rsidRPr="00E40BFA" w:rsidRDefault="00534FB5" w:rsidP="00B673E9">
            <w:pPr>
              <w:spacing w:line="240" w:lineRule="auto"/>
              <w:contextualSpacing/>
            </w:pPr>
            <w:r w:rsidRPr="00E40BFA">
              <w:t>Р</w:t>
            </w:r>
            <w:r w:rsidRPr="00E40BFA">
              <w:rPr>
                <w:vertAlign w:val="subscript"/>
              </w:rPr>
              <w:t>2</w:t>
            </w:r>
            <w:r w:rsidRPr="00E40BFA">
              <w:t>&lt;0,05</w:t>
            </w:r>
          </w:p>
        </w:tc>
        <w:tc>
          <w:tcPr>
            <w:tcW w:w="1037" w:type="pct"/>
          </w:tcPr>
          <w:p w:rsidR="00534FB5" w:rsidRPr="00E40BFA" w:rsidRDefault="00534FB5" w:rsidP="00534FB5">
            <w:pPr>
              <w:spacing w:line="240" w:lineRule="auto"/>
              <w:contextualSpacing/>
            </w:pPr>
            <w:r w:rsidRPr="00E40BFA">
              <w:t>1,32±0,21</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11" w:type="pct"/>
          </w:tcPr>
          <w:p w:rsidR="00534FB5" w:rsidRPr="00E40BFA" w:rsidRDefault="00534FB5" w:rsidP="00534FB5">
            <w:pPr>
              <w:spacing w:line="240" w:lineRule="auto"/>
              <w:contextualSpacing/>
            </w:pPr>
            <w:r w:rsidRPr="00E40BFA">
              <w:t>1,36±0,14</w:t>
            </w:r>
          </w:p>
          <w:p w:rsidR="00534FB5" w:rsidRPr="00E40BFA" w:rsidRDefault="00534FB5" w:rsidP="00B673E9">
            <w:pPr>
              <w:spacing w:line="240" w:lineRule="auto"/>
              <w:contextualSpacing/>
            </w:pPr>
            <w:r w:rsidRPr="00E40BFA">
              <w:t>Р</w:t>
            </w:r>
            <w:r w:rsidRPr="00E40BFA">
              <w:rPr>
                <w:vertAlign w:val="subscript"/>
              </w:rPr>
              <w:t>2</w:t>
            </w:r>
            <w:r w:rsidRPr="00E40BFA">
              <w:t>&gt;0,05</w:t>
            </w:r>
          </w:p>
        </w:tc>
        <w:tc>
          <w:tcPr>
            <w:tcW w:w="1167" w:type="pct"/>
          </w:tcPr>
          <w:p w:rsidR="00534FB5" w:rsidRPr="00E40BFA" w:rsidRDefault="00534FB5" w:rsidP="00534FB5">
            <w:pPr>
              <w:spacing w:line="240" w:lineRule="auto"/>
              <w:contextualSpacing/>
            </w:pPr>
            <w:r w:rsidRPr="00E40BFA">
              <w:t>1,12±0,19</w:t>
            </w:r>
          </w:p>
          <w:p w:rsidR="00534FB5" w:rsidRPr="00E40BFA" w:rsidRDefault="00534FB5" w:rsidP="00B673E9">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534FB5">
            <w:pPr>
              <w:spacing w:line="240" w:lineRule="auto"/>
              <w:contextualSpacing/>
            </w:pPr>
            <w:r w:rsidRPr="00E40BFA">
              <w:t>ОГ3б</w:t>
            </w:r>
          </w:p>
        </w:tc>
        <w:tc>
          <w:tcPr>
            <w:tcW w:w="1036" w:type="pct"/>
          </w:tcPr>
          <w:p w:rsidR="00534FB5" w:rsidRPr="00E40BFA" w:rsidRDefault="00534FB5" w:rsidP="00534FB5">
            <w:pPr>
              <w:spacing w:line="240" w:lineRule="auto"/>
              <w:contextualSpacing/>
            </w:pPr>
            <w:r w:rsidRPr="00E40BFA">
              <w:t>1,65±0,11</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0,96±0,21</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0,59±0,20</w:t>
            </w:r>
          </w:p>
          <w:p w:rsidR="00534FB5" w:rsidRPr="00E40BFA" w:rsidRDefault="00534FB5" w:rsidP="00534FB5">
            <w:pPr>
              <w:spacing w:line="240" w:lineRule="auto"/>
              <w:contextualSpacing/>
            </w:pPr>
            <w:r w:rsidRPr="00E40BFA">
              <w:t>Р</w:t>
            </w:r>
            <w:r w:rsidRPr="00E40BFA">
              <w:rPr>
                <w:vertAlign w:val="subscript"/>
              </w:rPr>
              <w:t>1</w:t>
            </w:r>
            <w:r w:rsidRPr="00E40BFA">
              <w:t>&lt;0,05</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0,40±0,17</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bl>
    <w:p w:rsidR="00534FB5"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96B5D" w:rsidRPr="00110BE4" w:rsidRDefault="00596B5D" w:rsidP="00534FB5">
      <w:pPr>
        <w:spacing w:line="240" w:lineRule="auto"/>
        <w:ind w:left="-142"/>
        <w:contextualSpacing/>
        <w:rPr>
          <w:sz w:val="24"/>
        </w:rPr>
      </w:pPr>
    </w:p>
    <w:p w:rsidR="00534FB5" w:rsidRPr="00110BE4" w:rsidRDefault="00534FB5" w:rsidP="00534FB5">
      <w:pPr>
        <w:tabs>
          <w:tab w:val="left" w:pos="4253"/>
        </w:tabs>
        <w:ind w:firstLine="709"/>
        <w:contextualSpacing/>
        <w:rPr>
          <w:color w:val="000000"/>
          <w:shd w:val="clear" w:color="auto" w:fill="FFFFFF"/>
          <w:lang w:val="ru-RU"/>
        </w:rPr>
      </w:pPr>
      <w:r w:rsidRPr="00EE5D48">
        <w:rPr>
          <w:color w:val="000000"/>
          <w:shd w:val="clear" w:color="auto" w:fill="FFFFFF"/>
        </w:rPr>
        <w:t>Оцінку потреби в лікуванні проводили на підставі аналізу індексу і його складових.</w:t>
      </w:r>
      <w:r>
        <w:rPr>
          <w:color w:val="000000"/>
          <w:shd w:val="clear" w:color="auto" w:fill="FFFFFF"/>
        </w:rPr>
        <w:t xml:space="preserve"> Результати </w:t>
      </w:r>
      <w:r w:rsidRPr="00EE5D48">
        <w:rPr>
          <w:color w:val="000000"/>
          <w:shd w:val="clear" w:color="auto" w:fill="FFFFFF"/>
        </w:rPr>
        <w:t>оцінки інтенсивності, поширено</w:t>
      </w:r>
      <w:r>
        <w:rPr>
          <w:color w:val="000000"/>
          <w:shd w:val="clear" w:color="auto" w:fill="FFFFFF"/>
        </w:rPr>
        <w:t xml:space="preserve">сті захворювань </w:t>
      </w:r>
      <w:r>
        <w:rPr>
          <w:color w:val="000000"/>
          <w:shd w:val="clear" w:color="auto" w:fill="FFFFFF"/>
        </w:rPr>
        <w:lastRenderedPageBreak/>
        <w:t>тканин пародонта</w:t>
      </w:r>
      <w:r w:rsidRPr="00EE5D48">
        <w:rPr>
          <w:color w:val="000000"/>
          <w:shd w:val="clear" w:color="auto" w:fill="FFFFFF"/>
        </w:rPr>
        <w:t xml:space="preserve"> серед обстежених груп дітей</w:t>
      </w:r>
      <w:r>
        <w:rPr>
          <w:color w:val="000000"/>
          <w:shd w:val="clear" w:color="auto" w:fill="FFFFFF"/>
        </w:rPr>
        <w:t xml:space="preserve"> наведено в таблиці 4.3.2.</w:t>
      </w:r>
    </w:p>
    <w:p w:rsidR="00534FB5" w:rsidRDefault="00534FB5" w:rsidP="00534FB5">
      <w:pPr>
        <w:ind w:firstLine="567"/>
        <w:contextualSpacing/>
      </w:pPr>
      <w:r>
        <w:t xml:space="preserve">На рисунках 4.3.4 – 4.3.6 </w:t>
      </w:r>
      <w:r w:rsidRPr="00E40BFA">
        <w:t xml:space="preserve">зображено динаміку змін </w:t>
      </w:r>
      <w:r w:rsidRPr="00E40BFA">
        <w:rPr>
          <w:color w:val="000000"/>
          <w:shd w:val="clear" w:color="auto" w:fill="FFFFFF"/>
        </w:rPr>
        <w:t xml:space="preserve">індексу </w:t>
      </w:r>
      <w:r w:rsidRPr="00EE5D48">
        <w:rPr>
          <w:color w:val="000000"/>
          <w:shd w:val="clear" w:color="auto" w:fill="FFFFFF"/>
        </w:rPr>
        <w:t>CPITN</w:t>
      </w:r>
      <w:r w:rsidRPr="00E40BFA">
        <w:rPr>
          <w:color w:val="000000"/>
          <w:shd w:val="clear" w:color="auto" w:fill="FFFFFF"/>
        </w:rPr>
        <w:t xml:space="preserve"> </w:t>
      </w:r>
      <w:r w:rsidRPr="00E40BFA">
        <w:t>у дітей</w:t>
      </w:r>
      <w:r>
        <w:t xml:space="preserve"> ОГ та КГ</w:t>
      </w:r>
      <w:r w:rsidRPr="00E40BFA">
        <w:t xml:space="preserve"> до та після проведення лікувально-профілактичних заходів.</w:t>
      </w:r>
    </w:p>
    <w:p w:rsidR="00534FB5" w:rsidRDefault="00534FB5" w:rsidP="00534FB5">
      <w:pPr>
        <w:ind w:firstLine="567"/>
        <w:contextualSpacing/>
      </w:pPr>
    </w:p>
    <w:p w:rsidR="00534FB5" w:rsidRDefault="006C493E" w:rsidP="00534FB5">
      <w:pPr>
        <w:contextualSpacing/>
        <w:jc w:val="center"/>
      </w:pPr>
      <w:r>
        <w:rPr>
          <w:noProof/>
          <w:lang w:val="ru-RU"/>
        </w:rPr>
        <w:drawing>
          <wp:inline distT="0" distB="0" distL="0" distR="0">
            <wp:extent cx="4638675" cy="2781300"/>
            <wp:effectExtent l="0" t="0" r="0" b="0"/>
            <wp:docPr id="48" name="Объект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34FB5" w:rsidRDefault="00534FB5" w:rsidP="00534FB5">
      <w:pPr>
        <w:tabs>
          <w:tab w:val="left" w:pos="4253"/>
        </w:tabs>
        <w:ind w:firstLine="567"/>
        <w:contextualSpacing/>
      </w:pPr>
      <w:r w:rsidRPr="00E40BFA">
        <w:rPr>
          <w:noProof/>
          <w:lang w:eastAsia="uk-UA"/>
        </w:rPr>
        <w:t xml:space="preserve">Рис. </w:t>
      </w:r>
      <w:r>
        <w:rPr>
          <w:noProof/>
          <w:lang w:eastAsia="uk-UA"/>
        </w:rPr>
        <w:t>4</w:t>
      </w:r>
      <w:r w:rsidRPr="00E40BFA">
        <w:rPr>
          <w:noProof/>
          <w:lang w:eastAsia="uk-UA"/>
        </w:rPr>
        <w:t>.</w:t>
      </w:r>
      <w:r>
        <w:rPr>
          <w:noProof/>
          <w:lang w:eastAsia="uk-UA"/>
        </w:rPr>
        <w:t>3.4.</w:t>
      </w:r>
      <w:r w:rsidRPr="00E40BFA">
        <w:t xml:space="preserve"> Динаміка змін </w:t>
      </w:r>
      <w:r w:rsidRPr="00E40BFA">
        <w:rPr>
          <w:color w:val="000000"/>
          <w:shd w:val="clear" w:color="auto" w:fill="FFFFFF"/>
        </w:rPr>
        <w:t>комунального індексу потр</w:t>
      </w:r>
      <w:r>
        <w:rPr>
          <w:color w:val="000000"/>
          <w:shd w:val="clear" w:color="auto" w:fill="FFFFFF"/>
        </w:rPr>
        <w:t>еби в лікуванні хвороб пародонта</w:t>
      </w:r>
      <w:r w:rsidRPr="00E40BFA">
        <w:rPr>
          <w:color w:val="000000"/>
          <w:shd w:val="clear" w:color="auto" w:fill="FFFFFF"/>
        </w:rPr>
        <w:t xml:space="preserve"> </w:t>
      </w:r>
      <w:r w:rsidRPr="00E40BFA">
        <w:t>у дітей</w:t>
      </w:r>
      <w:r>
        <w:t xml:space="preserve"> </w:t>
      </w:r>
      <w:r w:rsidRPr="00E40BFA">
        <w:t>7-8 років основної та контрольної груп до та після проведення лікувально-профілактичних заходів.</w:t>
      </w:r>
    </w:p>
    <w:p w:rsidR="00534FB5" w:rsidRDefault="00534FB5" w:rsidP="00534FB5">
      <w:pPr>
        <w:tabs>
          <w:tab w:val="left" w:pos="4253"/>
        </w:tabs>
        <w:contextualSpacing/>
        <w:rPr>
          <w:noProof/>
          <w:lang w:val="ru-RU" w:eastAsia="uk-UA"/>
        </w:rPr>
      </w:pPr>
    </w:p>
    <w:p w:rsidR="00534FB5" w:rsidRDefault="00534FB5" w:rsidP="00534FB5">
      <w:pPr>
        <w:ind w:firstLine="709"/>
        <w:contextualSpacing/>
      </w:pPr>
      <w:r>
        <w:t>На рисунку 4.3.4 представлено дані, аналіз яких дав змогу зробити висновок, що у</w:t>
      </w:r>
      <w:r w:rsidRPr="00E40BFA">
        <w:t xml:space="preserve"> дітей ОГ1а через 12 місяців від початку проведення традиційних лікувально-профілактичних заходів індекс </w:t>
      </w:r>
      <w:r w:rsidRPr="00E40BFA">
        <w:rPr>
          <w:color w:val="000000"/>
          <w:shd w:val="clear" w:color="auto" w:fill="FFFFFF"/>
        </w:rPr>
        <w:t>CPITN</w:t>
      </w:r>
      <w:r w:rsidRPr="00E40BFA">
        <w:t xml:space="preserve"> с</w:t>
      </w:r>
      <w:r>
        <w:t>танови</w:t>
      </w:r>
      <w:r w:rsidRPr="00E40BFA">
        <w:t>в 1,18±0,20 і достовірно (Р&gt;0,05) не відрізнявся від індексу дітей КГ1 (1,08±0,23).</w:t>
      </w:r>
      <w:r>
        <w:t xml:space="preserve"> </w:t>
      </w:r>
      <w:r w:rsidRPr="00E40BFA">
        <w:t>В</w:t>
      </w:r>
      <w:r>
        <w:t xml:space="preserve"> </w:t>
      </w:r>
      <w:r w:rsidRPr="00E40BFA">
        <w:t>ОГ1б</w:t>
      </w:r>
      <w:r>
        <w:t xml:space="preserve"> </w:t>
      </w:r>
      <w:r w:rsidRPr="00E40BFA">
        <w:t xml:space="preserve">наприкінці строку спостереження індекс </w:t>
      </w:r>
      <w:r w:rsidRPr="00E40BFA">
        <w:rPr>
          <w:color w:val="000000"/>
          <w:shd w:val="clear" w:color="auto" w:fill="FFFFFF"/>
        </w:rPr>
        <w:t>CPITN</w:t>
      </w:r>
      <w:r w:rsidRPr="00E40BFA">
        <w:t xml:space="preserve"> був </w:t>
      </w:r>
      <w:r>
        <w:t>у</w:t>
      </w:r>
      <w:r w:rsidRPr="00E40BFA">
        <w:t xml:space="preserve"> 2 рази нижчий (0,58±0,20)</w:t>
      </w:r>
      <w:r>
        <w:t>,</w:t>
      </w:r>
      <w:r w:rsidRPr="00E40BFA">
        <w:t xml:space="preserve"> порівняно з дітьми КГ1 (1,08±0,23)</w:t>
      </w:r>
      <w:r>
        <w:t xml:space="preserve"> (</w:t>
      </w:r>
      <w:r w:rsidRPr="00E40BFA">
        <w:t>Р&lt;0,05</w:t>
      </w:r>
      <w:r>
        <w:t>)</w:t>
      </w:r>
      <w:r w:rsidRPr="00E40BFA">
        <w:t>.</w:t>
      </w:r>
      <w:r>
        <w:t xml:space="preserve"> </w:t>
      </w:r>
      <w:r w:rsidRPr="00E40BFA">
        <w:t>Через 1, 6 та 12 місяців</w:t>
      </w:r>
      <w:r>
        <w:t xml:space="preserve"> </w:t>
      </w:r>
      <w:r w:rsidRPr="00E40BFA">
        <w:t>від початку проведення лікувально-профілактичних заходів в ОГ1б</w:t>
      </w:r>
      <w:r>
        <w:t>,</w:t>
      </w:r>
      <w:r w:rsidRPr="00E40BFA">
        <w:t xml:space="preserve"> порівняно з ОГ1а</w:t>
      </w:r>
      <w:r>
        <w:t xml:space="preserve">, </w:t>
      </w:r>
      <w:r w:rsidRPr="00E40BFA">
        <w:t xml:space="preserve">індекс </w:t>
      </w:r>
      <w:r w:rsidRPr="00E40BFA">
        <w:rPr>
          <w:color w:val="000000"/>
          <w:shd w:val="clear" w:color="auto" w:fill="FFFFFF"/>
        </w:rPr>
        <w:t>CPITN</w:t>
      </w:r>
      <w:r>
        <w:t xml:space="preserve"> </w:t>
      </w:r>
      <w:r w:rsidRPr="00E40BFA">
        <w:t xml:space="preserve">був </w:t>
      </w:r>
      <w:r>
        <w:t>у</w:t>
      </w:r>
      <w:r w:rsidRPr="00E40BFA">
        <w:t xml:space="preserve"> 1,2</w:t>
      </w:r>
      <w:r>
        <w:t> раза</w:t>
      </w:r>
      <w:r w:rsidRPr="00E40BFA">
        <w:t>, 1,</w:t>
      </w:r>
      <w:r>
        <w:t>4 раза та 2 рази нижчий (табл. 4.3.2</w:t>
      </w:r>
      <w:r w:rsidRPr="00E40BFA">
        <w:t>).</w:t>
      </w:r>
    </w:p>
    <w:p w:rsidR="00534FB5" w:rsidRPr="00110BE4" w:rsidRDefault="00534FB5" w:rsidP="00534FB5">
      <w:pPr>
        <w:tabs>
          <w:tab w:val="left" w:pos="4253"/>
        </w:tabs>
        <w:contextualSpacing/>
        <w:rPr>
          <w:noProof/>
          <w:lang w:val="ru-RU" w:eastAsia="uk-UA"/>
        </w:rPr>
      </w:pPr>
    </w:p>
    <w:p w:rsidR="00534FB5" w:rsidRDefault="006C493E" w:rsidP="00534FB5">
      <w:pPr>
        <w:tabs>
          <w:tab w:val="left" w:pos="4253"/>
        </w:tabs>
        <w:contextualSpacing/>
        <w:jc w:val="center"/>
        <w:rPr>
          <w:noProof/>
          <w:lang w:eastAsia="uk-UA"/>
        </w:rPr>
      </w:pPr>
      <w:r>
        <w:rPr>
          <w:noProof/>
          <w:lang w:val="ru-RU"/>
        </w:rPr>
        <w:lastRenderedPageBreak/>
        <w:drawing>
          <wp:inline distT="0" distB="0" distL="0" distR="0">
            <wp:extent cx="4667250" cy="2781300"/>
            <wp:effectExtent l="0" t="0" r="0" b="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34FB5" w:rsidRDefault="00534FB5" w:rsidP="00534FB5">
      <w:pPr>
        <w:tabs>
          <w:tab w:val="left" w:pos="4253"/>
        </w:tabs>
        <w:ind w:firstLine="709"/>
        <w:contextualSpacing/>
        <w:rPr>
          <w:lang w:val="ru-RU"/>
        </w:rPr>
      </w:pPr>
      <w:r w:rsidRPr="00E40BFA">
        <w:rPr>
          <w:noProof/>
          <w:lang w:eastAsia="uk-UA"/>
        </w:rPr>
        <w:t xml:space="preserve">Рис. </w:t>
      </w:r>
      <w:r>
        <w:rPr>
          <w:noProof/>
          <w:lang w:eastAsia="uk-UA"/>
        </w:rPr>
        <w:t>4</w:t>
      </w:r>
      <w:r w:rsidRPr="00E40BFA">
        <w:rPr>
          <w:noProof/>
          <w:lang w:eastAsia="uk-UA"/>
        </w:rPr>
        <w:t>.</w:t>
      </w:r>
      <w:r>
        <w:rPr>
          <w:noProof/>
          <w:lang w:eastAsia="uk-UA"/>
        </w:rPr>
        <w:t>3.5.</w:t>
      </w:r>
      <w:r w:rsidRPr="00E40BFA">
        <w:rPr>
          <w:noProof/>
          <w:lang w:eastAsia="uk-UA"/>
        </w:rPr>
        <w:t xml:space="preserve"> </w:t>
      </w:r>
      <w:r w:rsidRPr="00E40BFA">
        <w:t xml:space="preserve">Динаміка змін </w:t>
      </w:r>
      <w:r w:rsidRPr="00E40BFA">
        <w:rPr>
          <w:color w:val="000000"/>
          <w:shd w:val="clear" w:color="auto" w:fill="FFFFFF"/>
        </w:rPr>
        <w:t>комунального індексу потр</w:t>
      </w:r>
      <w:r>
        <w:rPr>
          <w:color w:val="000000"/>
          <w:shd w:val="clear" w:color="auto" w:fill="FFFFFF"/>
        </w:rPr>
        <w:t>еби в лікуванні хвороб пародонта</w:t>
      </w:r>
      <w:r w:rsidRPr="00E40BFA">
        <w:rPr>
          <w:color w:val="000000"/>
          <w:shd w:val="clear" w:color="auto" w:fill="FFFFFF"/>
        </w:rPr>
        <w:t xml:space="preserve"> </w:t>
      </w:r>
      <w:r w:rsidRPr="00E40BFA">
        <w:t>у дітей 11-12 років основної та контрольної груп до та після проведення лікувально-профілактичних заходів.</w:t>
      </w:r>
    </w:p>
    <w:p w:rsidR="00534FB5" w:rsidRPr="00110BE4" w:rsidRDefault="00534FB5" w:rsidP="00534FB5">
      <w:pPr>
        <w:tabs>
          <w:tab w:val="left" w:pos="4253"/>
        </w:tabs>
        <w:contextualSpacing/>
        <w:rPr>
          <w:noProof/>
          <w:lang w:val="ru-RU" w:eastAsia="uk-UA"/>
        </w:rPr>
      </w:pPr>
    </w:p>
    <w:p w:rsidR="00534FB5" w:rsidRDefault="006C493E" w:rsidP="00596B5D">
      <w:pPr>
        <w:jc w:val="center"/>
      </w:pPr>
      <w:r>
        <w:rPr>
          <w:noProof/>
          <w:lang w:val="ru-RU"/>
        </w:rPr>
        <w:drawing>
          <wp:inline distT="0" distB="0" distL="0" distR="0">
            <wp:extent cx="4676775" cy="2724150"/>
            <wp:effectExtent l="0" t="0" r="0" b="0"/>
            <wp:docPr id="50" name="Объект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34FB5" w:rsidRDefault="00534FB5" w:rsidP="00534FB5">
      <w:pPr>
        <w:ind w:firstLine="709"/>
      </w:pPr>
      <w:r w:rsidRPr="00E40BFA">
        <w:rPr>
          <w:noProof/>
          <w:lang w:eastAsia="uk-UA"/>
        </w:rPr>
        <w:t xml:space="preserve">Рис. </w:t>
      </w:r>
      <w:r>
        <w:rPr>
          <w:noProof/>
          <w:lang w:eastAsia="uk-UA"/>
        </w:rPr>
        <w:t>4</w:t>
      </w:r>
      <w:r w:rsidRPr="00E40BFA">
        <w:rPr>
          <w:noProof/>
          <w:lang w:eastAsia="uk-UA"/>
        </w:rPr>
        <w:t>.3.</w:t>
      </w:r>
      <w:r>
        <w:rPr>
          <w:noProof/>
          <w:lang w:eastAsia="uk-UA"/>
        </w:rPr>
        <w:t>6.</w:t>
      </w:r>
      <w:r w:rsidRPr="00E40BFA">
        <w:rPr>
          <w:noProof/>
          <w:lang w:eastAsia="uk-UA"/>
        </w:rPr>
        <w:t xml:space="preserve"> </w:t>
      </w:r>
      <w:r w:rsidRPr="00E40BFA">
        <w:t xml:space="preserve">Динаміка змін </w:t>
      </w:r>
      <w:r w:rsidRPr="00E40BFA">
        <w:rPr>
          <w:color w:val="000000"/>
          <w:shd w:val="clear" w:color="auto" w:fill="FFFFFF"/>
        </w:rPr>
        <w:t>комунального індексу потреби в лікуванні хвороб пародонт</w:t>
      </w:r>
      <w:r>
        <w:rPr>
          <w:color w:val="000000"/>
          <w:shd w:val="clear" w:color="auto" w:fill="FFFFFF"/>
        </w:rPr>
        <w:t>а</w:t>
      </w:r>
      <w:r w:rsidRPr="00E40BFA">
        <w:t xml:space="preserve"> у дітей 14-15 років основної та контрольної груп до та після проведення лікувально-пр</w:t>
      </w:r>
      <w:r>
        <w:t>офілактичних заходів.</w:t>
      </w:r>
    </w:p>
    <w:p w:rsidR="00534FB5" w:rsidRDefault="00534FB5" w:rsidP="00534FB5"/>
    <w:p w:rsidR="00534FB5" w:rsidRPr="000646A4" w:rsidRDefault="00534FB5" w:rsidP="00534FB5">
      <w:pPr>
        <w:ind w:firstLine="709"/>
        <w:rPr>
          <w:spacing w:val="-6"/>
        </w:rPr>
      </w:pPr>
      <w:r w:rsidRPr="000646A4">
        <w:rPr>
          <w:spacing w:val="-6"/>
        </w:rPr>
        <w:t>У ДВГ 11-12 років через рік після початку проведення</w:t>
      </w:r>
      <w:r>
        <w:rPr>
          <w:spacing w:val="-6"/>
        </w:rPr>
        <w:t xml:space="preserve"> </w:t>
      </w:r>
      <w:r w:rsidRPr="000646A4">
        <w:rPr>
          <w:spacing w:val="-6"/>
        </w:rPr>
        <w:t xml:space="preserve">стандартних лікувально-профілактичних заходів індекс </w:t>
      </w:r>
      <w:r w:rsidRPr="000646A4">
        <w:rPr>
          <w:color w:val="000000"/>
          <w:spacing w:val="-6"/>
          <w:shd w:val="clear" w:color="auto" w:fill="FFFFFF"/>
        </w:rPr>
        <w:t>CPITN</w:t>
      </w:r>
      <w:r w:rsidRPr="000646A4">
        <w:rPr>
          <w:spacing w:val="-6"/>
        </w:rPr>
        <w:t xml:space="preserve"> с</w:t>
      </w:r>
      <w:r>
        <w:rPr>
          <w:spacing w:val="-6"/>
        </w:rPr>
        <w:t>танови</w:t>
      </w:r>
      <w:r w:rsidRPr="000646A4">
        <w:rPr>
          <w:spacing w:val="-6"/>
        </w:rPr>
        <w:t xml:space="preserve">в 1,25±0,20 і достовірно (Р&gt;0,05) не відрізнявся від індексу дітей КГ2 (1,23±0,20). </w:t>
      </w:r>
      <w:r>
        <w:rPr>
          <w:spacing w:val="-6"/>
        </w:rPr>
        <w:t>У</w:t>
      </w:r>
      <w:r w:rsidRPr="000646A4">
        <w:rPr>
          <w:spacing w:val="-6"/>
        </w:rPr>
        <w:t xml:space="preserve"> групі </w:t>
      </w:r>
      <w:r w:rsidRPr="000646A4">
        <w:rPr>
          <w:spacing w:val="-6"/>
        </w:rPr>
        <w:lastRenderedPageBreak/>
        <w:t>дітей, які отримували запропонований комплекс лікувально-профілактичних заходів</w:t>
      </w:r>
      <w:r>
        <w:rPr>
          <w:spacing w:val="-6"/>
        </w:rPr>
        <w:t>,</w:t>
      </w:r>
      <w:r w:rsidRPr="000646A4">
        <w:rPr>
          <w:spacing w:val="-6"/>
        </w:rPr>
        <w:t xml:space="preserve"> через 12 місяців </w:t>
      </w:r>
      <w:r>
        <w:rPr>
          <w:spacing w:val="-6"/>
        </w:rPr>
        <w:t>спостерігалося</w:t>
      </w:r>
      <w:r w:rsidRPr="000646A4">
        <w:rPr>
          <w:spacing w:val="-6"/>
        </w:rPr>
        <w:t xml:space="preserve"> більш значне зниження індексу </w:t>
      </w:r>
      <w:r w:rsidRPr="000646A4">
        <w:rPr>
          <w:color w:val="000000"/>
          <w:spacing w:val="-6"/>
          <w:shd w:val="clear" w:color="auto" w:fill="FFFFFF"/>
        </w:rPr>
        <w:t>CPITN</w:t>
      </w:r>
      <w:r w:rsidRPr="000646A4">
        <w:rPr>
          <w:spacing w:val="-6"/>
        </w:rPr>
        <w:t xml:space="preserve"> (0,62±0,20)</w:t>
      </w:r>
      <w:r>
        <w:rPr>
          <w:spacing w:val="-6"/>
        </w:rPr>
        <w:t>,</w:t>
      </w:r>
      <w:r w:rsidRPr="000646A4">
        <w:rPr>
          <w:spacing w:val="-6"/>
        </w:rPr>
        <w:t xml:space="preserve"> порівняно з дітьми КГ2 (1,23±0,20) (Р&lt;0,05). Через 1, 6 та 12 місяців від початку проведення лікувально-профілактичних заходів в ОГ2б</w:t>
      </w:r>
      <w:r>
        <w:rPr>
          <w:spacing w:val="-6"/>
        </w:rPr>
        <w:t>,</w:t>
      </w:r>
      <w:r w:rsidRPr="000646A4">
        <w:rPr>
          <w:spacing w:val="-6"/>
        </w:rPr>
        <w:t xml:space="preserve"> порівняно з ОГ2а</w:t>
      </w:r>
      <w:r>
        <w:rPr>
          <w:spacing w:val="-6"/>
        </w:rPr>
        <w:t xml:space="preserve">, </w:t>
      </w:r>
      <w:r w:rsidRPr="000646A4">
        <w:rPr>
          <w:spacing w:val="-6"/>
        </w:rPr>
        <w:t xml:space="preserve">індекс </w:t>
      </w:r>
      <w:r w:rsidRPr="000646A4">
        <w:rPr>
          <w:color w:val="000000"/>
          <w:spacing w:val="-6"/>
          <w:shd w:val="clear" w:color="auto" w:fill="FFFFFF"/>
        </w:rPr>
        <w:t>CPITN</w:t>
      </w:r>
      <w:r>
        <w:rPr>
          <w:spacing w:val="-6"/>
        </w:rPr>
        <w:t xml:space="preserve"> </w:t>
      </w:r>
      <w:r w:rsidRPr="000646A4">
        <w:rPr>
          <w:spacing w:val="-6"/>
        </w:rPr>
        <w:t>був</w:t>
      </w:r>
      <w:r>
        <w:rPr>
          <w:spacing w:val="-6"/>
        </w:rPr>
        <w:t xml:space="preserve"> </w:t>
      </w:r>
      <w:r w:rsidRPr="000646A4">
        <w:rPr>
          <w:spacing w:val="-6"/>
        </w:rPr>
        <w:t>у 1,3</w:t>
      </w:r>
      <w:r>
        <w:rPr>
          <w:spacing w:val="-6"/>
        </w:rPr>
        <w:t> раза</w:t>
      </w:r>
      <w:r w:rsidRPr="000646A4">
        <w:rPr>
          <w:spacing w:val="-6"/>
        </w:rPr>
        <w:t>, 1,1</w:t>
      </w:r>
      <w:r>
        <w:rPr>
          <w:spacing w:val="-6"/>
        </w:rPr>
        <w:t> раза</w:t>
      </w:r>
      <w:r w:rsidRPr="000646A4">
        <w:rPr>
          <w:spacing w:val="-6"/>
        </w:rPr>
        <w:t xml:space="preserve"> та 2</w:t>
      </w:r>
      <w:r>
        <w:rPr>
          <w:spacing w:val="-6"/>
        </w:rPr>
        <w:t> </w:t>
      </w:r>
      <w:r w:rsidRPr="000646A4">
        <w:rPr>
          <w:spacing w:val="-6"/>
        </w:rPr>
        <w:t>рази нижчий</w:t>
      </w:r>
      <w:r>
        <w:rPr>
          <w:spacing w:val="-6"/>
        </w:rPr>
        <w:t xml:space="preserve"> </w:t>
      </w:r>
      <w:r w:rsidRPr="000646A4">
        <w:rPr>
          <w:spacing w:val="-6"/>
        </w:rPr>
        <w:t>(табл. 4.3.2</w:t>
      </w:r>
      <w:r w:rsidRPr="00110BE4">
        <w:rPr>
          <w:spacing w:val="-6"/>
        </w:rPr>
        <w:t>, рис.</w:t>
      </w:r>
      <w:r>
        <w:rPr>
          <w:spacing w:val="-6"/>
        </w:rPr>
        <w:t> </w:t>
      </w:r>
      <w:r>
        <w:rPr>
          <w:noProof/>
          <w:lang w:eastAsia="uk-UA"/>
        </w:rPr>
        <w:t>4</w:t>
      </w:r>
      <w:r w:rsidRPr="00E40BFA">
        <w:rPr>
          <w:noProof/>
          <w:lang w:eastAsia="uk-UA"/>
        </w:rPr>
        <w:t>.</w:t>
      </w:r>
      <w:r>
        <w:rPr>
          <w:noProof/>
          <w:lang w:eastAsia="uk-UA"/>
        </w:rPr>
        <w:t>3.5</w:t>
      </w:r>
      <w:r w:rsidRPr="000646A4">
        <w:rPr>
          <w:spacing w:val="-6"/>
        </w:rPr>
        <w:t>).</w:t>
      </w:r>
    </w:p>
    <w:p w:rsidR="00534FB5" w:rsidRDefault="00534FB5" w:rsidP="00534FB5">
      <w:pPr>
        <w:ind w:firstLine="709"/>
        <w:contextualSpacing/>
      </w:pPr>
      <w:r w:rsidRPr="00E40BFA">
        <w:t xml:space="preserve">У дітей ОГ3а через рік від початку спостереження індекс </w:t>
      </w:r>
      <w:r w:rsidRPr="00E40BFA">
        <w:rPr>
          <w:color w:val="000000"/>
          <w:shd w:val="clear" w:color="auto" w:fill="FFFFFF"/>
        </w:rPr>
        <w:t>CPITN</w:t>
      </w:r>
      <w:r>
        <w:t xml:space="preserve"> </w:t>
      </w:r>
      <w:r w:rsidRPr="00E40BFA">
        <w:t>с</w:t>
      </w:r>
      <w:r>
        <w:t>танови</w:t>
      </w:r>
      <w:r w:rsidRPr="00E40BFA">
        <w:t>в 1,12±0,19 і достовірно (Р&gt;0,05) не відрізнявся від індексу дітей КГ3 (1,19±0,15). В</w:t>
      </w:r>
      <w:r>
        <w:t xml:space="preserve"> </w:t>
      </w:r>
      <w:r w:rsidRPr="00E40BFA">
        <w:t>ОГ3б</w:t>
      </w:r>
      <w:r>
        <w:t xml:space="preserve"> </w:t>
      </w:r>
      <w:r w:rsidRPr="00E40BFA">
        <w:t xml:space="preserve">наприкінці строку спостереження індекс </w:t>
      </w:r>
      <w:r w:rsidRPr="00E40BFA">
        <w:rPr>
          <w:color w:val="000000"/>
          <w:shd w:val="clear" w:color="auto" w:fill="FFFFFF"/>
        </w:rPr>
        <w:t>CPITN</w:t>
      </w:r>
      <w:r>
        <w:t xml:space="preserve"> був у 3 </w:t>
      </w:r>
      <w:r w:rsidRPr="00E40BFA">
        <w:t>рази нижчий (0,40±0,17)</w:t>
      </w:r>
      <w:r>
        <w:t>,</w:t>
      </w:r>
      <w:r w:rsidRPr="00E40BFA">
        <w:t xml:space="preserve"> порівняно з дітьми КГ3 (1,19±0,15)</w:t>
      </w:r>
      <w:r w:rsidRPr="00F441EC">
        <w:t xml:space="preserve"> </w:t>
      </w:r>
      <w:r>
        <w:t>(</w:t>
      </w:r>
      <w:r w:rsidRPr="00E40BFA">
        <w:t>Р&lt;0,05</w:t>
      </w:r>
      <w:r>
        <w:t xml:space="preserve">). Через 1, 6 та 12 місяців </w:t>
      </w:r>
      <w:r w:rsidRPr="00E40BFA">
        <w:t xml:space="preserve">від початку проведення лікувально-профілактичних </w:t>
      </w:r>
      <w:r>
        <w:t>заходів в ОГ3б, порівняно з ОГ3а,</w:t>
      </w:r>
      <w:r w:rsidRPr="00E40BFA">
        <w:t xml:space="preserve"> індекс </w:t>
      </w:r>
      <w:r w:rsidRPr="00E40BFA">
        <w:rPr>
          <w:color w:val="000000"/>
          <w:shd w:val="clear" w:color="auto" w:fill="FFFFFF"/>
        </w:rPr>
        <w:t>CPITN</w:t>
      </w:r>
      <w:r>
        <w:t xml:space="preserve"> </w:t>
      </w:r>
      <w:r w:rsidRPr="00E40BFA">
        <w:t xml:space="preserve">був </w:t>
      </w:r>
      <w:r>
        <w:t>у</w:t>
      </w:r>
      <w:r w:rsidRPr="00E40BFA">
        <w:t xml:space="preserve"> 1,4</w:t>
      </w:r>
      <w:r>
        <w:t> раза</w:t>
      </w:r>
      <w:r w:rsidRPr="00E40BFA">
        <w:t>, 2,3</w:t>
      </w:r>
      <w:r>
        <w:t> раза</w:t>
      </w:r>
      <w:r w:rsidRPr="00E40BFA">
        <w:t xml:space="preserve"> та 2,8</w:t>
      </w:r>
      <w:r>
        <w:t> раза нижчий (табл. 4.3.2</w:t>
      </w:r>
      <w:r>
        <w:rPr>
          <w:lang w:val="ru-RU"/>
        </w:rPr>
        <w:t xml:space="preserve">, </w:t>
      </w:r>
      <w:r>
        <w:rPr>
          <w:spacing w:val="-6"/>
          <w:lang w:val="ru-RU"/>
        </w:rPr>
        <w:t>рис. </w:t>
      </w:r>
      <w:r>
        <w:rPr>
          <w:noProof/>
          <w:lang w:eastAsia="uk-UA"/>
        </w:rPr>
        <w:t>4</w:t>
      </w:r>
      <w:r w:rsidRPr="00E40BFA">
        <w:rPr>
          <w:noProof/>
          <w:lang w:eastAsia="uk-UA"/>
        </w:rPr>
        <w:t>.</w:t>
      </w:r>
      <w:r>
        <w:rPr>
          <w:noProof/>
          <w:lang w:eastAsia="uk-UA"/>
        </w:rPr>
        <w:t>3.6</w:t>
      </w:r>
      <w:r w:rsidRPr="00E40BFA">
        <w:t>).</w:t>
      </w:r>
    </w:p>
    <w:p w:rsidR="00534FB5" w:rsidRDefault="00534FB5" w:rsidP="00534FB5">
      <w:pPr>
        <w:ind w:firstLine="709"/>
      </w:pPr>
      <w:r>
        <w:t>Отже, ч</w:t>
      </w:r>
      <w:r w:rsidRPr="00E40BFA">
        <w:t>ерез 12 місяців</w:t>
      </w:r>
      <w:r>
        <w:t xml:space="preserve"> </w:t>
      </w:r>
      <w:r w:rsidRPr="00E40BFA">
        <w:t xml:space="preserve">від початку проведення лікувально-профілактичних заходів в ОГ1б індекси РМА та </w:t>
      </w:r>
      <w:r w:rsidRPr="00E40BFA">
        <w:rPr>
          <w:color w:val="000000"/>
          <w:shd w:val="clear" w:color="auto" w:fill="FFFFFF"/>
        </w:rPr>
        <w:t>CPITN</w:t>
      </w:r>
      <w:r>
        <w:t xml:space="preserve"> </w:t>
      </w:r>
      <w:r w:rsidRPr="00E40BFA">
        <w:t xml:space="preserve">знизилися </w:t>
      </w:r>
      <w:r>
        <w:t>у</w:t>
      </w:r>
      <w:r w:rsidRPr="00E40BFA">
        <w:t xml:space="preserve"> 8,9</w:t>
      </w:r>
      <w:r>
        <w:t> раза та 3 </w:t>
      </w:r>
      <w:r w:rsidRPr="00E40BFA">
        <w:t>рази, натомість в</w:t>
      </w:r>
      <w:r>
        <w:t xml:space="preserve"> </w:t>
      </w:r>
      <w:r w:rsidRPr="00E40BFA">
        <w:t>ОГ1а</w:t>
      </w:r>
      <w:r>
        <w:t xml:space="preserve"> </w:t>
      </w:r>
      <w:r w:rsidRPr="00E40BFA">
        <w:t>відбулося зниження цього показник</w:t>
      </w:r>
      <w:r>
        <w:t>а</w:t>
      </w:r>
      <w:r w:rsidRPr="00E40BFA">
        <w:t xml:space="preserve"> у 3,4</w:t>
      </w:r>
      <w:r>
        <w:t xml:space="preserve"> раза </w:t>
      </w:r>
      <w:r w:rsidRPr="00E40BFA">
        <w:t>та 1,6</w:t>
      </w:r>
      <w:r>
        <w:t> </w:t>
      </w:r>
      <w:r w:rsidRPr="00E40BFA">
        <w:t>раз</w:t>
      </w:r>
      <w:r>
        <w:t>а</w:t>
      </w:r>
      <w:r w:rsidRPr="00E40BFA">
        <w:t>.</w:t>
      </w:r>
      <w:r>
        <w:t xml:space="preserve"> </w:t>
      </w:r>
      <w:r w:rsidRPr="00E40BFA">
        <w:t xml:space="preserve">В ОГ2б індекси РМА та </w:t>
      </w:r>
      <w:r w:rsidRPr="00E40BFA">
        <w:rPr>
          <w:color w:val="000000"/>
          <w:shd w:val="clear" w:color="auto" w:fill="FFFFFF"/>
        </w:rPr>
        <w:t>CPITN</w:t>
      </w:r>
      <w:r>
        <w:t xml:space="preserve"> </w:t>
      </w:r>
      <w:r w:rsidRPr="00E40BFA">
        <w:t>знизилися в 8,1</w:t>
      </w:r>
      <w:r>
        <w:t> раза</w:t>
      </w:r>
      <w:r w:rsidRPr="00E40BFA">
        <w:t xml:space="preserve"> та в 2</w:t>
      </w:r>
      <w:r>
        <w:t>,7 раза</w:t>
      </w:r>
      <w:r w:rsidRPr="00E40BFA">
        <w:t xml:space="preserve">, у той час, як в ОГ2а зниження індексу РМА та </w:t>
      </w:r>
      <w:r w:rsidRPr="00E40BFA">
        <w:rPr>
          <w:color w:val="000000"/>
          <w:shd w:val="clear" w:color="auto" w:fill="FFFFFF"/>
        </w:rPr>
        <w:t>CPITN</w:t>
      </w:r>
      <w:r w:rsidRPr="00E40BFA">
        <w:t xml:space="preserve"> відбулос</w:t>
      </w:r>
      <w:r>
        <w:t>я</w:t>
      </w:r>
      <w:r w:rsidRPr="00E40BFA">
        <w:t xml:space="preserve"> в 2,7</w:t>
      </w:r>
      <w:r>
        <w:t> раза</w:t>
      </w:r>
      <w:r w:rsidRPr="00E40BFA">
        <w:t xml:space="preserve"> та 1,4</w:t>
      </w:r>
      <w:r>
        <w:t> раза</w:t>
      </w:r>
      <w:r w:rsidRPr="00E40BFA">
        <w:t>. Схожа картина спостерігалас</w:t>
      </w:r>
      <w:r>
        <w:t>я</w:t>
      </w:r>
      <w:r w:rsidRPr="00E40BFA">
        <w:t xml:space="preserve"> і в старшій віковій групі. В ОГ3а індекси РМА та </w:t>
      </w:r>
      <w:r w:rsidRPr="00E40BFA">
        <w:rPr>
          <w:color w:val="000000"/>
          <w:shd w:val="clear" w:color="auto" w:fill="FFFFFF"/>
        </w:rPr>
        <w:t>CPITN</w:t>
      </w:r>
      <w:r>
        <w:t xml:space="preserve"> </w:t>
      </w:r>
      <w:r w:rsidRPr="00E40BFA">
        <w:t>знизилися в 2,1</w:t>
      </w:r>
      <w:r>
        <w:t> раза</w:t>
      </w:r>
      <w:r w:rsidRPr="00E40BFA">
        <w:t xml:space="preserve"> </w:t>
      </w:r>
      <w:r>
        <w:t>та в 1,5 </w:t>
      </w:r>
      <w:r w:rsidRPr="00E40BFA">
        <w:t>раз</w:t>
      </w:r>
      <w:r>
        <w:t>а</w:t>
      </w:r>
      <w:r w:rsidRPr="00E40BFA">
        <w:t xml:space="preserve">, а в ОГ3б </w:t>
      </w:r>
      <w:r>
        <w:t xml:space="preserve">– </w:t>
      </w:r>
      <w:r w:rsidRPr="00E40BFA">
        <w:t>в 6,6</w:t>
      </w:r>
      <w:r>
        <w:t> раза</w:t>
      </w:r>
      <w:r w:rsidRPr="00E40BFA">
        <w:t xml:space="preserve"> та</w:t>
      </w:r>
      <w:r>
        <w:t xml:space="preserve"> 4,1 </w:t>
      </w:r>
      <w:r w:rsidRPr="00E40BFA">
        <w:t>раз</w:t>
      </w:r>
      <w:r>
        <w:t>а</w:t>
      </w:r>
      <w:r w:rsidRPr="00E40BFA">
        <w:t>.</w:t>
      </w:r>
    </w:p>
    <w:p w:rsidR="00534FB5" w:rsidRDefault="00534FB5" w:rsidP="00534FB5">
      <w:pPr>
        <w:tabs>
          <w:tab w:val="left" w:pos="709"/>
        </w:tabs>
        <w:ind w:firstLine="709"/>
        <w:contextualSpacing/>
        <w:rPr>
          <w:color w:val="000000"/>
          <w:shd w:val="clear" w:color="auto" w:fill="FFFFFF"/>
          <w:lang w:val="ru-RU"/>
        </w:rPr>
      </w:pPr>
      <w:r w:rsidRPr="00E40BFA">
        <w:t>Таким чином, підсумовуючи наведені вище дані, можна зазначити, що</w:t>
      </w:r>
      <w:r>
        <w:t xml:space="preserve"> </w:t>
      </w:r>
      <w:r>
        <w:rPr>
          <w:color w:val="000000"/>
          <w:shd w:val="clear" w:color="auto" w:fill="FFFFFF"/>
        </w:rPr>
        <w:t>п</w:t>
      </w:r>
      <w:r w:rsidRPr="00E40BFA">
        <w:rPr>
          <w:color w:val="000000"/>
          <w:shd w:val="clear" w:color="auto" w:fill="FFFFFF"/>
        </w:rPr>
        <w:t>роведення як традиційних, так і запропонованих лікувально-профілактичних заходів позитивним чино</w:t>
      </w:r>
      <w:r>
        <w:rPr>
          <w:color w:val="000000"/>
          <w:shd w:val="clear" w:color="auto" w:fill="FFFFFF"/>
        </w:rPr>
        <w:t>м</w:t>
      </w:r>
      <w:r w:rsidRPr="00E40BFA">
        <w:rPr>
          <w:color w:val="000000"/>
          <w:shd w:val="clear" w:color="auto" w:fill="FFFFFF"/>
        </w:rPr>
        <w:t xml:space="preserve"> позна</w:t>
      </w:r>
      <w:r>
        <w:rPr>
          <w:color w:val="000000"/>
          <w:shd w:val="clear" w:color="auto" w:fill="FFFFFF"/>
        </w:rPr>
        <w:t>чилося на стані тканин пародонта</w:t>
      </w:r>
      <w:r w:rsidRPr="00E40BFA">
        <w:rPr>
          <w:color w:val="000000"/>
          <w:shd w:val="clear" w:color="auto" w:fill="FFFFFF"/>
        </w:rPr>
        <w:t xml:space="preserve"> у </w:t>
      </w:r>
      <w:r>
        <w:rPr>
          <w:color w:val="000000"/>
          <w:shd w:val="clear" w:color="auto" w:fill="FFFFFF"/>
        </w:rPr>
        <w:t>ДВГ</w:t>
      </w:r>
      <w:r w:rsidRPr="00E40BFA">
        <w:rPr>
          <w:color w:val="000000"/>
          <w:shd w:val="clear" w:color="auto" w:fill="FFFFFF"/>
        </w:rPr>
        <w:t>.</w:t>
      </w:r>
      <w:r>
        <w:rPr>
          <w:color w:val="000000"/>
          <w:shd w:val="clear" w:color="auto" w:fill="FFFFFF"/>
        </w:rPr>
        <w:t xml:space="preserve"> Проте використання лише запропонованого комплексу дозволило більш ефективно і в коротші строки поліпшити стан тканин пародонта у дітей з вродженою глухотою. </w:t>
      </w:r>
    </w:p>
    <w:p w:rsidR="00534FB5" w:rsidRDefault="00534FB5" w:rsidP="00534FB5">
      <w:pPr>
        <w:tabs>
          <w:tab w:val="left" w:pos="709"/>
        </w:tabs>
        <w:ind w:firstLine="709"/>
        <w:contextualSpacing/>
        <w:rPr>
          <w:color w:val="000000"/>
          <w:shd w:val="clear" w:color="auto" w:fill="FFFFFF"/>
          <w:lang w:val="ru-RU"/>
        </w:rPr>
      </w:pPr>
    </w:p>
    <w:p w:rsidR="00534FB5" w:rsidRPr="00110BE4" w:rsidRDefault="00534FB5" w:rsidP="00534FB5">
      <w:pPr>
        <w:tabs>
          <w:tab w:val="left" w:pos="709"/>
        </w:tabs>
        <w:ind w:firstLine="709"/>
        <w:contextualSpacing/>
        <w:rPr>
          <w:color w:val="000000"/>
          <w:shd w:val="clear" w:color="auto" w:fill="FFFFFF"/>
          <w:lang w:val="ru-RU"/>
        </w:rPr>
      </w:pPr>
    </w:p>
    <w:p w:rsidR="00534FB5" w:rsidRDefault="00534FB5" w:rsidP="00534FB5">
      <w:pPr>
        <w:contextualSpacing/>
      </w:pPr>
    </w:p>
    <w:p w:rsidR="00534FB5" w:rsidRPr="00440187" w:rsidRDefault="00534FB5" w:rsidP="00534FB5">
      <w:pPr>
        <w:ind w:firstLine="567"/>
        <w:contextualSpacing/>
        <w:rPr>
          <w:b/>
          <w:color w:val="000000"/>
          <w:spacing w:val="-10"/>
        </w:rPr>
      </w:pPr>
      <w:r w:rsidRPr="00B67973">
        <w:rPr>
          <w:b/>
        </w:rPr>
        <w:t>4.</w:t>
      </w:r>
      <w:r w:rsidRPr="00440187">
        <w:rPr>
          <w:b/>
          <w:spacing w:val="-10"/>
        </w:rPr>
        <w:t>4.</w:t>
      </w:r>
      <w:r>
        <w:rPr>
          <w:b/>
        </w:rPr>
        <w:t xml:space="preserve"> </w:t>
      </w:r>
      <w:r w:rsidRPr="00237741">
        <w:rPr>
          <w:b/>
        </w:rPr>
        <w:t xml:space="preserve">Динаміка змін </w:t>
      </w:r>
      <w:r w:rsidRPr="00237741">
        <w:rPr>
          <w:b/>
          <w:color w:val="000000"/>
        </w:rPr>
        <w:t xml:space="preserve">біохімічних та імунологічних властивостей ротової рідини у дітей </w:t>
      </w:r>
      <w:r w:rsidR="006C493E">
        <w:rPr>
          <w:b/>
          <w:color w:val="000000"/>
        </w:rPr>
        <w:t>із вродженою</w:t>
      </w:r>
      <w:r w:rsidRPr="00237741">
        <w:rPr>
          <w:b/>
          <w:color w:val="000000"/>
        </w:rPr>
        <w:t xml:space="preserve"> глухотою під дією лікувально-профілактичних заходів </w:t>
      </w:r>
    </w:p>
    <w:p w:rsidR="00534FB5" w:rsidRPr="00440187" w:rsidRDefault="00534FB5" w:rsidP="00534FB5">
      <w:pPr>
        <w:ind w:firstLine="567"/>
        <w:contextualSpacing/>
        <w:rPr>
          <w:b/>
          <w:spacing w:val="-10"/>
        </w:rPr>
      </w:pPr>
      <w:r w:rsidRPr="00440187">
        <w:rPr>
          <w:b/>
          <w:spacing w:val="-10"/>
        </w:rPr>
        <w:t>4.4.1. Динаміка змін функціональних властивостей ротової рідини</w:t>
      </w:r>
    </w:p>
    <w:p w:rsidR="00534FB5" w:rsidRPr="00CE5EBF" w:rsidRDefault="00534FB5" w:rsidP="00534FB5">
      <w:pPr>
        <w:ind w:firstLine="567"/>
        <w:contextualSpacing/>
      </w:pPr>
      <w:r>
        <w:t xml:space="preserve">Результати вивчення динаміки зміни </w:t>
      </w:r>
      <w:r w:rsidRPr="00AA7860">
        <w:t xml:space="preserve">рН ротової рідини у дітей </w:t>
      </w:r>
      <w:r w:rsidR="006C493E">
        <w:t>із вродженою</w:t>
      </w:r>
      <w:r>
        <w:t xml:space="preserve"> глухотою та дітей без патології органа слуху</w:t>
      </w:r>
      <w:r w:rsidRPr="00AA7860">
        <w:t xml:space="preserve"> </w:t>
      </w:r>
      <w:r>
        <w:t xml:space="preserve">до, через 1, 6 та </w:t>
      </w:r>
      <w:r w:rsidR="00E14118">
        <w:t xml:space="preserve">12 </w:t>
      </w:r>
      <w:r>
        <w:t>місяців після</w:t>
      </w:r>
      <w:r w:rsidRPr="00AA7860">
        <w:t xml:space="preserve"> проведення лікувально-профілактичних заходів</w:t>
      </w:r>
      <w:r>
        <w:t xml:space="preserve"> наведено в таблиці</w:t>
      </w:r>
      <w:r w:rsidRPr="00AA7860">
        <w:t xml:space="preserve"> 4.4.1.1</w:t>
      </w:r>
      <w:r>
        <w:t>.</w:t>
      </w:r>
    </w:p>
    <w:p w:rsidR="00534FB5" w:rsidRPr="002F74DD" w:rsidRDefault="00534FB5" w:rsidP="00534FB5">
      <w:pPr>
        <w:ind w:firstLine="709"/>
        <w:contextualSpacing/>
        <w:jc w:val="right"/>
        <w:rPr>
          <w:i/>
        </w:rPr>
      </w:pPr>
      <w:r w:rsidRPr="002F74DD">
        <w:rPr>
          <w:i/>
        </w:rPr>
        <w:t>Таблиця 4.4.1.1</w:t>
      </w:r>
    </w:p>
    <w:p w:rsidR="00534FB5" w:rsidRPr="00440187" w:rsidRDefault="00534FB5" w:rsidP="00534FB5">
      <w:pPr>
        <w:spacing w:line="240" w:lineRule="auto"/>
        <w:ind w:firstLine="709"/>
        <w:contextualSpacing/>
        <w:jc w:val="center"/>
        <w:rPr>
          <w:b/>
        </w:rPr>
      </w:pPr>
      <w:r w:rsidRPr="00440187">
        <w:rPr>
          <w:b/>
        </w:rPr>
        <w:t>Динаміка зміни</w:t>
      </w:r>
      <w:r>
        <w:rPr>
          <w:b/>
        </w:rPr>
        <w:t xml:space="preserve"> </w:t>
      </w:r>
      <w:r w:rsidRPr="00440187">
        <w:rPr>
          <w:b/>
        </w:rPr>
        <w:t xml:space="preserve">рН ротової рідини у дітей </w:t>
      </w:r>
      <w:r>
        <w:rPr>
          <w:b/>
        </w:rPr>
        <w:t xml:space="preserve">основної та контрольної груп </w:t>
      </w:r>
      <w:r w:rsidRPr="00440187">
        <w:rPr>
          <w:b/>
        </w:rPr>
        <w:t>на етапах лікування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126"/>
        <w:gridCol w:w="1983"/>
        <w:gridCol w:w="2128"/>
        <w:gridCol w:w="2232"/>
      </w:tblGrid>
      <w:tr w:rsidR="00534FB5" w:rsidRPr="00E40BFA" w:rsidTr="00534FB5">
        <w:tc>
          <w:tcPr>
            <w:tcW w:w="575" w:type="pct"/>
            <w:vMerge w:val="restart"/>
          </w:tcPr>
          <w:p w:rsidR="00534FB5" w:rsidRPr="00E40BFA" w:rsidRDefault="00534FB5" w:rsidP="00534FB5">
            <w:pPr>
              <w:spacing w:line="240" w:lineRule="auto"/>
              <w:jc w:val="center"/>
            </w:pPr>
            <w:r w:rsidRPr="00EE5D48">
              <w:t>Г</w:t>
            </w:r>
            <w:r>
              <w:t>рупи обсте-жених дітей</w:t>
            </w:r>
          </w:p>
        </w:tc>
        <w:tc>
          <w:tcPr>
            <w:tcW w:w="4425" w:type="pct"/>
            <w:gridSpan w:val="4"/>
          </w:tcPr>
          <w:p w:rsidR="00534FB5" w:rsidRPr="00ED6340" w:rsidRDefault="00534FB5" w:rsidP="00534FB5">
            <w:pPr>
              <w:spacing w:line="240" w:lineRule="auto"/>
              <w:jc w:val="center"/>
              <w:rPr>
                <w:lang w:val="en-AU"/>
              </w:rPr>
            </w:pPr>
            <w:r>
              <w:rPr>
                <w:lang w:val="en-AU"/>
              </w:rPr>
              <w:t>pH, M±m</w:t>
            </w:r>
          </w:p>
        </w:tc>
      </w:tr>
      <w:tr w:rsidR="00534FB5" w:rsidRPr="00E40BFA" w:rsidTr="00534FB5">
        <w:trPr>
          <w:trHeight w:val="615"/>
        </w:trPr>
        <w:tc>
          <w:tcPr>
            <w:tcW w:w="575" w:type="pct"/>
            <w:vMerge/>
            <w:tcBorders>
              <w:bottom w:val="single" w:sz="4" w:space="0" w:color="auto"/>
            </w:tcBorders>
          </w:tcPr>
          <w:p w:rsidR="00534FB5" w:rsidRPr="00E40BFA" w:rsidRDefault="00534FB5" w:rsidP="00534FB5">
            <w:pPr>
              <w:spacing w:line="240" w:lineRule="auto"/>
              <w:jc w:val="center"/>
            </w:pPr>
          </w:p>
        </w:tc>
        <w:tc>
          <w:tcPr>
            <w:tcW w:w="1111" w:type="pct"/>
            <w:tcBorders>
              <w:bottom w:val="single" w:sz="4" w:space="0" w:color="auto"/>
            </w:tcBorders>
          </w:tcPr>
          <w:p w:rsidR="00534FB5" w:rsidRPr="00E40BFA" w:rsidRDefault="00534FB5" w:rsidP="00534FB5">
            <w:pPr>
              <w:spacing w:line="240" w:lineRule="auto"/>
              <w:jc w:val="center"/>
            </w:pPr>
            <w:r w:rsidRPr="00E40BFA">
              <w:t>До лікування</w:t>
            </w:r>
          </w:p>
        </w:tc>
        <w:tc>
          <w:tcPr>
            <w:tcW w:w="1036" w:type="pct"/>
            <w:tcBorders>
              <w:bottom w:val="single" w:sz="4" w:space="0" w:color="auto"/>
            </w:tcBorders>
          </w:tcPr>
          <w:p w:rsidR="00534FB5" w:rsidRPr="00E40BFA" w:rsidRDefault="00534FB5" w:rsidP="00534FB5">
            <w:pPr>
              <w:spacing w:line="240" w:lineRule="auto"/>
              <w:jc w:val="center"/>
            </w:pPr>
            <w:r w:rsidRPr="00E40BFA">
              <w:t>Через 1 місяць</w:t>
            </w:r>
          </w:p>
        </w:tc>
        <w:tc>
          <w:tcPr>
            <w:tcW w:w="1112" w:type="pct"/>
            <w:tcBorders>
              <w:bottom w:val="single" w:sz="4" w:space="0" w:color="auto"/>
            </w:tcBorders>
          </w:tcPr>
          <w:p w:rsidR="00534FB5" w:rsidRPr="00E40BFA" w:rsidRDefault="00534FB5" w:rsidP="00534FB5">
            <w:pPr>
              <w:spacing w:line="240" w:lineRule="auto"/>
              <w:jc w:val="center"/>
            </w:pPr>
            <w:r w:rsidRPr="00E40BFA">
              <w:t>Через 6 місяців</w:t>
            </w:r>
          </w:p>
        </w:tc>
        <w:tc>
          <w:tcPr>
            <w:tcW w:w="1167" w:type="pct"/>
            <w:tcBorders>
              <w:bottom w:val="single" w:sz="4" w:space="0" w:color="auto"/>
            </w:tcBorders>
          </w:tcPr>
          <w:p w:rsidR="00534FB5" w:rsidRPr="00E40BFA" w:rsidRDefault="00534FB5" w:rsidP="00534FB5">
            <w:pPr>
              <w:spacing w:line="240" w:lineRule="auto"/>
              <w:jc w:val="center"/>
            </w:pPr>
            <w:r w:rsidRPr="00E40BFA">
              <w:t>Через 12 місяців</w:t>
            </w:r>
          </w:p>
        </w:tc>
      </w:tr>
      <w:tr w:rsidR="00534FB5" w:rsidRPr="00E40BFA" w:rsidTr="00534FB5">
        <w:tc>
          <w:tcPr>
            <w:tcW w:w="575" w:type="pct"/>
          </w:tcPr>
          <w:p w:rsidR="00534FB5" w:rsidRPr="00E40BFA" w:rsidRDefault="00534FB5" w:rsidP="00534FB5">
            <w:pPr>
              <w:spacing w:line="240" w:lineRule="auto"/>
            </w:pPr>
            <w:r w:rsidRPr="00E40BFA">
              <w:t>КГ1</w:t>
            </w:r>
          </w:p>
        </w:tc>
        <w:tc>
          <w:tcPr>
            <w:tcW w:w="1111" w:type="pct"/>
          </w:tcPr>
          <w:p w:rsidR="00534FB5" w:rsidRPr="00E40BFA" w:rsidRDefault="00534FB5" w:rsidP="00534FB5">
            <w:pPr>
              <w:spacing w:line="240" w:lineRule="auto"/>
            </w:pPr>
            <w:r w:rsidRPr="00E40BFA">
              <w:t>7,04±0,02</w:t>
            </w:r>
          </w:p>
        </w:tc>
        <w:tc>
          <w:tcPr>
            <w:tcW w:w="1036" w:type="pct"/>
          </w:tcPr>
          <w:p w:rsidR="00534FB5" w:rsidRPr="00E40BFA" w:rsidRDefault="00534FB5" w:rsidP="00534FB5">
            <w:pPr>
              <w:spacing w:line="240" w:lineRule="auto"/>
              <w:jc w:val="center"/>
            </w:pPr>
            <w:r>
              <w:t>-</w:t>
            </w:r>
          </w:p>
        </w:tc>
        <w:tc>
          <w:tcPr>
            <w:tcW w:w="1112" w:type="pct"/>
          </w:tcPr>
          <w:p w:rsidR="00534FB5" w:rsidRPr="00E40BFA" w:rsidRDefault="00534FB5" w:rsidP="00534FB5">
            <w:pPr>
              <w:spacing w:line="240" w:lineRule="auto"/>
              <w:jc w:val="center"/>
            </w:pPr>
            <w:r>
              <w:t>-</w:t>
            </w:r>
          </w:p>
        </w:tc>
        <w:tc>
          <w:tcPr>
            <w:tcW w:w="1167" w:type="pct"/>
          </w:tcPr>
          <w:p w:rsidR="00534FB5" w:rsidRPr="00E40BFA" w:rsidRDefault="00534FB5" w:rsidP="00534FB5">
            <w:pPr>
              <w:spacing w:line="240" w:lineRule="auto"/>
              <w:jc w:val="center"/>
            </w:pPr>
            <w:r>
              <w:t>-</w:t>
            </w:r>
          </w:p>
        </w:tc>
      </w:tr>
      <w:tr w:rsidR="00534FB5" w:rsidRPr="00E40BFA" w:rsidTr="00534FB5">
        <w:tc>
          <w:tcPr>
            <w:tcW w:w="575" w:type="pct"/>
          </w:tcPr>
          <w:p w:rsidR="00534FB5" w:rsidRPr="00E40BFA" w:rsidRDefault="00534FB5" w:rsidP="00534FB5">
            <w:pPr>
              <w:spacing w:line="240" w:lineRule="auto"/>
            </w:pPr>
            <w:r w:rsidRPr="00E40BFA">
              <w:t>ОГ1а</w:t>
            </w:r>
          </w:p>
        </w:tc>
        <w:tc>
          <w:tcPr>
            <w:tcW w:w="1111" w:type="pct"/>
          </w:tcPr>
          <w:p w:rsidR="00534FB5" w:rsidRPr="00E40BFA" w:rsidRDefault="00534FB5" w:rsidP="00534FB5">
            <w:pPr>
              <w:spacing w:line="240" w:lineRule="auto"/>
            </w:pPr>
            <w:r w:rsidRPr="00E40BFA">
              <w:t>7,30±0,04</w:t>
            </w:r>
          </w:p>
          <w:p w:rsidR="00534FB5" w:rsidRPr="00E40BFA" w:rsidRDefault="00534FB5" w:rsidP="00095C0B">
            <w:pPr>
              <w:spacing w:line="240" w:lineRule="auto"/>
            </w:pPr>
            <w:r w:rsidRPr="00E40BFA">
              <w:t>Р</w:t>
            </w:r>
            <w:r w:rsidRPr="00E40BFA">
              <w:rPr>
                <w:vertAlign w:val="subscript"/>
              </w:rPr>
              <w:t>2</w:t>
            </w:r>
            <w:r w:rsidRPr="00E40BFA">
              <w:t>&lt;0,01</w:t>
            </w:r>
          </w:p>
        </w:tc>
        <w:tc>
          <w:tcPr>
            <w:tcW w:w="1036" w:type="pct"/>
          </w:tcPr>
          <w:p w:rsidR="00534FB5" w:rsidRPr="00E40BFA" w:rsidRDefault="00534FB5" w:rsidP="00534FB5">
            <w:pPr>
              <w:spacing w:line="240" w:lineRule="auto"/>
            </w:pPr>
            <w:r w:rsidRPr="00E40BFA">
              <w:t>7,11±0,06</w:t>
            </w:r>
          </w:p>
          <w:p w:rsidR="00534FB5" w:rsidRPr="00E40BFA" w:rsidRDefault="00534FB5" w:rsidP="00095C0B">
            <w:pPr>
              <w:spacing w:line="240" w:lineRule="auto"/>
            </w:pPr>
            <w:r w:rsidRPr="00E40BFA">
              <w:t>Р</w:t>
            </w:r>
            <w:r w:rsidRPr="00E40BFA">
              <w:rPr>
                <w:vertAlign w:val="subscript"/>
              </w:rPr>
              <w:t>2</w:t>
            </w:r>
            <w:r w:rsidRPr="00E40BFA">
              <w:t>&gt;0,05</w:t>
            </w:r>
          </w:p>
        </w:tc>
        <w:tc>
          <w:tcPr>
            <w:tcW w:w="1112" w:type="pct"/>
          </w:tcPr>
          <w:p w:rsidR="00534FB5" w:rsidRPr="00E40BFA" w:rsidRDefault="00534FB5" w:rsidP="00534FB5">
            <w:pPr>
              <w:spacing w:line="240" w:lineRule="auto"/>
            </w:pPr>
            <w:r w:rsidRPr="00E40BFA">
              <w:t>7,13±0,10</w:t>
            </w:r>
          </w:p>
          <w:p w:rsidR="00534FB5" w:rsidRPr="00E40BFA" w:rsidRDefault="00534FB5" w:rsidP="00095C0B">
            <w:pPr>
              <w:spacing w:line="240" w:lineRule="auto"/>
            </w:pPr>
            <w:r w:rsidRPr="00E40BFA">
              <w:t>Р</w:t>
            </w:r>
            <w:r w:rsidRPr="00E40BFA">
              <w:rPr>
                <w:vertAlign w:val="subscript"/>
              </w:rPr>
              <w:t>2</w:t>
            </w:r>
            <w:r w:rsidRPr="00E40BFA">
              <w:t>&gt;0,05</w:t>
            </w:r>
          </w:p>
        </w:tc>
        <w:tc>
          <w:tcPr>
            <w:tcW w:w="1167" w:type="pct"/>
          </w:tcPr>
          <w:p w:rsidR="00534FB5" w:rsidRPr="00E40BFA" w:rsidRDefault="00534FB5" w:rsidP="00534FB5">
            <w:pPr>
              <w:spacing w:line="240" w:lineRule="auto"/>
            </w:pPr>
            <w:r w:rsidRPr="00E40BFA">
              <w:t>7,01±0,05</w:t>
            </w:r>
          </w:p>
          <w:p w:rsidR="00534FB5" w:rsidRPr="00E40BFA" w:rsidRDefault="00534FB5" w:rsidP="00095C0B">
            <w:pPr>
              <w:spacing w:line="240" w:lineRule="auto"/>
            </w:pPr>
            <w:r w:rsidRPr="00E40BFA">
              <w:t>Р</w:t>
            </w:r>
            <w:r w:rsidRPr="00E40BFA">
              <w:rPr>
                <w:vertAlign w:val="subscript"/>
              </w:rPr>
              <w:t>2</w:t>
            </w:r>
            <w:r w:rsidRPr="00E40BFA">
              <w:t>&gt;0,05</w:t>
            </w:r>
          </w:p>
        </w:tc>
      </w:tr>
      <w:tr w:rsidR="00534FB5" w:rsidRPr="00E40BFA" w:rsidTr="00534FB5">
        <w:tc>
          <w:tcPr>
            <w:tcW w:w="575" w:type="pct"/>
          </w:tcPr>
          <w:p w:rsidR="00534FB5" w:rsidRPr="00E40BFA" w:rsidRDefault="00534FB5" w:rsidP="00534FB5">
            <w:pPr>
              <w:spacing w:line="240" w:lineRule="auto"/>
            </w:pPr>
            <w:r w:rsidRPr="00E40BFA">
              <w:t>ОГ1б</w:t>
            </w:r>
          </w:p>
        </w:tc>
        <w:tc>
          <w:tcPr>
            <w:tcW w:w="1111" w:type="pct"/>
          </w:tcPr>
          <w:p w:rsidR="00534FB5" w:rsidRPr="00E40BFA" w:rsidRDefault="00EF61AC" w:rsidP="00534FB5">
            <w:pPr>
              <w:spacing w:line="240" w:lineRule="auto"/>
            </w:pPr>
            <w:r>
              <w:t>7,10±0,05</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&lt;0,01</w:t>
            </w:r>
          </w:p>
        </w:tc>
        <w:tc>
          <w:tcPr>
            <w:tcW w:w="1036" w:type="pct"/>
          </w:tcPr>
          <w:p w:rsidR="00534FB5" w:rsidRPr="00E40BFA" w:rsidRDefault="00EF61AC" w:rsidP="00534FB5">
            <w:pPr>
              <w:spacing w:line="240" w:lineRule="auto"/>
            </w:pPr>
            <w:r>
              <w:t>6,96±0,10</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12" w:type="pct"/>
          </w:tcPr>
          <w:p w:rsidR="00534FB5" w:rsidRPr="00E40BFA" w:rsidRDefault="00534FB5" w:rsidP="00534FB5">
            <w:pPr>
              <w:spacing w:line="240" w:lineRule="auto"/>
            </w:pPr>
            <w:r w:rsidRPr="00E40BFA">
              <w:t>7,05±0,06</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67" w:type="pct"/>
          </w:tcPr>
          <w:p w:rsidR="00534FB5" w:rsidRPr="00E40BFA" w:rsidRDefault="00EF61AC" w:rsidP="00534FB5">
            <w:pPr>
              <w:spacing w:line="240" w:lineRule="auto"/>
            </w:pPr>
            <w:r>
              <w:t>6,99±0,04</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r>
      <w:tr w:rsidR="00534FB5" w:rsidRPr="00E40BFA" w:rsidTr="00534FB5">
        <w:tc>
          <w:tcPr>
            <w:tcW w:w="575" w:type="pct"/>
          </w:tcPr>
          <w:p w:rsidR="00534FB5" w:rsidRPr="00E40BFA" w:rsidRDefault="00534FB5" w:rsidP="00534FB5">
            <w:pPr>
              <w:spacing w:line="240" w:lineRule="auto"/>
            </w:pPr>
            <w:r w:rsidRPr="00E40BFA">
              <w:t>КГ2</w:t>
            </w:r>
          </w:p>
        </w:tc>
        <w:tc>
          <w:tcPr>
            <w:tcW w:w="1111" w:type="pct"/>
          </w:tcPr>
          <w:p w:rsidR="00534FB5" w:rsidRPr="00E40BFA" w:rsidRDefault="00534FB5" w:rsidP="00534FB5">
            <w:pPr>
              <w:spacing w:line="240" w:lineRule="auto"/>
            </w:pPr>
            <w:r w:rsidRPr="00E40BFA">
              <w:t>6,99±0,06</w:t>
            </w:r>
          </w:p>
        </w:tc>
        <w:tc>
          <w:tcPr>
            <w:tcW w:w="1036" w:type="pct"/>
          </w:tcPr>
          <w:p w:rsidR="00534FB5" w:rsidRPr="00E40BFA" w:rsidRDefault="00534FB5" w:rsidP="00534FB5">
            <w:pPr>
              <w:spacing w:line="240" w:lineRule="auto"/>
              <w:jc w:val="center"/>
            </w:pPr>
            <w:r>
              <w:t>-</w:t>
            </w:r>
          </w:p>
        </w:tc>
        <w:tc>
          <w:tcPr>
            <w:tcW w:w="1112" w:type="pct"/>
          </w:tcPr>
          <w:p w:rsidR="00534FB5" w:rsidRPr="00E40BFA" w:rsidRDefault="00534FB5" w:rsidP="00534FB5">
            <w:pPr>
              <w:spacing w:line="240" w:lineRule="auto"/>
              <w:jc w:val="center"/>
            </w:pPr>
            <w:r>
              <w:t>-</w:t>
            </w:r>
          </w:p>
        </w:tc>
        <w:tc>
          <w:tcPr>
            <w:tcW w:w="1167" w:type="pct"/>
          </w:tcPr>
          <w:p w:rsidR="00534FB5" w:rsidRPr="00E40BFA" w:rsidRDefault="00534FB5" w:rsidP="00534FB5">
            <w:pPr>
              <w:spacing w:line="240" w:lineRule="auto"/>
              <w:jc w:val="center"/>
            </w:pPr>
            <w:r>
              <w:t>-</w:t>
            </w:r>
          </w:p>
        </w:tc>
      </w:tr>
      <w:tr w:rsidR="00534FB5" w:rsidRPr="00E40BFA" w:rsidTr="00534FB5">
        <w:trPr>
          <w:trHeight w:val="1013"/>
        </w:trPr>
        <w:tc>
          <w:tcPr>
            <w:tcW w:w="575" w:type="pct"/>
          </w:tcPr>
          <w:p w:rsidR="00534FB5" w:rsidRPr="00E40BFA" w:rsidRDefault="00534FB5" w:rsidP="00534FB5">
            <w:pPr>
              <w:spacing w:line="240" w:lineRule="auto"/>
            </w:pPr>
            <w:r w:rsidRPr="00E40BFA">
              <w:t>ОГ2а</w:t>
            </w:r>
          </w:p>
        </w:tc>
        <w:tc>
          <w:tcPr>
            <w:tcW w:w="1111" w:type="pct"/>
          </w:tcPr>
          <w:p w:rsidR="00534FB5" w:rsidRPr="00E40BFA" w:rsidRDefault="00534FB5" w:rsidP="00534FB5">
            <w:pPr>
              <w:spacing w:line="240" w:lineRule="auto"/>
            </w:pPr>
            <w:r w:rsidRPr="00E40BFA">
              <w:t>7,07±0,05</w:t>
            </w:r>
          </w:p>
          <w:p w:rsidR="00534FB5" w:rsidRPr="00E40BFA" w:rsidRDefault="00534FB5" w:rsidP="00095C0B">
            <w:pPr>
              <w:spacing w:line="240" w:lineRule="auto"/>
            </w:pPr>
            <w:r w:rsidRPr="00E40BFA">
              <w:t>Р</w:t>
            </w:r>
            <w:r w:rsidRPr="00E40BFA">
              <w:rPr>
                <w:vertAlign w:val="subscript"/>
              </w:rPr>
              <w:t>2</w:t>
            </w:r>
            <w:r w:rsidRPr="00E40BFA">
              <w:t>&gt;0,05</w:t>
            </w:r>
          </w:p>
        </w:tc>
        <w:tc>
          <w:tcPr>
            <w:tcW w:w="1036" w:type="pct"/>
          </w:tcPr>
          <w:p w:rsidR="00534FB5" w:rsidRPr="00E40BFA" w:rsidRDefault="00534FB5" w:rsidP="00534FB5">
            <w:pPr>
              <w:spacing w:line="240" w:lineRule="auto"/>
            </w:pPr>
            <w:r w:rsidRPr="00E40BFA">
              <w:t>7,11±0,10</w:t>
            </w:r>
          </w:p>
          <w:p w:rsidR="00534FB5" w:rsidRPr="00E40BFA" w:rsidRDefault="00534FB5" w:rsidP="00095C0B">
            <w:pPr>
              <w:spacing w:line="240" w:lineRule="auto"/>
            </w:pPr>
            <w:r w:rsidRPr="00E40BFA">
              <w:t>Р</w:t>
            </w:r>
            <w:r w:rsidRPr="00E40BFA">
              <w:rPr>
                <w:vertAlign w:val="subscript"/>
              </w:rPr>
              <w:t>2</w:t>
            </w:r>
            <w:r w:rsidRPr="00E40BFA">
              <w:t>&gt;0,05</w:t>
            </w:r>
          </w:p>
        </w:tc>
        <w:tc>
          <w:tcPr>
            <w:tcW w:w="1112" w:type="pct"/>
          </w:tcPr>
          <w:p w:rsidR="00534FB5" w:rsidRPr="00E40BFA" w:rsidRDefault="00534FB5" w:rsidP="00534FB5">
            <w:pPr>
              <w:spacing w:line="240" w:lineRule="auto"/>
            </w:pPr>
            <w:r w:rsidRPr="00E40BFA">
              <w:t>7,02±0,10</w:t>
            </w:r>
          </w:p>
          <w:p w:rsidR="00534FB5" w:rsidRPr="00E40BFA" w:rsidRDefault="00534FB5" w:rsidP="00095C0B">
            <w:pPr>
              <w:spacing w:line="240" w:lineRule="auto"/>
            </w:pPr>
            <w:r w:rsidRPr="00E40BFA">
              <w:t>Р</w:t>
            </w:r>
            <w:r w:rsidRPr="00E40BFA">
              <w:rPr>
                <w:vertAlign w:val="subscript"/>
              </w:rPr>
              <w:t>2</w:t>
            </w:r>
            <w:r w:rsidRPr="00E40BFA">
              <w:t>&gt;0,05</w:t>
            </w:r>
          </w:p>
        </w:tc>
        <w:tc>
          <w:tcPr>
            <w:tcW w:w="1167" w:type="pct"/>
          </w:tcPr>
          <w:p w:rsidR="00534FB5" w:rsidRPr="00E40BFA" w:rsidRDefault="00534FB5" w:rsidP="00534FB5">
            <w:pPr>
              <w:spacing w:line="240" w:lineRule="auto"/>
            </w:pPr>
            <w:r w:rsidRPr="00E40BFA">
              <w:t>7,11±0,08</w:t>
            </w:r>
          </w:p>
          <w:p w:rsidR="00534FB5" w:rsidRPr="00E40BFA" w:rsidRDefault="00534FB5" w:rsidP="00095C0B">
            <w:pPr>
              <w:spacing w:line="240" w:lineRule="auto"/>
            </w:pPr>
            <w:r w:rsidRPr="00E40BFA">
              <w:t>Р</w:t>
            </w:r>
            <w:r w:rsidRPr="00E40BFA">
              <w:rPr>
                <w:vertAlign w:val="subscript"/>
              </w:rPr>
              <w:t>2</w:t>
            </w:r>
            <w:r w:rsidRPr="00E40BFA">
              <w:t>&gt;0,05</w:t>
            </w:r>
          </w:p>
        </w:tc>
      </w:tr>
      <w:tr w:rsidR="00534FB5" w:rsidRPr="00E40BFA" w:rsidTr="00534FB5">
        <w:tc>
          <w:tcPr>
            <w:tcW w:w="575" w:type="pct"/>
          </w:tcPr>
          <w:p w:rsidR="00534FB5" w:rsidRPr="00E40BFA" w:rsidRDefault="00534FB5" w:rsidP="00534FB5">
            <w:pPr>
              <w:spacing w:line="240" w:lineRule="auto"/>
            </w:pPr>
            <w:r w:rsidRPr="00E40BFA">
              <w:t>ОГ2б</w:t>
            </w:r>
          </w:p>
        </w:tc>
        <w:tc>
          <w:tcPr>
            <w:tcW w:w="1111" w:type="pct"/>
          </w:tcPr>
          <w:p w:rsidR="00534FB5" w:rsidRPr="00E40BFA" w:rsidRDefault="00534FB5" w:rsidP="00534FB5">
            <w:pPr>
              <w:spacing w:line="240" w:lineRule="auto"/>
            </w:pPr>
            <w:r w:rsidRPr="00E40BFA">
              <w:t>7,06±0,07</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036" w:type="pct"/>
          </w:tcPr>
          <w:p w:rsidR="00534FB5" w:rsidRPr="00E40BFA" w:rsidRDefault="00EF61AC" w:rsidP="00534FB5">
            <w:pPr>
              <w:spacing w:line="240" w:lineRule="auto"/>
            </w:pPr>
            <w:r>
              <w:t>7,09±0,05</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12" w:type="pct"/>
          </w:tcPr>
          <w:p w:rsidR="00534FB5" w:rsidRPr="00E40BFA" w:rsidRDefault="00534FB5" w:rsidP="00534FB5">
            <w:pPr>
              <w:spacing w:line="240" w:lineRule="auto"/>
            </w:pPr>
            <w:r w:rsidRPr="00E40BFA">
              <w:t>6,99±0,05</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67" w:type="pct"/>
          </w:tcPr>
          <w:p w:rsidR="00534FB5" w:rsidRPr="00E40BFA" w:rsidRDefault="00534FB5" w:rsidP="00534FB5">
            <w:pPr>
              <w:spacing w:line="240" w:lineRule="auto"/>
            </w:pPr>
            <w:r w:rsidRPr="00E40BFA">
              <w:t>7,01±0,04</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r>
      <w:tr w:rsidR="00534FB5" w:rsidRPr="00E40BFA" w:rsidTr="00534FB5">
        <w:tc>
          <w:tcPr>
            <w:tcW w:w="575" w:type="pct"/>
          </w:tcPr>
          <w:p w:rsidR="00534FB5" w:rsidRPr="00E40BFA" w:rsidRDefault="00534FB5" w:rsidP="00534FB5">
            <w:pPr>
              <w:spacing w:line="240" w:lineRule="auto"/>
            </w:pPr>
            <w:r w:rsidRPr="00E40BFA">
              <w:t>КГ3</w:t>
            </w:r>
          </w:p>
        </w:tc>
        <w:tc>
          <w:tcPr>
            <w:tcW w:w="1111" w:type="pct"/>
          </w:tcPr>
          <w:p w:rsidR="00534FB5" w:rsidRPr="00E40BFA" w:rsidRDefault="00534FB5" w:rsidP="00534FB5">
            <w:pPr>
              <w:spacing w:line="240" w:lineRule="auto"/>
            </w:pPr>
            <w:r w:rsidRPr="00E40BFA">
              <w:t>6,83±0,05</w:t>
            </w:r>
          </w:p>
        </w:tc>
        <w:tc>
          <w:tcPr>
            <w:tcW w:w="1036" w:type="pct"/>
          </w:tcPr>
          <w:p w:rsidR="00534FB5" w:rsidRPr="00E40BFA" w:rsidRDefault="00534FB5" w:rsidP="00534FB5">
            <w:pPr>
              <w:spacing w:line="240" w:lineRule="auto"/>
              <w:jc w:val="center"/>
            </w:pPr>
            <w:r>
              <w:t>-</w:t>
            </w:r>
          </w:p>
        </w:tc>
        <w:tc>
          <w:tcPr>
            <w:tcW w:w="1112" w:type="pct"/>
          </w:tcPr>
          <w:p w:rsidR="00534FB5" w:rsidRPr="00E40BFA" w:rsidRDefault="00534FB5" w:rsidP="00534FB5">
            <w:pPr>
              <w:spacing w:line="240" w:lineRule="auto"/>
              <w:jc w:val="center"/>
            </w:pPr>
            <w:r>
              <w:t>-</w:t>
            </w:r>
          </w:p>
        </w:tc>
        <w:tc>
          <w:tcPr>
            <w:tcW w:w="1167" w:type="pct"/>
          </w:tcPr>
          <w:p w:rsidR="00534FB5" w:rsidRPr="00E40BFA" w:rsidRDefault="00534FB5" w:rsidP="00534FB5">
            <w:pPr>
              <w:spacing w:line="240" w:lineRule="auto"/>
              <w:jc w:val="center"/>
            </w:pPr>
            <w:r>
              <w:t>-</w:t>
            </w:r>
          </w:p>
        </w:tc>
      </w:tr>
      <w:tr w:rsidR="00534FB5" w:rsidRPr="00E40BFA" w:rsidTr="00534FB5">
        <w:tc>
          <w:tcPr>
            <w:tcW w:w="575" w:type="pct"/>
          </w:tcPr>
          <w:p w:rsidR="00534FB5" w:rsidRPr="00E40BFA" w:rsidRDefault="00534FB5" w:rsidP="00534FB5">
            <w:pPr>
              <w:spacing w:line="240" w:lineRule="auto"/>
            </w:pPr>
            <w:r w:rsidRPr="00E40BFA">
              <w:t>ОГ3а</w:t>
            </w:r>
          </w:p>
        </w:tc>
        <w:tc>
          <w:tcPr>
            <w:tcW w:w="1111" w:type="pct"/>
          </w:tcPr>
          <w:p w:rsidR="00534FB5" w:rsidRPr="00E40BFA" w:rsidRDefault="00534FB5" w:rsidP="00534FB5">
            <w:pPr>
              <w:spacing w:line="240" w:lineRule="auto"/>
            </w:pPr>
            <w:r w:rsidRPr="00E40BFA">
              <w:t>6,91±0,05</w:t>
            </w:r>
          </w:p>
          <w:p w:rsidR="00534FB5" w:rsidRPr="00E40BFA" w:rsidRDefault="00534FB5" w:rsidP="00095C0B">
            <w:pPr>
              <w:spacing w:line="240" w:lineRule="auto"/>
            </w:pPr>
            <w:r w:rsidRPr="00E40BFA">
              <w:t>Р</w:t>
            </w:r>
            <w:r w:rsidRPr="00E40BFA">
              <w:rPr>
                <w:vertAlign w:val="subscript"/>
              </w:rPr>
              <w:t>2</w:t>
            </w:r>
            <w:r w:rsidRPr="00E40BFA">
              <w:t>&gt;0,05</w:t>
            </w:r>
          </w:p>
        </w:tc>
        <w:tc>
          <w:tcPr>
            <w:tcW w:w="1036" w:type="pct"/>
          </w:tcPr>
          <w:p w:rsidR="00534FB5" w:rsidRPr="00E40BFA" w:rsidRDefault="00534FB5" w:rsidP="00534FB5">
            <w:pPr>
              <w:spacing w:line="240" w:lineRule="auto"/>
            </w:pPr>
            <w:r w:rsidRPr="00E40BFA">
              <w:t>7,05±0,07</w:t>
            </w:r>
          </w:p>
          <w:p w:rsidR="00534FB5" w:rsidRPr="00E40BFA" w:rsidRDefault="00534FB5" w:rsidP="00095C0B">
            <w:pPr>
              <w:spacing w:line="240" w:lineRule="auto"/>
            </w:pPr>
            <w:r w:rsidRPr="00E40BFA">
              <w:t>Р</w:t>
            </w:r>
            <w:r w:rsidRPr="00E40BFA">
              <w:rPr>
                <w:vertAlign w:val="subscript"/>
              </w:rPr>
              <w:t>2</w:t>
            </w:r>
            <w:r w:rsidRPr="00E40BFA">
              <w:t>&lt;0,05</w:t>
            </w:r>
          </w:p>
        </w:tc>
        <w:tc>
          <w:tcPr>
            <w:tcW w:w="1112" w:type="pct"/>
          </w:tcPr>
          <w:p w:rsidR="00534FB5" w:rsidRPr="00E40BFA" w:rsidRDefault="00534FB5" w:rsidP="00534FB5">
            <w:pPr>
              <w:spacing w:line="240" w:lineRule="auto"/>
            </w:pPr>
            <w:r w:rsidRPr="00E40BFA">
              <w:t>6,98±0,07</w:t>
            </w:r>
          </w:p>
          <w:p w:rsidR="00534FB5" w:rsidRPr="00E40BFA" w:rsidRDefault="00534FB5" w:rsidP="00095C0B">
            <w:pPr>
              <w:spacing w:line="240" w:lineRule="auto"/>
            </w:pPr>
            <w:r w:rsidRPr="00E40BFA">
              <w:t>Р</w:t>
            </w:r>
            <w:r w:rsidRPr="00E40BFA">
              <w:rPr>
                <w:vertAlign w:val="subscript"/>
              </w:rPr>
              <w:t>2</w:t>
            </w:r>
            <w:r w:rsidR="00EF61AC" w:rsidRPr="00E40BFA">
              <w:t>&lt;</w:t>
            </w:r>
            <w:r w:rsidRPr="00E40BFA">
              <w:t>0,05</w:t>
            </w:r>
          </w:p>
        </w:tc>
        <w:tc>
          <w:tcPr>
            <w:tcW w:w="1167" w:type="pct"/>
          </w:tcPr>
          <w:p w:rsidR="00534FB5" w:rsidRPr="00E40BFA" w:rsidRDefault="00534FB5" w:rsidP="00534FB5">
            <w:pPr>
              <w:spacing w:line="240" w:lineRule="auto"/>
            </w:pPr>
            <w:r w:rsidRPr="00E40BFA">
              <w:t>7,02±0,07</w:t>
            </w:r>
          </w:p>
          <w:p w:rsidR="00534FB5" w:rsidRPr="00E40BFA" w:rsidRDefault="00534FB5" w:rsidP="00095C0B">
            <w:pPr>
              <w:spacing w:line="240" w:lineRule="auto"/>
            </w:pPr>
            <w:r w:rsidRPr="00E40BFA">
              <w:t>Р</w:t>
            </w:r>
            <w:r w:rsidRPr="00E40BFA">
              <w:rPr>
                <w:vertAlign w:val="subscript"/>
              </w:rPr>
              <w:t>2</w:t>
            </w:r>
            <w:r w:rsidRPr="00E40BFA">
              <w:t>&lt;0,05</w:t>
            </w:r>
          </w:p>
        </w:tc>
      </w:tr>
      <w:tr w:rsidR="00534FB5" w:rsidRPr="00E40BFA" w:rsidTr="00534FB5">
        <w:tc>
          <w:tcPr>
            <w:tcW w:w="575" w:type="pct"/>
          </w:tcPr>
          <w:p w:rsidR="00534FB5" w:rsidRPr="00E40BFA" w:rsidRDefault="00534FB5" w:rsidP="00534FB5">
            <w:pPr>
              <w:spacing w:line="240" w:lineRule="auto"/>
            </w:pPr>
            <w:r w:rsidRPr="00E40BFA">
              <w:t>ОГ3б</w:t>
            </w:r>
          </w:p>
        </w:tc>
        <w:tc>
          <w:tcPr>
            <w:tcW w:w="1111" w:type="pct"/>
          </w:tcPr>
          <w:p w:rsidR="00534FB5" w:rsidRPr="00E40BFA" w:rsidRDefault="00534FB5" w:rsidP="00534FB5">
            <w:pPr>
              <w:spacing w:line="240" w:lineRule="auto"/>
            </w:pPr>
            <w:r w:rsidRPr="00E40BFA">
              <w:t>6,90±0,06</w:t>
            </w:r>
          </w:p>
          <w:p w:rsidR="00534FB5" w:rsidRPr="00E40BFA" w:rsidRDefault="00534FB5" w:rsidP="00534FB5">
            <w:pPr>
              <w:spacing w:line="240" w:lineRule="auto"/>
            </w:pPr>
            <w:r w:rsidRPr="00E40BFA">
              <w:t>Р</w:t>
            </w:r>
            <w:r w:rsidRPr="00E40BFA">
              <w:rPr>
                <w:vertAlign w:val="subscript"/>
              </w:rPr>
              <w:t>1</w:t>
            </w:r>
            <w:r w:rsidRPr="00E40BFA">
              <w:t>&gt;0,05</w:t>
            </w:r>
          </w:p>
          <w:p w:rsidR="00534FB5" w:rsidRPr="00E40BFA" w:rsidRDefault="00534FB5" w:rsidP="00534FB5">
            <w:pPr>
              <w:spacing w:line="240" w:lineRule="auto"/>
            </w:pPr>
            <w:r w:rsidRPr="00E40BFA">
              <w:t>Р</w:t>
            </w:r>
            <w:r w:rsidRPr="00E40BFA">
              <w:rPr>
                <w:vertAlign w:val="subscript"/>
              </w:rPr>
              <w:t>3</w:t>
            </w:r>
            <w:r w:rsidRPr="00E40BFA">
              <w:t>&gt;0,05</w:t>
            </w:r>
          </w:p>
        </w:tc>
        <w:tc>
          <w:tcPr>
            <w:tcW w:w="1036" w:type="pct"/>
          </w:tcPr>
          <w:p w:rsidR="00534FB5" w:rsidRPr="00E40BFA" w:rsidRDefault="00534FB5" w:rsidP="00534FB5">
            <w:pPr>
              <w:spacing w:line="240" w:lineRule="auto"/>
            </w:pPr>
            <w:r w:rsidRPr="00E40BFA">
              <w:t>6,99±0,09</w:t>
            </w:r>
          </w:p>
          <w:p w:rsidR="00534FB5" w:rsidRPr="00E40BFA" w:rsidRDefault="00534FB5" w:rsidP="00534FB5">
            <w:pPr>
              <w:spacing w:line="240" w:lineRule="auto"/>
            </w:pPr>
            <w:r w:rsidRPr="00E40BFA">
              <w:t>Р</w:t>
            </w:r>
            <w:r w:rsidRPr="00E40BFA">
              <w:rPr>
                <w:vertAlign w:val="subscript"/>
              </w:rPr>
              <w:t>1</w:t>
            </w:r>
            <w:r w:rsidR="00EF61AC" w:rsidRPr="00E40BFA">
              <w:t>&lt;</w:t>
            </w:r>
            <w:r w:rsidRPr="00E40BFA">
              <w: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12" w:type="pct"/>
          </w:tcPr>
          <w:p w:rsidR="00534FB5" w:rsidRPr="00E40BFA" w:rsidRDefault="00534FB5" w:rsidP="00534FB5">
            <w:pPr>
              <w:spacing w:line="240" w:lineRule="auto"/>
            </w:pPr>
            <w:r w:rsidRPr="00E40BFA">
              <w:t>7,00±0,06</w:t>
            </w:r>
          </w:p>
          <w:p w:rsidR="00534FB5" w:rsidRPr="00E40BFA" w:rsidRDefault="00534FB5" w:rsidP="00534FB5">
            <w:pPr>
              <w:spacing w:line="240" w:lineRule="auto"/>
            </w:pPr>
            <w:r w:rsidRPr="00E40BFA">
              <w:t>Р</w:t>
            </w:r>
            <w:r w:rsidRPr="00E40BFA">
              <w:rPr>
                <w:vertAlign w:val="subscript"/>
              </w:rPr>
              <w:t>1</w:t>
            </w:r>
            <w:r w:rsidRPr="00E40BFA">
              <w:t>&lt;0,05</w:t>
            </w:r>
          </w:p>
          <w:p w:rsidR="00534FB5" w:rsidRPr="00E40BFA" w:rsidRDefault="00534FB5" w:rsidP="00534FB5">
            <w:pPr>
              <w:spacing w:line="240" w:lineRule="auto"/>
            </w:pPr>
            <w:r w:rsidRPr="00E40BFA">
              <w:t>Р</w:t>
            </w:r>
            <w:r w:rsidRPr="00E40BFA">
              <w:rPr>
                <w:vertAlign w:val="subscript"/>
              </w:rPr>
              <w:t>3</w:t>
            </w:r>
            <w:r w:rsidRPr="00E40BFA">
              <w:t>&gt;0,05</w:t>
            </w:r>
          </w:p>
        </w:tc>
        <w:tc>
          <w:tcPr>
            <w:tcW w:w="1167" w:type="pct"/>
          </w:tcPr>
          <w:p w:rsidR="00534FB5" w:rsidRPr="00E40BFA" w:rsidRDefault="00534FB5" w:rsidP="00534FB5">
            <w:pPr>
              <w:spacing w:line="240" w:lineRule="auto"/>
            </w:pPr>
            <w:r w:rsidRPr="00E40BFA">
              <w:t>7,01±0,05</w:t>
            </w:r>
          </w:p>
          <w:p w:rsidR="00534FB5" w:rsidRPr="00E40BFA" w:rsidRDefault="00534FB5" w:rsidP="00534FB5">
            <w:pPr>
              <w:spacing w:line="240" w:lineRule="auto"/>
            </w:pPr>
            <w:r w:rsidRPr="00E40BFA">
              <w:t>Р</w:t>
            </w:r>
            <w:r w:rsidRPr="00E40BFA">
              <w:rPr>
                <w:vertAlign w:val="subscript"/>
              </w:rPr>
              <w:t>1</w:t>
            </w:r>
            <w:r w:rsidRPr="00E40BFA">
              <w:t>&lt;0,05</w:t>
            </w:r>
          </w:p>
          <w:p w:rsidR="00534FB5" w:rsidRPr="00E40BFA" w:rsidRDefault="00534FB5" w:rsidP="00534FB5">
            <w:pPr>
              <w:spacing w:line="240" w:lineRule="auto"/>
            </w:pPr>
            <w:r w:rsidRPr="00E40BFA">
              <w:t>Р</w:t>
            </w:r>
            <w:r w:rsidRPr="00E40BFA">
              <w:rPr>
                <w:vertAlign w:val="subscript"/>
              </w:rPr>
              <w:t>3</w:t>
            </w:r>
            <w:r w:rsidRPr="00E40BFA">
              <w:t>&gt;0,05</w:t>
            </w:r>
          </w:p>
        </w:tc>
      </w:tr>
    </w:tbl>
    <w:p w:rsidR="00534FB5"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C727AC" w:rsidRDefault="00534FB5" w:rsidP="00534FB5">
      <w:pPr>
        <w:spacing w:line="240" w:lineRule="auto"/>
        <w:ind w:left="-142"/>
        <w:contextualSpacing/>
        <w:rPr>
          <w:sz w:val="24"/>
        </w:rPr>
      </w:pPr>
    </w:p>
    <w:p w:rsidR="00534FB5" w:rsidRDefault="00534FB5" w:rsidP="00534FB5">
      <w:pPr>
        <w:ind w:firstLine="567"/>
        <w:contextualSpacing/>
      </w:pPr>
      <w:r w:rsidRPr="00E40BFA">
        <w:lastRenderedPageBreak/>
        <w:t>На ри</w:t>
      </w:r>
      <w:r>
        <w:t>сунках 4.4.1.1 – 4</w:t>
      </w:r>
      <w:r w:rsidRPr="00E40BFA">
        <w:t>.4</w:t>
      </w:r>
      <w:r>
        <w:t xml:space="preserve">.1.3 </w:t>
      </w:r>
      <w:r w:rsidRPr="00E40BFA">
        <w:t>наведено графічне зображення динаміки зміни pH ротової рідини у дітей</w:t>
      </w:r>
      <w:r>
        <w:t xml:space="preserve"> всіх вікових груп ОГ та КГ на етапах лікування</w:t>
      </w:r>
      <w:r w:rsidRPr="00E40BFA">
        <w:t>.</w:t>
      </w:r>
    </w:p>
    <w:p w:rsidR="00534FB5" w:rsidRDefault="00534FB5" w:rsidP="00534FB5">
      <w:pPr>
        <w:ind w:firstLine="567"/>
        <w:contextualSpacing/>
      </w:pPr>
      <w:r w:rsidRPr="00E40BFA">
        <w:t>Через 12 місяців спостереження</w:t>
      </w:r>
      <w:r>
        <w:t xml:space="preserve"> </w:t>
      </w:r>
      <w:r w:rsidRPr="00E40BFA">
        <w:t>показник рН ротової рідини в ОГ1а та ОГ1б с</w:t>
      </w:r>
      <w:r>
        <w:t>танови</w:t>
      </w:r>
      <w:r w:rsidR="00CF5817">
        <w:t>в 7,01±0,05 та 6,99±0,04</w:t>
      </w:r>
      <w:r w:rsidRPr="00E40BFA">
        <w:t xml:space="preserve"> відповідно і достовірно не відрізнявся від значен</w:t>
      </w:r>
      <w:r>
        <w:t>ня рН дітей КГ (Р&gt;0,05)</w:t>
      </w:r>
      <w:r w:rsidRPr="00E40BFA">
        <w:t>.</w:t>
      </w:r>
      <w:r>
        <w:t xml:space="preserve"> </w:t>
      </w:r>
      <w:r w:rsidRPr="00E40BFA">
        <w:t>В ОГ1а через 12 місяців</w:t>
      </w:r>
      <w:r>
        <w:t xml:space="preserve"> спостереження</w:t>
      </w:r>
      <w:r w:rsidRPr="00E40BFA">
        <w:t xml:space="preserve"> значення водневого пока</w:t>
      </w:r>
      <w:r>
        <w:t>зника дещо перевищувало (на 1 %)</w:t>
      </w:r>
      <w:r w:rsidRPr="00E40BFA">
        <w:t xml:space="preserve"> значення від</w:t>
      </w:r>
      <w:r>
        <w:t>повідного показника в ОГ1б, але</w:t>
      </w:r>
      <w:r w:rsidRPr="00E40BFA">
        <w:t xml:space="preserve"> між ними не було виявлено достовірних відмінностей (Р&gt;0,05) і їх значення достовірно не відрізнялис</w:t>
      </w:r>
      <w:r>
        <w:t>я</w:t>
      </w:r>
      <w:r w:rsidRPr="00E40BFA">
        <w:t xml:space="preserve"> від показника КГ (Р&gt;0,05) (</w:t>
      </w:r>
      <w:r>
        <w:t>див. т</w:t>
      </w:r>
      <w:r w:rsidRPr="00E40BFA">
        <w:t>аб</w:t>
      </w:r>
      <w:r>
        <w:t>л</w:t>
      </w:r>
      <w:r w:rsidRPr="00E40BFA">
        <w:t>.</w:t>
      </w:r>
      <w:r>
        <w:t> 4</w:t>
      </w:r>
      <w:r w:rsidRPr="00E40BFA">
        <w:t>.4</w:t>
      </w:r>
      <w:r>
        <w:t>.1.1, рис. 4</w:t>
      </w:r>
      <w:r w:rsidRPr="00E40BFA">
        <w:t>.4</w:t>
      </w:r>
      <w:r>
        <w:t xml:space="preserve">.1.1). </w:t>
      </w:r>
    </w:p>
    <w:p w:rsidR="00534FB5" w:rsidRDefault="00534FB5" w:rsidP="00534FB5">
      <w:pPr>
        <w:ind w:firstLine="709"/>
        <w:contextualSpacing/>
      </w:pPr>
    </w:p>
    <w:p w:rsidR="00534FB5" w:rsidRDefault="006C493E" w:rsidP="00534FB5">
      <w:pPr>
        <w:contextualSpacing/>
        <w:jc w:val="center"/>
      </w:pPr>
      <w:r>
        <w:rPr>
          <w:noProof/>
          <w:lang w:val="ru-RU"/>
        </w:rPr>
        <w:drawing>
          <wp:inline distT="0" distB="0" distL="0" distR="0">
            <wp:extent cx="4657725" cy="2790825"/>
            <wp:effectExtent l="0" t="0" r="0" b="0"/>
            <wp:docPr id="51"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34FB5" w:rsidRDefault="00534FB5" w:rsidP="00534FB5">
      <w:pPr>
        <w:ind w:firstLine="567"/>
        <w:contextualSpacing/>
      </w:pPr>
      <w:r>
        <w:t>Рис. 4</w:t>
      </w:r>
      <w:r w:rsidRPr="00E40BFA">
        <w:t>.4</w:t>
      </w:r>
      <w:r>
        <w:t>.1.1.</w:t>
      </w:r>
      <w:r w:rsidRPr="00E40BFA">
        <w:t xml:space="preserve"> Динаміка зміни pH ротової рідини у дітей 7-8 років основної та контрольної груп</w:t>
      </w:r>
      <w:r>
        <w:t xml:space="preserve"> на етапах лікування</w:t>
      </w:r>
      <w:r w:rsidRPr="00E40BFA">
        <w:t>.</w:t>
      </w:r>
    </w:p>
    <w:p w:rsidR="00534FB5" w:rsidRDefault="00534FB5" w:rsidP="00534FB5">
      <w:pPr>
        <w:contextualSpacing/>
      </w:pPr>
    </w:p>
    <w:p w:rsidR="00534FB5" w:rsidRDefault="00534FB5" w:rsidP="00534FB5">
      <w:pPr>
        <w:ind w:firstLine="709"/>
        <w:contextualSpacing/>
      </w:pPr>
      <w:r>
        <w:t xml:space="preserve">У дітей другої вікової групи </w:t>
      </w:r>
      <w:r w:rsidR="005840BB">
        <w:t>«А»</w:t>
      </w:r>
      <w:r>
        <w:t xml:space="preserve"> підгрупи </w:t>
      </w:r>
      <w:r w:rsidRPr="00E40BFA">
        <w:t>спостерігалася незначна тенденція до зсуву рН ротової рідини в лужн</w:t>
      </w:r>
      <w:r w:rsidR="001B6158">
        <w:t>ий</w:t>
      </w:r>
      <w:r w:rsidR="00095C0B">
        <w:t xml:space="preserve"> бік</w:t>
      </w:r>
      <w:r>
        <w:t xml:space="preserve">, в </w:t>
      </w:r>
      <w:r w:rsidR="005840BB">
        <w:t>«Б»</w:t>
      </w:r>
      <w:r>
        <w:t xml:space="preserve"> підгрупі, навпаки, за 12 місяців</w:t>
      </w:r>
      <w:r w:rsidRPr="00E40BFA">
        <w:t xml:space="preserve"> </w:t>
      </w:r>
      <w:r>
        <w:t xml:space="preserve">спостереження рН ротової рідини з </w:t>
      </w:r>
      <w:r w:rsidRPr="00E40BFA">
        <w:t>7,06±0,07</w:t>
      </w:r>
      <w:r w:rsidR="00CF5817">
        <w:t xml:space="preserve"> знизилося до 7,01±0,04</w:t>
      </w:r>
      <w:r>
        <w:t xml:space="preserve"> </w:t>
      </w:r>
      <w:r w:rsidRPr="00E40BFA">
        <w:t>(</w:t>
      </w:r>
      <w:r>
        <w:t>див. т</w:t>
      </w:r>
      <w:r w:rsidRPr="00E40BFA">
        <w:t>аб</w:t>
      </w:r>
      <w:r>
        <w:t>л</w:t>
      </w:r>
      <w:r w:rsidRPr="00E40BFA">
        <w:t>.</w:t>
      </w:r>
      <w:r>
        <w:t> 4</w:t>
      </w:r>
      <w:r w:rsidRPr="00E40BFA">
        <w:t>.4</w:t>
      </w:r>
      <w:r>
        <w:t>.1.1, рис. 4</w:t>
      </w:r>
      <w:r w:rsidRPr="00E40BFA">
        <w:t>.4</w:t>
      </w:r>
      <w:r>
        <w:t xml:space="preserve">.1.2). </w:t>
      </w:r>
    </w:p>
    <w:p w:rsidR="00534FB5" w:rsidRDefault="00534FB5" w:rsidP="00534FB5">
      <w:pPr>
        <w:contextualSpacing/>
      </w:pPr>
    </w:p>
    <w:p w:rsidR="00534FB5" w:rsidRDefault="006C493E" w:rsidP="00534FB5">
      <w:pPr>
        <w:contextualSpacing/>
        <w:jc w:val="center"/>
      </w:pPr>
      <w:r>
        <w:rPr>
          <w:noProof/>
          <w:lang w:val="ru-RU"/>
        </w:rPr>
        <w:lastRenderedPageBreak/>
        <w:drawing>
          <wp:inline distT="0" distB="0" distL="0" distR="0">
            <wp:extent cx="4657725" cy="2733675"/>
            <wp:effectExtent l="0" t="0" r="0" b="0"/>
            <wp:docPr id="52"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34FB5" w:rsidRDefault="00534FB5" w:rsidP="00534FB5">
      <w:pPr>
        <w:ind w:firstLine="709"/>
        <w:contextualSpacing/>
      </w:pPr>
      <w:r>
        <w:t>Рис. 4</w:t>
      </w:r>
      <w:r w:rsidRPr="00E40BFA">
        <w:t>.4</w:t>
      </w:r>
      <w:r>
        <w:t>.1.2.</w:t>
      </w:r>
      <w:r w:rsidRPr="00E40BFA">
        <w:t xml:space="preserve"> Динаміка зміни pH ротової рідини у дітей 11-12 років основної та контрольної груп</w:t>
      </w:r>
      <w:r>
        <w:t xml:space="preserve"> на етапах лікування</w:t>
      </w:r>
      <w:r w:rsidRPr="00E40BFA">
        <w:t>.</w:t>
      </w:r>
    </w:p>
    <w:p w:rsidR="00534FB5" w:rsidRDefault="00534FB5" w:rsidP="00534FB5">
      <w:pPr>
        <w:contextualSpacing/>
      </w:pPr>
    </w:p>
    <w:p w:rsidR="00534FB5" w:rsidRPr="00032C78" w:rsidRDefault="00534FB5" w:rsidP="00534FB5">
      <w:pPr>
        <w:ind w:firstLine="709"/>
        <w:contextualSpacing/>
        <w:rPr>
          <w:spacing w:val="-10"/>
        </w:rPr>
      </w:pPr>
      <w:r w:rsidRPr="00032C78">
        <w:rPr>
          <w:spacing w:val="-10"/>
        </w:rPr>
        <w:t xml:space="preserve">У дітей </w:t>
      </w:r>
      <w:r w:rsidR="005840BB">
        <w:rPr>
          <w:spacing w:val="-10"/>
        </w:rPr>
        <w:t>«А»</w:t>
      </w:r>
      <w:r w:rsidRPr="00032C78">
        <w:rPr>
          <w:spacing w:val="-10"/>
        </w:rPr>
        <w:t xml:space="preserve"> і </w:t>
      </w:r>
      <w:r w:rsidR="005840BB">
        <w:rPr>
          <w:spacing w:val="-10"/>
        </w:rPr>
        <w:t>«Б»</w:t>
      </w:r>
      <w:r w:rsidRPr="00032C78">
        <w:rPr>
          <w:spacing w:val="-10"/>
        </w:rPr>
        <w:t xml:space="preserve"> підгруп третьої вікової групи під дією обох лікувально-профілактичних схем протягом всього строку спостереження відбувався незначний зсув значення рН ротової рідини в лужну сторону. Через 12 місяців від початку проведення лікувально-профілактичних заходів водневі показники в ОГ2а та ОГ2б</w:t>
      </w:r>
      <w:r>
        <w:rPr>
          <w:spacing w:val="-10"/>
        </w:rPr>
        <w:t xml:space="preserve"> </w:t>
      </w:r>
      <w:r w:rsidRPr="00032C78">
        <w:rPr>
          <w:spacing w:val="-10"/>
        </w:rPr>
        <w:t>достовірно не відрізнялися між собою (Р&gt;0,05) (див. табл.</w:t>
      </w:r>
      <w:r>
        <w:rPr>
          <w:spacing w:val="-10"/>
        </w:rPr>
        <w:t> </w:t>
      </w:r>
      <w:r w:rsidRPr="00032C78">
        <w:rPr>
          <w:spacing w:val="-10"/>
        </w:rPr>
        <w:t>4.4.1.1, рис. 4.4.1.3).</w:t>
      </w:r>
      <w:r>
        <w:rPr>
          <w:spacing w:val="-10"/>
        </w:rPr>
        <w:t xml:space="preserve"> </w:t>
      </w:r>
    </w:p>
    <w:p w:rsidR="00534FB5" w:rsidRDefault="00534FB5" w:rsidP="00534FB5">
      <w:pPr>
        <w:contextualSpacing/>
      </w:pPr>
    </w:p>
    <w:p w:rsidR="00534FB5" w:rsidRPr="00E40BFA" w:rsidRDefault="006C493E" w:rsidP="00534FB5">
      <w:pPr>
        <w:contextualSpacing/>
        <w:jc w:val="center"/>
      </w:pPr>
      <w:r>
        <w:rPr>
          <w:noProof/>
          <w:lang w:val="ru-RU"/>
        </w:rPr>
        <w:drawing>
          <wp:inline distT="0" distB="0" distL="0" distR="0">
            <wp:extent cx="4657725" cy="2771775"/>
            <wp:effectExtent l="0" t="0" r="0" b="0"/>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34FB5" w:rsidRDefault="00534FB5" w:rsidP="00534FB5">
      <w:pPr>
        <w:ind w:firstLine="709"/>
        <w:contextualSpacing/>
      </w:pPr>
      <w:r>
        <w:t>Рис. 4</w:t>
      </w:r>
      <w:r w:rsidRPr="00E40BFA">
        <w:t>.4</w:t>
      </w:r>
      <w:r>
        <w:t>.1.3.</w:t>
      </w:r>
      <w:r w:rsidRPr="00E40BFA">
        <w:t xml:space="preserve"> Динаміка зміни pH ротової рідини у дітей 14-15 років основної та контрольної груп</w:t>
      </w:r>
      <w:r>
        <w:t xml:space="preserve"> на етапах лікування</w:t>
      </w:r>
      <w:r w:rsidRPr="00E40BFA">
        <w:t>.</w:t>
      </w:r>
    </w:p>
    <w:p w:rsidR="00534FB5" w:rsidRDefault="00534FB5" w:rsidP="00534FB5">
      <w:pPr>
        <w:ind w:firstLine="709"/>
        <w:contextualSpacing/>
      </w:pPr>
      <w:r>
        <w:lastRenderedPageBreak/>
        <w:t>Проведення лікувально-профілактичних заходів позитивним чином вплинуло на динаміку</w:t>
      </w:r>
      <w:r w:rsidRPr="00D76093">
        <w:t xml:space="preserve"> </w:t>
      </w:r>
      <w:r>
        <w:t>Δ</w:t>
      </w:r>
      <w:r w:rsidRPr="00E40BFA">
        <w:t>pH рот</w:t>
      </w:r>
      <w:r>
        <w:t xml:space="preserve">ової рідини у дітей основної </w:t>
      </w:r>
      <w:r w:rsidRPr="00E40BFA">
        <w:t>групи</w:t>
      </w:r>
      <w:r>
        <w:t>.</w:t>
      </w:r>
    </w:p>
    <w:p w:rsidR="00534FB5" w:rsidRPr="00440187" w:rsidRDefault="00534FB5" w:rsidP="00534FB5">
      <w:pPr>
        <w:ind w:firstLine="709"/>
        <w:contextualSpacing/>
        <w:rPr>
          <w:i/>
        </w:rPr>
      </w:pPr>
      <w:r w:rsidRPr="00914884">
        <w:t>Динаміка зміни</w:t>
      </w:r>
      <w:r>
        <w:t xml:space="preserve"> </w:t>
      </w:r>
      <w:r w:rsidRPr="00914884">
        <w:t>ΔрН ротової рідини у дітей</w:t>
      </w:r>
      <w:r>
        <w:t xml:space="preserve"> </w:t>
      </w:r>
      <w:r w:rsidRPr="00914884">
        <w:t>основної та контрольної груп</w:t>
      </w:r>
      <w:r>
        <w:t xml:space="preserve"> </w:t>
      </w:r>
      <w:r w:rsidRPr="00914884">
        <w:t>до та після проведення лікувально-профілактичних заходів</w:t>
      </w:r>
      <w:r>
        <w:t xml:space="preserve"> наведено в таблиці </w:t>
      </w:r>
      <w:r w:rsidRPr="00914884">
        <w:t>4.4.1.2</w:t>
      </w:r>
      <w:r>
        <w:t>.</w:t>
      </w:r>
      <w:r w:rsidRPr="00E40BFA">
        <w:t xml:space="preserve"> </w:t>
      </w:r>
    </w:p>
    <w:p w:rsidR="00534FB5" w:rsidRPr="009F0720" w:rsidRDefault="00534FB5" w:rsidP="00534FB5">
      <w:pPr>
        <w:ind w:firstLine="709"/>
        <w:contextualSpacing/>
        <w:jc w:val="right"/>
        <w:rPr>
          <w:i/>
        </w:rPr>
      </w:pPr>
      <w:r w:rsidRPr="009F0720">
        <w:rPr>
          <w:i/>
        </w:rPr>
        <w:t>Таблиця 4.4.1.2</w:t>
      </w:r>
    </w:p>
    <w:p w:rsidR="00534FB5" w:rsidRPr="009F0720" w:rsidRDefault="00534FB5" w:rsidP="00534FB5">
      <w:pPr>
        <w:spacing w:line="240" w:lineRule="auto"/>
        <w:ind w:firstLine="709"/>
        <w:contextualSpacing/>
        <w:jc w:val="center"/>
        <w:rPr>
          <w:b/>
        </w:rPr>
      </w:pPr>
      <w:r w:rsidRPr="009F0720">
        <w:rPr>
          <w:b/>
        </w:rPr>
        <w:t>Динаміка зміни</w:t>
      </w:r>
      <w:r>
        <w:rPr>
          <w:b/>
        </w:rPr>
        <w:t xml:space="preserve"> </w:t>
      </w:r>
      <w:r w:rsidRPr="009F0720">
        <w:rPr>
          <w:b/>
        </w:rPr>
        <w:t>ΔрН ротової рідини у дітей</w:t>
      </w:r>
      <w:r>
        <w:rPr>
          <w:b/>
        </w:rPr>
        <w:t xml:space="preserve"> </w:t>
      </w:r>
      <w:r w:rsidRPr="009F0720">
        <w:rPr>
          <w:b/>
        </w:rPr>
        <w:t>основної та контрольної груп</w:t>
      </w:r>
      <w:r>
        <w:rPr>
          <w:b/>
        </w:rPr>
        <w:t xml:space="preserve"> </w:t>
      </w:r>
      <w:r w:rsidRPr="009F0720">
        <w:rPr>
          <w:b/>
        </w:rPr>
        <w:t>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983"/>
        <w:gridCol w:w="2126"/>
        <w:gridCol w:w="2126"/>
        <w:gridCol w:w="2234"/>
      </w:tblGrid>
      <w:tr w:rsidR="00534FB5" w:rsidRPr="00E40BFA" w:rsidTr="00534FB5">
        <w:tc>
          <w:tcPr>
            <w:tcW w:w="575" w:type="pct"/>
            <w:vMerge w:val="restart"/>
          </w:tcPr>
          <w:p w:rsidR="00534FB5" w:rsidRPr="00825143" w:rsidRDefault="00534FB5" w:rsidP="00534FB5">
            <w:pPr>
              <w:spacing w:line="240" w:lineRule="auto"/>
              <w:contextualSpacing/>
              <w:jc w:val="center"/>
            </w:pPr>
            <w:r w:rsidRPr="00825143">
              <w:t>Г</w:t>
            </w:r>
            <w:r>
              <w:t xml:space="preserve">рупи обсте-жених </w:t>
            </w:r>
          </w:p>
        </w:tc>
        <w:tc>
          <w:tcPr>
            <w:tcW w:w="4425" w:type="pct"/>
            <w:gridSpan w:val="4"/>
          </w:tcPr>
          <w:p w:rsidR="00534FB5" w:rsidRPr="00825143" w:rsidRDefault="00534FB5" w:rsidP="00534FB5">
            <w:pPr>
              <w:spacing w:line="240" w:lineRule="auto"/>
              <w:contextualSpacing/>
              <w:jc w:val="center"/>
              <w:rPr>
                <w:lang w:val="en-AU"/>
              </w:rPr>
            </w:pPr>
            <w:r w:rsidRPr="00E40BFA">
              <w:t>ΔрН</w:t>
            </w:r>
            <w:r>
              <w:t>, M</w:t>
            </w:r>
            <w:r>
              <w:rPr>
                <w:lang w:val="en-AU"/>
              </w:rPr>
              <w:t>±m</w:t>
            </w:r>
          </w:p>
        </w:tc>
      </w:tr>
      <w:tr w:rsidR="00534FB5" w:rsidRPr="00E40BFA" w:rsidTr="00534FB5">
        <w:trPr>
          <w:trHeight w:val="408"/>
        </w:trPr>
        <w:tc>
          <w:tcPr>
            <w:tcW w:w="575" w:type="pct"/>
            <w:vMerge/>
            <w:tcBorders>
              <w:bottom w:val="single" w:sz="4" w:space="0" w:color="auto"/>
            </w:tcBorders>
          </w:tcPr>
          <w:p w:rsidR="00534FB5" w:rsidRPr="00E40BFA" w:rsidRDefault="00534FB5" w:rsidP="00534FB5">
            <w:pPr>
              <w:spacing w:line="240" w:lineRule="auto"/>
              <w:contextualSpacing/>
              <w:jc w:val="center"/>
            </w:pPr>
          </w:p>
        </w:tc>
        <w:tc>
          <w:tcPr>
            <w:tcW w:w="1036" w:type="pct"/>
            <w:tcBorders>
              <w:bottom w:val="single" w:sz="4" w:space="0" w:color="auto"/>
            </w:tcBorders>
          </w:tcPr>
          <w:p w:rsidR="00534FB5" w:rsidRPr="00E40BFA" w:rsidRDefault="00534FB5" w:rsidP="00534FB5">
            <w:pPr>
              <w:spacing w:line="240" w:lineRule="auto"/>
              <w:contextualSpacing/>
              <w:jc w:val="center"/>
            </w:pPr>
            <w:r w:rsidRPr="00E40BFA">
              <w:t>До лікування</w:t>
            </w:r>
          </w:p>
        </w:tc>
        <w:tc>
          <w:tcPr>
            <w:tcW w:w="1111" w:type="pct"/>
            <w:tcBorders>
              <w:bottom w:val="single" w:sz="4" w:space="0" w:color="auto"/>
            </w:tcBorders>
          </w:tcPr>
          <w:p w:rsidR="00534FB5" w:rsidRPr="00E40BFA" w:rsidRDefault="00534FB5" w:rsidP="00534FB5">
            <w:pPr>
              <w:spacing w:line="240" w:lineRule="auto"/>
              <w:contextualSpacing/>
              <w:jc w:val="center"/>
            </w:pPr>
            <w:r w:rsidRPr="00E40BFA">
              <w:t>Через 1 місяць</w:t>
            </w:r>
          </w:p>
        </w:tc>
        <w:tc>
          <w:tcPr>
            <w:tcW w:w="1111" w:type="pct"/>
            <w:tcBorders>
              <w:bottom w:val="single" w:sz="4" w:space="0" w:color="auto"/>
            </w:tcBorders>
          </w:tcPr>
          <w:p w:rsidR="00534FB5" w:rsidRPr="00E40BFA" w:rsidRDefault="00534FB5" w:rsidP="00534FB5">
            <w:pPr>
              <w:spacing w:line="240" w:lineRule="auto"/>
              <w:contextualSpacing/>
              <w:jc w:val="center"/>
            </w:pPr>
            <w:r w:rsidRPr="00E40BFA">
              <w:t>Через 6 місяців</w:t>
            </w:r>
          </w:p>
        </w:tc>
        <w:tc>
          <w:tcPr>
            <w:tcW w:w="1167" w:type="pct"/>
            <w:tcBorders>
              <w:bottom w:val="single" w:sz="4" w:space="0" w:color="auto"/>
            </w:tcBorders>
          </w:tcPr>
          <w:p w:rsidR="00534FB5" w:rsidRPr="00E40BFA" w:rsidRDefault="00534FB5" w:rsidP="00534FB5">
            <w:pPr>
              <w:spacing w:line="240" w:lineRule="auto"/>
              <w:contextualSpacing/>
              <w:jc w:val="center"/>
            </w:pPr>
            <w:r w:rsidRPr="00E40BFA">
              <w:t>Через 12 місяців</w:t>
            </w:r>
          </w:p>
        </w:tc>
      </w:tr>
      <w:tr w:rsidR="00534FB5" w:rsidRPr="00E40BFA" w:rsidTr="00534FB5">
        <w:tc>
          <w:tcPr>
            <w:tcW w:w="575" w:type="pct"/>
          </w:tcPr>
          <w:p w:rsidR="00534FB5" w:rsidRPr="00E40BFA" w:rsidRDefault="00534FB5" w:rsidP="00534FB5">
            <w:pPr>
              <w:spacing w:line="240" w:lineRule="auto"/>
              <w:contextualSpacing/>
            </w:pPr>
            <w:r w:rsidRPr="00E40BFA">
              <w:t>КГ1</w:t>
            </w:r>
          </w:p>
        </w:tc>
        <w:tc>
          <w:tcPr>
            <w:tcW w:w="1036" w:type="pct"/>
          </w:tcPr>
          <w:p w:rsidR="00534FB5" w:rsidRPr="00E40BFA" w:rsidRDefault="00534FB5" w:rsidP="00534FB5">
            <w:pPr>
              <w:spacing w:line="240" w:lineRule="auto"/>
              <w:contextualSpacing/>
            </w:pPr>
            <w:r w:rsidRPr="00E40BFA">
              <w:t>0,08±0,02</w:t>
            </w:r>
          </w:p>
        </w:tc>
        <w:tc>
          <w:tcPr>
            <w:tcW w:w="1111" w:type="pct"/>
          </w:tcPr>
          <w:p w:rsidR="00534FB5" w:rsidRPr="00E40BFA" w:rsidRDefault="00534FB5" w:rsidP="00534FB5">
            <w:pPr>
              <w:spacing w:line="240" w:lineRule="auto"/>
              <w:contextualSpacing/>
              <w:jc w:val="center"/>
            </w:pPr>
            <w:r w:rsidRPr="00E40BFA">
              <w:t>-</w:t>
            </w:r>
          </w:p>
        </w:tc>
        <w:tc>
          <w:tcPr>
            <w:tcW w:w="1111" w:type="pct"/>
          </w:tcPr>
          <w:p w:rsidR="00534FB5" w:rsidRPr="00E40BFA" w:rsidRDefault="00534FB5" w:rsidP="00534FB5">
            <w:pPr>
              <w:spacing w:line="240" w:lineRule="auto"/>
              <w:contextualSpacing/>
              <w:jc w:val="center"/>
            </w:pPr>
            <w:r w:rsidRPr="00E40BFA">
              <w:t>-</w:t>
            </w:r>
          </w:p>
        </w:tc>
        <w:tc>
          <w:tcPr>
            <w:tcW w:w="1167" w:type="pct"/>
          </w:tcPr>
          <w:p w:rsidR="00534FB5" w:rsidRPr="00E40BFA" w:rsidRDefault="00534FB5" w:rsidP="00534FB5">
            <w:pPr>
              <w:spacing w:line="240" w:lineRule="auto"/>
              <w:contextualSpacing/>
              <w:jc w:val="center"/>
            </w:pPr>
            <w:r w:rsidRPr="00E40BFA">
              <w:t>-</w:t>
            </w:r>
          </w:p>
        </w:tc>
      </w:tr>
      <w:tr w:rsidR="00534FB5" w:rsidRPr="00E40BFA" w:rsidTr="00534FB5">
        <w:tc>
          <w:tcPr>
            <w:tcW w:w="575" w:type="pct"/>
          </w:tcPr>
          <w:p w:rsidR="00534FB5" w:rsidRPr="00E40BFA" w:rsidRDefault="00534FB5" w:rsidP="00534FB5">
            <w:pPr>
              <w:spacing w:line="240" w:lineRule="auto"/>
              <w:contextualSpacing/>
            </w:pPr>
            <w:r w:rsidRPr="00E40BFA">
              <w:t>ОГ1а</w:t>
            </w:r>
          </w:p>
        </w:tc>
        <w:tc>
          <w:tcPr>
            <w:tcW w:w="1036" w:type="pct"/>
          </w:tcPr>
          <w:p w:rsidR="00534FB5" w:rsidRPr="00E40BFA" w:rsidRDefault="00534FB5" w:rsidP="00534FB5">
            <w:pPr>
              <w:spacing w:line="240" w:lineRule="auto"/>
              <w:contextualSpacing/>
            </w:pPr>
            <w:r w:rsidRPr="00E40BFA">
              <w:t>0,77±0,01</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0,67±0,05</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0,54±0,06</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0,38±0,05</w:t>
            </w:r>
          </w:p>
          <w:p w:rsidR="00534FB5" w:rsidRPr="00E40BFA" w:rsidRDefault="00534FB5" w:rsidP="00095C0B">
            <w:pPr>
              <w:spacing w:line="240" w:lineRule="auto"/>
              <w:contextualSpacing/>
            </w:pPr>
            <w:r w:rsidRPr="00E40BFA">
              <w:t>Р</w:t>
            </w:r>
            <w:r w:rsidRPr="00E40BFA">
              <w:rPr>
                <w:vertAlign w:val="subscript"/>
              </w:rPr>
              <w:t>2</w:t>
            </w:r>
            <w:r w:rsidRPr="00E40BFA">
              <w:t>&lt;0,01</w:t>
            </w:r>
          </w:p>
        </w:tc>
      </w:tr>
      <w:tr w:rsidR="00534FB5" w:rsidRPr="00E40BFA" w:rsidTr="00534FB5">
        <w:tc>
          <w:tcPr>
            <w:tcW w:w="575" w:type="pct"/>
          </w:tcPr>
          <w:p w:rsidR="00534FB5" w:rsidRPr="00E40BFA" w:rsidRDefault="00534FB5" w:rsidP="00534FB5">
            <w:pPr>
              <w:spacing w:line="240" w:lineRule="auto"/>
              <w:contextualSpacing/>
            </w:pPr>
            <w:r w:rsidRPr="00E40BFA">
              <w:t>ОГ1б</w:t>
            </w:r>
          </w:p>
        </w:tc>
        <w:tc>
          <w:tcPr>
            <w:tcW w:w="1036" w:type="pct"/>
          </w:tcPr>
          <w:p w:rsidR="00534FB5" w:rsidRPr="00E40BFA" w:rsidRDefault="00534FB5" w:rsidP="00534FB5">
            <w:pPr>
              <w:spacing w:line="240" w:lineRule="auto"/>
              <w:contextualSpacing/>
            </w:pPr>
            <w:r w:rsidRPr="00E40BFA">
              <w:t>0,76±0,01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0,51±0,05</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11" w:type="pct"/>
          </w:tcPr>
          <w:p w:rsidR="00534FB5" w:rsidRPr="00E40BFA" w:rsidRDefault="00534FB5" w:rsidP="00534FB5">
            <w:pPr>
              <w:spacing w:line="240" w:lineRule="auto"/>
              <w:contextualSpacing/>
            </w:pPr>
            <w:r w:rsidRPr="00E40BFA">
              <w:t>0,29±0,04</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131149" w:rsidP="00534FB5">
            <w:pPr>
              <w:spacing w:line="240" w:lineRule="auto"/>
              <w:contextualSpacing/>
            </w:pPr>
            <w:r>
              <w:t>0,13±0,04</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r w:rsidR="00534FB5" w:rsidRPr="00E40BFA" w:rsidTr="00534FB5">
        <w:tc>
          <w:tcPr>
            <w:tcW w:w="575" w:type="pct"/>
          </w:tcPr>
          <w:p w:rsidR="00534FB5" w:rsidRPr="00E40BFA" w:rsidRDefault="00534FB5" w:rsidP="00534FB5">
            <w:pPr>
              <w:spacing w:line="240" w:lineRule="auto"/>
              <w:contextualSpacing/>
            </w:pPr>
            <w:r w:rsidRPr="00E40BFA">
              <w:t>КГ2</w:t>
            </w:r>
          </w:p>
        </w:tc>
        <w:tc>
          <w:tcPr>
            <w:tcW w:w="1036" w:type="pct"/>
          </w:tcPr>
          <w:p w:rsidR="00534FB5" w:rsidRPr="00E40BFA" w:rsidRDefault="00534FB5" w:rsidP="00534FB5">
            <w:pPr>
              <w:spacing w:line="240" w:lineRule="auto"/>
              <w:contextualSpacing/>
            </w:pPr>
            <w:r w:rsidRPr="00E40BFA">
              <w:t>0,11±0,02</w:t>
            </w:r>
          </w:p>
        </w:tc>
        <w:tc>
          <w:tcPr>
            <w:tcW w:w="1111" w:type="pct"/>
          </w:tcPr>
          <w:p w:rsidR="00534FB5" w:rsidRPr="00E40BFA" w:rsidRDefault="00534FB5" w:rsidP="00534FB5">
            <w:pPr>
              <w:spacing w:line="240" w:lineRule="auto"/>
              <w:contextualSpacing/>
              <w:jc w:val="center"/>
            </w:pPr>
            <w:r w:rsidRPr="00E40BFA">
              <w:t>-</w:t>
            </w:r>
          </w:p>
        </w:tc>
        <w:tc>
          <w:tcPr>
            <w:tcW w:w="1111" w:type="pct"/>
          </w:tcPr>
          <w:p w:rsidR="00534FB5" w:rsidRPr="00E40BFA" w:rsidRDefault="00534FB5" w:rsidP="00534FB5">
            <w:pPr>
              <w:spacing w:line="240" w:lineRule="auto"/>
              <w:contextualSpacing/>
              <w:jc w:val="center"/>
            </w:pPr>
            <w:r w:rsidRPr="00E40BFA">
              <w:t>-</w:t>
            </w:r>
          </w:p>
        </w:tc>
        <w:tc>
          <w:tcPr>
            <w:tcW w:w="1167" w:type="pct"/>
          </w:tcPr>
          <w:p w:rsidR="00534FB5" w:rsidRPr="00E40BFA" w:rsidRDefault="00534FB5" w:rsidP="00534FB5">
            <w:pPr>
              <w:spacing w:line="240" w:lineRule="auto"/>
              <w:contextualSpacing/>
              <w:jc w:val="center"/>
            </w:pPr>
            <w:r w:rsidRPr="00E40BFA">
              <w:t>-</w:t>
            </w:r>
          </w:p>
        </w:tc>
      </w:tr>
      <w:tr w:rsidR="00534FB5" w:rsidRPr="00E40BFA" w:rsidTr="00534FB5">
        <w:tc>
          <w:tcPr>
            <w:tcW w:w="575" w:type="pct"/>
          </w:tcPr>
          <w:p w:rsidR="00534FB5" w:rsidRPr="00E40BFA" w:rsidRDefault="00534FB5" w:rsidP="00534FB5">
            <w:pPr>
              <w:spacing w:line="240" w:lineRule="auto"/>
              <w:contextualSpacing/>
            </w:pPr>
            <w:r w:rsidRPr="00E40BFA">
              <w:t>ОГ2а</w:t>
            </w:r>
          </w:p>
        </w:tc>
        <w:tc>
          <w:tcPr>
            <w:tcW w:w="1036" w:type="pct"/>
          </w:tcPr>
          <w:p w:rsidR="00534FB5" w:rsidRPr="00E40BFA" w:rsidRDefault="00534FB5" w:rsidP="00534FB5">
            <w:pPr>
              <w:spacing w:line="240" w:lineRule="auto"/>
              <w:contextualSpacing/>
            </w:pPr>
            <w:r w:rsidRPr="00E40BFA">
              <w:t>0,60±0,05</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0,54±0,06</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0,43±0,04</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0,34±0,03</w:t>
            </w:r>
          </w:p>
          <w:p w:rsidR="00534FB5" w:rsidRPr="00E40BFA" w:rsidRDefault="00534FB5" w:rsidP="00095C0B">
            <w:pPr>
              <w:spacing w:line="240" w:lineRule="auto"/>
              <w:contextualSpacing/>
            </w:pPr>
            <w:r w:rsidRPr="00E40BFA">
              <w:t>Р</w:t>
            </w:r>
            <w:r w:rsidRPr="00E40BFA">
              <w:rPr>
                <w:vertAlign w:val="subscript"/>
              </w:rPr>
              <w:t>2</w:t>
            </w:r>
            <w:r w:rsidRPr="00E40BFA">
              <w:t>&lt;0,01</w:t>
            </w:r>
          </w:p>
        </w:tc>
      </w:tr>
      <w:tr w:rsidR="00534FB5" w:rsidRPr="00E40BFA" w:rsidTr="00534FB5">
        <w:tc>
          <w:tcPr>
            <w:tcW w:w="575" w:type="pct"/>
          </w:tcPr>
          <w:p w:rsidR="00534FB5" w:rsidRPr="00E40BFA" w:rsidRDefault="00534FB5" w:rsidP="00534FB5">
            <w:pPr>
              <w:spacing w:line="240" w:lineRule="auto"/>
              <w:contextualSpacing/>
            </w:pPr>
            <w:r w:rsidRPr="00E40BFA">
              <w:t>ОГ2б</w:t>
            </w:r>
          </w:p>
        </w:tc>
        <w:tc>
          <w:tcPr>
            <w:tcW w:w="1036" w:type="pct"/>
          </w:tcPr>
          <w:p w:rsidR="00534FB5" w:rsidRPr="00E40BFA" w:rsidRDefault="00534FB5" w:rsidP="00534FB5">
            <w:pPr>
              <w:spacing w:line="240" w:lineRule="auto"/>
              <w:contextualSpacing/>
            </w:pPr>
            <w:r w:rsidRPr="00E40BFA">
              <w:t>0,62±0,05</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0,40±0,04</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11" w:type="pct"/>
          </w:tcPr>
          <w:p w:rsidR="00534FB5" w:rsidRPr="00E40BFA" w:rsidRDefault="00534FB5" w:rsidP="00534FB5">
            <w:pPr>
              <w:spacing w:line="240" w:lineRule="auto"/>
              <w:contextualSpacing/>
            </w:pPr>
            <w:r w:rsidRPr="00E40BFA">
              <w:t>0,27±0,03</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0,11±0,02</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r w:rsidR="00534FB5" w:rsidRPr="00E40BFA" w:rsidTr="00534FB5">
        <w:tc>
          <w:tcPr>
            <w:tcW w:w="575" w:type="pct"/>
          </w:tcPr>
          <w:p w:rsidR="00534FB5" w:rsidRPr="00E40BFA" w:rsidRDefault="00534FB5" w:rsidP="00534FB5">
            <w:pPr>
              <w:spacing w:line="240" w:lineRule="auto"/>
              <w:contextualSpacing/>
            </w:pPr>
            <w:r w:rsidRPr="00E40BFA">
              <w:t>КГ3</w:t>
            </w:r>
          </w:p>
        </w:tc>
        <w:tc>
          <w:tcPr>
            <w:tcW w:w="1036" w:type="pct"/>
          </w:tcPr>
          <w:p w:rsidR="00534FB5" w:rsidRPr="00E40BFA" w:rsidRDefault="00534FB5" w:rsidP="00534FB5">
            <w:pPr>
              <w:spacing w:line="240" w:lineRule="auto"/>
              <w:contextualSpacing/>
            </w:pPr>
            <w:r w:rsidRPr="00E40BFA">
              <w:t>0,07±0,01</w:t>
            </w:r>
          </w:p>
        </w:tc>
        <w:tc>
          <w:tcPr>
            <w:tcW w:w="1111" w:type="pct"/>
          </w:tcPr>
          <w:p w:rsidR="00534FB5" w:rsidRPr="00E40BFA" w:rsidRDefault="00534FB5" w:rsidP="00534FB5">
            <w:pPr>
              <w:spacing w:line="240" w:lineRule="auto"/>
              <w:contextualSpacing/>
              <w:jc w:val="center"/>
            </w:pPr>
            <w:r w:rsidRPr="00E40BFA">
              <w:t>-</w:t>
            </w:r>
          </w:p>
        </w:tc>
        <w:tc>
          <w:tcPr>
            <w:tcW w:w="1111" w:type="pct"/>
          </w:tcPr>
          <w:p w:rsidR="00534FB5" w:rsidRPr="00E40BFA" w:rsidRDefault="00534FB5" w:rsidP="00534FB5">
            <w:pPr>
              <w:spacing w:line="240" w:lineRule="auto"/>
              <w:contextualSpacing/>
              <w:jc w:val="center"/>
            </w:pPr>
            <w:r w:rsidRPr="00E40BFA">
              <w:t>-</w:t>
            </w:r>
          </w:p>
        </w:tc>
        <w:tc>
          <w:tcPr>
            <w:tcW w:w="1167" w:type="pct"/>
          </w:tcPr>
          <w:p w:rsidR="00534FB5" w:rsidRPr="00E40BFA" w:rsidRDefault="00534FB5" w:rsidP="00534FB5">
            <w:pPr>
              <w:spacing w:line="240" w:lineRule="auto"/>
              <w:contextualSpacing/>
              <w:jc w:val="center"/>
            </w:pPr>
            <w:r w:rsidRPr="00E40BFA">
              <w:t>-</w:t>
            </w:r>
          </w:p>
        </w:tc>
      </w:tr>
      <w:tr w:rsidR="00534FB5" w:rsidRPr="00E40BFA" w:rsidTr="00534FB5">
        <w:tc>
          <w:tcPr>
            <w:tcW w:w="575" w:type="pct"/>
          </w:tcPr>
          <w:p w:rsidR="00534FB5" w:rsidRPr="00E40BFA" w:rsidRDefault="00534FB5" w:rsidP="00534FB5">
            <w:pPr>
              <w:spacing w:line="240" w:lineRule="auto"/>
              <w:contextualSpacing/>
            </w:pPr>
            <w:r w:rsidRPr="00E40BFA">
              <w:t>ОГ3а</w:t>
            </w:r>
          </w:p>
        </w:tc>
        <w:tc>
          <w:tcPr>
            <w:tcW w:w="1036" w:type="pct"/>
          </w:tcPr>
          <w:p w:rsidR="00534FB5" w:rsidRPr="00E40BFA" w:rsidRDefault="00534FB5" w:rsidP="00534FB5">
            <w:pPr>
              <w:spacing w:line="240" w:lineRule="auto"/>
              <w:contextualSpacing/>
            </w:pPr>
            <w:r w:rsidRPr="00E40BFA">
              <w:t>0,58±0,06</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0,51±0,04</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0,50±0,05</w:t>
            </w:r>
          </w:p>
          <w:p w:rsidR="00534FB5" w:rsidRPr="00E40BFA" w:rsidRDefault="00534FB5" w:rsidP="00095C0B">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0,28±0,04</w:t>
            </w:r>
          </w:p>
          <w:p w:rsidR="00534FB5" w:rsidRPr="00E40BFA" w:rsidRDefault="00534FB5" w:rsidP="00095C0B">
            <w:pPr>
              <w:spacing w:line="240" w:lineRule="auto"/>
              <w:contextualSpacing/>
            </w:pPr>
            <w:r w:rsidRPr="00E40BFA">
              <w:t>Р</w:t>
            </w:r>
            <w:r w:rsidRPr="00E40BFA">
              <w:rPr>
                <w:vertAlign w:val="subscript"/>
              </w:rPr>
              <w:t>2</w:t>
            </w:r>
            <w:r w:rsidRPr="00E40BFA">
              <w:t>&lt;0,01</w:t>
            </w:r>
          </w:p>
        </w:tc>
      </w:tr>
      <w:tr w:rsidR="00534FB5" w:rsidRPr="00E40BFA" w:rsidTr="00534FB5">
        <w:tc>
          <w:tcPr>
            <w:tcW w:w="575" w:type="pct"/>
          </w:tcPr>
          <w:p w:rsidR="00534FB5" w:rsidRPr="00E40BFA" w:rsidRDefault="00534FB5" w:rsidP="00534FB5">
            <w:pPr>
              <w:spacing w:line="240" w:lineRule="auto"/>
              <w:contextualSpacing/>
            </w:pPr>
            <w:r w:rsidRPr="00E40BFA">
              <w:t>ОГ3б</w:t>
            </w:r>
          </w:p>
        </w:tc>
        <w:tc>
          <w:tcPr>
            <w:tcW w:w="1036" w:type="pct"/>
          </w:tcPr>
          <w:p w:rsidR="00534FB5" w:rsidRPr="00E40BFA" w:rsidRDefault="00534FB5" w:rsidP="00534FB5">
            <w:pPr>
              <w:spacing w:line="240" w:lineRule="auto"/>
              <w:contextualSpacing/>
            </w:pPr>
            <w:r w:rsidRPr="00E40BFA">
              <w:t>0,59±0,06</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0,39±0,03</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&lt;0,05</w:t>
            </w:r>
          </w:p>
        </w:tc>
        <w:tc>
          <w:tcPr>
            <w:tcW w:w="1111" w:type="pct"/>
          </w:tcPr>
          <w:p w:rsidR="00534FB5" w:rsidRPr="00E40BFA" w:rsidRDefault="00534FB5" w:rsidP="00534FB5">
            <w:pPr>
              <w:spacing w:line="240" w:lineRule="auto"/>
              <w:contextualSpacing/>
            </w:pPr>
            <w:r w:rsidRPr="00E40BFA">
              <w:t>0,22±0,04</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0,09±0,01</w:t>
            </w:r>
          </w:p>
          <w:p w:rsidR="00534FB5" w:rsidRPr="00E40BFA" w:rsidRDefault="00534FB5" w:rsidP="00534FB5">
            <w:pPr>
              <w:spacing w:line="240" w:lineRule="auto"/>
              <w:contextualSpacing/>
            </w:pPr>
            <w:r w:rsidRPr="00E40BFA">
              <w:t>Р</w:t>
            </w:r>
            <w:r w:rsidRPr="00E40BFA">
              <w:rPr>
                <w:vertAlign w:val="subscript"/>
              </w:rPr>
              <w:t>1</w:t>
            </w:r>
            <w:r w:rsidRPr="00E40BFA">
              <w:t>&gt;0,05</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bl>
    <w:p w:rsidR="00534FB5" w:rsidRPr="00C727AC"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 xml:space="preserve">1 </w:t>
      </w:r>
      <w:r>
        <w:rPr>
          <w:sz w:val="24"/>
        </w:rPr>
        <w:t>–</w:t>
      </w:r>
      <w:r w:rsidRPr="005B39EC">
        <w:rPr>
          <w:sz w:val="24"/>
        </w:rPr>
        <w:t xml:space="preserve"> між 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Default="00534FB5" w:rsidP="00534FB5">
      <w:pPr>
        <w:tabs>
          <w:tab w:val="left" w:pos="4253"/>
        </w:tabs>
        <w:ind w:firstLine="709"/>
      </w:pPr>
    </w:p>
    <w:p w:rsidR="00534FB5" w:rsidRDefault="00534FB5" w:rsidP="00534FB5">
      <w:pPr>
        <w:tabs>
          <w:tab w:val="left" w:pos="4253"/>
        </w:tabs>
        <w:ind w:firstLine="709"/>
      </w:pPr>
      <w:r>
        <w:t>На рисунках 4.4.1.4 – 4</w:t>
      </w:r>
      <w:r w:rsidRPr="00E40BFA">
        <w:t>.4</w:t>
      </w:r>
      <w:r>
        <w:t>.1.6</w:t>
      </w:r>
      <w:r w:rsidRPr="00E40BFA">
        <w:t xml:space="preserve"> наведено динаміку змін ΔрН ротової рідини у дітей </w:t>
      </w:r>
      <w:r>
        <w:t xml:space="preserve">ОГ та КГ </w:t>
      </w:r>
      <w:r w:rsidRPr="00E40BFA">
        <w:t>до та після проведення лікувально-профілактичних заходів.</w:t>
      </w:r>
    </w:p>
    <w:p w:rsidR="00534FB5" w:rsidRPr="0092508E" w:rsidRDefault="00534FB5" w:rsidP="00534FB5">
      <w:pPr>
        <w:ind w:firstLine="709"/>
        <w:contextualSpacing/>
      </w:pPr>
      <w:r>
        <w:t>У</w:t>
      </w:r>
      <w:r w:rsidRPr="0092508E">
        <w:t xml:space="preserve"> підгрупі</w:t>
      </w:r>
      <w:r w:rsidR="00574A62">
        <w:t xml:space="preserve"> «Б» </w:t>
      </w:r>
      <w:r w:rsidRPr="0092508E">
        <w:t>першої вікової групи під дією запропонованого лікувально-профілактичного комплексу</w:t>
      </w:r>
      <w:r>
        <w:t xml:space="preserve"> </w:t>
      </w:r>
      <w:r w:rsidRPr="0092508E">
        <w:t xml:space="preserve">відхилення величини pH від </w:t>
      </w:r>
      <w:r w:rsidRPr="0092508E">
        <w:lastRenderedPageBreak/>
        <w:t>середнього її значення вже через місяць в 1,3</w:t>
      </w:r>
      <w:r>
        <w:t> </w:t>
      </w:r>
      <w:r w:rsidRPr="0092508E">
        <w:t>раза було нижче</w:t>
      </w:r>
      <w:r>
        <w:t>,</w:t>
      </w:r>
      <w:r w:rsidRPr="0092508E">
        <w:t xml:space="preserve"> порівняно з відповідним значення у дітей, яким проводилас</w:t>
      </w:r>
      <w:r>
        <w:t>я</w:t>
      </w:r>
      <w:r w:rsidRPr="0092508E">
        <w:t xml:space="preserve"> традиційна схема лікування та профілактики (Р&lt;0,05), а через 6 і 12 місяців показники відрізнялис</w:t>
      </w:r>
      <w:r>
        <w:t>я</w:t>
      </w:r>
      <w:r w:rsidRPr="0092508E">
        <w:t xml:space="preserve"> в 1,9</w:t>
      </w:r>
      <w:r>
        <w:t> раза</w:t>
      </w:r>
      <w:r w:rsidR="00185C39">
        <w:t xml:space="preserve"> </w:t>
      </w:r>
      <w:r w:rsidRPr="0092508E">
        <w:t>та в 2,9</w:t>
      </w:r>
      <w:r>
        <w:t> </w:t>
      </w:r>
      <w:r w:rsidRPr="0092508E">
        <w:t>раз</w:t>
      </w:r>
      <w:r>
        <w:t>а</w:t>
      </w:r>
      <w:r w:rsidRPr="0092508E">
        <w:t xml:space="preserve"> відповідно (Р&lt;0,01) (див. табл.</w:t>
      </w:r>
      <w:r>
        <w:t> </w:t>
      </w:r>
      <w:r w:rsidRPr="0092508E">
        <w:t>4.4.1.2, рис.</w:t>
      </w:r>
      <w:r>
        <w:t> </w:t>
      </w:r>
      <w:r w:rsidRPr="0092508E">
        <w:t>4.4.1.4).</w:t>
      </w:r>
    </w:p>
    <w:p w:rsidR="00534FB5" w:rsidRPr="0002243A" w:rsidRDefault="00534FB5" w:rsidP="00534FB5">
      <w:pPr>
        <w:ind w:firstLine="709"/>
        <w:contextualSpacing/>
        <w:rPr>
          <w:spacing w:val="-20"/>
          <w:sz w:val="14"/>
        </w:rPr>
      </w:pPr>
    </w:p>
    <w:p w:rsidR="00534FB5" w:rsidRPr="00E40BFA" w:rsidRDefault="006C493E" w:rsidP="00534FB5">
      <w:pPr>
        <w:tabs>
          <w:tab w:val="left" w:pos="4253"/>
        </w:tabs>
        <w:jc w:val="center"/>
      </w:pPr>
      <w:r>
        <w:rPr>
          <w:noProof/>
          <w:lang w:val="ru-RU"/>
        </w:rPr>
        <w:drawing>
          <wp:inline distT="0" distB="0" distL="0" distR="0">
            <wp:extent cx="4629150" cy="2743200"/>
            <wp:effectExtent l="0" t="0" r="0" b="0"/>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34FB5" w:rsidRDefault="00534FB5" w:rsidP="00534FB5">
      <w:pPr>
        <w:ind w:firstLine="709"/>
      </w:pPr>
      <w:r>
        <w:t>Рис. 4</w:t>
      </w:r>
      <w:r w:rsidRPr="00E40BFA">
        <w:t>.4</w:t>
      </w:r>
      <w:r>
        <w:t>.1.4.</w:t>
      </w:r>
      <w:r w:rsidRPr="00E40BFA">
        <w:t xml:space="preserve"> Динаміка зміни ΔрН ротової рідини у дітей 7-8 років основної та контрольної груп</w:t>
      </w:r>
      <w:r>
        <w:t xml:space="preserve"> на етапах лікування</w:t>
      </w:r>
      <w:r w:rsidRPr="00E40BFA">
        <w:t>.</w:t>
      </w:r>
    </w:p>
    <w:p w:rsidR="00534FB5" w:rsidRPr="0002243A" w:rsidRDefault="00534FB5" w:rsidP="00534FB5">
      <w:pPr>
        <w:rPr>
          <w:sz w:val="14"/>
        </w:rPr>
      </w:pPr>
    </w:p>
    <w:p w:rsidR="00534FB5" w:rsidRPr="00E40BFA" w:rsidRDefault="006C493E" w:rsidP="00534FB5">
      <w:pPr>
        <w:jc w:val="center"/>
      </w:pPr>
      <w:r>
        <w:rPr>
          <w:noProof/>
          <w:lang w:val="ru-RU"/>
        </w:rPr>
        <w:drawing>
          <wp:inline distT="0" distB="0" distL="0" distR="0">
            <wp:extent cx="4676775" cy="2762250"/>
            <wp:effectExtent l="0" t="0" r="0" b="0"/>
            <wp:docPr id="5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34FB5" w:rsidRDefault="00534FB5" w:rsidP="00534FB5">
      <w:pPr>
        <w:ind w:firstLine="709"/>
      </w:pPr>
      <w:r>
        <w:t>Рис. 4.</w:t>
      </w:r>
      <w:r w:rsidRPr="00E40BFA">
        <w:t>4</w:t>
      </w:r>
      <w:r>
        <w:t xml:space="preserve">.1.5. </w:t>
      </w:r>
      <w:r w:rsidRPr="00E40BFA">
        <w:t>Динаміка зміни ΔрН ротової рідини у дітей 11-12 років</w:t>
      </w:r>
      <w:r>
        <w:t xml:space="preserve"> </w:t>
      </w:r>
      <w:r w:rsidRPr="00E40BFA">
        <w:t xml:space="preserve">основної та контрольної груп </w:t>
      </w:r>
      <w:r>
        <w:t>на етапах лікування</w:t>
      </w:r>
      <w:r w:rsidRPr="00E40BFA">
        <w:t>.</w:t>
      </w:r>
    </w:p>
    <w:p w:rsidR="0002243A" w:rsidRDefault="0002243A" w:rsidP="00534FB5">
      <w:pPr>
        <w:ind w:firstLine="709"/>
      </w:pPr>
    </w:p>
    <w:p w:rsidR="00534FB5" w:rsidRPr="00E40BFA" w:rsidRDefault="00534FB5" w:rsidP="00534FB5">
      <w:pPr>
        <w:tabs>
          <w:tab w:val="left" w:pos="4253"/>
        </w:tabs>
        <w:ind w:firstLine="709"/>
        <w:contextualSpacing/>
      </w:pPr>
      <w:r>
        <w:t>У другій та третій вікових групах</w:t>
      </w:r>
      <w:r w:rsidRPr="00E40BFA">
        <w:t xml:space="preserve"> спостерігалас</w:t>
      </w:r>
      <w:r>
        <w:t>я</w:t>
      </w:r>
      <w:r w:rsidRPr="00E40BFA">
        <w:t xml:space="preserve"> схожа тенденція. </w:t>
      </w:r>
      <w:r>
        <w:t xml:space="preserve">В </w:t>
      </w:r>
      <w:r w:rsidR="005840BB">
        <w:lastRenderedPageBreak/>
        <w:t>«Б»</w:t>
      </w:r>
      <w:r>
        <w:t xml:space="preserve"> підгрупі</w:t>
      </w:r>
      <w:r w:rsidRPr="00E40BFA">
        <w:t xml:space="preserve"> </w:t>
      </w:r>
      <w:r>
        <w:t xml:space="preserve">другої вікової групи через 1, 6, </w:t>
      </w:r>
      <w:r w:rsidRPr="00E40BFA">
        <w:t>та 12 мі</w:t>
      </w:r>
      <w:r>
        <w:t xml:space="preserve">сяців значення ΔрН </w:t>
      </w:r>
      <w:r w:rsidRPr="00E40BFA">
        <w:t>в 1,4</w:t>
      </w:r>
      <w:r>
        <w:t xml:space="preserve"> раза </w:t>
      </w:r>
      <w:r w:rsidRPr="00E40BFA">
        <w:t>(Р&gt;0,05), 1,6</w:t>
      </w:r>
      <w:r>
        <w:t> раза</w:t>
      </w:r>
      <w:r w:rsidRPr="00E40BFA">
        <w:t xml:space="preserve"> (Р&lt;0,01), 3,1</w:t>
      </w:r>
      <w:r>
        <w:t> раза</w:t>
      </w:r>
      <w:r w:rsidRPr="00E40BFA">
        <w:t xml:space="preserve"> (Р&lt;0,01</w:t>
      </w:r>
      <w:r>
        <w:t xml:space="preserve">) </w:t>
      </w:r>
      <w:r w:rsidRPr="00E40BFA">
        <w:t>відрізнялос</w:t>
      </w:r>
      <w:r>
        <w:t>я</w:t>
      </w:r>
      <w:r w:rsidRPr="00E40BFA">
        <w:t xml:space="preserve"> від відповідного значення у дітей </w:t>
      </w:r>
      <w:r w:rsidR="005840BB">
        <w:t>«А»</w:t>
      </w:r>
      <w:r w:rsidRPr="00E40BFA">
        <w:t xml:space="preserve"> підгруп</w:t>
      </w:r>
      <w:r>
        <w:t>и. В третій віковій групі діти, які отримували запропоновану схему лікування та профілактики мали значення цього показника в 1,3 раза (Р&lt;0,05), 2,3 раза</w:t>
      </w:r>
      <w:r w:rsidRPr="00E40BFA">
        <w:t xml:space="preserve"> (Р&lt;0,01) та 3,1</w:t>
      </w:r>
      <w:r>
        <w:t> раза</w:t>
      </w:r>
      <w:r w:rsidRPr="00E40BFA">
        <w:t xml:space="preserve"> (Р&lt;0,01)</w:t>
      </w:r>
      <w:r>
        <w:t xml:space="preserve"> нижче, порівняно з дітьми, яким проводили традиційну схему лікування та профілактики (див. табл. 4</w:t>
      </w:r>
      <w:r w:rsidRPr="00E40BFA">
        <w:t>.4</w:t>
      </w:r>
      <w:r>
        <w:t>.1.2, рис. 4.4.1.5 – 4.4.1.6)</w:t>
      </w:r>
    </w:p>
    <w:p w:rsidR="00534FB5" w:rsidRDefault="00534FB5" w:rsidP="00534FB5"/>
    <w:p w:rsidR="00534FB5" w:rsidRPr="00E40BFA" w:rsidRDefault="006C493E" w:rsidP="00534FB5">
      <w:pPr>
        <w:jc w:val="center"/>
      </w:pPr>
      <w:r>
        <w:rPr>
          <w:noProof/>
          <w:lang w:val="ru-RU"/>
        </w:rPr>
        <w:drawing>
          <wp:inline distT="0" distB="0" distL="0" distR="0">
            <wp:extent cx="4648200" cy="2762250"/>
            <wp:effectExtent l="0" t="0" r="0" b="0"/>
            <wp:docPr id="5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34FB5" w:rsidRDefault="00534FB5" w:rsidP="00534FB5">
      <w:pPr>
        <w:ind w:firstLine="709"/>
      </w:pPr>
      <w:r>
        <w:t>Рис. 4</w:t>
      </w:r>
      <w:r w:rsidRPr="00E40BFA">
        <w:t>.4</w:t>
      </w:r>
      <w:r>
        <w:t>.1.6.</w:t>
      </w:r>
      <w:r w:rsidRPr="00E40BFA">
        <w:t xml:space="preserve"> Динаміка зміни ΔрН ротової рідини у дітей 14-15 років основної та контрольної груп до та після проведення лікувально-профілактичних заходів.</w:t>
      </w:r>
    </w:p>
    <w:p w:rsidR="00534FB5" w:rsidRDefault="00534FB5" w:rsidP="00534FB5"/>
    <w:p w:rsidR="00534FB5" w:rsidRDefault="00534FB5" w:rsidP="00534FB5">
      <w:pPr>
        <w:tabs>
          <w:tab w:val="left" w:pos="4253"/>
        </w:tabs>
        <w:ind w:firstLine="709"/>
        <w:contextualSpacing/>
      </w:pPr>
      <w:r w:rsidRPr="00E40BFA">
        <w:t xml:space="preserve">У дітей </w:t>
      </w:r>
      <w:r>
        <w:t>у</w:t>
      </w:r>
      <w:r w:rsidRPr="00E40BFA">
        <w:t xml:space="preserve">сіх трьох вікових груп, </w:t>
      </w:r>
      <w:r>
        <w:t>які</w:t>
      </w:r>
      <w:r w:rsidRPr="00E40BFA">
        <w:t xml:space="preserve"> проходили лікування </w:t>
      </w:r>
      <w:r>
        <w:t>за</w:t>
      </w:r>
      <w:r w:rsidRPr="00E40BFA">
        <w:t xml:space="preserve"> запропонован</w:t>
      </w:r>
      <w:r>
        <w:t>ою</w:t>
      </w:r>
      <w:r w:rsidRPr="00E40BFA">
        <w:t xml:space="preserve"> лікувально-профілактичн</w:t>
      </w:r>
      <w:r>
        <w:t>ою</w:t>
      </w:r>
      <w:r w:rsidRPr="00E40BFA">
        <w:t xml:space="preserve"> схем</w:t>
      </w:r>
      <w:r>
        <w:t>ою,</w:t>
      </w:r>
      <w:r w:rsidRPr="00E40BFA">
        <w:t xml:space="preserve"> через 12 місяців відхилення</w:t>
      </w:r>
      <w:r w:rsidRPr="009F0720">
        <w:t xml:space="preserve"> </w:t>
      </w:r>
      <w:r w:rsidRPr="00E40BFA">
        <w:t>величини pH від середнього її значен</w:t>
      </w:r>
      <w:r>
        <w:t>ня достовірно не відрізнялося (</w:t>
      </w:r>
      <w:r w:rsidRPr="00E40BFA">
        <w:t>Р&gt;0,05) від показника дітей контрольних груп (</w:t>
      </w:r>
      <w:r w:rsidR="00131149">
        <w:t>див. </w:t>
      </w:r>
      <w:r w:rsidRPr="00E40BFA">
        <w:t>табл.</w:t>
      </w:r>
      <w:r>
        <w:t> 4</w:t>
      </w:r>
      <w:r w:rsidRPr="00E40BFA">
        <w:t>.4</w:t>
      </w:r>
      <w:r>
        <w:t>.1.2</w:t>
      </w:r>
      <w:r w:rsidRPr="00E40BFA">
        <w:t>).</w:t>
      </w:r>
    </w:p>
    <w:p w:rsidR="00534FB5" w:rsidRDefault="00534FB5" w:rsidP="00534FB5">
      <w:pPr>
        <w:tabs>
          <w:tab w:val="left" w:pos="4253"/>
        </w:tabs>
        <w:ind w:firstLine="709"/>
        <w:contextualSpacing/>
      </w:pPr>
      <w:r w:rsidRPr="00E40BFA">
        <w:t>Вивчення шв</w:t>
      </w:r>
      <w:r>
        <w:t>идкості слиновиділення протягом 12 місяців</w:t>
      </w:r>
      <w:r w:rsidRPr="00E40BFA">
        <w:t xml:space="preserve"> </w:t>
      </w:r>
      <w:r>
        <w:t xml:space="preserve">спостереження </w:t>
      </w:r>
      <w:r w:rsidRPr="00E40BFA">
        <w:t xml:space="preserve">виявило </w:t>
      </w:r>
      <w:r w:rsidR="00095C0B">
        <w:t xml:space="preserve">зростання </w:t>
      </w:r>
      <w:r w:rsidRPr="00E40BFA">
        <w:t xml:space="preserve">цього показника </w:t>
      </w:r>
      <w:r>
        <w:t>в обох підгрупах у</w:t>
      </w:r>
      <w:r w:rsidRPr="00E40BFA">
        <w:t xml:space="preserve">сіх вікових груп </w:t>
      </w:r>
      <w:r>
        <w:t>дітей із вродженою глухотою</w:t>
      </w:r>
      <w:r w:rsidRPr="00E40BFA">
        <w:t>.</w:t>
      </w:r>
    </w:p>
    <w:p w:rsidR="00534FB5" w:rsidRDefault="00534FB5" w:rsidP="00534FB5">
      <w:pPr>
        <w:tabs>
          <w:tab w:val="left" w:pos="4253"/>
        </w:tabs>
        <w:ind w:firstLine="709"/>
        <w:contextualSpacing/>
      </w:pPr>
      <w:r>
        <w:lastRenderedPageBreak/>
        <w:t>Динаміку зміни швидкості слиновиділення у дітей з вродженою глухотою під дією традиційного і запропонованого лікувально-профілактичного комплексу наведено в таблиці 4.4.1.3.</w:t>
      </w:r>
    </w:p>
    <w:p w:rsidR="00534FB5" w:rsidRDefault="00534FB5" w:rsidP="00534FB5">
      <w:pPr>
        <w:tabs>
          <w:tab w:val="left" w:pos="4253"/>
        </w:tabs>
        <w:ind w:firstLine="709"/>
        <w:contextualSpacing/>
      </w:pPr>
    </w:p>
    <w:p w:rsidR="00534FB5" w:rsidRPr="00CA1153" w:rsidRDefault="00534FB5" w:rsidP="00534FB5">
      <w:pPr>
        <w:contextualSpacing/>
        <w:jc w:val="right"/>
        <w:rPr>
          <w:i/>
        </w:rPr>
      </w:pPr>
      <w:r>
        <w:rPr>
          <w:i/>
        </w:rPr>
        <w:t>Таблиця 4.4.1.3</w:t>
      </w:r>
      <w:r w:rsidRPr="00CA1153">
        <w:rPr>
          <w:i/>
        </w:rPr>
        <w:t xml:space="preserve"> </w:t>
      </w:r>
    </w:p>
    <w:p w:rsidR="00534FB5" w:rsidRPr="00CA1153" w:rsidRDefault="00534FB5" w:rsidP="00534FB5">
      <w:pPr>
        <w:spacing w:line="240" w:lineRule="auto"/>
        <w:contextualSpacing/>
        <w:jc w:val="center"/>
        <w:rPr>
          <w:b/>
        </w:rPr>
      </w:pPr>
      <w:r w:rsidRPr="00CA1153">
        <w:rPr>
          <w:b/>
        </w:rPr>
        <w:t>Динаміка зміни швидкості слиновиділення</w:t>
      </w:r>
      <w:r w:rsidRPr="00CA1153">
        <w:rPr>
          <w:b/>
          <w:lang w:val="ru-RU"/>
        </w:rPr>
        <w:t xml:space="preserve"> </w:t>
      </w:r>
      <w:r w:rsidRPr="00CA1153">
        <w:rPr>
          <w:b/>
        </w:rPr>
        <w:t>у дітей основної та контрольної груп до та після проведення лікувально-профілактичних заходів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983"/>
        <w:gridCol w:w="1985"/>
        <w:gridCol w:w="2126"/>
        <w:gridCol w:w="2234"/>
      </w:tblGrid>
      <w:tr w:rsidR="00534FB5" w:rsidRPr="00E40BFA" w:rsidTr="00534FB5">
        <w:tc>
          <w:tcPr>
            <w:tcW w:w="649" w:type="pct"/>
            <w:vMerge w:val="restart"/>
          </w:tcPr>
          <w:p w:rsidR="00534FB5" w:rsidRPr="004274BE" w:rsidRDefault="00534FB5" w:rsidP="00534FB5">
            <w:pPr>
              <w:spacing w:line="240" w:lineRule="auto"/>
              <w:contextualSpacing/>
              <w:jc w:val="center"/>
            </w:pPr>
            <w:r w:rsidRPr="004274BE">
              <w:t>Г</w:t>
            </w:r>
            <w:r>
              <w:t xml:space="preserve">рупи обсте-жених </w:t>
            </w:r>
          </w:p>
        </w:tc>
        <w:tc>
          <w:tcPr>
            <w:tcW w:w="4351" w:type="pct"/>
            <w:gridSpan w:val="4"/>
          </w:tcPr>
          <w:p w:rsidR="00534FB5" w:rsidRPr="004274BE" w:rsidRDefault="00534FB5" w:rsidP="00534FB5">
            <w:pPr>
              <w:spacing w:line="240" w:lineRule="auto"/>
              <w:contextualSpacing/>
              <w:jc w:val="center"/>
              <w:rPr>
                <w:lang w:val="en-US"/>
              </w:rPr>
            </w:pPr>
            <w:r>
              <w:t xml:space="preserve">ШС, </w:t>
            </w:r>
            <w:r w:rsidRPr="00945B27">
              <w:rPr>
                <w:spacing w:val="-20"/>
              </w:rPr>
              <w:t>мл</w:t>
            </w:r>
            <w:r>
              <w:rPr>
                <w:spacing w:val="-20"/>
              </w:rPr>
              <w:t>/</w:t>
            </w:r>
            <w:r w:rsidRPr="00945B27">
              <w:rPr>
                <w:spacing w:val="-20"/>
              </w:rPr>
              <w:t>хв</w:t>
            </w:r>
            <w:r>
              <w:t xml:space="preserve">, </w:t>
            </w:r>
            <w:r>
              <w:rPr>
                <w:lang w:val="en-US"/>
              </w:rPr>
              <w:t>M±m</w:t>
            </w:r>
          </w:p>
        </w:tc>
      </w:tr>
      <w:tr w:rsidR="00534FB5" w:rsidRPr="00E40BFA" w:rsidTr="00534FB5">
        <w:trPr>
          <w:trHeight w:val="478"/>
        </w:trPr>
        <w:tc>
          <w:tcPr>
            <w:tcW w:w="649" w:type="pct"/>
            <w:vMerge/>
            <w:tcBorders>
              <w:bottom w:val="single" w:sz="4" w:space="0" w:color="auto"/>
            </w:tcBorders>
          </w:tcPr>
          <w:p w:rsidR="00534FB5" w:rsidRPr="00E40BFA" w:rsidRDefault="00534FB5" w:rsidP="00534FB5">
            <w:pPr>
              <w:spacing w:line="240" w:lineRule="auto"/>
              <w:contextualSpacing/>
              <w:jc w:val="center"/>
            </w:pPr>
          </w:p>
        </w:tc>
        <w:tc>
          <w:tcPr>
            <w:tcW w:w="1036" w:type="pct"/>
            <w:tcBorders>
              <w:bottom w:val="single" w:sz="4" w:space="0" w:color="auto"/>
            </w:tcBorders>
          </w:tcPr>
          <w:p w:rsidR="00534FB5" w:rsidRPr="00E40BFA" w:rsidRDefault="00534FB5" w:rsidP="00534FB5">
            <w:pPr>
              <w:spacing w:line="240" w:lineRule="auto"/>
              <w:contextualSpacing/>
              <w:jc w:val="center"/>
            </w:pPr>
            <w:r w:rsidRPr="00E40BFA">
              <w:t>До лікування</w:t>
            </w:r>
          </w:p>
        </w:tc>
        <w:tc>
          <w:tcPr>
            <w:tcW w:w="1037" w:type="pct"/>
            <w:tcBorders>
              <w:bottom w:val="single" w:sz="4" w:space="0" w:color="auto"/>
            </w:tcBorders>
          </w:tcPr>
          <w:p w:rsidR="00534FB5" w:rsidRPr="00E40BFA" w:rsidRDefault="00534FB5" w:rsidP="00534FB5">
            <w:pPr>
              <w:spacing w:line="240" w:lineRule="auto"/>
              <w:contextualSpacing/>
              <w:jc w:val="center"/>
            </w:pPr>
            <w:r w:rsidRPr="00E40BFA">
              <w:t>Через 1 місяць</w:t>
            </w:r>
          </w:p>
        </w:tc>
        <w:tc>
          <w:tcPr>
            <w:tcW w:w="1111" w:type="pct"/>
            <w:tcBorders>
              <w:bottom w:val="single" w:sz="4" w:space="0" w:color="auto"/>
            </w:tcBorders>
          </w:tcPr>
          <w:p w:rsidR="00534FB5" w:rsidRPr="00E40BFA" w:rsidRDefault="00534FB5" w:rsidP="00534FB5">
            <w:pPr>
              <w:spacing w:line="240" w:lineRule="auto"/>
              <w:contextualSpacing/>
              <w:jc w:val="center"/>
            </w:pPr>
            <w:r w:rsidRPr="00E40BFA">
              <w:t>Через 6 місяців</w:t>
            </w:r>
          </w:p>
        </w:tc>
        <w:tc>
          <w:tcPr>
            <w:tcW w:w="1167" w:type="pct"/>
            <w:tcBorders>
              <w:bottom w:val="single" w:sz="4" w:space="0" w:color="auto"/>
            </w:tcBorders>
          </w:tcPr>
          <w:p w:rsidR="00534FB5" w:rsidRPr="00E40BFA" w:rsidRDefault="00534FB5" w:rsidP="00534FB5">
            <w:pPr>
              <w:spacing w:line="240" w:lineRule="auto"/>
              <w:contextualSpacing/>
              <w:jc w:val="center"/>
            </w:pPr>
            <w:r w:rsidRPr="00E40BFA">
              <w:t>Через 12 місяців</w:t>
            </w:r>
          </w:p>
        </w:tc>
      </w:tr>
      <w:tr w:rsidR="00534FB5" w:rsidRPr="00E40BFA" w:rsidTr="00534FB5">
        <w:tc>
          <w:tcPr>
            <w:tcW w:w="649" w:type="pct"/>
          </w:tcPr>
          <w:p w:rsidR="00534FB5" w:rsidRPr="00E40BFA" w:rsidRDefault="00534FB5" w:rsidP="00534FB5">
            <w:pPr>
              <w:spacing w:line="240" w:lineRule="auto"/>
              <w:contextualSpacing/>
            </w:pPr>
            <w:r w:rsidRPr="00E40BFA">
              <w:t>КГ1</w:t>
            </w:r>
          </w:p>
        </w:tc>
        <w:tc>
          <w:tcPr>
            <w:tcW w:w="1036" w:type="pct"/>
          </w:tcPr>
          <w:p w:rsidR="00534FB5" w:rsidRPr="00E40BFA" w:rsidRDefault="00534FB5" w:rsidP="00534FB5">
            <w:pPr>
              <w:spacing w:line="240" w:lineRule="auto"/>
              <w:contextualSpacing/>
            </w:pPr>
            <w:r w:rsidRPr="00E40BFA">
              <w:t>0,40±0,01</w:t>
            </w:r>
          </w:p>
        </w:tc>
        <w:tc>
          <w:tcPr>
            <w:tcW w:w="1037" w:type="pct"/>
          </w:tcPr>
          <w:p w:rsidR="00534FB5" w:rsidRPr="00E40BFA" w:rsidRDefault="00534FB5" w:rsidP="00534FB5">
            <w:pPr>
              <w:spacing w:line="240" w:lineRule="auto"/>
              <w:contextualSpacing/>
            </w:pPr>
            <w:r>
              <w:t xml:space="preserve">    </w:t>
            </w:r>
            <w:r w:rsidRPr="00E40BFA">
              <w:t>-</w:t>
            </w:r>
          </w:p>
        </w:tc>
        <w:tc>
          <w:tcPr>
            <w:tcW w:w="1111" w:type="pct"/>
          </w:tcPr>
          <w:p w:rsidR="00534FB5" w:rsidRPr="00E40BFA" w:rsidRDefault="00534FB5" w:rsidP="00534FB5">
            <w:pPr>
              <w:spacing w:line="240" w:lineRule="auto"/>
              <w:contextualSpacing/>
            </w:pPr>
            <w:r>
              <w:t xml:space="preserve">    </w:t>
            </w:r>
            <w:r w:rsidRPr="00E40BFA">
              <w:t>-</w:t>
            </w:r>
          </w:p>
        </w:tc>
        <w:tc>
          <w:tcPr>
            <w:tcW w:w="1167" w:type="pct"/>
          </w:tcPr>
          <w:p w:rsidR="00534FB5" w:rsidRPr="00E40BFA" w:rsidRDefault="00534FB5" w:rsidP="00534FB5">
            <w:pPr>
              <w:spacing w:line="240" w:lineRule="auto"/>
              <w:contextualSpacing/>
            </w:pPr>
            <w:r>
              <w:t xml:space="preserve">    </w:t>
            </w:r>
            <w:r w:rsidRPr="00E40BFA">
              <w:t>-</w:t>
            </w:r>
          </w:p>
        </w:tc>
      </w:tr>
      <w:tr w:rsidR="00534FB5" w:rsidRPr="00E40BFA" w:rsidTr="00534FB5">
        <w:tc>
          <w:tcPr>
            <w:tcW w:w="649" w:type="pct"/>
          </w:tcPr>
          <w:p w:rsidR="00534FB5" w:rsidRPr="00E40BFA" w:rsidRDefault="00534FB5" w:rsidP="00534FB5">
            <w:pPr>
              <w:spacing w:line="240" w:lineRule="auto"/>
              <w:contextualSpacing/>
            </w:pPr>
            <w:r w:rsidRPr="00E40BFA">
              <w:t>ОГ1а</w:t>
            </w:r>
          </w:p>
        </w:tc>
        <w:tc>
          <w:tcPr>
            <w:tcW w:w="1036" w:type="pct"/>
          </w:tcPr>
          <w:p w:rsidR="00534FB5" w:rsidRPr="00E40BFA" w:rsidRDefault="00534FB5" w:rsidP="00534FB5">
            <w:pPr>
              <w:spacing w:line="240" w:lineRule="auto"/>
              <w:contextualSpacing/>
            </w:pPr>
            <w:r w:rsidRPr="00E40BFA">
              <w:t>0,31±0,01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0,34±0,01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0,37±0,01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0,41±0,01</w:t>
            </w:r>
          </w:p>
          <w:p w:rsidR="00534FB5" w:rsidRPr="00E40BFA" w:rsidRDefault="00534FB5" w:rsidP="003B2112">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534FB5">
            <w:pPr>
              <w:spacing w:line="240" w:lineRule="auto"/>
              <w:contextualSpacing/>
            </w:pPr>
            <w:r w:rsidRPr="00E40BFA">
              <w:t>ОГ1б</w:t>
            </w:r>
          </w:p>
        </w:tc>
        <w:tc>
          <w:tcPr>
            <w:tcW w:w="1036" w:type="pct"/>
          </w:tcPr>
          <w:p w:rsidR="00534FB5" w:rsidRPr="00E40BFA" w:rsidRDefault="00534FB5" w:rsidP="00534FB5">
            <w:pPr>
              <w:spacing w:line="240" w:lineRule="auto"/>
              <w:contextualSpacing/>
            </w:pPr>
            <w:r w:rsidRPr="00E40BFA">
              <w:t>0,32±0,01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0,32±0,01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111" w:type="pct"/>
          </w:tcPr>
          <w:p w:rsidR="00534FB5" w:rsidRPr="00E40BFA" w:rsidRDefault="00534FB5" w:rsidP="00534FB5">
            <w:pPr>
              <w:spacing w:line="240" w:lineRule="auto"/>
              <w:contextualSpacing/>
            </w:pPr>
            <w:r w:rsidRPr="00E40BFA">
              <w:t>0,34±0,01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0,35±0,01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r w:rsidR="00534FB5" w:rsidRPr="00E40BFA" w:rsidTr="00534FB5">
        <w:tc>
          <w:tcPr>
            <w:tcW w:w="649" w:type="pct"/>
          </w:tcPr>
          <w:p w:rsidR="00534FB5" w:rsidRPr="00E40BFA" w:rsidRDefault="00534FB5" w:rsidP="00534FB5">
            <w:pPr>
              <w:spacing w:line="240" w:lineRule="auto"/>
              <w:contextualSpacing/>
            </w:pPr>
            <w:r w:rsidRPr="00E40BFA">
              <w:t>КГ2</w:t>
            </w:r>
          </w:p>
        </w:tc>
        <w:tc>
          <w:tcPr>
            <w:tcW w:w="1036" w:type="pct"/>
          </w:tcPr>
          <w:p w:rsidR="00534FB5" w:rsidRPr="00E40BFA" w:rsidRDefault="00534FB5" w:rsidP="00534FB5">
            <w:pPr>
              <w:spacing w:line="240" w:lineRule="auto"/>
              <w:contextualSpacing/>
            </w:pPr>
            <w:r w:rsidRPr="00E40BFA">
              <w:t>0,41±0,01</w:t>
            </w:r>
          </w:p>
        </w:tc>
        <w:tc>
          <w:tcPr>
            <w:tcW w:w="1037" w:type="pct"/>
          </w:tcPr>
          <w:p w:rsidR="00534FB5" w:rsidRPr="00E40BFA" w:rsidRDefault="00534FB5" w:rsidP="00534FB5">
            <w:pPr>
              <w:spacing w:line="240" w:lineRule="auto"/>
              <w:contextualSpacing/>
            </w:pPr>
            <w:r>
              <w:t xml:space="preserve">    </w:t>
            </w:r>
            <w:r w:rsidRPr="00E40BFA">
              <w:t>-</w:t>
            </w:r>
          </w:p>
        </w:tc>
        <w:tc>
          <w:tcPr>
            <w:tcW w:w="1111" w:type="pct"/>
          </w:tcPr>
          <w:p w:rsidR="00534FB5" w:rsidRPr="00E40BFA" w:rsidRDefault="00534FB5" w:rsidP="00534FB5">
            <w:pPr>
              <w:spacing w:line="240" w:lineRule="auto"/>
              <w:contextualSpacing/>
            </w:pPr>
            <w:r>
              <w:t xml:space="preserve">    </w:t>
            </w:r>
            <w:r w:rsidRPr="00E40BFA">
              <w:t>-</w:t>
            </w:r>
          </w:p>
        </w:tc>
        <w:tc>
          <w:tcPr>
            <w:tcW w:w="1167" w:type="pct"/>
          </w:tcPr>
          <w:p w:rsidR="00534FB5" w:rsidRPr="00E40BFA" w:rsidRDefault="00534FB5" w:rsidP="00534FB5">
            <w:pPr>
              <w:spacing w:line="240" w:lineRule="auto"/>
              <w:contextualSpacing/>
            </w:pPr>
            <w:r>
              <w:t xml:space="preserve">    </w:t>
            </w:r>
            <w:r w:rsidRPr="00E40BFA">
              <w:t>-</w:t>
            </w:r>
          </w:p>
        </w:tc>
      </w:tr>
      <w:tr w:rsidR="00534FB5" w:rsidRPr="00E40BFA" w:rsidTr="00534FB5">
        <w:tc>
          <w:tcPr>
            <w:tcW w:w="649" w:type="pct"/>
          </w:tcPr>
          <w:p w:rsidR="00534FB5" w:rsidRPr="00E40BFA" w:rsidRDefault="00534FB5" w:rsidP="00534FB5">
            <w:pPr>
              <w:spacing w:line="240" w:lineRule="auto"/>
              <w:contextualSpacing/>
            </w:pPr>
            <w:r w:rsidRPr="00E40BFA">
              <w:t>ОГ2а</w:t>
            </w:r>
          </w:p>
        </w:tc>
        <w:tc>
          <w:tcPr>
            <w:tcW w:w="1036" w:type="pct"/>
          </w:tcPr>
          <w:p w:rsidR="00534FB5" w:rsidRPr="00E40BFA" w:rsidRDefault="00534FB5" w:rsidP="00534FB5">
            <w:pPr>
              <w:spacing w:line="240" w:lineRule="auto"/>
              <w:contextualSpacing/>
            </w:pPr>
            <w:r w:rsidRPr="00E40BFA">
              <w:t>0,30±0,01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0,36±0,01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0,38±0,01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0,40±0,01</w:t>
            </w:r>
          </w:p>
          <w:p w:rsidR="00534FB5" w:rsidRPr="00E40BFA" w:rsidRDefault="00534FB5" w:rsidP="003B2112">
            <w:pPr>
              <w:spacing w:line="240" w:lineRule="auto"/>
              <w:contextualSpacing/>
            </w:pPr>
            <w:r w:rsidRPr="00E40BFA">
              <w:t>Р</w:t>
            </w:r>
            <w:r w:rsidRPr="00E40BFA">
              <w:rPr>
                <w:vertAlign w:val="subscript"/>
              </w:rPr>
              <w:t>2</w:t>
            </w:r>
            <w:r w:rsidRPr="00E40BFA">
              <w:t>&gt;0,05</w:t>
            </w:r>
          </w:p>
        </w:tc>
      </w:tr>
      <w:tr w:rsidR="00534FB5" w:rsidRPr="00E40BFA" w:rsidTr="00534FB5">
        <w:tc>
          <w:tcPr>
            <w:tcW w:w="649" w:type="pct"/>
          </w:tcPr>
          <w:p w:rsidR="00534FB5" w:rsidRPr="00E40BFA" w:rsidRDefault="00534FB5" w:rsidP="00534FB5">
            <w:pPr>
              <w:spacing w:line="240" w:lineRule="auto"/>
              <w:contextualSpacing/>
            </w:pPr>
            <w:r w:rsidRPr="00E40BFA">
              <w:t>ОГ2б</w:t>
            </w:r>
          </w:p>
        </w:tc>
        <w:tc>
          <w:tcPr>
            <w:tcW w:w="1036" w:type="pct"/>
          </w:tcPr>
          <w:p w:rsidR="00534FB5" w:rsidRPr="00E40BFA" w:rsidRDefault="00534FB5" w:rsidP="00534FB5">
            <w:pPr>
              <w:spacing w:line="240" w:lineRule="auto"/>
              <w:contextualSpacing/>
            </w:pPr>
            <w:r w:rsidRPr="00E40BFA">
              <w:t>0,30±0,01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0,32±0,01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11" w:type="pct"/>
          </w:tcPr>
          <w:p w:rsidR="00534FB5" w:rsidRPr="00E40BFA" w:rsidRDefault="00534FB5" w:rsidP="00534FB5">
            <w:pPr>
              <w:spacing w:line="240" w:lineRule="auto"/>
              <w:contextualSpacing/>
            </w:pPr>
            <w:r w:rsidRPr="00E40BFA">
              <w:t>0,33±0,01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0,36±0,01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r>
      <w:tr w:rsidR="00534FB5" w:rsidRPr="00E40BFA" w:rsidTr="00534FB5">
        <w:tc>
          <w:tcPr>
            <w:tcW w:w="649" w:type="pct"/>
          </w:tcPr>
          <w:p w:rsidR="00534FB5" w:rsidRPr="00E40BFA" w:rsidRDefault="00534FB5" w:rsidP="00534FB5">
            <w:pPr>
              <w:spacing w:line="240" w:lineRule="auto"/>
              <w:contextualSpacing/>
            </w:pPr>
            <w:r w:rsidRPr="00E40BFA">
              <w:t>КГ3</w:t>
            </w:r>
          </w:p>
        </w:tc>
        <w:tc>
          <w:tcPr>
            <w:tcW w:w="1036" w:type="pct"/>
          </w:tcPr>
          <w:p w:rsidR="00534FB5" w:rsidRPr="00E40BFA" w:rsidRDefault="00534FB5" w:rsidP="00534FB5">
            <w:pPr>
              <w:spacing w:line="240" w:lineRule="auto"/>
              <w:contextualSpacing/>
            </w:pPr>
            <w:r w:rsidRPr="00E40BFA">
              <w:t>0,42±0,01</w:t>
            </w:r>
          </w:p>
        </w:tc>
        <w:tc>
          <w:tcPr>
            <w:tcW w:w="1037" w:type="pct"/>
          </w:tcPr>
          <w:p w:rsidR="00534FB5" w:rsidRPr="00E40BFA" w:rsidRDefault="00534FB5" w:rsidP="00534FB5">
            <w:pPr>
              <w:spacing w:line="240" w:lineRule="auto"/>
              <w:contextualSpacing/>
            </w:pPr>
            <w:r>
              <w:t xml:space="preserve">    </w:t>
            </w:r>
            <w:r w:rsidRPr="00E40BFA">
              <w:t>-</w:t>
            </w:r>
          </w:p>
        </w:tc>
        <w:tc>
          <w:tcPr>
            <w:tcW w:w="1111" w:type="pct"/>
          </w:tcPr>
          <w:p w:rsidR="00534FB5" w:rsidRPr="00E40BFA" w:rsidRDefault="00534FB5" w:rsidP="00534FB5">
            <w:pPr>
              <w:spacing w:line="240" w:lineRule="auto"/>
              <w:contextualSpacing/>
            </w:pPr>
            <w:r>
              <w:t xml:space="preserve">    </w:t>
            </w:r>
            <w:r w:rsidRPr="00E40BFA">
              <w:t>-</w:t>
            </w:r>
          </w:p>
        </w:tc>
        <w:tc>
          <w:tcPr>
            <w:tcW w:w="1167" w:type="pct"/>
          </w:tcPr>
          <w:p w:rsidR="00534FB5" w:rsidRPr="00E40BFA" w:rsidRDefault="00534FB5" w:rsidP="00534FB5">
            <w:pPr>
              <w:spacing w:line="240" w:lineRule="auto"/>
              <w:contextualSpacing/>
            </w:pPr>
            <w:r>
              <w:t xml:space="preserve">    </w:t>
            </w:r>
            <w:r w:rsidRPr="00E40BFA">
              <w:t>-</w:t>
            </w:r>
          </w:p>
        </w:tc>
      </w:tr>
      <w:tr w:rsidR="00534FB5" w:rsidRPr="00E40BFA" w:rsidTr="00534FB5">
        <w:tc>
          <w:tcPr>
            <w:tcW w:w="649" w:type="pct"/>
          </w:tcPr>
          <w:p w:rsidR="00534FB5" w:rsidRPr="00E40BFA" w:rsidRDefault="00534FB5" w:rsidP="00534FB5">
            <w:pPr>
              <w:spacing w:line="240" w:lineRule="auto"/>
              <w:contextualSpacing/>
            </w:pPr>
            <w:r w:rsidRPr="00E40BFA">
              <w:t>ОГ3а</w:t>
            </w:r>
          </w:p>
        </w:tc>
        <w:tc>
          <w:tcPr>
            <w:tcW w:w="1036" w:type="pct"/>
          </w:tcPr>
          <w:p w:rsidR="00534FB5" w:rsidRPr="00E40BFA" w:rsidRDefault="00534FB5" w:rsidP="00534FB5">
            <w:pPr>
              <w:spacing w:line="240" w:lineRule="auto"/>
              <w:contextualSpacing/>
            </w:pPr>
            <w:r w:rsidRPr="00E40BFA">
              <w:t>0,30±0,01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037" w:type="pct"/>
          </w:tcPr>
          <w:p w:rsidR="00534FB5" w:rsidRPr="00E40BFA" w:rsidRDefault="00534FB5" w:rsidP="00534FB5">
            <w:pPr>
              <w:spacing w:line="240" w:lineRule="auto"/>
              <w:contextualSpacing/>
            </w:pPr>
            <w:r w:rsidRPr="00E40BFA">
              <w:t>0,35±0,01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11" w:type="pct"/>
          </w:tcPr>
          <w:p w:rsidR="00534FB5" w:rsidRPr="00E40BFA" w:rsidRDefault="00534FB5" w:rsidP="00534FB5">
            <w:pPr>
              <w:spacing w:line="240" w:lineRule="auto"/>
              <w:contextualSpacing/>
            </w:pPr>
            <w:r w:rsidRPr="00E40BFA">
              <w:t>0,36±0,01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c>
          <w:tcPr>
            <w:tcW w:w="1167" w:type="pct"/>
          </w:tcPr>
          <w:p w:rsidR="00534FB5" w:rsidRPr="00E40BFA" w:rsidRDefault="00534FB5" w:rsidP="00534FB5">
            <w:pPr>
              <w:spacing w:line="240" w:lineRule="auto"/>
              <w:contextualSpacing/>
            </w:pPr>
            <w:r w:rsidRPr="00E40BFA">
              <w:t>0,36±0,01</w:t>
            </w:r>
          </w:p>
          <w:p w:rsidR="00534FB5" w:rsidRPr="00E40BFA" w:rsidRDefault="00534FB5" w:rsidP="003B2112">
            <w:pPr>
              <w:spacing w:line="240" w:lineRule="auto"/>
              <w:contextualSpacing/>
            </w:pPr>
            <w:r w:rsidRPr="00E40BFA">
              <w:t>Р</w:t>
            </w:r>
            <w:r w:rsidRPr="00E40BFA">
              <w:rPr>
                <w:vertAlign w:val="subscript"/>
              </w:rPr>
              <w:t>2</w:t>
            </w:r>
            <w:r w:rsidRPr="00E40BFA">
              <w:t>&lt;0,01</w:t>
            </w:r>
          </w:p>
        </w:tc>
      </w:tr>
      <w:tr w:rsidR="00534FB5" w:rsidRPr="00E40BFA" w:rsidTr="00534FB5">
        <w:tc>
          <w:tcPr>
            <w:tcW w:w="649" w:type="pct"/>
          </w:tcPr>
          <w:p w:rsidR="00534FB5" w:rsidRPr="00E40BFA" w:rsidRDefault="00534FB5" w:rsidP="00534FB5">
            <w:pPr>
              <w:spacing w:line="240" w:lineRule="auto"/>
              <w:contextualSpacing/>
            </w:pPr>
            <w:r w:rsidRPr="00E40BFA">
              <w:t>ОГ3б</w:t>
            </w:r>
          </w:p>
        </w:tc>
        <w:tc>
          <w:tcPr>
            <w:tcW w:w="1036" w:type="pct"/>
          </w:tcPr>
          <w:p w:rsidR="00534FB5" w:rsidRPr="00E40BFA" w:rsidRDefault="00534FB5" w:rsidP="00534FB5">
            <w:pPr>
              <w:spacing w:line="240" w:lineRule="auto"/>
              <w:contextualSpacing/>
            </w:pPr>
            <w:r w:rsidRPr="00E40BFA">
              <w:t>0,31±0,01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c>
          <w:tcPr>
            <w:tcW w:w="1037" w:type="pct"/>
          </w:tcPr>
          <w:p w:rsidR="00534FB5" w:rsidRPr="00E40BFA" w:rsidRDefault="00534FB5" w:rsidP="00534FB5">
            <w:pPr>
              <w:spacing w:line="240" w:lineRule="auto"/>
              <w:contextualSpacing/>
            </w:pPr>
            <w:r w:rsidRPr="00E40BFA">
              <w:t>0,32±0,01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11" w:type="pct"/>
          </w:tcPr>
          <w:p w:rsidR="00534FB5" w:rsidRPr="00E40BFA" w:rsidRDefault="00534FB5" w:rsidP="00534FB5">
            <w:pPr>
              <w:spacing w:line="240" w:lineRule="auto"/>
              <w:contextualSpacing/>
            </w:pPr>
            <w:r w:rsidRPr="00E40BFA">
              <w:t>0,33±0,01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&lt;0,01</w:t>
            </w:r>
          </w:p>
        </w:tc>
        <w:tc>
          <w:tcPr>
            <w:tcW w:w="1167" w:type="pct"/>
          </w:tcPr>
          <w:p w:rsidR="00534FB5" w:rsidRPr="00E40BFA" w:rsidRDefault="00534FB5" w:rsidP="00534FB5">
            <w:pPr>
              <w:spacing w:line="240" w:lineRule="auto"/>
              <w:contextualSpacing/>
            </w:pPr>
            <w:r w:rsidRPr="00E40BFA">
              <w:t>0,37±0,01</w:t>
            </w:r>
          </w:p>
          <w:p w:rsidR="00534FB5" w:rsidRPr="00E40BFA" w:rsidRDefault="00534FB5" w:rsidP="00534FB5">
            <w:pPr>
              <w:spacing w:line="240" w:lineRule="auto"/>
              <w:contextualSpacing/>
            </w:pPr>
            <w:r w:rsidRPr="00E40BFA">
              <w:t>Р</w:t>
            </w:r>
            <w:r w:rsidRPr="00E40BFA">
              <w:rPr>
                <w:vertAlign w:val="subscript"/>
              </w:rPr>
              <w:t>1</w:t>
            </w:r>
            <w:r w:rsidRPr="00E40BFA">
              <w:t>&lt;0,01</w:t>
            </w:r>
          </w:p>
          <w:p w:rsidR="00534FB5" w:rsidRPr="00E40BFA" w:rsidRDefault="00534FB5" w:rsidP="00534FB5">
            <w:pPr>
              <w:spacing w:line="240" w:lineRule="auto"/>
              <w:contextualSpacing/>
            </w:pPr>
            <w:r w:rsidRPr="00E40BFA">
              <w:t>Р</w:t>
            </w:r>
            <w:r w:rsidRPr="00E40BFA">
              <w:rPr>
                <w:vertAlign w:val="subscript"/>
              </w:rPr>
              <w:t>3</w:t>
            </w:r>
            <w:r w:rsidRPr="00E40BFA">
              <w:t>&gt;0,05</w:t>
            </w:r>
          </w:p>
        </w:tc>
      </w:tr>
    </w:tbl>
    <w:p w:rsidR="00534FB5" w:rsidRPr="00C727AC" w:rsidRDefault="00534FB5" w:rsidP="00534FB5">
      <w:pPr>
        <w:spacing w:line="240" w:lineRule="auto"/>
        <w:ind w:left="-142"/>
        <w:contextualSpacing/>
        <w:rPr>
          <w:sz w:val="24"/>
        </w:rPr>
      </w:pPr>
      <w:r w:rsidRPr="005B39EC">
        <w:rPr>
          <w:sz w:val="24"/>
        </w:rPr>
        <w:t>Примітка. Показник вірогідних відмінностей результатів: Р</w:t>
      </w:r>
      <w:r w:rsidRPr="005B39EC">
        <w:rPr>
          <w:sz w:val="24"/>
          <w:vertAlign w:val="subscript"/>
        </w:rPr>
        <w:t>1</w:t>
      </w:r>
      <w:r>
        <w:rPr>
          <w:sz w:val="24"/>
        </w:rPr>
        <w:t>–</w:t>
      </w:r>
      <w:r w:rsidRPr="005B39EC">
        <w:rPr>
          <w:sz w:val="24"/>
        </w:rPr>
        <w:t xml:space="preserve"> </w:t>
      </w:r>
      <w:r w:rsidR="00574A62" w:rsidRPr="005B39EC">
        <w:rPr>
          <w:sz w:val="24"/>
        </w:rPr>
        <w:t xml:space="preserve">між </w:t>
      </w:r>
      <w:r w:rsidRPr="005B39EC">
        <w:rPr>
          <w:sz w:val="24"/>
        </w:rPr>
        <w:t>КГ і</w:t>
      </w:r>
      <w:r>
        <w:rPr>
          <w:sz w:val="24"/>
        </w:rPr>
        <w:t xml:space="preserve"> </w:t>
      </w:r>
      <w:r w:rsidRPr="005B39EC">
        <w:rPr>
          <w:sz w:val="24"/>
        </w:rPr>
        <w:t>ОГб, Р</w:t>
      </w:r>
      <w:r w:rsidRPr="005B39EC">
        <w:rPr>
          <w:sz w:val="24"/>
          <w:vertAlign w:val="subscript"/>
        </w:rPr>
        <w:t xml:space="preserve">2 </w:t>
      </w:r>
      <w:r>
        <w:rPr>
          <w:sz w:val="24"/>
        </w:rPr>
        <w:t>–</w:t>
      </w:r>
      <w:r w:rsidRPr="005B39EC">
        <w:rPr>
          <w:sz w:val="24"/>
        </w:rPr>
        <w:t xml:space="preserve"> між</w:t>
      </w:r>
      <w:r>
        <w:rPr>
          <w:sz w:val="24"/>
        </w:rPr>
        <w:t xml:space="preserve"> </w:t>
      </w:r>
      <w:r w:rsidRPr="005B39EC">
        <w:rPr>
          <w:sz w:val="24"/>
        </w:rPr>
        <w:t>КГ і</w:t>
      </w:r>
      <w:r>
        <w:rPr>
          <w:sz w:val="24"/>
        </w:rPr>
        <w:t xml:space="preserve"> </w:t>
      </w:r>
      <w:r w:rsidRPr="005B39EC">
        <w:rPr>
          <w:sz w:val="24"/>
        </w:rPr>
        <w:t>ОГа, Р</w:t>
      </w:r>
      <w:r w:rsidRPr="005B39EC">
        <w:rPr>
          <w:sz w:val="24"/>
          <w:vertAlign w:val="subscript"/>
        </w:rPr>
        <w:t xml:space="preserve">3 </w:t>
      </w:r>
      <w:r>
        <w:rPr>
          <w:sz w:val="24"/>
        </w:rPr>
        <w:t xml:space="preserve">– </w:t>
      </w:r>
      <w:r w:rsidRPr="005B39EC">
        <w:rPr>
          <w:sz w:val="24"/>
        </w:rPr>
        <w:t>між ОГа</w:t>
      </w:r>
      <w:r>
        <w:rPr>
          <w:sz w:val="24"/>
        </w:rPr>
        <w:t xml:space="preserve"> </w:t>
      </w:r>
      <w:r w:rsidRPr="005B39EC">
        <w:rPr>
          <w:sz w:val="24"/>
        </w:rPr>
        <w:t>і</w:t>
      </w:r>
      <w:r>
        <w:rPr>
          <w:sz w:val="24"/>
        </w:rPr>
        <w:t xml:space="preserve"> </w:t>
      </w:r>
      <w:r w:rsidRPr="005B39EC">
        <w:rPr>
          <w:sz w:val="24"/>
        </w:rPr>
        <w:t xml:space="preserve">ОГб. </w:t>
      </w:r>
    </w:p>
    <w:p w:rsidR="00534FB5" w:rsidRPr="00E40BFA" w:rsidRDefault="00534FB5" w:rsidP="00534FB5">
      <w:pPr>
        <w:tabs>
          <w:tab w:val="left" w:pos="4253"/>
        </w:tabs>
        <w:ind w:firstLine="709"/>
        <w:contextualSpacing/>
      </w:pPr>
    </w:p>
    <w:p w:rsidR="00534FB5" w:rsidRPr="007E3C8F" w:rsidRDefault="00534FB5" w:rsidP="00534FB5">
      <w:pPr>
        <w:pStyle w:val="af8"/>
        <w:spacing w:after="0" w:line="360" w:lineRule="auto"/>
        <w:ind w:left="0" w:firstLine="567"/>
        <w:jc w:val="both"/>
        <w:rPr>
          <w:rFonts w:ascii="Times New Roman" w:hAnsi="Times New Roman"/>
          <w:sz w:val="28"/>
          <w:szCs w:val="28"/>
        </w:rPr>
      </w:pPr>
      <w:r>
        <w:rPr>
          <w:rFonts w:ascii="Times New Roman" w:eastAsia="Times New Roman" w:hAnsi="Times New Roman"/>
          <w:sz w:val="28"/>
          <w:szCs w:val="28"/>
          <w:lang w:eastAsia="uk-UA"/>
        </w:rPr>
        <w:t>На рисунках 4.4.1.7, 4.4.1.8, 4</w:t>
      </w:r>
      <w:r w:rsidRPr="00E40BFA">
        <w:rPr>
          <w:rFonts w:ascii="Times New Roman" w:eastAsia="Times New Roman" w:hAnsi="Times New Roman"/>
          <w:sz w:val="28"/>
          <w:szCs w:val="28"/>
          <w:lang w:eastAsia="uk-UA"/>
        </w:rPr>
        <w:t>.4</w:t>
      </w:r>
      <w:r>
        <w:rPr>
          <w:rFonts w:ascii="Times New Roman" w:eastAsia="Times New Roman" w:hAnsi="Times New Roman"/>
          <w:sz w:val="28"/>
          <w:szCs w:val="28"/>
          <w:lang w:eastAsia="uk-UA"/>
        </w:rPr>
        <w:t>.1.9 графічно зображено</w:t>
      </w:r>
      <w:r w:rsidRPr="00E40BFA">
        <w:rPr>
          <w:rFonts w:ascii="Times New Roman" w:eastAsia="Times New Roman" w:hAnsi="Times New Roman"/>
          <w:sz w:val="28"/>
          <w:szCs w:val="28"/>
          <w:lang w:eastAsia="uk-UA"/>
        </w:rPr>
        <w:t xml:space="preserve"> </w:t>
      </w:r>
      <w:r w:rsidRPr="00E40BFA">
        <w:rPr>
          <w:rFonts w:ascii="Times New Roman" w:hAnsi="Times New Roman"/>
          <w:sz w:val="28"/>
          <w:szCs w:val="28"/>
        </w:rPr>
        <w:t>динамік</w:t>
      </w:r>
      <w:r>
        <w:rPr>
          <w:rFonts w:ascii="Times New Roman" w:hAnsi="Times New Roman"/>
          <w:sz w:val="28"/>
          <w:szCs w:val="28"/>
        </w:rPr>
        <w:t>у</w:t>
      </w:r>
      <w:r w:rsidRPr="00E40BFA">
        <w:rPr>
          <w:rFonts w:ascii="Times New Roman" w:hAnsi="Times New Roman"/>
          <w:sz w:val="28"/>
          <w:szCs w:val="28"/>
        </w:rPr>
        <w:t xml:space="preserve"> зміни </w:t>
      </w:r>
      <w:r>
        <w:rPr>
          <w:rFonts w:ascii="Times New Roman" w:hAnsi="Times New Roman"/>
          <w:sz w:val="28"/>
          <w:szCs w:val="28"/>
        </w:rPr>
        <w:t xml:space="preserve">швидкості слиновиділення </w:t>
      </w:r>
      <w:r w:rsidRPr="00945B27">
        <w:rPr>
          <w:rFonts w:ascii="Times New Roman" w:hAnsi="Times New Roman"/>
          <w:spacing w:val="-20"/>
          <w:sz w:val="28"/>
          <w:szCs w:val="28"/>
        </w:rPr>
        <w:t>(мл/хв)</w:t>
      </w:r>
      <w:r w:rsidRPr="00E40BFA">
        <w:rPr>
          <w:rFonts w:ascii="Times New Roman" w:hAnsi="Times New Roman"/>
          <w:sz w:val="28"/>
          <w:szCs w:val="28"/>
        </w:rPr>
        <w:t xml:space="preserve"> у дітей 7-8, 11-12 та 14-15 років основної та контрольної груп до та після проведення лікувально-профілактичних заходів. </w:t>
      </w:r>
    </w:p>
    <w:p w:rsidR="00534FB5" w:rsidRPr="00E40BFA" w:rsidRDefault="00534FB5" w:rsidP="00534FB5">
      <w:pPr>
        <w:ind w:firstLine="709"/>
      </w:pPr>
      <w:r>
        <w:t>Під дією традиційного та запропонованого лікувально-профілактичних комплексів відбулися наступні зміни швидкості слиновиділення. У</w:t>
      </w:r>
      <w:r w:rsidRPr="00E40BFA">
        <w:t xml:space="preserve"> першій віковій групі, як в </w:t>
      </w:r>
      <w:r w:rsidR="005840BB">
        <w:t>«А»</w:t>
      </w:r>
      <w:r w:rsidR="0058021A">
        <w:t>,</w:t>
      </w:r>
      <w:r w:rsidRPr="00E40BFA">
        <w:t xml:space="preserve"> так і в </w:t>
      </w:r>
      <w:r w:rsidR="005840BB">
        <w:t>«Б»</w:t>
      </w:r>
      <w:r w:rsidRPr="00E40BFA">
        <w:t xml:space="preserve"> підгрупах, під дією терапії спостерігалося </w:t>
      </w:r>
      <w:r w:rsidRPr="00E40BFA">
        <w:lastRenderedPageBreak/>
        <w:t>поступове підвищення швидкості слиновиділенн</w:t>
      </w:r>
      <w:r>
        <w:t>я. Проте ч</w:t>
      </w:r>
      <w:r w:rsidRPr="00E40BFA">
        <w:t>ерез 12 місяців значення цього показник</w:t>
      </w:r>
      <w:r>
        <w:t>а</w:t>
      </w:r>
      <w:r w:rsidRPr="00E40BFA">
        <w:t xml:space="preserve"> тільки в підгрупі</w:t>
      </w:r>
      <w:r w:rsidR="0058021A">
        <w:t xml:space="preserve"> «А»</w:t>
      </w:r>
      <w:r w:rsidR="0058021A" w:rsidRPr="00E40BFA">
        <w:t xml:space="preserve"> </w:t>
      </w:r>
      <w:r>
        <w:t>становило (</w:t>
      </w:r>
      <w:r w:rsidRPr="00E40BFA">
        <w:t>0,41±0,01</w:t>
      </w:r>
      <w:r>
        <w:t xml:space="preserve">) і </w:t>
      </w:r>
      <w:r w:rsidRPr="00E40BFA">
        <w:t>досягло рівня здорових дітей</w:t>
      </w:r>
      <w:r>
        <w:t xml:space="preserve"> (</w:t>
      </w:r>
      <w:r w:rsidRPr="00E40BFA">
        <w:t>0,40±0,01</w:t>
      </w:r>
      <w:r>
        <w:t>) (Р&gt;0,05).</w:t>
      </w:r>
      <w:r w:rsidRPr="00E40BFA">
        <w:t xml:space="preserve"> </w:t>
      </w:r>
      <w:r>
        <w:t>У</w:t>
      </w:r>
      <w:r w:rsidRPr="00E40BFA">
        <w:t xml:space="preserve"> підгрупі</w:t>
      </w:r>
      <w:r w:rsidR="0058021A">
        <w:t xml:space="preserve"> «Б»</w:t>
      </w:r>
      <w:r w:rsidRPr="00E40BFA">
        <w:t xml:space="preserve">, хоча </w:t>
      </w:r>
      <w:r>
        <w:t>й</w:t>
      </w:r>
      <w:r w:rsidRPr="00E40BFA">
        <w:t xml:space="preserve"> відбулося підвищення швидкості слиновиділення на 9</w:t>
      </w:r>
      <w:r>
        <w:t> </w:t>
      </w:r>
      <w:r w:rsidRPr="00E40BFA">
        <w:t xml:space="preserve">% у порівняні з вихідним рівнем, </w:t>
      </w:r>
      <w:r>
        <w:t>однак</w:t>
      </w:r>
      <w:r w:rsidRPr="00E40BFA">
        <w:t xml:space="preserve"> цей показник не</w:t>
      </w:r>
      <w:r>
        <w:t xml:space="preserve"> </w:t>
      </w:r>
      <w:r w:rsidRPr="00E40BFA">
        <w:t>досяг значення здорових дітей (Р&lt;0,01) (</w:t>
      </w:r>
      <w:r>
        <w:t>див. табл. 4</w:t>
      </w:r>
      <w:r w:rsidRPr="00E40BFA">
        <w:t>.4</w:t>
      </w:r>
      <w:r>
        <w:t>.1.3, рис. 4.4.1.7</w:t>
      </w:r>
      <w:r w:rsidRPr="00E40BFA">
        <w:t>).</w:t>
      </w:r>
    </w:p>
    <w:p w:rsidR="00534FB5" w:rsidRPr="003B2112" w:rsidRDefault="00534FB5" w:rsidP="00534FB5">
      <w:pPr>
        <w:ind w:firstLine="709"/>
        <w:contextualSpacing/>
        <w:rPr>
          <w:sz w:val="16"/>
        </w:rPr>
      </w:pPr>
    </w:p>
    <w:p w:rsidR="00534FB5" w:rsidRPr="007E3C8F" w:rsidRDefault="006C493E" w:rsidP="00534FB5">
      <w:pPr>
        <w:pStyle w:val="af8"/>
        <w:spacing w:after="0" w:line="360" w:lineRule="auto"/>
        <w:ind w:left="0"/>
        <w:jc w:val="center"/>
        <w:rPr>
          <w:rFonts w:ascii="Times New Roman" w:hAnsi="Times New Roman"/>
          <w:sz w:val="28"/>
          <w:szCs w:val="28"/>
        </w:rPr>
      </w:pPr>
      <w:r>
        <w:rPr>
          <w:noProof/>
          <w:lang w:val="ru-RU" w:eastAsia="ru-RU"/>
        </w:rPr>
        <w:drawing>
          <wp:inline distT="0" distB="0" distL="0" distR="0">
            <wp:extent cx="4629150" cy="2695575"/>
            <wp:effectExtent l="0" t="0" r="0" b="0"/>
            <wp:docPr id="57"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34FB5" w:rsidRDefault="00534FB5" w:rsidP="003B2112">
      <w:pPr>
        <w:ind w:firstLine="567"/>
        <w:contextualSpacing/>
      </w:pPr>
      <w:r>
        <w:t>Рис. 4</w:t>
      </w:r>
      <w:r w:rsidRPr="00E40BFA">
        <w:t>.4</w:t>
      </w:r>
      <w:r>
        <w:t>.1.7.</w:t>
      </w:r>
      <w:r w:rsidRPr="00E40BFA">
        <w:t xml:space="preserve"> Динаміка зміни </w:t>
      </w:r>
      <w:r>
        <w:t xml:space="preserve">швидкості слиновиділення </w:t>
      </w:r>
      <w:r w:rsidRPr="00945B27">
        <w:rPr>
          <w:spacing w:val="-20"/>
        </w:rPr>
        <w:t>(мл/хв)</w:t>
      </w:r>
      <w:r w:rsidRPr="00E40BFA">
        <w:t xml:space="preserve"> у дітей</w:t>
      </w:r>
      <w:r w:rsidR="00086F08">
        <w:t xml:space="preserve">    </w:t>
      </w:r>
      <w:r w:rsidRPr="00E40BFA">
        <w:t xml:space="preserve"> 7-8 років основної та контрольної груп </w:t>
      </w:r>
      <w:r>
        <w:t>на етапах лікування</w:t>
      </w:r>
      <w:r w:rsidRPr="00E40BFA">
        <w:t>.</w:t>
      </w:r>
    </w:p>
    <w:p w:rsidR="00534FB5" w:rsidRPr="003B2112" w:rsidRDefault="00534FB5" w:rsidP="00534FB5">
      <w:pPr>
        <w:contextualSpacing/>
        <w:rPr>
          <w:sz w:val="14"/>
        </w:rPr>
      </w:pPr>
    </w:p>
    <w:p w:rsidR="00534FB5" w:rsidRPr="00E40BFA" w:rsidRDefault="006C493E" w:rsidP="00534FB5">
      <w:pPr>
        <w:contextualSpacing/>
        <w:jc w:val="center"/>
      </w:pPr>
      <w:r>
        <w:rPr>
          <w:noProof/>
          <w:lang w:val="ru-RU"/>
        </w:rPr>
        <w:drawing>
          <wp:inline distT="0" distB="0" distL="0" distR="0">
            <wp:extent cx="4667250" cy="2771775"/>
            <wp:effectExtent l="0" t="0" r="0" b="0"/>
            <wp:docPr id="58"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34FB5" w:rsidRDefault="00534FB5" w:rsidP="00534FB5">
      <w:pPr>
        <w:ind w:firstLine="567"/>
        <w:contextualSpacing/>
      </w:pPr>
      <w:r w:rsidRPr="00E40BFA">
        <w:rPr>
          <w:noProof/>
          <w:lang w:eastAsia="uk-UA"/>
        </w:rPr>
        <w:t>Р</w:t>
      </w:r>
      <w:r>
        <w:rPr>
          <w:noProof/>
          <w:lang w:eastAsia="uk-UA"/>
        </w:rPr>
        <w:t>ис. 4</w:t>
      </w:r>
      <w:r w:rsidRPr="00E40BFA">
        <w:rPr>
          <w:noProof/>
          <w:lang w:eastAsia="uk-UA"/>
        </w:rPr>
        <w:t>.4</w:t>
      </w:r>
      <w:r>
        <w:rPr>
          <w:noProof/>
          <w:lang w:eastAsia="uk-UA"/>
        </w:rPr>
        <w:t xml:space="preserve">.1.8. </w:t>
      </w:r>
      <w:r w:rsidRPr="00E40BFA">
        <w:t xml:space="preserve">Динаміка зміни швидкості слиновиділення </w:t>
      </w:r>
      <w:r w:rsidRPr="00945B27">
        <w:rPr>
          <w:spacing w:val="-20"/>
        </w:rPr>
        <w:t>(мл/хв)</w:t>
      </w:r>
      <w:r w:rsidRPr="00E40BFA">
        <w:t xml:space="preserve"> у дітей </w:t>
      </w:r>
      <w:r w:rsidR="00086F08">
        <w:t xml:space="preserve">   </w:t>
      </w:r>
      <w:r w:rsidRPr="00E40BFA">
        <w:t xml:space="preserve">11-12 років основної та контрольної груп </w:t>
      </w:r>
      <w:r>
        <w:t>на етапах лікування</w:t>
      </w:r>
      <w:r w:rsidRPr="00E40BFA">
        <w:t>.</w:t>
      </w:r>
    </w:p>
    <w:p w:rsidR="00534FB5" w:rsidRDefault="00534FB5" w:rsidP="00534FB5">
      <w:pPr>
        <w:contextualSpacing/>
      </w:pPr>
    </w:p>
    <w:p w:rsidR="00534FB5" w:rsidRPr="00E40BFA" w:rsidRDefault="006C493E" w:rsidP="003B2112">
      <w:pPr>
        <w:contextualSpacing/>
        <w:jc w:val="center"/>
      </w:pPr>
      <w:r>
        <w:rPr>
          <w:noProof/>
          <w:lang w:val="ru-RU"/>
        </w:rPr>
        <w:drawing>
          <wp:inline distT="0" distB="0" distL="0" distR="0">
            <wp:extent cx="4600575" cy="2771775"/>
            <wp:effectExtent l="0" t="0" r="0" b="0"/>
            <wp:docPr id="59" name="Объект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34FB5" w:rsidRDefault="00534FB5" w:rsidP="00534FB5">
      <w:pPr>
        <w:ind w:firstLine="709"/>
        <w:contextualSpacing/>
      </w:pPr>
      <w:r>
        <w:t>Рис. 4</w:t>
      </w:r>
      <w:r w:rsidRPr="00E40BFA">
        <w:t>.4</w:t>
      </w:r>
      <w:r>
        <w:t xml:space="preserve">.1.9. </w:t>
      </w:r>
      <w:r w:rsidRPr="00E40BFA">
        <w:t xml:space="preserve">Динаміка зміни швидкості слиновиділення </w:t>
      </w:r>
      <w:r w:rsidRPr="00945B27">
        <w:rPr>
          <w:spacing w:val="-20"/>
        </w:rPr>
        <w:t>(мл/хв)</w:t>
      </w:r>
      <w:r w:rsidRPr="00E40BFA">
        <w:t xml:space="preserve"> у дітей 14-15 років основної та контрольної груп до та після проведення лікувально-профілактичних заходів.</w:t>
      </w:r>
    </w:p>
    <w:p w:rsidR="003B2112" w:rsidRDefault="003B2112" w:rsidP="00534FB5">
      <w:pPr>
        <w:ind w:firstLine="709"/>
        <w:contextualSpacing/>
      </w:pPr>
    </w:p>
    <w:p w:rsidR="00534FB5" w:rsidRDefault="003B2112" w:rsidP="003B2112">
      <w:pPr>
        <w:ind w:firstLine="567"/>
        <w:contextualSpacing/>
      </w:pPr>
      <w:r>
        <w:t>Подібна</w:t>
      </w:r>
      <w:r w:rsidRPr="00E40BFA">
        <w:t xml:space="preserve"> картина </w:t>
      </w:r>
      <w:r>
        <w:t>спостерігалася і в</w:t>
      </w:r>
      <w:r w:rsidRPr="00E40BFA">
        <w:t xml:space="preserve"> другій віковій групі</w:t>
      </w:r>
      <w:r>
        <w:t xml:space="preserve"> (див. </w:t>
      </w:r>
      <w:r>
        <w:rPr>
          <w:noProof/>
          <w:lang w:eastAsia="uk-UA"/>
        </w:rPr>
        <w:t>рис. 4</w:t>
      </w:r>
      <w:r w:rsidRPr="00E40BFA">
        <w:rPr>
          <w:noProof/>
          <w:lang w:eastAsia="uk-UA"/>
        </w:rPr>
        <w:t>.4</w:t>
      </w:r>
      <w:r>
        <w:rPr>
          <w:noProof/>
          <w:lang w:eastAsia="uk-UA"/>
        </w:rPr>
        <w:t xml:space="preserve">.1.8, </w:t>
      </w:r>
      <w:r>
        <w:t>табл. 4</w:t>
      </w:r>
      <w:r w:rsidRPr="00E40BFA">
        <w:t>.4</w:t>
      </w:r>
      <w:r>
        <w:t>.1.3</w:t>
      </w:r>
      <w:r>
        <w:rPr>
          <w:noProof/>
          <w:lang w:eastAsia="uk-UA"/>
        </w:rPr>
        <w:t>)</w:t>
      </w:r>
      <w:r w:rsidRPr="00E40BFA">
        <w:t>.</w:t>
      </w:r>
      <w:r>
        <w:t xml:space="preserve"> В</w:t>
      </w:r>
      <w:r w:rsidRPr="00E40BFA">
        <w:t xml:space="preserve">ід початку проведення лікувально-профілактичних заходів </w:t>
      </w:r>
      <w:r>
        <w:t>у</w:t>
      </w:r>
      <w:r w:rsidRPr="00E40BFA">
        <w:t xml:space="preserve"> обох підгрупах намітилас</w:t>
      </w:r>
      <w:r>
        <w:t>я</w:t>
      </w:r>
      <w:r w:rsidRPr="00E40BFA">
        <w:t xml:space="preserve"> позитивна тенденція до підвищення швидкості слиновиділення. Але на дванадцятому місяці спостереження тільки в </w:t>
      </w:r>
      <w:r w:rsidR="005840BB">
        <w:t>«А»</w:t>
      </w:r>
      <w:r w:rsidRPr="00E40BFA">
        <w:t xml:space="preserve"> підгрупі показник</w:t>
      </w:r>
      <w:r>
        <w:t xml:space="preserve"> становив </w:t>
      </w:r>
      <w:r w:rsidRPr="00E40BFA">
        <w:t>0,40±0,01</w:t>
      </w:r>
      <w:r>
        <w:t xml:space="preserve"> і </w:t>
      </w:r>
      <w:r w:rsidRPr="00E40BFA">
        <w:t>достовірно (Р&gt;0,05) досяг рівня здорових дітей</w:t>
      </w:r>
      <w:r>
        <w:t xml:space="preserve"> (</w:t>
      </w:r>
      <w:r w:rsidRPr="00E40BFA">
        <w:t>0,41±0,01</w:t>
      </w:r>
      <w:r>
        <w:t>).</w:t>
      </w:r>
    </w:p>
    <w:p w:rsidR="00534FB5" w:rsidRDefault="00534FB5" w:rsidP="00534FB5">
      <w:pPr>
        <w:ind w:firstLine="709"/>
        <w:contextualSpacing/>
      </w:pPr>
      <w:r>
        <w:t>У</w:t>
      </w:r>
      <w:r w:rsidRPr="00E40BFA">
        <w:t xml:space="preserve"> третій віковій групі в обох підгрупах</w:t>
      </w:r>
      <w:r>
        <w:t xml:space="preserve"> </w:t>
      </w:r>
      <w:r w:rsidRPr="00E40BFA">
        <w:t>протягом 12 місяців швидкість слиновиділення теж поступово</w:t>
      </w:r>
      <w:r>
        <w:t xml:space="preserve"> збільшувалася. При цьому через 1 та 6 місяців</w:t>
      </w:r>
      <w:r w:rsidRPr="00E40BFA">
        <w:t xml:space="preserve"> показники швидкості слиновиділення </w:t>
      </w:r>
      <w:r>
        <w:t xml:space="preserve">у </w:t>
      </w:r>
      <w:r w:rsidRPr="00E40BFA">
        <w:t>дітей, які отримували</w:t>
      </w:r>
      <w:r>
        <w:t xml:space="preserve"> </w:t>
      </w:r>
      <w:r w:rsidRPr="00E40BFA">
        <w:t>стандартну</w:t>
      </w:r>
      <w:r>
        <w:t xml:space="preserve"> схему заходів, були достовірно вищі (</w:t>
      </w:r>
      <w:r w:rsidRPr="00E40BFA">
        <w:t>Р&lt;0,01</w:t>
      </w:r>
      <w:r>
        <w:t>), порівняно з показниками дітей, яким проводилися запропоновані заходи</w:t>
      </w:r>
      <w:r w:rsidRPr="00E40BFA">
        <w:t xml:space="preserve"> лікування і профілактики</w:t>
      </w:r>
      <w:r>
        <w:t>. А</w:t>
      </w:r>
      <w:r w:rsidRPr="00E40BFA">
        <w:t xml:space="preserve"> на кінцевому етапі </w:t>
      </w:r>
      <w:r>
        <w:t xml:space="preserve">показники ОГ3а та ОГ3б </w:t>
      </w:r>
      <w:r w:rsidRPr="00E40BFA">
        <w:t xml:space="preserve">достовірно </w:t>
      </w:r>
      <w:r>
        <w:t xml:space="preserve">не </w:t>
      </w:r>
      <w:r w:rsidRPr="00E40BFA">
        <w:t>від</w:t>
      </w:r>
      <w:r>
        <w:t xml:space="preserve">різнялися між собою (Р&gt;0,05) та </w:t>
      </w:r>
      <w:r w:rsidRPr="00E40BFA">
        <w:t>так і не досягли рівня здорових дітей</w:t>
      </w:r>
      <w:r>
        <w:t xml:space="preserve"> (</w:t>
      </w:r>
      <w:r w:rsidRPr="00E40BFA">
        <w:t>Р&lt;0,01</w:t>
      </w:r>
      <w:r>
        <w:t>)</w:t>
      </w:r>
      <w:r w:rsidRPr="00E40BFA">
        <w:t xml:space="preserve"> (</w:t>
      </w:r>
      <w:r>
        <w:t>див.</w:t>
      </w:r>
      <w:r w:rsidR="00086F08">
        <w:rPr>
          <w:lang w:val="ru-RU"/>
        </w:rPr>
        <w:t> </w:t>
      </w:r>
      <w:r>
        <w:t>табл. 4</w:t>
      </w:r>
      <w:r w:rsidRPr="00E40BFA">
        <w:t>.4.1.</w:t>
      </w:r>
      <w:r>
        <w:t>3, рис. 4.4.1.9</w:t>
      </w:r>
      <w:r w:rsidRPr="00E40BFA">
        <w:t>).</w:t>
      </w:r>
    </w:p>
    <w:p w:rsidR="003B2112" w:rsidRDefault="003B2112" w:rsidP="00534FB5">
      <w:pPr>
        <w:ind w:firstLine="709"/>
        <w:contextualSpacing/>
      </w:pPr>
    </w:p>
    <w:p w:rsidR="00534FB5" w:rsidRPr="00181506" w:rsidRDefault="00534FB5" w:rsidP="00181506">
      <w:pPr>
        <w:ind w:firstLine="709"/>
        <w:contextualSpacing/>
        <w:rPr>
          <w:spacing w:val="-10"/>
        </w:rPr>
      </w:pPr>
      <w:r w:rsidRPr="00181506">
        <w:rPr>
          <w:spacing w:val="-10"/>
        </w:rPr>
        <w:lastRenderedPageBreak/>
        <w:t xml:space="preserve">Таким чином, підсумовуючи наведені вище дані, можна зробити висновок, що визначення </w:t>
      </w:r>
      <w:r w:rsidR="001B6158" w:rsidRPr="00181506">
        <w:rPr>
          <w:spacing w:val="-10"/>
        </w:rPr>
        <w:t>ΔрН</w:t>
      </w:r>
      <w:r w:rsidRPr="00181506">
        <w:rPr>
          <w:spacing w:val="-10"/>
        </w:rPr>
        <w:t xml:space="preserve"> в динаміці дозволило більш ефективно оцінювати результати лікувально-профілактичних заходів. В обох підгрупах всіх вікових груп спостерігалася тенденція до зниження показника ΔрН, але тільки під дією запропонованої схеми лікування та профілактики відбулося достовірне зниження показника ΔрН (Р&gt;0,05) до значень, що відповідали низькому рівню карієсогенності. Вивчення швидкості слиновиділення (мл/хв) виявило достовірне </w:t>
      </w:r>
      <w:r w:rsidR="00DD0A46" w:rsidRPr="00181506">
        <w:rPr>
          <w:spacing w:val="-10"/>
        </w:rPr>
        <w:t xml:space="preserve">підвищення </w:t>
      </w:r>
      <w:r w:rsidRPr="00181506">
        <w:rPr>
          <w:spacing w:val="-10"/>
        </w:rPr>
        <w:t xml:space="preserve"> цього показника у</w:t>
      </w:r>
      <w:r w:rsidR="001B6158">
        <w:rPr>
          <w:spacing w:val="-10"/>
        </w:rPr>
        <w:t xml:space="preserve"> всіх вікових групах ДВГ (Р&lt;0,05</w:t>
      </w:r>
      <w:r w:rsidRPr="00181506">
        <w:rPr>
          <w:spacing w:val="-10"/>
        </w:rPr>
        <w:t xml:space="preserve">). Проведення як традиційних, так і запропонованих лікувально-профілактичних заходів позитивно вплинуло на </w:t>
      </w:r>
      <w:r w:rsidR="00D3483A">
        <w:rPr>
          <w:spacing w:val="-10"/>
        </w:rPr>
        <w:t>ШС</w:t>
      </w:r>
      <w:r w:rsidRPr="00181506">
        <w:rPr>
          <w:spacing w:val="-10"/>
        </w:rPr>
        <w:t xml:space="preserve"> дітей ОГ. Обидві схеми </w:t>
      </w:r>
      <w:r w:rsidR="0058021A">
        <w:rPr>
          <w:spacing w:val="-10"/>
        </w:rPr>
        <w:t>сприяли</w:t>
      </w:r>
      <w:r w:rsidRPr="00181506">
        <w:rPr>
          <w:spacing w:val="-10"/>
        </w:rPr>
        <w:t xml:space="preserve"> </w:t>
      </w:r>
      <w:r w:rsidR="0058021A" w:rsidRPr="00181506">
        <w:rPr>
          <w:spacing w:val="-10"/>
        </w:rPr>
        <w:t>підвищенн</w:t>
      </w:r>
      <w:r w:rsidR="0058021A">
        <w:rPr>
          <w:spacing w:val="-10"/>
        </w:rPr>
        <w:t>ю</w:t>
      </w:r>
      <w:r w:rsidR="0058021A" w:rsidRPr="00181506">
        <w:rPr>
          <w:spacing w:val="-10"/>
        </w:rPr>
        <w:t xml:space="preserve"> </w:t>
      </w:r>
      <w:r w:rsidRPr="00181506">
        <w:rPr>
          <w:spacing w:val="-10"/>
        </w:rPr>
        <w:t xml:space="preserve">швидкості слиновиділення. Але </w:t>
      </w:r>
      <w:r w:rsidR="0058021A">
        <w:rPr>
          <w:spacing w:val="-10"/>
        </w:rPr>
        <w:t>у термін</w:t>
      </w:r>
      <w:r w:rsidRPr="00181506">
        <w:rPr>
          <w:spacing w:val="-10"/>
        </w:rPr>
        <w:t xml:space="preserve"> 12 місяців тільки в підгрупі</w:t>
      </w:r>
      <w:r w:rsidR="0058021A">
        <w:rPr>
          <w:spacing w:val="-10"/>
        </w:rPr>
        <w:t xml:space="preserve"> «А»</w:t>
      </w:r>
      <w:r w:rsidR="0058021A" w:rsidRPr="00181506">
        <w:rPr>
          <w:spacing w:val="-10"/>
        </w:rPr>
        <w:t xml:space="preserve"> </w:t>
      </w:r>
      <w:r w:rsidRPr="00181506">
        <w:rPr>
          <w:spacing w:val="-10"/>
        </w:rPr>
        <w:t>першої та другої вікових груп цей показник досяг рівня здорових дітей (Р&gt;0,05).</w:t>
      </w:r>
    </w:p>
    <w:p w:rsidR="00534FB5" w:rsidRPr="00181506" w:rsidRDefault="00534FB5" w:rsidP="00534FB5">
      <w:pPr>
        <w:tabs>
          <w:tab w:val="left" w:pos="0"/>
        </w:tabs>
        <w:ind w:firstLine="709"/>
        <w:contextualSpacing/>
        <w:rPr>
          <w:b/>
          <w:spacing w:val="-10"/>
        </w:rPr>
      </w:pPr>
      <w:r w:rsidRPr="00181506">
        <w:rPr>
          <w:b/>
          <w:spacing w:val="-10"/>
        </w:rPr>
        <w:t>4.4.2. Динаміка зміни стану окислювального гомеостазу, антиоксидантної системи і захисних факторів ротової рідини</w:t>
      </w:r>
    </w:p>
    <w:p w:rsidR="00534FB5" w:rsidRPr="00181506" w:rsidRDefault="00534FB5" w:rsidP="00534FB5">
      <w:pPr>
        <w:tabs>
          <w:tab w:val="left" w:pos="0"/>
        </w:tabs>
        <w:ind w:firstLine="709"/>
        <w:contextualSpacing/>
        <w:rPr>
          <w:spacing w:val="-10"/>
        </w:rPr>
      </w:pPr>
      <w:r w:rsidRPr="00181506">
        <w:rPr>
          <w:spacing w:val="-10"/>
        </w:rPr>
        <w:t xml:space="preserve">Наступною ланкою досліджень стало вивчення окислювального гомеостазу, антиоксидантної системи та захисних сил тканин ротової порожнини у дітей з вродженою глухотою та нормальним слухом до, через 1, 6 та 12 місяців після проведення лікувально-профілактичних заходів. </w:t>
      </w:r>
    </w:p>
    <w:p w:rsidR="00534FB5" w:rsidRPr="00181506" w:rsidRDefault="00534FB5" w:rsidP="00534FB5">
      <w:pPr>
        <w:ind w:firstLine="720"/>
        <w:contextualSpacing/>
        <w:rPr>
          <w:spacing w:val="-10"/>
        </w:rPr>
      </w:pPr>
      <w:r w:rsidRPr="00181506">
        <w:rPr>
          <w:spacing w:val="-10"/>
        </w:rPr>
        <w:t xml:space="preserve">Першим етапом стало вивчення рівня </w:t>
      </w:r>
      <w:r w:rsidRPr="00181506">
        <w:rPr>
          <w:spacing w:val="-10"/>
          <w:shd w:val="clear" w:color="auto" w:fill="FFFFFF"/>
        </w:rPr>
        <w:t xml:space="preserve">накопичення вторинних продуктів </w:t>
      </w:r>
      <w:r w:rsidR="00CB78C0">
        <w:rPr>
          <w:spacing w:val="-10"/>
          <w:shd w:val="clear" w:color="auto" w:fill="FFFFFF"/>
        </w:rPr>
        <w:t>перекисн</w:t>
      </w:r>
      <w:r w:rsidRPr="00181506">
        <w:rPr>
          <w:spacing w:val="-10"/>
          <w:shd w:val="clear" w:color="auto" w:fill="FFFFFF"/>
        </w:rPr>
        <w:t>ого окиснення ліпідів – тіобарбітурактивних речовин</w:t>
      </w:r>
      <w:r w:rsidRPr="00181506">
        <w:rPr>
          <w:spacing w:val="-10"/>
        </w:rPr>
        <w:t xml:space="preserve"> </w:t>
      </w:r>
      <w:r w:rsidR="00DD0A46" w:rsidRPr="00181506">
        <w:rPr>
          <w:spacing w:val="-10"/>
        </w:rPr>
        <w:t>(див. </w:t>
      </w:r>
      <w:r w:rsidRPr="00181506">
        <w:rPr>
          <w:spacing w:val="-10"/>
        </w:rPr>
        <w:t xml:space="preserve">рис. 4.4.2.1). </w:t>
      </w:r>
    </w:p>
    <w:p w:rsidR="00534FB5" w:rsidRDefault="006C493E" w:rsidP="00534FB5">
      <w:pPr>
        <w:contextualSpacing/>
        <w:jc w:val="center"/>
      </w:pPr>
      <w:r>
        <w:rPr>
          <w:noProof/>
          <w:lang w:val="ru-RU"/>
        </w:rPr>
        <w:drawing>
          <wp:inline distT="0" distB="0" distL="0" distR="0">
            <wp:extent cx="4305300" cy="22193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4305300" cy="2219325"/>
                    </a:xfrm>
                    <a:prstGeom prst="rect">
                      <a:avLst/>
                    </a:prstGeom>
                    <a:noFill/>
                    <a:ln w="9525">
                      <a:noFill/>
                      <a:miter lim="800000"/>
                      <a:headEnd/>
                      <a:tailEnd/>
                    </a:ln>
                  </pic:spPr>
                </pic:pic>
              </a:graphicData>
            </a:graphic>
          </wp:inline>
        </w:drawing>
      </w:r>
    </w:p>
    <w:p w:rsidR="00534FB5" w:rsidRPr="00E40BFA" w:rsidRDefault="00534FB5" w:rsidP="0002243A">
      <w:pPr>
        <w:ind w:firstLine="567"/>
        <w:contextualSpacing/>
      </w:pPr>
      <w:r>
        <w:t>Рис. 4</w:t>
      </w:r>
      <w:r w:rsidRPr="00E40BFA">
        <w:t>.4.</w:t>
      </w:r>
      <w:r>
        <w:t>2.1</w:t>
      </w:r>
      <w:r w:rsidRPr="00E40BFA">
        <w:t>.</w:t>
      </w:r>
      <w:r>
        <w:t xml:space="preserve"> </w:t>
      </w:r>
      <w:r w:rsidRPr="00E40BFA">
        <w:t>Сере</w:t>
      </w:r>
      <w:r>
        <w:t xml:space="preserve">дні показники ТБК-АП у дітей </w:t>
      </w:r>
      <w:r w:rsidR="006C493E">
        <w:t>із вродженою</w:t>
      </w:r>
      <w:r w:rsidRPr="00E40BFA">
        <w:t xml:space="preserve"> глухотою</w:t>
      </w:r>
      <w:r>
        <w:t xml:space="preserve"> до і після проведення лікувально-профілактичних заходів.</w:t>
      </w:r>
    </w:p>
    <w:p w:rsidR="00534FB5" w:rsidRPr="004333B5" w:rsidRDefault="00534FB5" w:rsidP="00534FB5">
      <w:pPr>
        <w:ind w:firstLine="567"/>
        <w:contextualSpacing/>
      </w:pPr>
      <w:r>
        <w:lastRenderedPageBreak/>
        <w:t>Результати</w:t>
      </w:r>
      <w:r w:rsidRPr="00E40BFA">
        <w:t xml:space="preserve"> вивчення рівня ТБК-активних п</w:t>
      </w:r>
      <w:r>
        <w:t xml:space="preserve">родуктів у дітей трьох вікових </w:t>
      </w:r>
      <w:r w:rsidRPr="00E40BFA">
        <w:t>груп до та після проведення лікувально-проф</w:t>
      </w:r>
      <w:r>
        <w:t>ілактичних заходів наведено в таблиці 4</w:t>
      </w:r>
      <w:r w:rsidRPr="00E40BFA">
        <w:t>.4.</w:t>
      </w:r>
      <w:r>
        <w:t>2.1</w:t>
      </w:r>
      <w:r w:rsidRPr="00E40BFA">
        <w:t>.</w:t>
      </w:r>
    </w:p>
    <w:p w:rsidR="00534FB5" w:rsidRPr="004C11E1" w:rsidRDefault="00534FB5" w:rsidP="00534FB5">
      <w:pPr>
        <w:ind w:firstLine="567"/>
        <w:contextualSpacing/>
        <w:jc w:val="right"/>
        <w:rPr>
          <w:i/>
        </w:rPr>
      </w:pPr>
      <w:r w:rsidRPr="004C11E1">
        <w:rPr>
          <w:i/>
        </w:rPr>
        <w:t>Таблиця 4.4.2.1</w:t>
      </w:r>
    </w:p>
    <w:p w:rsidR="00534FB5" w:rsidRDefault="00534FB5" w:rsidP="00534FB5">
      <w:pPr>
        <w:spacing w:line="240" w:lineRule="auto"/>
        <w:ind w:firstLine="567"/>
        <w:contextualSpacing/>
        <w:jc w:val="center"/>
        <w:rPr>
          <w:b/>
        </w:rPr>
      </w:pPr>
      <w:r w:rsidRPr="004C11E1">
        <w:rPr>
          <w:b/>
        </w:rPr>
        <w:t>Кількість ТБ</w:t>
      </w:r>
      <w:r>
        <w:rPr>
          <w:b/>
        </w:rPr>
        <w:t xml:space="preserve">К-активних продуктів у дітей </w:t>
      </w:r>
      <w:r w:rsidR="006C493E">
        <w:rPr>
          <w:b/>
        </w:rPr>
        <w:t>із вродженою</w:t>
      </w:r>
      <w:r w:rsidRPr="004C11E1">
        <w:rPr>
          <w:b/>
        </w:rPr>
        <w:t xml:space="preserve"> глухотою до та після проведення лікувально-профілактичних заходів</w:t>
      </w:r>
    </w:p>
    <w:p w:rsidR="00534FB5" w:rsidRDefault="00534FB5" w:rsidP="00534FB5">
      <w:pPr>
        <w:spacing w:line="240" w:lineRule="auto"/>
        <w:ind w:firstLine="567"/>
        <w:contextualSpacing/>
        <w:jc w:val="center"/>
        <w:rPr>
          <w:b/>
        </w:rPr>
      </w:pPr>
    </w:p>
    <w:p w:rsidR="00534FB5" w:rsidRDefault="00534FB5" w:rsidP="00534FB5">
      <w:pPr>
        <w:spacing w:line="240" w:lineRule="auto"/>
        <w:ind w:firstLine="567"/>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p>
        </w:tc>
        <w:tc>
          <w:tcPr>
            <w:tcW w:w="8187" w:type="dxa"/>
            <w:gridSpan w:val="4"/>
            <w:shd w:val="clear" w:color="auto" w:fill="auto"/>
          </w:tcPr>
          <w:p w:rsidR="00534FB5" w:rsidRPr="002348CA" w:rsidRDefault="00534FB5" w:rsidP="00534FB5">
            <w:pPr>
              <w:spacing w:line="240" w:lineRule="auto"/>
              <w:contextualSpacing/>
              <w:jc w:val="center"/>
              <w:rPr>
                <w:b/>
              </w:rPr>
            </w:pPr>
            <w:r w:rsidRPr="00E40BFA">
              <w:t>ТБК-АП, мкмоль/л, (</w:t>
            </w:r>
            <w:r w:rsidRPr="002348CA">
              <w:rPr>
                <w:lang w:val="en-US"/>
              </w:rPr>
              <w:t>M</w:t>
            </w:r>
            <w:r w:rsidRPr="00E40BFA">
              <w:t>±</w:t>
            </w:r>
            <w:r w:rsidRPr="002348CA">
              <w:rPr>
                <w:lang w:val="en-US"/>
              </w:rPr>
              <w:t>m</w:t>
            </w:r>
            <w:r w:rsidRPr="00E40BFA">
              <w:t>)</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p>
        </w:tc>
        <w:tc>
          <w:tcPr>
            <w:tcW w:w="1843" w:type="dxa"/>
            <w:shd w:val="clear" w:color="auto" w:fill="auto"/>
          </w:tcPr>
          <w:p w:rsidR="00534FB5" w:rsidRPr="002348CA" w:rsidRDefault="00534FB5" w:rsidP="00534FB5">
            <w:pPr>
              <w:spacing w:line="240" w:lineRule="auto"/>
              <w:contextualSpacing/>
              <w:jc w:val="center"/>
              <w:rPr>
                <w:b/>
              </w:rPr>
            </w:pPr>
            <w:r w:rsidRPr="00E40BFA">
              <w:t>До лікування</w:t>
            </w:r>
          </w:p>
        </w:tc>
        <w:tc>
          <w:tcPr>
            <w:tcW w:w="1984" w:type="dxa"/>
            <w:shd w:val="clear" w:color="auto" w:fill="auto"/>
          </w:tcPr>
          <w:p w:rsidR="00534FB5" w:rsidRPr="002348CA" w:rsidRDefault="00534FB5" w:rsidP="00534FB5">
            <w:pPr>
              <w:spacing w:line="240" w:lineRule="auto"/>
              <w:contextualSpacing/>
              <w:jc w:val="center"/>
              <w:rPr>
                <w:b/>
              </w:rPr>
            </w:pPr>
            <w:r w:rsidRPr="00E40BFA">
              <w:t>Через 1 місяць</w:t>
            </w:r>
          </w:p>
        </w:tc>
        <w:tc>
          <w:tcPr>
            <w:tcW w:w="2127" w:type="dxa"/>
            <w:shd w:val="clear" w:color="auto" w:fill="auto"/>
          </w:tcPr>
          <w:p w:rsidR="00534FB5" w:rsidRPr="002348CA" w:rsidRDefault="00534FB5" w:rsidP="00534FB5">
            <w:pPr>
              <w:spacing w:line="240" w:lineRule="auto"/>
              <w:contextualSpacing/>
              <w:jc w:val="center"/>
              <w:rPr>
                <w:b/>
              </w:rPr>
            </w:pPr>
            <w:r w:rsidRPr="00E40BFA">
              <w:t>Через 6 місяців</w:t>
            </w:r>
          </w:p>
        </w:tc>
        <w:tc>
          <w:tcPr>
            <w:tcW w:w="2233" w:type="dxa"/>
            <w:shd w:val="clear" w:color="auto" w:fill="auto"/>
          </w:tcPr>
          <w:p w:rsidR="00534FB5" w:rsidRPr="002348CA" w:rsidRDefault="00534FB5" w:rsidP="00534FB5">
            <w:pPr>
              <w:spacing w:line="240" w:lineRule="auto"/>
              <w:contextualSpacing/>
              <w:jc w:val="center"/>
              <w:rPr>
                <w:b/>
              </w:rPr>
            </w:pPr>
            <w:r w:rsidRPr="00E40BFA">
              <w:t>Через 12 місяців</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ОГ1б</w:t>
            </w:r>
          </w:p>
        </w:tc>
        <w:tc>
          <w:tcPr>
            <w:tcW w:w="1843" w:type="dxa"/>
            <w:shd w:val="clear" w:color="auto" w:fill="auto"/>
          </w:tcPr>
          <w:p w:rsidR="00534FB5" w:rsidRPr="002348CA" w:rsidRDefault="00534FB5" w:rsidP="00534FB5">
            <w:pPr>
              <w:spacing w:line="240" w:lineRule="auto"/>
              <w:contextualSpacing/>
              <w:jc w:val="center"/>
              <w:rPr>
                <w:b/>
              </w:rPr>
            </w:pPr>
            <w:r w:rsidRPr="00E40BFA">
              <w:t>6,82±0,27</w:t>
            </w:r>
          </w:p>
        </w:tc>
        <w:tc>
          <w:tcPr>
            <w:tcW w:w="1984" w:type="dxa"/>
            <w:shd w:val="clear" w:color="auto" w:fill="auto"/>
          </w:tcPr>
          <w:p w:rsidR="00534FB5" w:rsidRPr="002348CA" w:rsidRDefault="00534FB5" w:rsidP="00534FB5">
            <w:pPr>
              <w:spacing w:line="240" w:lineRule="auto"/>
              <w:contextualSpacing/>
              <w:jc w:val="center"/>
              <w:rPr>
                <w:b/>
              </w:rPr>
            </w:pPr>
            <w:r w:rsidRPr="00E40BFA">
              <w:t>5,13±0,18*</w:t>
            </w:r>
          </w:p>
        </w:tc>
        <w:tc>
          <w:tcPr>
            <w:tcW w:w="2127" w:type="dxa"/>
            <w:shd w:val="clear" w:color="auto" w:fill="auto"/>
          </w:tcPr>
          <w:p w:rsidR="00534FB5" w:rsidRPr="002348CA" w:rsidRDefault="00534FB5" w:rsidP="00534FB5">
            <w:pPr>
              <w:spacing w:line="240" w:lineRule="auto"/>
              <w:contextualSpacing/>
              <w:jc w:val="center"/>
              <w:rPr>
                <w:b/>
              </w:rPr>
            </w:pPr>
            <w:r w:rsidRPr="00E40BFA">
              <w:t>5,71±0,22</w:t>
            </w:r>
          </w:p>
        </w:tc>
        <w:tc>
          <w:tcPr>
            <w:tcW w:w="2233" w:type="dxa"/>
            <w:shd w:val="clear" w:color="auto" w:fill="auto"/>
          </w:tcPr>
          <w:p w:rsidR="00534FB5" w:rsidRPr="002348CA" w:rsidRDefault="00534FB5" w:rsidP="00534FB5">
            <w:pPr>
              <w:spacing w:line="240" w:lineRule="auto"/>
              <w:contextualSpacing/>
              <w:jc w:val="center"/>
              <w:rPr>
                <w:b/>
              </w:rPr>
            </w:pPr>
            <w:r w:rsidRPr="00E40BFA">
              <w:t>5,71±0,22</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ОГ1а</w:t>
            </w:r>
          </w:p>
        </w:tc>
        <w:tc>
          <w:tcPr>
            <w:tcW w:w="1843" w:type="dxa"/>
            <w:shd w:val="clear" w:color="auto" w:fill="auto"/>
          </w:tcPr>
          <w:p w:rsidR="00534FB5" w:rsidRPr="002348CA" w:rsidRDefault="00534FB5" w:rsidP="00534FB5">
            <w:pPr>
              <w:spacing w:line="240" w:lineRule="auto"/>
              <w:contextualSpacing/>
              <w:jc w:val="center"/>
              <w:rPr>
                <w:b/>
              </w:rPr>
            </w:pPr>
            <w:r w:rsidRPr="00E40BFA">
              <w:t>6,83±0,24</w:t>
            </w:r>
          </w:p>
        </w:tc>
        <w:tc>
          <w:tcPr>
            <w:tcW w:w="1984" w:type="dxa"/>
            <w:shd w:val="clear" w:color="auto" w:fill="auto"/>
          </w:tcPr>
          <w:p w:rsidR="00534FB5" w:rsidRPr="002348CA" w:rsidRDefault="00534FB5" w:rsidP="00534FB5">
            <w:pPr>
              <w:spacing w:line="240" w:lineRule="auto"/>
              <w:contextualSpacing/>
              <w:jc w:val="center"/>
              <w:rPr>
                <w:b/>
              </w:rPr>
            </w:pPr>
            <w:r w:rsidRPr="00E40BFA">
              <w:t>5,77±0,21*</w:t>
            </w:r>
          </w:p>
        </w:tc>
        <w:tc>
          <w:tcPr>
            <w:tcW w:w="2127" w:type="dxa"/>
            <w:shd w:val="clear" w:color="auto" w:fill="auto"/>
          </w:tcPr>
          <w:p w:rsidR="00534FB5" w:rsidRPr="002348CA" w:rsidRDefault="00534FB5" w:rsidP="00534FB5">
            <w:pPr>
              <w:spacing w:line="240" w:lineRule="auto"/>
              <w:contextualSpacing/>
              <w:jc w:val="center"/>
              <w:rPr>
                <w:b/>
              </w:rPr>
            </w:pPr>
            <w:r w:rsidRPr="00E40BFA">
              <w:t>6,12±0,19</w:t>
            </w:r>
          </w:p>
        </w:tc>
        <w:tc>
          <w:tcPr>
            <w:tcW w:w="2233" w:type="dxa"/>
            <w:shd w:val="clear" w:color="auto" w:fill="auto"/>
          </w:tcPr>
          <w:p w:rsidR="00534FB5" w:rsidRPr="002348CA" w:rsidRDefault="00534FB5" w:rsidP="00534FB5">
            <w:pPr>
              <w:spacing w:line="240" w:lineRule="auto"/>
              <w:contextualSpacing/>
              <w:jc w:val="center"/>
              <w:rPr>
                <w:b/>
              </w:rPr>
            </w:pPr>
            <w:r w:rsidRPr="00E40BFA">
              <w:t>5,14±0,26</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ОГ2б</w:t>
            </w:r>
          </w:p>
        </w:tc>
        <w:tc>
          <w:tcPr>
            <w:tcW w:w="1843" w:type="dxa"/>
            <w:shd w:val="clear" w:color="auto" w:fill="auto"/>
          </w:tcPr>
          <w:p w:rsidR="00534FB5" w:rsidRPr="002348CA" w:rsidRDefault="00534FB5" w:rsidP="00534FB5">
            <w:pPr>
              <w:spacing w:line="240" w:lineRule="auto"/>
              <w:contextualSpacing/>
              <w:jc w:val="center"/>
              <w:rPr>
                <w:b/>
              </w:rPr>
            </w:pPr>
            <w:r w:rsidRPr="00E40BFA">
              <w:t>6,45±0,29</w:t>
            </w:r>
          </w:p>
        </w:tc>
        <w:tc>
          <w:tcPr>
            <w:tcW w:w="1984" w:type="dxa"/>
            <w:shd w:val="clear" w:color="auto" w:fill="auto"/>
          </w:tcPr>
          <w:p w:rsidR="00534FB5" w:rsidRPr="002348CA" w:rsidRDefault="00534FB5" w:rsidP="00534FB5">
            <w:pPr>
              <w:spacing w:line="240" w:lineRule="auto"/>
              <w:contextualSpacing/>
              <w:jc w:val="center"/>
              <w:rPr>
                <w:b/>
              </w:rPr>
            </w:pPr>
            <w:r w:rsidRPr="00E40BFA">
              <w:t>5,17±0,22*</w:t>
            </w:r>
          </w:p>
        </w:tc>
        <w:tc>
          <w:tcPr>
            <w:tcW w:w="2127" w:type="dxa"/>
            <w:shd w:val="clear" w:color="auto" w:fill="auto"/>
          </w:tcPr>
          <w:p w:rsidR="00534FB5" w:rsidRPr="002348CA" w:rsidRDefault="00534FB5" w:rsidP="00534FB5">
            <w:pPr>
              <w:spacing w:line="240" w:lineRule="auto"/>
              <w:contextualSpacing/>
              <w:jc w:val="center"/>
              <w:rPr>
                <w:b/>
              </w:rPr>
            </w:pPr>
            <w:r w:rsidRPr="00E40BFA">
              <w:t>5,17±0,29*</w:t>
            </w:r>
          </w:p>
        </w:tc>
        <w:tc>
          <w:tcPr>
            <w:tcW w:w="2233" w:type="dxa"/>
            <w:shd w:val="clear" w:color="auto" w:fill="auto"/>
          </w:tcPr>
          <w:p w:rsidR="00534FB5" w:rsidRPr="002348CA" w:rsidRDefault="00534FB5" w:rsidP="00534FB5">
            <w:pPr>
              <w:spacing w:line="240" w:lineRule="auto"/>
              <w:contextualSpacing/>
              <w:jc w:val="center"/>
              <w:rPr>
                <w:b/>
              </w:rPr>
            </w:pPr>
            <w:r w:rsidRPr="00E40BFA">
              <w:t>4,29±0,21*</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ОГ2а</w:t>
            </w:r>
          </w:p>
        </w:tc>
        <w:tc>
          <w:tcPr>
            <w:tcW w:w="1843" w:type="dxa"/>
            <w:shd w:val="clear" w:color="auto" w:fill="auto"/>
          </w:tcPr>
          <w:p w:rsidR="00534FB5" w:rsidRPr="002348CA" w:rsidRDefault="00534FB5" w:rsidP="00534FB5">
            <w:pPr>
              <w:spacing w:line="240" w:lineRule="auto"/>
              <w:contextualSpacing/>
              <w:jc w:val="center"/>
              <w:rPr>
                <w:b/>
              </w:rPr>
            </w:pPr>
            <w:r w:rsidRPr="00E40BFA">
              <w:t>6,86±0,28</w:t>
            </w:r>
          </w:p>
        </w:tc>
        <w:tc>
          <w:tcPr>
            <w:tcW w:w="1984" w:type="dxa"/>
            <w:shd w:val="clear" w:color="auto" w:fill="auto"/>
          </w:tcPr>
          <w:p w:rsidR="00534FB5" w:rsidRPr="002348CA" w:rsidRDefault="00534FB5" w:rsidP="00534FB5">
            <w:pPr>
              <w:spacing w:line="240" w:lineRule="auto"/>
              <w:contextualSpacing/>
              <w:jc w:val="center"/>
              <w:rPr>
                <w:b/>
              </w:rPr>
            </w:pPr>
            <w:r w:rsidRPr="00E40BFA">
              <w:t>5,80±0,23*</w:t>
            </w:r>
          </w:p>
        </w:tc>
        <w:tc>
          <w:tcPr>
            <w:tcW w:w="2127" w:type="dxa"/>
            <w:shd w:val="clear" w:color="auto" w:fill="auto"/>
          </w:tcPr>
          <w:p w:rsidR="00534FB5" w:rsidRPr="002348CA" w:rsidRDefault="00534FB5" w:rsidP="00534FB5">
            <w:pPr>
              <w:spacing w:line="240" w:lineRule="auto"/>
              <w:contextualSpacing/>
              <w:jc w:val="center"/>
              <w:rPr>
                <w:b/>
              </w:rPr>
            </w:pPr>
            <w:r w:rsidRPr="00E40BFA">
              <w:t>5,80±0,20*</w:t>
            </w:r>
          </w:p>
        </w:tc>
        <w:tc>
          <w:tcPr>
            <w:tcW w:w="2233" w:type="dxa"/>
            <w:shd w:val="clear" w:color="auto" w:fill="auto"/>
          </w:tcPr>
          <w:p w:rsidR="00534FB5" w:rsidRPr="002348CA" w:rsidRDefault="00534FB5" w:rsidP="00534FB5">
            <w:pPr>
              <w:spacing w:line="240" w:lineRule="auto"/>
              <w:contextualSpacing/>
              <w:jc w:val="center"/>
              <w:rPr>
                <w:b/>
              </w:rPr>
            </w:pPr>
            <w:r w:rsidRPr="00E40BFA">
              <w:t>5,16±0,15*</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ОГ3б</w:t>
            </w:r>
          </w:p>
        </w:tc>
        <w:tc>
          <w:tcPr>
            <w:tcW w:w="1843" w:type="dxa"/>
            <w:shd w:val="clear" w:color="auto" w:fill="auto"/>
          </w:tcPr>
          <w:p w:rsidR="00534FB5" w:rsidRPr="002348CA" w:rsidRDefault="00534FB5" w:rsidP="00534FB5">
            <w:pPr>
              <w:spacing w:line="240" w:lineRule="auto"/>
              <w:contextualSpacing/>
              <w:jc w:val="center"/>
              <w:rPr>
                <w:b/>
              </w:rPr>
            </w:pPr>
            <w:r w:rsidRPr="00E40BFA">
              <w:t>6,42±0,16</w:t>
            </w:r>
            <w:r w:rsidR="002A3A19" w:rsidRPr="00E40BFA">
              <w:t>*</w:t>
            </w:r>
          </w:p>
        </w:tc>
        <w:tc>
          <w:tcPr>
            <w:tcW w:w="1984" w:type="dxa"/>
            <w:shd w:val="clear" w:color="auto" w:fill="auto"/>
          </w:tcPr>
          <w:p w:rsidR="00534FB5" w:rsidRPr="002348CA" w:rsidRDefault="00534FB5" w:rsidP="00534FB5">
            <w:pPr>
              <w:spacing w:line="240" w:lineRule="auto"/>
              <w:contextualSpacing/>
              <w:jc w:val="center"/>
              <w:rPr>
                <w:b/>
              </w:rPr>
            </w:pPr>
            <w:r w:rsidRPr="00E40BFA">
              <w:t>5,14±0,17*</w:t>
            </w:r>
          </w:p>
        </w:tc>
        <w:tc>
          <w:tcPr>
            <w:tcW w:w="2127" w:type="dxa"/>
            <w:shd w:val="clear" w:color="auto" w:fill="auto"/>
          </w:tcPr>
          <w:p w:rsidR="00534FB5" w:rsidRPr="002348CA" w:rsidRDefault="00534FB5" w:rsidP="00534FB5">
            <w:pPr>
              <w:spacing w:line="240" w:lineRule="auto"/>
              <w:contextualSpacing/>
              <w:jc w:val="center"/>
              <w:rPr>
                <w:b/>
              </w:rPr>
            </w:pPr>
            <w:r w:rsidRPr="00E40BFA">
              <w:t>5,76±0,17*</w:t>
            </w:r>
          </w:p>
        </w:tc>
        <w:tc>
          <w:tcPr>
            <w:tcW w:w="2233" w:type="dxa"/>
            <w:shd w:val="clear" w:color="auto" w:fill="auto"/>
          </w:tcPr>
          <w:p w:rsidR="00534FB5" w:rsidRPr="002348CA" w:rsidRDefault="00534FB5" w:rsidP="00534FB5">
            <w:pPr>
              <w:spacing w:line="240" w:lineRule="auto"/>
              <w:contextualSpacing/>
              <w:jc w:val="center"/>
              <w:rPr>
                <w:b/>
              </w:rPr>
            </w:pPr>
            <w:r w:rsidRPr="00E40BFA">
              <w:t>4,37±0,20*</w:t>
            </w:r>
          </w:p>
        </w:tc>
      </w:tr>
      <w:tr w:rsidR="00534FB5" w:rsidRPr="002348CA" w:rsidTr="00534FB5">
        <w:tc>
          <w:tcPr>
            <w:tcW w:w="1384" w:type="dxa"/>
            <w:shd w:val="clear" w:color="auto" w:fill="auto"/>
          </w:tcPr>
          <w:p w:rsidR="00534FB5" w:rsidRPr="00E40BFA" w:rsidRDefault="00534FB5" w:rsidP="00534FB5">
            <w:pPr>
              <w:spacing w:line="240" w:lineRule="auto"/>
              <w:contextualSpacing/>
              <w:jc w:val="center"/>
            </w:pPr>
            <w:r w:rsidRPr="00E40BFA">
              <w:t>ОГ3а</w:t>
            </w:r>
          </w:p>
        </w:tc>
        <w:tc>
          <w:tcPr>
            <w:tcW w:w="1843" w:type="dxa"/>
            <w:shd w:val="clear" w:color="auto" w:fill="auto"/>
          </w:tcPr>
          <w:p w:rsidR="00534FB5" w:rsidRPr="00E40BFA" w:rsidRDefault="00534FB5" w:rsidP="00534FB5">
            <w:pPr>
              <w:spacing w:line="240" w:lineRule="auto"/>
              <w:contextualSpacing/>
              <w:jc w:val="center"/>
            </w:pPr>
            <w:r w:rsidRPr="00E40BFA">
              <w:t>6,87±0,21</w:t>
            </w:r>
            <w:r w:rsidR="002A3A19" w:rsidRPr="00E40BFA">
              <w:t>*</w:t>
            </w:r>
          </w:p>
        </w:tc>
        <w:tc>
          <w:tcPr>
            <w:tcW w:w="1984" w:type="dxa"/>
            <w:shd w:val="clear" w:color="auto" w:fill="auto"/>
          </w:tcPr>
          <w:p w:rsidR="00534FB5" w:rsidRPr="00E40BFA" w:rsidRDefault="00534FB5" w:rsidP="00534FB5">
            <w:pPr>
              <w:spacing w:line="240" w:lineRule="auto"/>
              <w:contextualSpacing/>
              <w:jc w:val="center"/>
            </w:pPr>
            <w:r w:rsidRPr="00E40BFA">
              <w:t>5,71±0,15*</w:t>
            </w:r>
          </w:p>
        </w:tc>
        <w:tc>
          <w:tcPr>
            <w:tcW w:w="2127" w:type="dxa"/>
            <w:shd w:val="clear" w:color="auto" w:fill="auto"/>
          </w:tcPr>
          <w:p w:rsidR="00534FB5" w:rsidRPr="00E40BFA" w:rsidRDefault="00534FB5" w:rsidP="00534FB5">
            <w:pPr>
              <w:spacing w:line="240" w:lineRule="auto"/>
              <w:contextualSpacing/>
              <w:jc w:val="center"/>
            </w:pPr>
            <w:r w:rsidRPr="00E40BFA">
              <w:t>6,16±0,15*</w:t>
            </w:r>
          </w:p>
        </w:tc>
        <w:tc>
          <w:tcPr>
            <w:tcW w:w="2233" w:type="dxa"/>
            <w:shd w:val="clear" w:color="auto" w:fill="auto"/>
          </w:tcPr>
          <w:p w:rsidR="00534FB5" w:rsidRPr="00E40BFA" w:rsidRDefault="00534FB5" w:rsidP="00534FB5">
            <w:pPr>
              <w:spacing w:line="240" w:lineRule="auto"/>
              <w:contextualSpacing/>
              <w:jc w:val="center"/>
            </w:pPr>
            <w:r w:rsidRPr="00E40BFA">
              <w:t>5,14±0,20*</w:t>
            </w:r>
          </w:p>
        </w:tc>
      </w:tr>
    </w:tbl>
    <w:p w:rsidR="00534FB5" w:rsidRPr="00AA4F5C" w:rsidRDefault="00534FB5" w:rsidP="00534FB5">
      <w:pPr>
        <w:ind w:left="-142"/>
        <w:contextualSpacing/>
        <w:rPr>
          <w:sz w:val="24"/>
        </w:rPr>
      </w:pPr>
      <w:r w:rsidRPr="00AA4F5C">
        <w:rPr>
          <w:sz w:val="24"/>
        </w:rPr>
        <w:t>Примітка: * –</w:t>
      </w:r>
      <w:r>
        <w:rPr>
          <w:sz w:val="24"/>
        </w:rPr>
        <w:t xml:space="preserve"> </w:t>
      </w:r>
      <w:r w:rsidRPr="00AA4F5C">
        <w:rPr>
          <w:color w:val="000000"/>
          <w:spacing w:val="-1"/>
          <w:sz w:val="24"/>
        </w:rPr>
        <w:t xml:space="preserve">достовірна різниця між показниками ОГб/ОГа </w:t>
      </w:r>
      <w:r w:rsidRPr="00AA4F5C">
        <w:rPr>
          <w:sz w:val="24"/>
        </w:rPr>
        <w:t>(р&lt;0,05)</w:t>
      </w:r>
      <w:r>
        <w:rPr>
          <w:sz w:val="24"/>
        </w:rPr>
        <w:t>.</w:t>
      </w:r>
    </w:p>
    <w:p w:rsidR="00534FB5" w:rsidRDefault="00534FB5" w:rsidP="00534FB5">
      <w:pPr>
        <w:ind w:firstLine="708"/>
        <w:contextualSpacing/>
      </w:pPr>
    </w:p>
    <w:p w:rsidR="00534FB5" w:rsidRPr="00F9313C" w:rsidRDefault="00534FB5" w:rsidP="00534FB5">
      <w:pPr>
        <w:ind w:firstLine="708"/>
        <w:contextualSpacing/>
        <w:rPr>
          <w:spacing w:val="-2"/>
        </w:rPr>
      </w:pPr>
      <w:r w:rsidRPr="00F9313C">
        <w:rPr>
          <w:spacing w:val="-2"/>
        </w:rPr>
        <w:t xml:space="preserve">За результатами дослідження кількості ТБК-активних продуктів у дітей різних вікових груп визначено, що рівень ТБК-АП становив в середньому </w:t>
      </w:r>
      <w:r>
        <w:rPr>
          <w:spacing w:val="-2"/>
        </w:rPr>
        <w:t>в</w:t>
      </w:r>
      <w:r w:rsidRPr="00F9313C">
        <w:rPr>
          <w:spacing w:val="-2"/>
        </w:rPr>
        <w:t xml:space="preserve"> дітей ОГ1 (6,82±0,26) мкмоль/л, у дітей ОГ2 </w:t>
      </w:r>
      <w:r>
        <w:rPr>
          <w:spacing w:val="-2"/>
        </w:rPr>
        <w:t>–</w:t>
      </w:r>
      <w:r w:rsidRPr="00F9313C">
        <w:rPr>
          <w:spacing w:val="-2"/>
        </w:rPr>
        <w:t xml:space="preserve"> (6,65±0,29) мкмоль/л, а у дітей ОГ3 </w:t>
      </w:r>
      <w:r>
        <w:rPr>
          <w:spacing w:val="-2"/>
        </w:rPr>
        <w:t>–</w:t>
      </w:r>
      <w:r w:rsidRPr="00F9313C">
        <w:rPr>
          <w:spacing w:val="-2"/>
        </w:rPr>
        <w:t xml:space="preserve"> (6,65±0,19) мкмоль/л. Рівень проміжних продуктів пероксидації у дітей ОГ1 був трохи</w:t>
      </w:r>
      <w:r>
        <w:rPr>
          <w:spacing w:val="-2"/>
        </w:rPr>
        <w:t xml:space="preserve"> </w:t>
      </w:r>
      <w:r w:rsidRPr="00F9313C">
        <w:rPr>
          <w:spacing w:val="-2"/>
        </w:rPr>
        <w:t>вищим, проте статистично достовірних відмінностей за рівнем ТБК-АП</w:t>
      </w:r>
      <w:r>
        <w:rPr>
          <w:spacing w:val="-2"/>
        </w:rPr>
        <w:t>,</w:t>
      </w:r>
      <w:r w:rsidRPr="00F9313C">
        <w:rPr>
          <w:spacing w:val="-2"/>
        </w:rPr>
        <w:t xml:space="preserve"> залежно від віку</w:t>
      </w:r>
      <w:r>
        <w:rPr>
          <w:spacing w:val="-2"/>
        </w:rPr>
        <w:t xml:space="preserve">, </w:t>
      </w:r>
      <w:r w:rsidRPr="00F9313C">
        <w:rPr>
          <w:spacing w:val="-2"/>
        </w:rPr>
        <w:t>виявлено не було (р&gt;0,05).</w:t>
      </w:r>
    </w:p>
    <w:p w:rsidR="00534FB5" w:rsidRPr="00F9313C" w:rsidRDefault="00534FB5" w:rsidP="00534FB5">
      <w:pPr>
        <w:ind w:firstLine="567"/>
        <w:contextualSpacing/>
        <w:rPr>
          <w:spacing w:val="-2"/>
        </w:rPr>
      </w:pPr>
      <w:r w:rsidRPr="00F9313C">
        <w:rPr>
          <w:spacing w:val="-2"/>
        </w:rPr>
        <w:t>Слід зазначити, що через місяць після проведення лікувально-профілактичних заходів спостерігалос</w:t>
      </w:r>
      <w:r>
        <w:rPr>
          <w:spacing w:val="-2"/>
        </w:rPr>
        <w:t>я</w:t>
      </w:r>
      <w:r w:rsidRPr="00F9313C">
        <w:rPr>
          <w:spacing w:val="-2"/>
        </w:rPr>
        <w:t xml:space="preserve"> зниження рівня ТБК-АП в обох групах (ОГа і ОГб) у порівнянні з вихідними даними (р&lt;0,05). Через 6 місяців рівень ТБК-активних продуктів у дітей різних вікових груп</w:t>
      </w:r>
      <w:r>
        <w:rPr>
          <w:spacing w:val="-2"/>
        </w:rPr>
        <w:t xml:space="preserve"> </w:t>
      </w:r>
      <w:r w:rsidRPr="00F9313C">
        <w:rPr>
          <w:spacing w:val="-2"/>
        </w:rPr>
        <w:t>підвищувався, порівняно з показниками ТБК-АП, які були отримані через 1 місяць після проведення лікувально-профілактичних заходів, проте все одно рівень ТБК-АП був достовірно нижчим</w:t>
      </w:r>
      <w:r>
        <w:rPr>
          <w:spacing w:val="-2"/>
        </w:rPr>
        <w:t>,</w:t>
      </w:r>
      <w:r w:rsidRPr="00F9313C">
        <w:rPr>
          <w:spacing w:val="-2"/>
        </w:rPr>
        <w:t xml:space="preserve"> порівнян</w:t>
      </w:r>
      <w:r>
        <w:rPr>
          <w:spacing w:val="-2"/>
        </w:rPr>
        <w:t>о</w:t>
      </w:r>
      <w:r w:rsidRPr="00F9313C">
        <w:rPr>
          <w:spacing w:val="-2"/>
        </w:rPr>
        <w:t xml:space="preserve"> з вихідними даними (р&lt;0,05). Через 12 місяців кількість ТБК-активних продуктів (р&lt;0,05) в обох групах суттєво знижувалас</w:t>
      </w:r>
      <w:r>
        <w:rPr>
          <w:spacing w:val="-2"/>
        </w:rPr>
        <w:t>я,</w:t>
      </w:r>
      <w:r w:rsidRPr="00F9313C">
        <w:rPr>
          <w:spacing w:val="-2"/>
        </w:rPr>
        <w:t xml:space="preserve"> порівнян</w:t>
      </w:r>
      <w:r>
        <w:rPr>
          <w:spacing w:val="-2"/>
        </w:rPr>
        <w:t>о</w:t>
      </w:r>
      <w:r w:rsidRPr="00F9313C">
        <w:rPr>
          <w:spacing w:val="-2"/>
        </w:rPr>
        <w:t xml:space="preserve"> з вихідними даними (р&lt;0,001).</w:t>
      </w:r>
    </w:p>
    <w:p w:rsidR="00534FB5" w:rsidRDefault="00534FB5" w:rsidP="006D0331">
      <w:pPr>
        <w:ind w:firstLine="567"/>
        <w:contextualSpacing/>
      </w:pPr>
      <w:r w:rsidRPr="00E40BFA">
        <w:lastRenderedPageBreak/>
        <w:t>Порівняльний аналіз результатів дослідження виявив суттєві розбіжності між групами ОГа й ОГб. Так, у дітей, які отримували традиційні лікувально-профілактичні заходи</w:t>
      </w:r>
      <w:r>
        <w:t>,</w:t>
      </w:r>
      <w:r w:rsidRPr="00E40BFA">
        <w:t xml:space="preserve"> рівень ТБК-АП в середньому становив (5,76±0,31) мкмоль/л, тоді як у дітей, </w:t>
      </w:r>
      <w:r>
        <w:t>які</w:t>
      </w:r>
      <w:r w:rsidRPr="00E40BFA">
        <w:t xml:space="preserve"> отримували запропонований лікувально-профілактичний комплекс</w:t>
      </w:r>
      <w:r>
        <w:t>,</w:t>
      </w:r>
      <w:r w:rsidRPr="00E40BFA">
        <w:t xml:space="preserve"> рівень ТБК-АП в середньому становив (5,15±0,11) мкмоль/л. При порівнянні показників ТБК-АП двох груп (ОГб та ОГа) встановлено, що рівень ТБК-АП у дітей, які отримували запропонований лікувально-профілактичний комплекс, був достовірно (р&lt;0,05) меншим</w:t>
      </w:r>
      <w:r>
        <w:t xml:space="preserve"> –</w:t>
      </w:r>
      <w:r w:rsidRPr="00E40BFA">
        <w:t xml:space="preserve"> в середньому, в 1,11</w:t>
      </w:r>
      <w:r>
        <w:t> </w:t>
      </w:r>
      <w:r w:rsidRPr="00E40BFA">
        <w:t>раз</w:t>
      </w:r>
      <w:r>
        <w:t>а</w:t>
      </w:r>
      <w:r w:rsidRPr="00E40BFA">
        <w:t xml:space="preserve">, ніж у дітей, </w:t>
      </w:r>
      <w:r>
        <w:t>які</w:t>
      </w:r>
      <w:r w:rsidRPr="00E40BFA">
        <w:t xml:space="preserve"> отримували традиційні лікувально-профілактичні заходи. Через 6 місяців рівень проміжних продуктів пероксидації в обох групах (ОГб та ОГа) підвищувався, але</w:t>
      </w:r>
      <w:r>
        <w:t xml:space="preserve"> все одно був нижчим (в 1,1 раза</w:t>
      </w:r>
      <w:r w:rsidRPr="00E40BFA">
        <w:t xml:space="preserve">) у дітей, які отримували запропонований лікувально-профілактичний комплекс. Через рік спостережень рівень </w:t>
      </w:r>
      <w:r w:rsidR="002A3A19">
        <w:t xml:space="preserve">      </w:t>
      </w:r>
      <w:r w:rsidRPr="00E40BFA">
        <w:t>ТБК-активних продуктів у дітей групи ОГб виходив на рівень показників контрольної групи, тоді як в групі ОГа кількість проміжних продуктів пероксидації була достовірно вищ</w:t>
      </w:r>
      <w:r>
        <w:t>а</w:t>
      </w:r>
      <w:r w:rsidRPr="00E40BFA">
        <w:t xml:space="preserve"> (р&lt;0,01)</w:t>
      </w:r>
      <w:r>
        <w:t>,</w:t>
      </w:r>
      <w:r w:rsidRPr="00E40BFA">
        <w:t xml:space="preserve"> порівн</w:t>
      </w:r>
      <w:r>
        <w:t>яно</w:t>
      </w:r>
      <w:r w:rsidRPr="00E40BFA">
        <w:t xml:space="preserve"> з пока</w:t>
      </w:r>
      <w:r>
        <w:t>зниками ОГб, в 1,18 раза (див. рис. 4</w:t>
      </w:r>
      <w:r w:rsidRPr="00E40BFA">
        <w:t>.4.</w:t>
      </w:r>
      <w:r>
        <w:t>2.1</w:t>
      </w:r>
      <w:r w:rsidRPr="00E40BFA">
        <w:t xml:space="preserve">). </w:t>
      </w:r>
    </w:p>
    <w:p w:rsidR="00534FB5" w:rsidRPr="00E40BFA" w:rsidRDefault="00534FB5" w:rsidP="00534FB5">
      <w:pPr>
        <w:ind w:firstLine="709"/>
        <w:contextualSpacing/>
      </w:pPr>
      <w:r w:rsidRPr="00E40BFA">
        <w:t xml:space="preserve">Другим етапом стало вивчення активності каталази у дітей </w:t>
      </w:r>
      <w:r>
        <w:t>ОГ та КГ</w:t>
      </w:r>
      <w:r w:rsidRPr="00E40BFA">
        <w:t xml:space="preserve"> до та після проведення лікувально-проф</w:t>
      </w:r>
      <w:r>
        <w:t>ілактичних заходів (табл. 4</w:t>
      </w:r>
      <w:r w:rsidRPr="00E40BFA">
        <w:t>.4.</w:t>
      </w:r>
      <w:r>
        <w:t>2.2).</w:t>
      </w:r>
    </w:p>
    <w:p w:rsidR="00534FB5" w:rsidRPr="004C11E1" w:rsidRDefault="00534FB5" w:rsidP="00534FB5">
      <w:pPr>
        <w:ind w:firstLine="567"/>
        <w:contextualSpacing/>
        <w:jc w:val="right"/>
        <w:rPr>
          <w:i/>
        </w:rPr>
      </w:pPr>
      <w:r w:rsidRPr="004C11E1">
        <w:rPr>
          <w:i/>
        </w:rPr>
        <w:t>Таблиця 4.4.2.2</w:t>
      </w:r>
    </w:p>
    <w:p w:rsidR="00534FB5" w:rsidRDefault="00534FB5" w:rsidP="00534FB5">
      <w:pPr>
        <w:spacing w:line="240" w:lineRule="auto"/>
        <w:ind w:firstLine="567"/>
        <w:contextualSpacing/>
        <w:jc w:val="center"/>
        <w:rPr>
          <w:b/>
        </w:rPr>
      </w:pPr>
      <w:r w:rsidRPr="004C11E1">
        <w:rPr>
          <w:b/>
        </w:rPr>
        <w:t>Активність каталази до та після проведення лікувально-пр</w:t>
      </w:r>
      <w:r>
        <w:rPr>
          <w:b/>
        </w:rPr>
        <w:t xml:space="preserve">офілактичних заходів у дітей </w:t>
      </w:r>
      <w:r w:rsidR="006C493E">
        <w:rPr>
          <w:b/>
        </w:rPr>
        <w:t>із вродженою</w:t>
      </w:r>
      <w:r w:rsidRPr="004C11E1">
        <w:rPr>
          <w:b/>
        </w:rPr>
        <w:t xml:space="preserve"> глухотою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vMerge w:val="restart"/>
            <w:shd w:val="clear" w:color="auto" w:fill="auto"/>
          </w:tcPr>
          <w:p w:rsidR="00534FB5" w:rsidRPr="00E42B5D" w:rsidRDefault="00534FB5" w:rsidP="00534FB5">
            <w:pPr>
              <w:spacing w:line="240" w:lineRule="auto"/>
              <w:contextualSpacing/>
              <w:jc w:val="center"/>
            </w:pPr>
            <w:r>
              <w:t>Групи дітей</w:t>
            </w:r>
          </w:p>
        </w:tc>
        <w:tc>
          <w:tcPr>
            <w:tcW w:w="8187" w:type="dxa"/>
            <w:gridSpan w:val="4"/>
            <w:shd w:val="clear" w:color="auto" w:fill="auto"/>
          </w:tcPr>
          <w:p w:rsidR="00534FB5" w:rsidRPr="002348CA" w:rsidRDefault="00534FB5" w:rsidP="00534FB5">
            <w:pPr>
              <w:spacing w:line="240" w:lineRule="auto"/>
              <w:contextualSpacing/>
              <w:jc w:val="center"/>
              <w:rPr>
                <w:b/>
              </w:rPr>
            </w:pPr>
            <w:r w:rsidRPr="00E40BFA">
              <w:t>Каталаза, у.о., (</w:t>
            </w:r>
            <w:r w:rsidRPr="00E40BFA">
              <w:rPr>
                <w:lang w:val="en-US"/>
              </w:rPr>
              <w:t>M</w:t>
            </w:r>
            <w:r w:rsidRPr="00E40BFA">
              <w:t>±</w:t>
            </w:r>
            <w:r w:rsidRPr="00E40BFA">
              <w:rPr>
                <w:lang w:val="en-US"/>
              </w:rPr>
              <w:t>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uto"/>
              <w:contextualSpacing/>
              <w:jc w:val="center"/>
              <w:rPr>
                <w:b/>
              </w:rPr>
            </w:pPr>
          </w:p>
        </w:tc>
        <w:tc>
          <w:tcPr>
            <w:tcW w:w="1843" w:type="dxa"/>
            <w:shd w:val="clear" w:color="auto" w:fill="auto"/>
          </w:tcPr>
          <w:p w:rsidR="00534FB5" w:rsidRPr="002348CA" w:rsidRDefault="00534FB5" w:rsidP="00534FB5">
            <w:pPr>
              <w:spacing w:line="240" w:lineRule="auto"/>
              <w:contextualSpacing/>
              <w:jc w:val="center"/>
              <w:rPr>
                <w:b/>
              </w:rPr>
            </w:pPr>
            <w:r w:rsidRPr="00E40BFA">
              <w:t>До лікування</w:t>
            </w:r>
          </w:p>
        </w:tc>
        <w:tc>
          <w:tcPr>
            <w:tcW w:w="1984" w:type="dxa"/>
            <w:shd w:val="clear" w:color="auto" w:fill="auto"/>
          </w:tcPr>
          <w:p w:rsidR="00534FB5" w:rsidRPr="002348CA" w:rsidRDefault="00534FB5" w:rsidP="00534FB5">
            <w:pPr>
              <w:spacing w:line="240" w:lineRule="auto"/>
              <w:contextualSpacing/>
              <w:jc w:val="center"/>
              <w:rPr>
                <w:b/>
              </w:rPr>
            </w:pPr>
            <w:r w:rsidRPr="00E40BFA">
              <w:t>Через 1 місяць</w:t>
            </w:r>
          </w:p>
        </w:tc>
        <w:tc>
          <w:tcPr>
            <w:tcW w:w="2127" w:type="dxa"/>
            <w:shd w:val="clear" w:color="auto" w:fill="auto"/>
          </w:tcPr>
          <w:p w:rsidR="00534FB5" w:rsidRPr="002348CA" w:rsidRDefault="00534FB5" w:rsidP="00534FB5">
            <w:pPr>
              <w:spacing w:line="240" w:lineRule="auto"/>
              <w:contextualSpacing/>
              <w:jc w:val="center"/>
              <w:rPr>
                <w:b/>
              </w:rPr>
            </w:pPr>
            <w:r w:rsidRPr="00E40BFA">
              <w:t>Через 6 місяців</w:t>
            </w:r>
          </w:p>
        </w:tc>
        <w:tc>
          <w:tcPr>
            <w:tcW w:w="2233" w:type="dxa"/>
            <w:shd w:val="clear" w:color="auto" w:fill="auto"/>
          </w:tcPr>
          <w:p w:rsidR="00534FB5" w:rsidRPr="002348CA" w:rsidRDefault="00534FB5" w:rsidP="00534FB5">
            <w:pPr>
              <w:spacing w:line="240" w:lineRule="auto"/>
              <w:contextualSpacing/>
              <w:jc w:val="center"/>
              <w:rPr>
                <w:b/>
              </w:rPr>
            </w:pPr>
            <w:r w:rsidRPr="00E40BFA">
              <w:t>Через 12 місяців</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ОГ1б</w:t>
            </w:r>
          </w:p>
        </w:tc>
        <w:tc>
          <w:tcPr>
            <w:tcW w:w="1843" w:type="dxa"/>
            <w:shd w:val="clear" w:color="auto" w:fill="auto"/>
          </w:tcPr>
          <w:p w:rsidR="00534FB5" w:rsidRPr="002348CA" w:rsidRDefault="00534FB5" w:rsidP="00534FB5">
            <w:pPr>
              <w:spacing w:line="240" w:lineRule="auto"/>
              <w:contextualSpacing/>
              <w:jc w:val="center"/>
              <w:rPr>
                <w:b/>
              </w:rPr>
            </w:pPr>
            <w:r w:rsidRPr="00E40BFA">
              <w:t>2,54±0,21</w:t>
            </w:r>
          </w:p>
        </w:tc>
        <w:tc>
          <w:tcPr>
            <w:tcW w:w="1984" w:type="dxa"/>
            <w:shd w:val="clear" w:color="auto" w:fill="auto"/>
          </w:tcPr>
          <w:p w:rsidR="00534FB5" w:rsidRPr="002348CA" w:rsidRDefault="00534FB5" w:rsidP="00534FB5">
            <w:pPr>
              <w:spacing w:line="240" w:lineRule="auto"/>
              <w:contextualSpacing/>
              <w:jc w:val="center"/>
              <w:rPr>
                <w:b/>
              </w:rPr>
            </w:pPr>
            <w:r w:rsidRPr="00E40BFA">
              <w:t>3,57±0,16*</w:t>
            </w:r>
          </w:p>
        </w:tc>
        <w:tc>
          <w:tcPr>
            <w:tcW w:w="2127" w:type="dxa"/>
            <w:shd w:val="clear" w:color="auto" w:fill="auto"/>
          </w:tcPr>
          <w:p w:rsidR="00534FB5" w:rsidRPr="002348CA" w:rsidRDefault="00D408FF" w:rsidP="00534FB5">
            <w:pPr>
              <w:spacing w:line="240" w:lineRule="auto"/>
              <w:contextualSpacing/>
              <w:jc w:val="center"/>
              <w:rPr>
                <w:b/>
              </w:rPr>
            </w:pPr>
            <w:r>
              <w:t>3,25±0,16</w:t>
            </w:r>
            <w:r w:rsidR="00534FB5" w:rsidRPr="00E40BFA">
              <w:t>*</w:t>
            </w:r>
          </w:p>
        </w:tc>
        <w:tc>
          <w:tcPr>
            <w:tcW w:w="2233" w:type="dxa"/>
            <w:shd w:val="clear" w:color="auto" w:fill="auto"/>
          </w:tcPr>
          <w:p w:rsidR="00534FB5" w:rsidRPr="002348CA" w:rsidRDefault="00534FB5" w:rsidP="00534FB5">
            <w:pPr>
              <w:spacing w:line="240" w:lineRule="auto"/>
              <w:contextualSpacing/>
              <w:jc w:val="center"/>
              <w:rPr>
                <w:b/>
              </w:rPr>
            </w:pPr>
            <w:r w:rsidRPr="00E40BFA">
              <w:t>3,71±0,13*</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ОГ1а</w:t>
            </w:r>
          </w:p>
        </w:tc>
        <w:tc>
          <w:tcPr>
            <w:tcW w:w="1843" w:type="dxa"/>
            <w:shd w:val="clear" w:color="auto" w:fill="auto"/>
          </w:tcPr>
          <w:p w:rsidR="00534FB5" w:rsidRPr="002348CA" w:rsidRDefault="00534FB5" w:rsidP="00534FB5">
            <w:pPr>
              <w:spacing w:line="240" w:lineRule="auto"/>
              <w:contextualSpacing/>
              <w:jc w:val="center"/>
              <w:rPr>
                <w:b/>
              </w:rPr>
            </w:pPr>
            <w:r w:rsidRPr="00E40BFA">
              <w:t>2,54±0,19</w:t>
            </w:r>
          </w:p>
        </w:tc>
        <w:tc>
          <w:tcPr>
            <w:tcW w:w="1984" w:type="dxa"/>
            <w:shd w:val="clear" w:color="auto" w:fill="auto"/>
          </w:tcPr>
          <w:p w:rsidR="00534FB5" w:rsidRPr="002348CA" w:rsidRDefault="00534FB5" w:rsidP="00534FB5">
            <w:pPr>
              <w:spacing w:line="240" w:lineRule="auto"/>
              <w:contextualSpacing/>
              <w:jc w:val="center"/>
              <w:rPr>
                <w:b/>
              </w:rPr>
            </w:pPr>
            <w:r w:rsidRPr="00E40BFA">
              <w:t>3,08±0,24*</w:t>
            </w:r>
          </w:p>
        </w:tc>
        <w:tc>
          <w:tcPr>
            <w:tcW w:w="2127" w:type="dxa"/>
            <w:shd w:val="clear" w:color="auto" w:fill="auto"/>
          </w:tcPr>
          <w:p w:rsidR="00534FB5" w:rsidRPr="002348CA" w:rsidRDefault="00534FB5" w:rsidP="00534FB5">
            <w:pPr>
              <w:spacing w:line="240" w:lineRule="auto"/>
              <w:contextualSpacing/>
              <w:jc w:val="center"/>
              <w:rPr>
                <w:b/>
              </w:rPr>
            </w:pPr>
            <w:r w:rsidRPr="00E40BFA">
              <w:t>2,92±0,16*</w:t>
            </w:r>
          </w:p>
        </w:tc>
        <w:tc>
          <w:tcPr>
            <w:tcW w:w="2233" w:type="dxa"/>
            <w:shd w:val="clear" w:color="auto" w:fill="auto"/>
          </w:tcPr>
          <w:p w:rsidR="00534FB5" w:rsidRPr="002348CA" w:rsidRDefault="00534FB5" w:rsidP="00534FB5">
            <w:pPr>
              <w:spacing w:line="240" w:lineRule="auto"/>
              <w:contextualSpacing/>
              <w:jc w:val="center"/>
              <w:rPr>
                <w:b/>
              </w:rPr>
            </w:pPr>
            <w:r w:rsidRPr="00E40BFA">
              <w:t>3,25±0,13*</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ОГ2б</w:t>
            </w:r>
          </w:p>
        </w:tc>
        <w:tc>
          <w:tcPr>
            <w:tcW w:w="1843" w:type="dxa"/>
            <w:shd w:val="clear" w:color="auto" w:fill="auto"/>
          </w:tcPr>
          <w:p w:rsidR="00534FB5" w:rsidRPr="002348CA" w:rsidRDefault="00534FB5" w:rsidP="00534FB5">
            <w:pPr>
              <w:spacing w:line="240" w:lineRule="auto"/>
              <w:contextualSpacing/>
              <w:jc w:val="center"/>
              <w:rPr>
                <w:b/>
              </w:rPr>
            </w:pPr>
            <w:r w:rsidRPr="00E40BFA">
              <w:t>2,52±0,12</w:t>
            </w:r>
          </w:p>
        </w:tc>
        <w:tc>
          <w:tcPr>
            <w:tcW w:w="1984" w:type="dxa"/>
            <w:shd w:val="clear" w:color="auto" w:fill="auto"/>
          </w:tcPr>
          <w:p w:rsidR="00534FB5" w:rsidRPr="002348CA" w:rsidRDefault="00534FB5" w:rsidP="00534FB5">
            <w:pPr>
              <w:spacing w:line="240" w:lineRule="auto"/>
              <w:contextualSpacing/>
              <w:jc w:val="center"/>
              <w:rPr>
                <w:b/>
              </w:rPr>
            </w:pPr>
            <w:r w:rsidRPr="007E614C">
              <w:t>3,57±0,19*</w:t>
            </w:r>
          </w:p>
        </w:tc>
        <w:tc>
          <w:tcPr>
            <w:tcW w:w="2127" w:type="dxa"/>
            <w:shd w:val="clear" w:color="auto" w:fill="auto"/>
          </w:tcPr>
          <w:p w:rsidR="00534FB5" w:rsidRPr="002348CA" w:rsidRDefault="00534FB5" w:rsidP="00534FB5">
            <w:pPr>
              <w:spacing w:line="240" w:lineRule="auto"/>
              <w:contextualSpacing/>
              <w:jc w:val="center"/>
              <w:rPr>
                <w:b/>
              </w:rPr>
            </w:pPr>
            <w:r w:rsidRPr="007E614C">
              <w:t>3,23±0,15*</w:t>
            </w:r>
          </w:p>
        </w:tc>
        <w:tc>
          <w:tcPr>
            <w:tcW w:w="2233" w:type="dxa"/>
            <w:shd w:val="clear" w:color="auto" w:fill="auto"/>
          </w:tcPr>
          <w:p w:rsidR="00534FB5" w:rsidRPr="002348CA" w:rsidRDefault="00534FB5" w:rsidP="00534FB5">
            <w:pPr>
              <w:spacing w:line="240" w:lineRule="auto"/>
              <w:contextualSpacing/>
              <w:jc w:val="center"/>
              <w:rPr>
                <w:b/>
              </w:rPr>
            </w:pPr>
            <w:r w:rsidRPr="007E614C">
              <w:t>3,66±0,18*</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ОГ2а</w:t>
            </w:r>
          </w:p>
        </w:tc>
        <w:tc>
          <w:tcPr>
            <w:tcW w:w="1843" w:type="dxa"/>
            <w:shd w:val="clear" w:color="auto" w:fill="auto"/>
          </w:tcPr>
          <w:p w:rsidR="00534FB5" w:rsidRPr="002348CA" w:rsidRDefault="00534FB5" w:rsidP="00534FB5">
            <w:pPr>
              <w:spacing w:line="240" w:lineRule="auto"/>
              <w:contextualSpacing/>
              <w:jc w:val="center"/>
              <w:rPr>
                <w:b/>
              </w:rPr>
            </w:pPr>
            <w:r w:rsidRPr="00E40BFA">
              <w:t>2,59±0,19</w:t>
            </w:r>
          </w:p>
        </w:tc>
        <w:tc>
          <w:tcPr>
            <w:tcW w:w="1984" w:type="dxa"/>
            <w:shd w:val="clear" w:color="auto" w:fill="auto"/>
          </w:tcPr>
          <w:p w:rsidR="00534FB5" w:rsidRPr="002348CA" w:rsidRDefault="00534FB5" w:rsidP="00534FB5">
            <w:pPr>
              <w:spacing w:line="240" w:lineRule="auto"/>
              <w:contextualSpacing/>
              <w:jc w:val="center"/>
              <w:rPr>
                <w:b/>
              </w:rPr>
            </w:pPr>
            <w:r w:rsidRPr="007E614C">
              <w:t>3,06±0,23*</w:t>
            </w:r>
          </w:p>
        </w:tc>
        <w:tc>
          <w:tcPr>
            <w:tcW w:w="2127" w:type="dxa"/>
            <w:shd w:val="clear" w:color="auto" w:fill="auto"/>
          </w:tcPr>
          <w:p w:rsidR="00534FB5" w:rsidRPr="002348CA" w:rsidRDefault="00534FB5" w:rsidP="00534FB5">
            <w:pPr>
              <w:spacing w:line="240" w:lineRule="auto"/>
              <w:contextualSpacing/>
              <w:jc w:val="center"/>
              <w:rPr>
                <w:b/>
              </w:rPr>
            </w:pPr>
            <w:r w:rsidRPr="007E614C">
              <w:t>2,92±0,13*</w:t>
            </w:r>
          </w:p>
        </w:tc>
        <w:tc>
          <w:tcPr>
            <w:tcW w:w="2233" w:type="dxa"/>
            <w:shd w:val="clear" w:color="auto" w:fill="auto"/>
          </w:tcPr>
          <w:p w:rsidR="00534FB5" w:rsidRPr="002348CA" w:rsidRDefault="00534FB5" w:rsidP="00534FB5">
            <w:pPr>
              <w:spacing w:line="240" w:lineRule="auto"/>
              <w:contextualSpacing/>
              <w:jc w:val="center"/>
              <w:rPr>
                <w:b/>
              </w:rPr>
            </w:pPr>
            <w:r w:rsidRPr="007E614C">
              <w:t>3,30±0,11*</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ОГ3б</w:t>
            </w:r>
          </w:p>
        </w:tc>
        <w:tc>
          <w:tcPr>
            <w:tcW w:w="1843" w:type="dxa"/>
            <w:shd w:val="clear" w:color="auto" w:fill="auto"/>
          </w:tcPr>
          <w:p w:rsidR="00534FB5" w:rsidRPr="002348CA" w:rsidRDefault="00534FB5" w:rsidP="00534FB5">
            <w:pPr>
              <w:spacing w:line="240" w:lineRule="auto"/>
              <w:contextualSpacing/>
              <w:jc w:val="center"/>
              <w:rPr>
                <w:b/>
              </w:rPr>
            </w:pPr>
            <w:r w:rsidRPr="007E614C">
              <w:t>2,56±0,14</w:t>
            </w:r>
          </w:p>
        </w:tc>
        <w:tc>
          <w:tcPr>
            <w:tcW w:w="1984" w:type="dxa"/>
            <w:shd w:val="clear" w:color="auto" w:fill="auto"/>
          </w:tcPr>
          <w:p w:rsidR="00534FB5" w:rsidRPr="002348CA" w:rsidRDefault="00534FB5" w:rsidP="00534FB5">
            <w:pPr>
              <w:spacing w:line="240" w:lineRule="auto"/>
              <w:contextualSpacing/>
              <w:jc w:val="center"/>
              <w:rPr>
                <w:b/>
              </w:rPr>
            </w:pPr>
            <w:r w:rsidRPr="007E614C">
              <w:t>3,58±0,12*</w:t>
            </w:r>
          </w:p>
        </w:tc>
        <w:tc>
          <w:tcPr>
            <w:tcW w:w="2127" w:type="dxa"/>
            <w:shd w:val="clear" w:color="auto" w:fill="auto"/>
          </w:tcPr>
          <w:p w:rsidR="00534FB5" w:rsidRPr="002348CA" w:rsidRDefault="00534FB5" w:rsidP="00534FB5">
            <w:pPr>
              <w:spacing w:line="240" w:lineRule="auto"/>
              <w:contextualSpacing/>
              <w:jc w:val="center"/>
              <w:rPr>
                <w:b/>
              </w:rPr>
            </w:pPr>
            <w:r w:rsidRPr="007E614C">
              <w:t>3,23±0,16*</w:t>
            </w:r>
          </w:p>
        </w:tc>
        <w:tc>
          <w:tcPr>
            <w:tcW w:w="2233" w:type="dxa"/>
            <w:shd w:val="clear" w:color="auto" w:fill="auto"/>
          </w:tcPr>
          <w:p w:rsidR="00534FB5" w:rsidRPr="002348CA" w:rsidRDefault="00534FB5" w:rsidP="00534FB5">
            <w:pPr>
              <w:spacing w:line="240" w:lineRule="auto"/>
              <w:contextualSpacing/>
              <w:jc w:val="center"/>
              <w:rPr>
                <w:b/>
              </w:rPr>
            </w:pPr>
            <w:r w:rsidRPr="007E614C">
              <w:t>3,65±0,13*</w:t>
            </w:r>
          </w:p>
        </w:tc>
      </w:tr>
      <w:tr w:rsidR="00534FB5" w:rsidRPr="002348CA" w:rsidTr="00534FB5">
        <w:tc>
          <w:tcPr>
            <w:tcW w:w="1384" w:type="dxa"/>
            <w:shd w:val="clear" w:color="auto" w:fill="auto"/>
          </w:tcPr>
          <w:p w:rsidR="00534FB5" w:rsidRPr="00E40BFA" w:rsidRDefault="00534FB5" w:rsidP="00534FB5">
            <w:pPr>
              <w:spacing w:line="240" w:lineRule="auto"/>
              <w:contextualSpacing/>
              <w:jc w:val="center"/>
            </w:pPr>
            <w:r w:rsidRPr="00E40BFA">
              <w:t>ОГ3а</w:t>
            </w:r>
          </w:p>
        </w:tc>
        <w:tc>
          <w:tcPr>
            <w:tcW w:w="1843" w:type="dxa"/>
            <w:shd w:val="clear" w:color="auto" w:fill="auto"/>
          </w:tcPr>
          <w:p w:rsidR="00534FB5" w:rsidRPr="00E40BFA" w:rsidRDefault="00534FB5" w:rsidP="00534FB5">
            <w:pPr>
              <w:spacing w:line="240" w:lineRule="auto"/>
              <w:contextualSpacing/>
              <w:jc w:val="center"/>
            </w:pPr>
            <w:r w:rsidRPr="007E614C">
              <w:t>2,56±0,16</w:t>
            </w:r>
          </w:p>
        </w:tc>
        <w:tc>
          <w:tcPr>
            <w:tcW w:w="1984" w:type="dxa"/>
            <w:shd w:val="clear" w:color="auto" w:fill="auto"/>
          </w:tcPr>
          <w:p w:rsidR="00534FB5" w:rsidRPr="00E40BFA" w:rsidRDefault="00534FB5" w:rsidP="00534FB5">
            <w:pPr>
              <w:spacing w:line="240" w:lineRule="auto"/>
              <w:contextualSpacing/>
              <w:jc w:val="center"/>
            </w:pPr>
            <w:r w:rsidRPr="007E614C">
              <w:t>3,08±0,13*</w:t>
            </w:r>
          </w:p>
        </w:tc>
        <w:tc>
          <w:tcPr>
            <w:tcW w:w="2127" w:type="dxa"/>
            <w:shd w:val="clear" w:color="auto" w:fill="auto"/>
          </w:tcPr>
          <w:p w:rsidR="00534FB5" w:rsidRPr="00E40BFA" w:rsidRDefault="00534FB5" w:rsidP="00534FB5">
            <w:pPr>
              <w:spacing w:line="240" w:lineRule="auto"/>
              <w:contextualSpacing/>
              <w:jc w:val="center"/>
            </w:pPr>
            <w:r w:rsidRPr="007E614C">
              <w:t>2,91±0,12*</w:t>
            </w:r>
          </w:p>
        </w:tc>
        <w:tc>
          <w:tcPr>
            <w:tcW w:w="2233" w:type="dxa"/>
            <w:shd w:val="clear" w:color="auto" w:fill="auto"/>
          </w:tcPr>
          <w:p w:rsidR="00534FB5" w:rsidRPr="00E40BFA" w:rsidRDefault="00534FB5" w:rsidP="00534FB5">
            <w:pPr>
              <w:spacing w:line="240" w:lineRule="auto"/>
              <w:contextualSpacing/>
              <w:jc w:val="center"/>
            </w:pPr>
            <w:r w:rsidRPr="007E614C">
              <w:t>3,27±0,11*</w:t>
            </w:r>
          </w:p>
        </w:tc>
      </w:tr>
    </w:tbl>
    <w:p w:rsidR="00534FB5" w:rsidRDefault="00534FB5" w:rsidP="00534FB5">
      <w:pPr>
        <w:ind w:left="-142"/>
        <w:contextualSpacing/>
        <w:rPr>
          <w:sz w:val="24"/>
          <w:szCs w:val="24"/>
        </w:rPr>
      </w:pPr>
      <w:r w:rsidRPr="00117912">
        <w:rPr>
          <w:sz w:val="24"/>
          <w:szCs w:val="24"/>
        </w:rPr>
        <w:t>Примітка: * –</w:t>
      </w:r>
      <w:r>
        <w:rPr>
          <w:sz w:val="24"/>
          <w:szCs w:val="24"/>
        </w:rPr>
        <w:t xml:space="preserve"> </w:t>
      </w:r>
      <w:r w:rsidRPr="00117912">
        <w:rPr>
          <w:color w:val="000000"/>
          <w:spacing w:val="-1"/>
          <w:sz w:val="24"/>
          <w:szCs w:val="24"/>
        </w:rPr>
        <w:t xml:space="preserve">достовірна різниця між показниками ОГб/ОГа </w:t>
      </w:r>
      <w:r w:rsidRPr="00117912">
        <w:rPr>
          <w:sz w:val="24"/>
          <w:szCs w:val="24"/>
        </w:rPr>
        <w:t>(р≤0,05)</w:t>
      </w:r>
      <w:r>
        <w:rPr>
          <w:sz w:val="24"/>
          <w:szCs w:val="24"/>
        </w:rPr>
        <w:t>.</w:t>
      </w:r>
    </w:p>
    <w:p w:rsidR="00534FB5" w:rsidRPr="002D64EA" w:rsidRDefault="00534FB5" w:rsidP="00534FB5">
      <w:pPr>
        <w:ind w:left="-142"/>
        <w:contextualSpacing/>
        <w:rPr>
          <w:sz w:val="16"/>
          <w:szCs w:val="24"/>
        </w:rPr>
      </w:pPr>
    </w:p>
    <w:p w:rsidR="00534FB5" w:rsidRPr="00E40BFA" w:rsidRDefault="00534FB5" w:rsidP="00534FB5">
      <w:pPr>
        <w:ind w:firstLine="708"/>
        <w:contextualSpacing/>
      </w:pPr>
      <w:r w:rsidRPr="00E40BFA">
        <w:t xml:space="preserve">Встановлено, що активність каталази до лікування становила  у дітей </w:t>
      </w:r>
      <w:r w:rsidRPr="00E40BFA">
        <w:lastRenderedPageBreak/>
        <w:t xml:space="preserve">ОГ1 в середньому (2,54±0,20) у.о., у дітей ОГ2 </w:t>
      </w:r>
      <w:r>
        <w:t>–</w:t>
      </w:r>
      <w:r w:rsidRPr="00E40BFA">
        <w:t xml:space="preserve"> (2,56±0,16) у.о., а у дітей ОГ3 </w:t>
      </w:r>
      <w:r>
        <w:t>–</w:t>
      </w:r>
      <w:r w:rsidRPr="00E40BFA">
        <w:t xml:space="preserve"> (2,56±0,15) у.о. Тобто активність каталази не залежала від віку обстежуваних дітей (р&gt;0,05).</w:t>
      </w:r>
    </w:p>
    <w:p w:rsidR="00534FB5" w:rsidRDefault="00534FB5" w:rsidP="00534FB5">
      <w:pPr>
        <w:ind w:firstLine="567"/>
        <w:contextualSpacing/>
      </w:pPr>
      <w:r w:rsidRPr="00E40BFA">
        <w:t>Порівняння показників к</w:t>
      </w:r>
      <w:r>
        <w:t>аталази між ОГа і ОГб наведено на рисунку 4</w:t>
      </w:r>
      <w:r w:rsidRPr="00E40BFA">
        <w:t>.4.</w:t>
      </w:r>
      <w:r>
        <w:t>2.2.</w:t>
      </w:r>
      <w:r w:rsidRPr="00E40BFA">
        <w:t xml:space="preserve"> </w:t>
      </w:r>
    </w:p>
    <w:p w:rsidR="00534FB5" w:rsidRPr="002D64EA" w:rsidRDefault="00534FB5" w:rsidP="00534FB5">
      <w:pPr>
        <w:ind w:firstLine="567"/>
        <w:contextualSpacing/>
        <w:rPr>
          <w:sz w:val="20"/>
        </w:rPr>
      </w:pPr>
    </w:p>
    <w:p w:rsidR="00534FB5" w:rsidRPr="00E40BFA" w:rsidRDefault="006C493E" w:rsidP="00534FB5">
      <w:pPr>
        <w:jc w:val="center"/>
      </w:pPr>
      <w:r>
        <w:rPr>
          <w:noProof/>
          <w:lang w:val="ru-RU"/>
        </w:rPr>
        <w:drawing>
          <wp:inline distT="0" distB="0" distL="0" distR="0">
            <wp:extent cx="3895725" cy="22193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3895725" cy="2219325"/>
                    </a:xfrm>
                    <a:prstGeom prst="rect">
                      <a:avLst/>
                    </a:prstGeom>
                    <a:noFill/>
                    <a:ln w="9525">
                      <a:noFill/>
                      <a:miter lim="800000"/>
                      <a:headEnd/>
                      <a:tailEnd/>
                    </a:ln>
                  </pic:spPr>
                </pic:pic>
              </a:graphicData>
            </a:graphic>
          </wp:inline>
        </w:drawing>
      </w:r>
    </w:p>
    <w:p w:rsidR="00534FB5" w:rsidRDefault="00534FB5" w:rsidP="00534FB5">
      <w:pPr>
        <w:ind w:firstLine="567"/>
        <w:contextualSpacing/>
      </w:pPr>
      <w:r>
        <w:t xml:space="preserve">Рис. 4.4.2.2. </w:t>
      </w:r>
      <w:r w:rsidRPr="00E40BFA">
        <w:t>Середні показники</w:t>
      </w:r>
      <w:r>
        <w:t xml:space="preserve"> активності каталази у дітей </w:t>
      </w:r>
      <w:r w:rsidR="006C493E">
        <w:t>із вродженою</w:t>
      </w:r>
      <w:r w:rsidRPr="00E40BFA">
        <w:t xml:space="preserve"> глухотою до і після проведення лікування.</w:t>
      </w:r>
    </w:p>
    <w:p w:rsidR="00534FB5" w:rsidRDefault="00534FB5" w:rsidP="00534FB5">
      <w:pPr>
        <w:contextualSpacing/>
      </w:pPr>
    </w:p>
    <w:p w:rsidR="00534FB5" w:rsidRPr="00E40BFA" w:rsidRDefault="00534FB5" w:rsidP="00534FB5">
      <w:pPr>
        <w:ind w:firstLine="567"/>
        <w:contextualSpacing/>
      </w:pPr>
      <w:r w:rsidRPr="00E40BFA">
        <w:t>Порівняння показників к</w:t>
      </w:r>
      <w:r>
        <w:t>аталази між двома групами (ОГа і</w:t>
      </w:r>
      <w:r w:rsidRPr="00E40BFA">
        <w:t xml:space="preserve"> ОГб)</w:t>
      </w:r>
      <w:r>
        <w:t xml:space="preserve"> </w:t>
      </w:r>
      <w:r w:rsidRPr="00E40BFA">
        <w:t xml:space="preserve">показало, що активність каталази у дітей, які отримували запропонований лікувально-профілактичний комплекс, </w:t>
      </w:r>
      <w:r>
        <w:t>у</w:t>
      </w:r>
      <w:r w:rsidRPr="00E40BFA">
        <w:t>же через місяць була на рівні показників КГ. У дітей, які отримували традиційні лікувально-профілактичні заходи</w:t>
      </w:r>
      <w:r>
        <w:t>,</w:t>
      </w:r>
      <w:r w:rsidRPr="00E40BFA">
        <w:t xml:space="preserve"> активність каталази через місяць була нижч</w:t>
      </w:r>
      <w:r>
        <w:t>ою за</w:t>
      </w:r>
      <w:r w:rsidRPr="00E40BFA">
        <w:t xml:space="preserve"> аналогічн</w:t>
      </w:r>
      <w:r>
        <w:t>і</w:t>
      </w:r>
      <w:r w:rsidRPr="00E40BFA">
        <w:t xml:space="preserve"> показник</w:t>
      </w:r>
      <w:r>
        <w:t>и</w:t>
      </w:r>
      <w:r w:rsidRPr="00E40BFA">
        <w:t xml:space="preserve"> КГ (в 1</w:t>
      </w:r>
      <w:r>
        <w:t>,23 раза</w:t>
      </w:r>
      <w:r w:rsidRPr="00E40BFA">
        <w:t>) та нижч</w:t>
      </w:r>
      <w:r>
        <w:t>ою</w:t>
      </w:r>
      <w:r w:rsidRPr="00E40BFA">
        <w:t xml:space="preserve"> </w:t>
      </w:r>
      <w:r>
        <w:t xml:space="preserve">за </w:t>
      </w:r>
      <w:r w:rsidRPr="00E40BFA">
        <w:t>показник</w:t>
      </w:r>
      <w:r>
        <w:t>и</w:t>
      </w:r>
      <w:r w:rsidRPr="00E40BFA">
        <w:t xml:space="preserve"> ОГ1б в 1,16</w:t>
      </w:r>
      <w:r>
        <w:t> </w:t>
      </w:r>
      <w:r w:rsidRPr="00E40BFA">
        <w:t>раз</w:t>
      </w:r>
      <w:r>
        <w:t>а</w:t>
      </w:r>
      <w:r w:rsidRPr="00E40BFA">
        <w:t>. Через 6</w:t>
      </w:r>
      <w:r>
        <w:t> </w:t>
      </w:r>
      <w:r w:rsidRPr="00E40BFA">
        <w:t xml:space="preserve">місяців спостереження активність каталази </w:t>
      </w:r>
      <w:r>
        <w:t>знижувалася в обох групах (ОГа і</w:t>
      </w:r>
      <w:r w:rsidRPr="00E40BFA">
        <w:t xml:space="preserve"> ОГб), однак в групі ОГб активність зазначеного ен</w:t>
      </w:r>
      <w:r>
        <w:t>зиму була все одно вища (в 1,16 </w:t>
      </w:r>
      <w:r w:rsidRPr="00E40BFA">
        <w:t>раз</w:t>
      </w:r>
      <w:r>
        <w:t>а</w:t>
      </w:r>
      <w:r w:rsidRPr="00E40BFA">
        <w:t>)</w:t>
      </w:r>
      <w:r>
        <w:t>,</w:t>
      </w:r>
      <w:r w:rsidRPr="00E40BFA">
        <w:t xml:space="preserve"> порівняно з ОГа. Через 12 місяців у дітей ОГб рівень активності каталази виходив на рівень КГ, тоді як в групі ОГа рівень активності цього ферменту був достовірно (р&lt;0,05) нижчим, в 1,13</w:t>
      </w:r>
      <w:r>
        <w:t> </w:t>
      </w:r>
      <w:r w:rsidRPr="00E40BFA">
        <w:t>раз</w:t>
      </w:r>
      <w:r>
        <w:t>а</w:t>
      </w:r>
      <w:r w:rsidR="007B3A2D">
        <w:t>, порівняно з показниками ОГ</w:t>
      </w:r>
      <w:r w:rsidRPr="00E40BFA">
        <w:t>б</w:t>
      </w:r>
      <w:r>
        <w:t>,</w:t>
      </w:r>
      <w:r w:rsidRPr="00E40BFA">
        <w:t xml:space="preserve"> та в 1,19</w:t>
      </w:r>
      <w:r>
        <w:t> </w:t>
      </w:r>
      <w:r w:rsidRPr="00E40BFA">
        <w:t>раз</w:t>
      </w:r>
      <w:r>
        <w:t>а</w:t>
      </w:r>
      <w:r w:rsidRPr="00E40BFA">
        <w:t xml:space="preserve"> нижч</w:t>
      </w:r>
      <w:r>
        <w:t>им</w:t>
      </w:r>
      <w:r w:rsidRPr="00E40BFA">
        <w:t xml:space="preserve"> у порівнянні з пока</w:t>
      </w:r>
      <w:r w:rsidR="007B3A2D">
        <w:t>зниками КГ </w:t>
      </w:r>
      <w:r>
        <w:t>(р&lt;0,05) (див. рис. 4</w:t>
      </w:r>
      <w:r w:rsidRPr="00E40BFA">
        <w:t>.4.</w:t>
      </w:r>
      <w:r>
        <w:t>2.2</w:t>
      </w:r>
      <w:r w:rsidRPr="00E40BFA">
        <w:t>).</w:t>
      </w:r>
    </w:p>
    <w:p w:rsidR="00534FB5" w:rsidRDefault="00534FB5" w:rsidP="00534FB5">
      <w:pPr>
        <w:ind w:firstLine="567"/>
        <w:contextualSpacing/>
      </w:pPr>
      <w:r w:rsidRPr="00E40BFA">
        <w:lastRenderedPageBreak/>
        <w:t>Наступним етапом стало вивчення активності ферменту супероксиддисмутази у трьох вікових групах дітей ОГ до та після проведення лікуваль</w:t>
      </w:r>
      <w:r>
        <w:t>но-профілактичних заходів (табл. 4.4.2.3</w:t>
      </w:r>
      <w:r w:rsidRPr="00E40BFA">
        <w:t>).</w:t>
      </w:r>
    </w:p>
    <w:p w:rsidR="00534FB5" w:rsidRPr="008E79A9" w:rsidRDefault="00534FB5" w:rsidP="00534FB5">
      <w:pPr>
        <w:ind w:firstLine="567"/>
        <w:contextualSpacing/>
        <w:jc w:val="right"/>
        <w:rPr>
          <w:i/>
        </w:rPr>
      </w:pPr>
      <w:r w:rsidRPr="008E79A9">
        <w:rPr>
          <w:i/>
        </w:rPr>
        <w:t>Таблиця 4.4.2.3</w:t>
      </w:r>
    </w:p>
    <w:p w:rsidR="00534FB5" w:rsidRPr="00E42B5D" w:rsidRDefault="00534FB5" w:rsidP="00534FB5">
      <w:pPr>
        <w:spacing w:line="240" w:lineRule="auto"/>
        <w:ind w:firstLine="567"/>
        <w:contextualSpacing/>
        <w:jc w:val="center"/>
        <w:rPr>
          <w:b/>
        </w:rPr>
      </w:pPr>
      <w:r w:rsidRPr="008E79A9">
        <w:rPr>
          <w:b/>
        </w:rPr>
        <w:t>Активність супероксиддисмутази до та після проведення лікувально-пр</w:t>
      </w:r>
      <w:r>
        <w:rPr>
          <w:b/>
        </w:rPr>
        <w:t xml:space="preserve">офілактичних заходів у дітей </w:t>
      </w:r>
      <w:r w:rsidR="006C493E">
        <w:rPr>
          <w:b/>
        </w:rPr>
        <w:t>із вродженою</w:t>
      </w:r>
      <w:r w:rsidRPr="008E79A9">
        <w:rPr>
          <w:b/>
        </w:rPr>
        <w:t xml:space="preserve"> глухотою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vMerge w:val="restart"/>
            <w:shd w:val="clear" w:color="auto" w:fill="auto"/>
          </w:tcPr>
          <w:p w:rsidR="00534FB5" w:rsidRPr="00E42B5D" w:rsidRDefault="00534FB5" w:rsidP="00534FB5">
            <w:pPr>
              <w:spacing w:line="240" w:lineRule="auto"/>
              <w:contextualSpacing/>
              <w:jc w:val="center"/>
            </w:pPr>
            <w:r>
              <w:t>Групи дітей</w:t>
            </w:r>
          </w:p>
        </w:tc>
        <w:tc>
          <w:tcPr>
            <w:tcW w:w="8187" w:type="dxa"/>
            <w:gridSpan w:val="4"/>
            <w:shd w:val="clear" w:color="auto" w:fill="auto"/>
          </w:tcPr>
          <w:p w:rsidR="00534FB5" w:rsidRPr="002348CA" w:rsidRDefault="00534FB5" w:rsidP="00534FB5">
            <w:pPr>
              <w:spacing w:line="240" w:lineRule="auto"/>
              <w:contextualSpacing/>
              <w:jc w:val="center"/>
              <w:rPr>
                <w:b/>
              </w:rPr>
            </w:pPr>
            <w:r w:rsidRPr="00E40BFA">
              <w:t>СОД, у.о./л, (</w:t>
            </w:r>
            <w:r w:rsidRPr="00E40BFA">
              <w:rPr>
                <w:lang w:val="en-US"/>
              </w:rPr>
              <w:t>M±m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uto"/>
              <w:contextualSpacing/>
              <w:jc w:val="center"/>
              <w:rPr>
                <w:b/>
              </w:rPr>
            </w:pPr>
          </w:p>
        </w:tc>
        <w:tc>
          <w:tcPr>
            <w:tcW w:w="1843" w:type="dxa"/>
            <w:shd w:val="clear" w:color="auto" w:fill="auto"/>
          </w:tcPr>
          <w:p w:rsidR="00534FB5" w:rsidRPr="002348CA" w:rsidRDefault="00534FB5" w:rsidP="00534FB5">
            <w:pPr>
              <w:spacing w:line="240" w:lineRule="auto"/>
              <w:contextualSpacing/>
              <w:jc w:val="center"/>
              <w:rPr>
                <w:b/>
              </w:rPr>
            </w:pPr>
            <w:r w:rsidRPr="00E40BFA">
              <w:t>До лікування</w:t>
            </w:r>
          </w:p>
        </w:tc>
        <w:tc>
          <w:tcPr>
            <w:tcW w:w="1984" w:type="dxa"/>
            <w:shd w:val="clear" w:color="auto" w:fill="auto"/>
          </w:tcPr>
          <w:p w:rsidR="00534FB5" w:rsidRPr="002348CA" w:rsidRDefault="00534FB5" w:rsidP="00534FB5">
            <w:pPr>
              <w:spacing w:line="240" w:lineRule="auto"/>
              <w:contextualSpacing/>
              <w:jc w:val="center"/>
              <w:rPr>
                <w:b/>
              </w:rPr>
            </w:pPr>
            <w:r w:rsidRPr="00E40BFA">
              <w:t>Через 1 місяць</w:t>
            </w:r>
          </w:p>
        </w:tc>
        <w:tc>
          <w:tcPr>
            <w:tcW w:w="2127" w:type="dxa"/>
            <w:shd w:val="clear" w:color="auto" w:fill="auto"/>
          </w:tcPr>
          <w:p w:rsidR="00534FB5" w:rsidRPr="002348CA" w:rsidRDefault="00534FB5" w:rsidP="00534FB5">
            <w:pPr>
              <w:spacing w:line="240" w:lineRule="auto"/>
              <w:contextualSpacing/>
              <w:jc w:val="center"/>
              <w:rPr>
                <w:b/>
              </w:rPr>
            </w:pPr>
            <w:r w:rsidRPr="00E40BFA">
              <w:t>Через 6 місяців</w:t>
            </w:r>
          </w:p>
        </w:tc>
        <w:tc>
          <w:tcPr>
            <w:tcW w:w="2233" w:type="dxa"/>
            <w:shd w:val="clear" w:color="auto" w:fill="auto"/>
          </w:tcPr>
          <w:p w:rsidR="00534FB5" w:rsidRPr="002348CA" w:rsidRDefault="00534FB5" w:rsidP="00534FB5">
            <w:pPr>
              <w:spacing w:line="240" w:lineRule="auto"/>
              <w:contextualSpacing/>
              <w:jc w:val="center"/>
              <w:rPr>
                <w:b/>
              </w:rPr>
            </w:pPr>
            <w:r w:rsidRPr="00E40BFA">
              <w:t>Через 12 місяців</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ОГ1б</w:t>
            </w:r>
          </w:p>
        </w:tc>
        <w:tc>
          <w:tcPr>
            <w:tcW w:w="1843" w:type="dxa"/>
            <w:shd w:val="clear" w:color="auto" w:fill="auto"/>
          </w:tcPr>
          <w:p w:rsidR="00534FB5" w:rsidRPr="002348CA" w:rsidRDefault="00534FB5" w:rsidP="00534FB5">
            <w:pPr>
              <w:spacing w:line="240" w:lineRule="auto"/>
              <w:contextualSpacing/>
              <w:jc w:val="center"/>
              <w:rPr>
                <w:b/>
              </w:rPr>
            </w:pPr>
            <w:r w:rsidRPr="00E40BFA">
              <w:t>3,33±0,09</w:t>
            </w:r>
          </w:p>
        </w:tc>
        <w:tc>
          <w:tcPr>
            <w:tcW w:w="1984" w:type="dxa"/>
            <w:shd w:val="clear" w:color="auto" w:fill="auto"/>
          </w:tcPr>
          <w:p w:rsidR="00534FB5" w:rsidRPr="002348CA" w:rsidRDefault="00534FB5" w:rsidP="00534FB5">
            <w:pPr>
              <w:spacing w:line="240" w:lineRule="auto"/>
              <w:contextualSpacing/>
              <w:jc w:val="center"/>
              <w:rPr>
                <w:b/>
              </w:rPr>
            </w:pPr>
            <w:r w:rsidRPr="00E40BFA">
              <w:t>3,91±0,18*</w:t>
            </w:r>
          </w:p>
        </w:tc>
        <w:tc>
          <w:tcPr>
            <w:tcW w:w="2127" w:type="dxa"/>
            <w:shd w:val="clear" w:color="auto" w:fill="auto"/>
          </w:tcPr>
          <w:p w:rsidR="00534FB5" w:rsidRPr="002348CA" w:rsidRDefault="00534FB5" w:rsidP="00534FB5">
            <w:pPr>
              <w:spacing w:line="240" w:lineRule="auto"/>
              <w:contextualSpacing/>
              <w:jc w:val="center"/>
              <w:rPr>
                <w:b/>
              </w:rPr>
            </w:pPr>
            <w:r w:rsidRPr="00E40BFA">
              <w:t>3,69±0,10*</w:t>
            </w:r>
          </w:p>
        </w:tc>
        <w:tc>
          <w:tcPr>
            <w:tcW w:w="2233" w:type="dxa"/>
            <w:shd w:val="clear" w:color="auto" w:fill="auto"/>
          </w:tcPr>
          <w:p w:rsidR="00534FB5" w:rsidRPr="002348CA" w:rsidRDefault="00534FB5" w:rsidP="00534FB5">
            <w:pPr>
              <w:spacing w:line="240" w:lineRule="auto"/>
              <w:contextualSpacing/>
              <w:jc w:val="center"/>
              <w:rPr>
                <w:b/>
              </w:rPr>
            </w:pPr>
            <w:r w:rsidRPr="00E40BFA">
              <w:t>4,74±0,22*</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ОГ1а</w:t>
            </w:r>
          </w:p>
        </w:tc>
        <w:tc>
          <w:tcPr>
            <w:tcW w:w="1843" w:type="dxa"/>
            <w:shd w:val="clear" w:color="auto" w:fill="auto"/>
          </w:tcPr>
          <w:p w:rsidR="00534FB5" w:rsidRPr="002348CA" w:rsidRDefault="00534FB5" w:rsidP="00534FB5">
            <w:pPr>
              <w:spacing w:line="240" w:lineRule="auto"/>
              <w:contextualSpacing/>
              <w:jc w:val="center"/>
              <w:rPr>
                <w:b/>
              </w:rPr>
            </w:pPr>
            <w:r w:rsidRPr="00E40BFA">
              <w:t>3,35±0,10</w:t>
            </w:r>
          </w:p>
        </w:tc>
        <w:tc>
          <w:tcPr>
            <w:tcW w:w="1984" w:type="dxa"/>
            <w:shd w:val="clear" w:color="auto" w:fill="auto"/>
          </w:tcPr>
          <w:p w:rsidR="00534FB5" w:rsidRPr="002348CA" w:rsidRDefault="00534FB5" w:rsidP="00534FB5">
            <w:pPr>
              <w:spacing w:line="240" w:lineRule="auto"/>
              <w:contextualSpacing/>
              <w:jc w:val="center"/>
              <w:rPr>
                <w:b/>
              </w:rPr>
            </w:pPr>
            <w:r w:rsidRPr="00E40BFA">
              <w:t>3,35±0,10*</w:t>
            </w:r>
          </w:p>
        </w:tc>
        <w:tc>
          <w:tcPr>
            <w:tcW w:w="2127" w:type="dxa"/>
            <w:shd w:val="clear" w:color="auto" w:fill="auto"/>
          </w:tcPr>
          <w:p w:rsidR="00534FB5" w:rsidRPr="002348CA" w:rsidRDefault="007B3A2D" w:rsidP="00534FB5">
            <w:pPr>
              <w:spacing w:line="240" w:lineRule="auto"/>
              <w:contextualSpacing/>
              <w:jc w:val="center"/>
              <w:rPr>
                <w:b/>
              </w:rPr>
            </w:pPr>
            <w:r>
              <w:t>3,42±0,16</w:t>
            </w:r>
            <w:r w:rsidR="00534FB5" w:rsidRPr="00E40BFA">
              <w:t>*</w:t>
            </w:r>
          </w:p>
        </w:tc>
        <w:tc>
          <w:tcPr>
            <w:tcW w:w="2233" w:type="dxa"/>
            <w:shd w:val="clear" w:color="auto" w:fill="auto"/>
          </w:tcPr>
          <w:p w:rsidR="00534FB5" w:rsidRPr="002348CA" w:rsidRDefault="00534FB5" w:rsidP="00534FB5">
            <w:pPr>
              <w:spacing w:line="240" w:lineRule="auto"/>
              <w:contextualSpacing/>
              <w:jc w:val="center"/>
              <w:rPr>
                <w:b/>
              </w:rPr>
            </w:pPr>
            <w:r w:rsidRPr="00E40BFA">
              <w:t>4,06±0,38*</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ОГ2б</w:t>
            </w:r>
          </w:p>
        </w:tc>
        <w:tc>
          <w:tcPr>
            <w:tcW w:w="1843" w:type="dxa"/>
            <w:shd w:val="clear" w:color="auto" w:fill="auto"/>
          </w:tcPr>
          <w:p w:rsidR="00534FB5" w:rsidRPr="002348CA" w:rsidRDefault="00534FB5" w:rsidP="00534FB5">
            <w:pPr>
              <w:spacing w:line="240" w:lineRule="auto"/>
              <w:contextualSpacing/>
              <w:jc w:val="center"/>
              <w:rPr>
                <w:b/>
              </w:rPr>
            </w:pPr>
            <w:r w:rsidRPr="007E614C">
              <w:t>3,29±0,14</w:t>
            </w:r>
          </w:p>
        </w:tc>
        <w:tc>
          <w:tcPr>
            <w:tcW w:w="1984" w:type="dxa"/>
            <w:shd w:val="clear" w:color="auto" w:fill="auto"/>
          </w:tcPr>
          <w:p w:rsidR="00534FB5" w:rsidRPr="002348CA" w:rsidRDefault="00534FB5" w:rsidP="00534FB5">
            <w:pPr>
              <w:spacing w:line="240" w:lineRule="auto"/>
              <w:contextualSpacing/>
              <w:jc w:val="center"/>
              <w:rPr>
                <w:b/>
              </w:rPr>
            </w:pPr>
            <w:r w:rsidRPr="007E614C">
              <w:t>3,92±0,17*</w:t>
            </w:r>
          </w:p>
        </w:tc>
        <w:tc>
          <w:tcPr>
            <w:tcW w:w="2127" w:type="dxa"/>
            <w:shd w:val="clear" w:color="auto" w:fill="auto"/>
          </w:tcPr>
          <w:p w:rsidR="00534FB5" w:rsidRPr="002348CA" w:rsidRDefault="00534FB5" w:rsidP="00534FB5">
            <w:pPr>
              <w:spacing w:line="240" w:lineRule="auto"/>
              <w:contextualSpacing/>
              <w:jc w:val="center"/>
              <w:rPr>
                <w:b/>
              </w:rPr>
            </w:pPr>
            <w:r w:rsidRPr="007E614C">
              <w:t>3,68±0,25*</w:t>
            </w:r>
          </w:p>
        </w:tc>
        <w:tc>
          <w:tcPr>
            <w:tcW w:w="2233" w:type="dxa"/>
            <w:shd w:val="clear" w:color="auto" w:fill="auto"/>
          </w:tcPr>
          <w:p w:rsidR="00534FB5" w:rsidRPr="002348CA" w:rsidRDefault="00534FB5" w:rsidP="00534FB5">
            <w:pPr>
              <w:spacing w:line="240" w:lineRule="auto"/>
              <w:contextualSpacing/>
              <w:jc w:val="center"/>
              <w:rPr>
                <w:b/>
              </w:rPr>
            </w:pPr>
            <w:r w:rsidRPr="007E614C">
              <w:t>4,74±0,28*</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ОГ2а</w:t>
            </w:r>
          </w:p>
        </w:tc>
        <w:tc>
          <w:tcPr>
            <w:tcW w:w="1843" w:type="dxa"/>
            <w:shd w:val="clear" w:color="auto" w:fill="auto"/>
          </w:tcPr>
          <w:p w:rsidR="00534FB5" w:rsidRPr="002348CA" w:rsidRDefault="00534FB5" w:rsidP="00534FB5">
            <w:pPr>
              <w:spacing w:line="240" w:lineRule="auto"/>
              <w:contextualSpacing/>
              <w:jc w:val="center"/>
              <w:rPr>
                <w:b/>
              </w:rPr>
            </w:pPr>
            <w:r w:rsidRPr="007E614C">
              <w:t>3,14±0,08</w:t>
            </w:r>
          </w:p>
        </w:tc>
        <w:tc>
          <w:tcPr>
            <w:tcW w:w="1984" w:type="dxa"/>
            <w:shd w:val="clear" w:color="auto" w:fill="auto"/>
          </w:tcPr>
          <w:p w:rsidR="00534FB5" w:rsidRPr="002348CA" w:rsidRDefault="00534FB5" w:rsidP="00534FB5">
            <w:pPr>
              <w:spacing w:line="240" w:lineRule="auto"/>
              <w:contextualSpacing/>
              <w:jc w:val="center"/>
              <w:rPr>
                <w:b/>
              </w:rPr>
            </w:pPr>
            <w:r w:rsidRPr="007E614C">
              <w:t>3,44±0,16*</w:t>
            </w:r>
          </w:p>
        </w:tc>
        <w:tc>
          <w:tcPr>
            <w:tcW w:w="2127" w:type="dxa"/>
            <w:shd w:val="clear" w:color="auto" w:fill="auto"/>
          </w:tcPr>
          <w:p w:rsidR="00534FB5" w:rsidRPr="002348CA" w:rsidRDefault="00534FB5" w:rsidP="00534FB5">
            <w:pPr>
              <w:spacing w:line="240" w:lineRule="auto"/>
              <w:contextualSpacing/>
              <w:jc w:val="center"/>
              <w:rPr>
                <w:b/>
              </w:rPr>
            </w:pPr>
            <w:r w:rsidRPr="007E614C">
              <w:t>3,21±0,21*</w:t>
            </w:r>
          </w:p>
        </w:tc>
        <w:tc>
          <w:tcPr>
            <w:tcW w:w="2233" w:type="dxa"/>
            <w:shd w:val="clear" w:color="auto" w:fill="auto"/>
          </w:tcPr>
          <w:p w:rsidR="00534FB5" w:rsidRPr="002348CA" w:rsidRDefault="00534FB5" w:rsidP="00534FB5">
            <w:pPr>
              <w:spacing w:line="240" w:lineRule="auto"/>
              <w:contextualSpacing/>
              <w:jc w:val="center"/>
              <w:rPr>
                <w:b/>
              </w:rPr>
            </w:pPr>
            <w:r w:rsidRPr="007E614C">
              <w:t>4,12±0,16*</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ОГ3б</w:t>
            </w:r>
          </w:p>
        </w:tc>
        <w:tc>
          <w:tcPr>
            <w:tcW w:w="1843" w:type="dxa"/>
            <w:shd w:val="clear" w:color="auto" w:fill="auto"/>
          </w:tcPr>
          <w:p w:rsidR="00534FB5" w:rsidRPr="002348CA" w:rsidRDefault="00534FB5" w:rsidP="00534FB5">
            <w:pPr>
              <w:spacing w:line="240" w:lineRule="auto"/>
              <w:contextualSpacing/>
              <w:jc w:val="center"/>
              <w:rPr>
                <w:b/>
              </w:rPr>
            </w:pPr>
            <w:r w:rsidRPr="0091579E">
              <w:t>3,32±0,12</w:t>
            </w:r>
          </w:p>
        </w:tc>
        <w:tc>
          <w:tcPr>
            <w:tcW w:w="1984" w:type="dxa"/>
            <w:shd w:val="clear" w:color="auto" w:fill="auto"/>
          </w:tcPr>
          <w:p w:rsidR="00534FB5" w:rsidRPr="002348CA" w:rsidRDefault="00534FB5" w:rsidP="00534FB5">
            <w:pPr>
              <w:spacing w:line="240" w:lineRule="auto"/>
              <w:contextualSpacing/>
              <w:jc w:val="center"/>
              <w:rPr>
                <w:b/>
              </w:rPr>
            </w:pPr>
            <w:r w:rsidRPr="0091579E">
              <w:t>3,90±0,13</w:t>
            </w:r>
            <w:r>
              <w:t>*</w:t>
            </w:r>
          </w:p>
        </w:tc>
        <w:tc>
          <w:tcPr>
            <w:tcW w:w="2127" w:type="dxa"/>
            <w:shd w:val="clear" w:color="auto" w:fill="auto"/>
          </w:tcPr>
          <w:p w:rsidR="00534FB5" w:rsidRPr="002348CA" w:rsidRDefault="007B3A2D" w:rsidP="00534FB5">
            <w:pPr>
              <w:spacing w:line="240" w:lineRule="auto"/>
              <w:contextualSpacing/>
              <w:jc w:val="center"/>
              <w:rPr>
                <w:b/>
              </w:rPr>
            </w:pPr>
            <w:r>
              <w:t>3,69±0,16</w:t>
            </w:r>
            <w:r w:rsidR="00534FB5">
              <w:t>*</w:t>
            </w:r>
          </w:p>
        </w:tc>
        <w:tc>
          <w:tcPr>
            <w:tcW w:w="2233" w:type="dxa"/>
            <w:shd w:val="clear" w:color="auto" w:fill="auto"/>
          </w:tcPr>
          <w:p w:rsidR="00534FB5" w:rsidRPr="002348CA" w:rsidRDefault="00534FB5" w:rsidP="00534FB5">
            <w:pPr>
              <w:spacing w:line="240" w:lineRule="auto"/>
              <w:contextualSpacing/>
              <w:jc w:val="center"/>
              <w:rPr>
                <w:b/>
              </w:rPr>
            </w:pPr>
            <w:r w:rsidRPr="0091579E">
              <w:t>4,72±0,17</w:t>
            </w:r>
            <w:r>
              <w:t>*</w:t>
            </w:r>
          </w:p>
        </w:tc>
      </w:tr>
      <w:tr w:rsidR="00534FB5" w:rsidRPr="002348CA" w:rsidTr="00534FB5">
        <w:tc>
          <w:tcPr>
            <w:tcW w:w="1384" w:type="dxa"/>
            <w:shd w:val="clear" w:color="auto" w:fill="auto"/>
          </w:tcPr>
          <w:p w:rsidR="00534FB5" w:rsidRPr="00E40BFA" w:rsidRDefault="00534FB5" w:rsidP="00534FB5">
            <w:pPr>
              <w:spacing w:line="240" w:lineRule="auto"/>
              <w:contextualSpacing/>
              <w:jc w:val="center"/>
            </w:pPr>
            <w:r w:rsidRPr="00E40BFA">
              <w:t>ОГ3а</w:t>
            </w:r>
          </w:p>
        </w:tc>
        <w:tc>
          <w:tcPr>
            <w:tcW w:w="1843" w:type="dxa"/>
            <w:shd w:val="clear" w:color="auto" w:fill="auto"/>
          </w:tcPr>
          <w:p w:rsidR="00534FB5" w:rsidRPr="00E40BFA" w:rsidRDefault="00534FB5" w:rsidP="00534FB5">
            <w:pPr>
              <w:spacing w:line="240" w:lineRule="auto"/>
              <w:contextualSpacing/>
              <w:jc w:val="center"/>
            </w:pPr>
            <w:r w:rsidRPr="0091579E">
              <w:t>3,32±0,11</w:t>
            </w:r>
          </w:p>
        </w:tc>
        <w:tc>
          <w:tcPr>
            <w:tcW w:w="1984" w:type="dxa"/>
            <w:shd w:val="clear" w:color="auto" w:fill="auto"/>
          </w:tcPr>
          <w:p w:rsidR="00534FB5" w:rsidRPr="00E40BFA" w:rsidRDefault="00534FB5" w:rsidP="00534FB5">
            <w:pPr>
              <w:spacing w:line="240" w:lineRule="auto"/>
              <w:contextualSpacing/>
              <w:jc w:val="center"/>
            </w:pPr>
            <w:r w:rsidRPr="0091579E">
              <w:t>3,43±0,15</w:t>
            </w:r>
            <w:r>
              <w:t>*</w:t>
            </w:r>
          </w:p>
        </w:tc>
        <w:tc>
          <w:tcPr>
            <w:tcW w:w="2127" w:type="dxa"/>
            <w:shd w:val="clear" w:color="auto" w:fill="auto"/>
          </w:tcPr>
          <w:p w:rsidR="00534FB5" w:rsidRPr="00E40BFA" w:rsidRDefault="007B3A2D" w:rsidP="00534FB5">
            <w:pPr>
              <w:spacing w:line="240" w:lineRule="auto"/>
              <w:contextualSpacing/>
              <w:jc w:val="center"/>
            </w:pPr>
            <w:r>
              <w:t>3,42±0,10</w:t>
            </w:r>
            <w:r w:rsidR="00534FB5">
              <w:t>*</w:t>
            </w:r>
          </w:p>
        </w:tc>
        <w:tc>
          <w:tcPr>
            <w:tcW w:w="2233" w:type="dxa"/>
            <w:shd w:val="clear" w:color="auto" w:fill="auto"/>
          </w:tcPr>
          <w:p w:rsidR="00534FB5" w:rsidRPr="00E40BFA" w:rsidRDefault="00534FB5" w:rsidP="00534FB5">
            <w:pPr>
              <w:spacing w:line="240" w:lineRule="auto"/>
              <w:contextualSpacing/>
              <w:jc w:val="center"/>
            </w:pPr>
            <w:r w:rsidRPr="0091579E">
              <w:t>4,00±0,11</w:t>
            </w:r>
            <w:r>
              <w:t>*</w:t>
            </w:r>
          </w:p>
        </w:tc>
      </w:tr>
    </w:tbl>
    <w:p w:rsidR="00534FB5" w:rsidRPr="00E42B5D" w:rsidRDefault="00534FB5" w:rsidP="00534FB5">
      <w:pPr>
        <w:ind w:left="-142"/>
        <w:contextualSpacing/>
        <w:rPr>
          <w:sz w:val="24"/>
        </w:rPr>
      </w:pPr>
      <w:r w:rsidRPr="00E42B5D">
        <w:rPr>
          <w:sz w:val="24"/>
        </w:rPr>
        <w:t>Примітка: * –</w:t>
      </w:r>
      <w:r>
        <w:rPr>
          <w:sz w:val="24"/>
        </w:rPr>
        <w:t xml:space="preserve"> </w:t>
      </w:r>
      <w:r w:rsidRPr="00E42B5D">
        <w:rPr>
          <w:color w:val="000000"/>
          <w:spacing w:val="-1"/>
          <w:sz w:val="24"/>
        </w:rPr>
        <w:t xml:space="preserve">достовірна різниця між показниками ОГб/ОГа </w:t>
      </w:r>
      <w:r w:rsidRPr="00E42B5D">
        <w:rPr>
          <w:sz w:val="24"/>
        </w:rPr>
        <w:t>(р&lt;0,05)</w:t>
      </w:r>
      <w:r>
        <w:rPr>
          <w:sz w:val="24"/>
        </w:rPr>
        <w:t>.</w:t>
      </w:r>
    </w:p>
    <w:p w:rsidR="00534FB5" w:rsidRDefault="00534FB5" w:rsidP="00534FB5">
      <w:pPr>
        <w:ind w:firstLine="708"/>
        <w:contextualSpacing/>
      </w:pPr>
    </w:p>
    <w:p w:rsidR="00534FB5" w:rsidRDefault="00534FB5" w:rsidP="00534FB5">
      <w:pPr>
        <w:ind w:firstLine="708"/>
        <w:contextualSpacing/>
      </w:pPr>
      <w:r w:rsidRPr="00E40BFA">
        <w:t>За резуль</w:t>
      </w:r>
      <w:r w:rsidR="00F7280B">
        <w:t>та</w:t>
      </w:r>
      <w:r w:rsidRPr="00E40BFA">
        <w:t xml:space="preserve">тами дослідження показників СОД у дітей різних вікових груп визначено, що активність супероксиддисмутази до лікування у дітей ОГ1 становила в середньому (3,34±0,10) у.о./л, у дітей ОГ2 </w:t>
      </w:r>
      <w:r>
        <w:t>–</w:t>
      </w:r>
      <w:r w:rsidR="008F1D8E">
        <w:t xml:space="preserve"> (3,22±0,11) </w:t>
      </w:r>
      <w:r w:rsidRPr="00E40BFA">
        <w:t xml:space="preserve">у.о./л, а у дітей ОГ3 </w:t>
      </w:r>
      <w:r>
        <w:t>–</w:t>
      </w:r>
      <w:r w:rsidRPr="00E40BFA">
        <w:t xml:space="preserve"> (3,32±0,12) у.о./л. Рівень активності СОД у дітей ОГ2 був нижч</w:t>
      </w:r>
      <w:r>
        <w:t>и</w:t>
      </w:r>
      <w:r w:rsidRPr="00E40BFA">
        <w:t>м, проте статистично достовірних відмінностей між ОГ1, ОГ2 ОГ3 не виявлено (р&gt;0,05). Таким чином</w:t>
      </w:r>
      <w:r>
        <w:t>,</w:t>
      </w:r>
      <w:r w:rsidRPr="00E40BFA">
        <w:t xml:space="preserve"> встановлено, що показники активності СОД не залежали від віку.</w:t>
      </w:r>
    </w:p>
    <w:p w:rsidR="00534FB5" w:rsidRPr="00E40BFA" w:rsidRDefault="00534FB5" w:rsidP="00534FB5">
      <w:pPr>
        <w:ind w:firstLine="567"/>
        <w:contextualSpacing/>
      </w:pPr>
      <w:r w:rsidRPr="00E40BFA">
        <w:t>Спостереження за рівнем активності СОД при зас</w:t>
      </w:r>
      <w:r>
        <w:t>тосуванні як традиційного, так і</w:t>
      </w:r>
      <w:r w:rsidRPr="00E40BFA">
        <w:t xml:space="preserve"> запропонованого лікувально-профілактичного комплексу, </w:t>
      </w:r>
      <w:r>
        <w:t>засвідч</w:t>
      </w:r>
      <w:r w:rsidRPr="00E40BFA">
        <w:t>ило, що протягом року відбувалос</w:t>
      </w:r>
      <w:r>
        <w:t>я</w:t>
      </w:r>
      <w:r w:rsidRPr="00E40BFA">
        <w:t xml:space="preserve"> підвищення </w:t>
      </w:r>
      <w:r w:rsidR="00B3351A">
        <w:t xml:space="preserve">активності </w:t>
      </w:r>
      <w:r w:rsidRPr="00E40BFA">
        <w:t>вказаного ензиму. Слід зазначити, що через 6 місяців після проведення лікувально-профілактичних заходів спостерігалос</w:t>
      </w:r>
      <w:r>
        <w:t>я</w:t>
      </w:r>
      <w:r w:rsidRPr="00E40BFA">
        <w:t xml:space="preserve"> зниження рівня а</w:t>
      </w:r>
      <w:r>
        <w:t>ктивності СОД в підгрупах ОГб та ОГ</w:t>
      </w:r>
      <w:r w:rsidRPr="00E40BFA">
        <w:t xml:space="preserve">а у порівнянні з даними, які були отримані через місяць після лікування (р&lt;0,05), однак все одно рівень активності зазначеного ензиму був достовірно нижчим у порівнянні з вихідними даними (р&lt;0,05). Через 12 місяців рівень активності СОД в обох групах суттєво підвищувався </w:t>
      </w:r>
      <w:r w:rsidRPr="00E40BFA">
        <w:lastRenderedPageBreak/>
        <w:t>у порівнянні з вихідними даними (р&lt;0,001).</w:t>
      </w:r>
    </w:p>
    <w:p w:rsidR="00534FB5" w:rsidRDefault="00534FB5" w:rsidP="00534FB5">
      <w:pPr>
        <w:ind w:firstLine="567"/>
        <w:contextualSpacing/>
      </w:pPr>
      <w:r>
        <w:t>На рисунку 4.4.2.3. наведено результати порівняння</w:t>
      </w:r>
      <w:r w:rsidRPr="00E40BFA">
        <w:t xml:space="preserve"> показників СОД двох підгруп (ОГб та ОГа)</w:t>
      </w:r>
      <w:r>
        <w:t xml:space="preserve">. </w:t>
      </w:r>
    </w:p>
    <w:p w:rsidR="00534FB5" w:rsidRPr="00E40BFA" w:rsidRDefault="00534FB5" w:rsidP="00534FB5">
      <w:pPr>
        <w:ind w:firstLine="567"/>
        <w:contextualSpacing/>
      </w:pPr>
    </w:p>
    <w:p w:rsidR="00534FB5" w:rsidRPr="00E40BFA" w:rsidRDefault="006C493E" w:rsidP="00534FB5">
      <w:pPr>
        <w:ind w:firstLine="180"/>
        <w:jc w:val="center"/>
      </w:pPr>
      <w:r>
        <w:rPr>
          <w:noProof/>
          <w:lang w:val="ru-RU"/>
        </w:rPr>
        <w:drawing>
          <wp:inline distT="0" distB="0" distL="0" distR="0">
            <wp:extent cx="4229100" cy="22193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4229100" cy="2219325"/>
                    </a:xfrm>
                    <a:prstGeom prst="rect">
                      <a:avLst/>
                    </a:prstGeom>
                    <a:noFill/>
                    <a:ln w="9525">
                      <a:noFill/>
                      <a:miter lim="800000"/>
                      <a:headEnd/>
                      <a:tailEnd/>
                    </a:ln>
                  </pic:spPr>
                </pic:pic>
              </a:graphicData>
            </a:graphic>
          </wp:inline>
        </w:drawing>
      </w:r>
    </w:p>
    <w:p w:rsidR="00534FB5" w:rsidRDefault="00534FB5" w:rsidP="00534FB5">
      <w:pPr>
        <w:ind w:firstLine="567"/>
        <w:contextualSpacing/>
      </w:pPr>
      <w:r w:rsidRPr="00E40BFA">
        <w:t>Рис</w:t>
      </w:r>
      <w:r>
        <w:t>.</w:t>
      </w:r>
      <w:r w:rsidRPr="00E40BFA">
        <w:t xml:space="preserve"> </w:t>
      </w:r>
      <w:r>
        <w:t>4</w:t>
      </w:r>
      <w:r w:rsidRPr="00E40BFA">
        <w:t>.4.</w:t>
      </w:r>
      <w:r>
        <w:t xml:space="preserve">2.3. </w:t>
      </w:r>
      <w:r w:rsidRPr="00E40BFA">
        <w:t>Середні показники активн</w:t>
      </w:r>
      <w:r>
        <w:t>о</w:t>
      </w:r>
      <w:r w:rsidRPr="00E40BFA">
        <w:t>ст</w:t>
      </w:r>
      <w:r>
        <w:t>і</w:t>
      </w:r>
      <w:r w:rsidRPr="00E40BFA">
        <w:t xml:space="preserve"> СОД у дітей</w:t>
      </w:r>
      <w:r>
        <w:t xml:space="preserve"> </w:t>
      </w:r>
      <w:r w:rsidRPr="00E40BFA">
        <w:t>з вродженою глухотою до і після лікування.</w:t>
      </w:r>
    </w:p>
    <w:p w:rsidR="00534FB5" w:rsidRDefault="00534FB5" w:rsidP="00534FB5">
      <w:pPr>
        <w:contextualSpacing/>
      </w:pPr>
    </w:p>
    <w:p w:rsidR="00534FB5" w:rsidRPr="00E40BFA" w:rsidRDefault="00534FB5" w:rsidP="00534FB5">
      <w:pPr>
        <w:ind w:firstLine="567"/>
        <w:contextualSpacing/>
      </w:pPr>
      <w:r w:rsidRPr="00E40BFA">
        <w:t>При порівнянні показників СОД двох підгруп (ОГб та ОГа)</w:t>
      </w:r>
      <w:r>
        <w:t xml:space="preserve"> </w:t>
      </w:r>
      <w:r w:rsidRPr="00E40BFA">
        <w:t>через 1</w:t>
      </w:r>
      <w:r>
        <w:t> </w:t>
      </w:r>
      <w:r w:rsidRPr="00E40BFA">
        <w:t xml:space="preserve">місяць після проведення лікувально-профілактичних заходів встановлено, що рівень активності СОД у дітей, які отримували запропонований лікувально-профілактичний комплекс, був достовірно (р&lt;0,05) більшим </w:t>
      </w:r>
      <w:r>
        <w:t>у</w:t>
      </w:r>
      <w:r w:rsidRPr="00E40BFA">
        <w:t xml:space="preserve"> середньому в 1,14</w:t>
      </w:r>
      <w:r>
        <w:t> </w:t>
      </w:r>
      <w:r w:rsidRPr="00E40BFA">
        <w:t>раз</w:t>
      </w:r>
      <w:r>
        <w:t>а</w:t>
      </w:r>
      <w:r w:rsidRPr="00E40BFA">
        <w:t xml:space="preserve">, ніж у дітей, </w:t>
      </w:r>
      <w:r>
        <w:t>які</w:t>
      </w:r>
      <w:r w:rsidRPr="00E40BFA">
        <w:t xml:space="preserve"> отримували традиційні лікувально-профілактичні заходи. Через рік після застосування запропонованого комплексу показники активності СОД вийшли на рівень показників дітей КГ, тоді як у групі дітей, </w:t>
      </w:r>
      <w:r>
        <w:t>які</w:t>
      </w:r>
      <w:r w:rsidRPr="00E40BFA">
        <w:t xml:space="preserve"> отримувал</w:t>
      </w:r>
      <w:r>
        <w:t>и</w:t>
      </w:r>
      <w:r w:rsidRPr="00E40BFA">
        <w:t xml:space="preserve"> традиційну схему лікування та профілактики</w:t>
      </w:r>
      <w:r>
        <w:t>,</w:t>
      </w:r>
      <w:r w:rsidRPr="00E40BFA">
        <w:t xml:space="preserve"> рівень активності СОД так і залишив</w:t>
      </w:r>
      <w:r>
        <w:t>ся нижчим (p&lt;0,05) у 1,27 раза, порівняно з відповідними показниками</w:t>
      </w:r>
      <w:r w:rsidRPr="00E40BFA">
        <w:t xml:space="preserve"> КГ дітей. Порівняння показників активності СОД між ОГа та ОГб показало, що активність цього ензиму </w:t>
      </w:r>
      <w:r>
        <w:t>була вищою в 1,15-1,16 раза (</w:t>
      </w:r>
      <w:r w:rsidR="008F1D8E">
        <w:t>р&lt;0,05) у дітей групи ОГб (див. </w:t>
      </w:r>
      <w:r w:rsidRPr="00E40BFA">
        <w:t>рис</w:t>
      </w:r>
      <w:r>
        <w:t>. 4</w:t>
      </w:r>
      <w:r w:rsidRPr="00E40BFA">
        <w:t>.4.</w:t>
      </w:r>
      <w:r>
        <w:t>2.3</w:t>
      </w:r>
      <w:r w:rsidRPr="00E40BFA">
        <w:t>).</w:t>
      </w:r>
    </w:p>
    <w:p w:rsidR="00534FB5" w:rsidRDefault="00534FB5" w:rsidP="00534FB5">
      <w:pPr>
        <w:ind w:firstLine="708"/>
        <w:contextualSpacing/>
      </w:pPr>
      <w:r w:rsidRPr="00E40BFA">
        <w:t>Окремої уваги заслуговує здатність тканин ротової порожнини до захисту. Для визначення захисних сил тканин ротової порожнини у дітей</w:t>
      </w:r>
      <w:r>
        <w:t>,</w:t>
      </w:r>
      <w:r w:rsidRPr="00E40BFA">
        <w:t xml:space="preserve"> </w:t>
      </w:r>
      <w:r w:rsidRPr="00E40BFA">
        <w:lastRenderedPageBreak/>
        <w:t>залежно від віку</w:t>
      </w:r>
      <w:r>
        <w:t>,</w:t>
      </w:r>
      <w:r w:rsidRPr="00E40BFA">
        <w:t xml:space="preserve"> до та після проведення лікувально-профілактичних заходів використано антиоксидантно-прооксида</w:t>
      </w:r>
      <w:r>
        <w:t>нтний індекс (АПІ)</w:t>
      </w:r>
      <w:r w:rsidRPr="00E40BFA">
        <w:t>.</w:t>
      </w:r>
    </w:p>
    <w:p w:rsidR="00534FB5" w:rsidRDefault="00534FB5" w:rsidP="00534FB5">
      <w:pPr>
        <w:ind w:firstLine="708"/>
        <w:contextualSpacing/>
      </w:pPr>
      <w:r w:rsidRPr="00E40BFA">
        <w:t xml:space="preserve">Встановлено, що до проведення лікувально-профілактичних заходів АПІ у дітей ОГ1 становив в середньому (37,8±2,9) %, у дітей ОГ2 </w:t>
      </w:r>
      <w:r>
        <w:t>–</w:t>
      </w:r>
      <w:r w:rsidRPr="00E40BFA">
        <w:t xml:space="preserve"> (38,9±2,7) %, а у дітей ОГ3 </w:t>
      </w:r>
      <w:r>
        <w:t>–</w:t>
      </w:r>
      <w:r w:rsidRPr="00E40BFA">
        <w:t xml:space="preserve"> (38,9±2,7) %. Завдяки отриманим даним визначено, що антиоксидантно-прооксидантний індекс не залежав від віку</w:t>
      </w:r>
      <w:r>
        <w:t xml:space="preserve"> дітей</w:t>
      </w:r>
      <w:r w:rsidRPr="00E40BFA">
        <w:t xml:space="preserve"> (р&gt;0,05)</w:t>
      </w:r>
      <w:r>
        <w:t xml:space="preserve"> (див. табл. 4</w:t>
      </w:r>
      <w:r w:rsidRPr="00E40BFA">
        <w:t>.4.</w:t>
      </w:r>
      <w:r>
        <w:t>2.4</w:t>
      </w:r>
      <w:r w:rsidRPr="00E40BFA">
        <w:t>).</w:t>
      </w:r>
    </w:p>
    <w:p w:rsidR="00534FB5" w:rsidRPr="008E79A9" w:rsidRDefault="00534FB5" w:rsidP="00534FB5">
      <w:pPr>
        <w:jc w:val="right"/>
        <w:rPr>
          <w:i/>
        </w:rPr>
      </w:pPr>
      <w:r w:rsidRPr="008E79A9">
        <w:rPr>
          <w:i/>
        </w:rPr>
        <w:t>Таблиця 4.4.2.4</w:t>
      </w:r>
    </w:p>
    <w:p w:rsidR="00534FB5" w:rsidRPr="00DC657B" w:rsidRDefault="00534FB5" w:rsidP="00534FB5">
      <w:pPr>
        <w:spacing w:line="240" w:lineRule="auto"/>
        <w:ind w:firstLine="567"/>
        <w:jc w:val="center"/>
        <w:rPr>
          <w:b/>
        </w:rPr>
      </w:pPr>
      <w:r w:rsidRPr="008E79A9">
        <w:rPr>
          <w:b/>
        </w:rPr>
        <w:t>Антиоксидантно-прооксидантний індекс до та після проведення лікувально-пр</w:t>
      </w:r>
      <w:r>
        <w:rPr>
          <w:b/>
        </w:rPr>
        <w:t xml:space="preserve">офілактичних заходів у дітей </w:t>
      </w:r>
      <w:r w:rsidR="006C493E">
        <w:rPr>
          <w:b/>
        </w:rPr>
        <w:t>із вродженою</w:t>
      </w:r>
      <w:r>
        <w:rPr>
          <w:b/>
        </w:rPr>
        <w:t xml:space="preserve"> глухотою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vMerge w:val="restart"/>
            <w:shd w:val="clear" w:color="auto" w:fill="auto"/>
          </w:tcPr>
          <w:p w:rsidR="00534FB5" w:rsidRPr="00E42B5D" w:rsidRDefault="00534FB5" w:rsidP="00534FB5">
            <w:pPr>
              <w:spacing w:line="240" w:lineRule="auto"/>
              <w:contextualSpacing/>
              <w:jc w:val="center"/>
            </w:pPr>
            <w:r>
              <w:t>Групи дітей</w:t>
            </w:r>
          </w:p>
        </w:tc>
        <w:tc>
          <w:tcPr>
            <w:tcW w:w="8187" w:type="dxa"/>
            <w:gridSpan w:val="4"/>
            <w:shd w:val="clear" w:color="auto" w:fill="auto"/>
          </w:tcPr>
          <w:p w:rsidR="00534FB5" w:rsidRPr="002348CA" w:rsidRDefault="00534FB5" w:rsidP="00534FB5">
            <w:pPr>
              <w:spacing w:line="240" w:lineRule="auto"/>
              <w:contextualSpacing/>
              <w:jc w:val="center"/>
              <w:rPr>
                <w:b/>
              </w:rPr>
            </w:pPr>
            <w:r w:rsidRPr="00E40BFA">
              <w:t>АПІ, %, (</w:t>
            </w:r>
            <w:r w:rsidRPr="00E40BFA">
              <w:rPr>
                <w:lang w:val="en-US"/>
              </w:rPr>
              <w:t>M±m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uto"/>
              <w:contextualSpacing/>
              <w:jc w:val="center"/>
              <w:rPr>
                <w:b/>
              </w:rPr>
            </w:pPr>
          </w:p>
        </w:tc>
        <w:tc>
          <w:tcPr>
            <w:tcW w:w="1843" w:type="dxa"/>
            <w:shd w:val="clear" w:color="auto" w:fill="auto"/>
          </w:tcPr>
          <w:p w:rsidR="00534FB5" w:rsidRPr="002348CA" w:rsidRDefault="00534FB5" w:rsidP="00534FB5">
            <w:pPr>
              <w:spacing w:line="240" w:lineRule="auto"/>
              <w:contextualSpacing/>
              <w:jc w:val="center"/>
              <w:rPr>
                <w:b/>
              </w:rPr>
            </w:pPr>
            <w:r w:rsidRPr="00E40BFA">
              <w:t>До лікування</w:t>
            </w:r>
          </w:p>
        </w:tc>
        <w:tc>
          <w:tcPr>
            <w:tcW w:w="1984" w:type="dxa"/>
            <w:shd w:val="clear" w:color="auto" w:fill="auto"/>
          </w:tcPr>
          <w:p w:rsidR="00534FB5" w:rsidRPr="002348CA" w:rsidRDefault="00534FB5" w:rsidP="00534FB5">
            <w:pPr>
              <w:spacing w:line="240" w:lineRule="auto"/>
              <w:contextualSpacing/>
              <w:jc w:val="center"/>
              <w:rPr>
                <w:b/>
              </w:rPr>
            </w:pPr>
            <w:r w:rsidRPr="00E40BFA">
              <w:t>Через 1 місяць</w:t>
            </w:r>
          </w:p>
        </w:tc>
        <w:tc>
          <w:tcPr>
            <w:tcW w:w="2127" w:type="dxa"/>
            <w:shd w:val="clear" w:color="auto" w:fill="auto"/>
          </w:tcPr>
          <w:p w:rsidR="00534FB5" w:rsidRPr="002348CA" w:rsidRDefault="00534FB5" w:rsidP="00534FB5">
            <w:pPr>
              <w:spacing w:line="240" w:lineRule="auto"/>
              <w:contextualSpacing/>
              <w:jc w:val="center"/>
              <w:rPr>
                <w:b/>
              </w:rPr>
            </w:pPr>
            <w:r w:rsidRPr="00E40BFA">
              <w:t>Через 6 місяців</w:t>
            </w:r>
          </w:p>
        </w:tc>
        <w:tc>
          <w:tcPr>
            <w:tcW w:w="2233" w:type="dxa"/>
            <w:shd w:val="clear" w:color="auto" w:fill="auto"/>
          </w:tcPr>
          <w:p w:rsidR="00534FB5" w:rsidRPr="002348CA" w:rsidRDefault="00534FB5" w:rsidP="00534FB5">
            <w:pPr>
              <w:spacing w:line="240" w:lineRule="auto"/>
              <w:contextualSpacing/>
              <w:jc w:val="center"/>
              <w:rPr>
                <w:b/>
              </w:rPr>
            </w:pPr>
            <w:r w:rsidRPr="00E40BFA">
              <w:t>Через 12 місяців</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ОГ1б</w:t>
            </w:r>
          </w:p>
        </w:tc>
        <w:tc>
          <w:tcPr>
            <w:tcW w:w="1843" w:type="dxa"/>
            <w:shd w:val="clear" w:color="auto" w:fill="auto"/>
          </w:tcPr>
          <w:p w:rsidR="00534FB5" w:rsidRPr="002348CA" w:rsidRDefault="00534FB5" w:rsidP="00534FB5">
            <w:pPr>
              <w:spacing w:line="240" w:lineRule="auto"/>
              <w:contextualSpacing/>
              <w:jc w:val="center"/>
              <w:rPr>
                <w:b/>
              </w:rPr>
            </w:pPr>
            <w:r w:rsidRPr="00E40BFA">
              <w:t>37,9±3,59</w:t>
            </w:r>
          </w:p>
        </w:tc>
        <w:tc>
          <w:tcPr>
            <w:tcW w:w="1984" w:type="dxa"/>
            <w:shd w:val="clear" w:color="auto" w:fill="auto"/>
          </w:tcPr>
          <w:p w:rsidR="00534FB5" w:rsidRPr="002348CA" w:rsidRDefault="00534FB5" w:rsidP="00534FB5">
            <w:pPr>
              <w:spacing w:line="240" w:lineRule="auto"/>
              <w:contextualSpacing/>
              <w:jc w:val="center"/>
              <w:rPr>
                <w:b/>
              </w:rPr>
            </w:pPr>
            <w:r w:rsidRPr="00E40BFA">
              <w:t>70,7±4,32*</w:t>
            </w:r>
          </w:p>
        </w:tc>
        <w:tc>
          <w:tcPr>
            <w:tcW w:w="2127" w:type="dxa"/>
            <w:shd w:val="clear" w:color="auto" w:fill="auto"/>
          </w:tcPr>
          <w:p w:rsidR="00534FB5" w:rsidRPr="002348CA" w:rsidRDefault="00534FB5" w:rsidP="00534FB5">
            <w:pPr>
              <w:spacing w:line="240" w:lineRule="auto"/>
              <w:contextualSpacing/>
              <w:jc w:val="center"/>
              <w:rPr>
                <w:b/>
              </w:rPr>
            </w:pPr>
            <w:r w:rsidRPr="00E40BFA">
              <w:t>57,2±3,03*</w:t>
            </w:r>
          </w:p>
        </w:tc>
        <w:tc>
          <w:tcPr>
            <w:tcW w:w="2233" w:type="dxa"/>
            <w:shd w:val="clear" w:color="auto" w:fill="auto"/>
          </w:tcPr>
          <w:p w:rsidR="00534FB5" w:rsidRPr="002348CA" w:rsidRDefault="00534FB5" w:rsidP="00534FB5">
            <w:pPr>
              <w:spacing w:line="240" w:lineRule="auto"/>
              <w:contextualSpacing/>
              <w:jc w:val="center"/>
              <w:rPr>
                <w:b/>
              </w:rPr>
            </w:pPr>
            <w:r w:rsidRPr="00E40BFA">
              <w:t>87,7±5,82*</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ОГ1а</w:t>
            </w:r>
          </w:p>
        </w:tc>
        <w:tc>
          <w:tcPr>
            <w:tcW w:w="1843" w:type="dxa"/>
            <w:shd w:val="clear" w:color="auto" w:fill="auto"/>
          </w:tcPr>
          <w:p w:rsidR="00534FB5" w:rsidRPr="002348CA" w:rsidRDefault="00534FB5" w:rsidP="00534FB5">
            <w:pPr>
              <w:spacing w:line="240" w:lineRule="auto"/>
              <w:contextualSpacing/>
              <w:jc w:val="center"/>
              <w:rPr>
                <w:b/>
              </w:rPr>
            </w:pPr>
            <w:r w:rsidRPr="00E40BFA">
              <w:t>37,6±2,96</w:t>
            </w:r>
          </w:p>
        </w:tc>
        <w:tc>
          <w:tcPr>
            <w:tcW w:w="1984" w:type="dxa"/>
            <w:shd w:val="clear" w:color="auto" w:fill="auto"/>
          </w:tcPr>
          <w:p w:rsidR="00534FB5" w:rsidRPr="002348CA" w:rsidRDefault="00534FB5" w:rsidP="00534FB5">
            <w:pPr>
              <w:spacing w:line="240" w:lineRule="auto"/>
              <w:contextualSpacing/>
              <w:jc w:val="center"/>
              <w:rPr>
                <w:b/>
              </w:rPr>
            </w:pPr>
            <w:r w:rsidRPr="00E40BFA">
              <w:t>53,8±4,39*</w:t>
            </w:r>
          </w:p>
        </w:tc>
        <w:tc>
          <w:tcPr>
            <w:tcW w:w="2127" w:type="dxa"/>
            <w:shd w:val="clear" w:color="auto" w:fill="auto"/>
          </w:tcPr>
          <w:p w:rsidR="00534FB5" w:rsidRPr="002348CA" w:rsidRDefault="00534FB5" w:rsidP="00534FB5">
            <w:pPr>
              <w:spacing w:line="240" w:lineRule="auto"/>
              <w:contextualSpacing/>
              <w:jc w:val="center"/>
              <w:rPr>
                <w:b/>
              </w:rPr>
            </w:pPr>
            <w:r w:rsidRPr="00E40BFA">
              <w:t>48,1±2,95*</w:t>
            </w:r>
          </w:p>
        </w:tc>
        <w:tc>
          <w:tcPr>
            <w:tcW w:w="2233" w:type="dxa"/>
            <w:shd w:val="clear" w:color="auto" w:fill="auto"/>
          </w:tcPr>
          <w:p w:rsidR="00534FB5" w:rsidRPr="002348CA" w:rsidRDefault="00534FB5" w:rsidP="00534FB5">
            <w:pPr>
              <w:spacing w:line="240" w:lineRule="auto"/>
              <w:contextualSpacing/>
              <w:jc w:val="center"/>
              <w:rPr>
                <w:b/>
              </w:rPr>
            </w:pPr>
            <w:r w:rsidRPr="00E40BFA">
              <w:t>64,5±3,25*</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ОГ2б</w:t>
            </w:r>
          </w:p>
        </w:tc>
        <w:tc>
          <w:tcPr>
            <w:tcW w:w="1843" w:type="dxa"/>
            <w:shd w:val="clear" w:color="auto" w:fill="auto"/>
          </w:tcPr>
          <w:p w:rsidR="00534FB5" w:rsidRPr="002348CA" w:rsidRDefault="00534FB5" w:rsidP="00534FB5">
            <w:pPr>
              <w:spacing w:line="240" w:lineRule="auto"/>
              <w:contextualSpacing/>
              <w:jc w:val="center"/>
              <w:rPr>
                <w:b/>
              </w:rPr>
            </w:pPr>
            <w:r w:rsidRPr="00E40BFA">
              <w:t>39,9±2,65</w:t>
            </w:r>
          </w:p>
        </w:tc>
        <w:tc>
          <w:tcPr>
            <w:tcW w:w="1984" w:type="dxa"/>
            <w:shd w:val="clear" w:color="auto" w:fill="auto"/>
          </w:tcPr>
          <w:p w:rsidR="00534FB5" w:rsidRPr="002348CA" w:rsidRDefault="00534FB5" w:rsidP="00534FB5">
            <w:pPr>
              <w:spacing w:line="240" w:lineRule="auto"/>
              <w:contextualSpacing/>
              <w:jc w:val="center"/>
              <w:rPr>
                <w:b/>
              </w:rPr>
            </w:pPr>
            <w:r w:rsidRPr="00E40BFA">
              <w:t>70,5±4,91*</w:t>
            </w:r>
          </w:p>
        </w:tc>
        <w:tc>
          <w:tcPr>
            <w:tcW w:w="2127" w:type="dxa"/>
            <w:shd w:val="clear" w:color="auto" w:fill="auto"/>
          </w:tcPr>
          <w:p w:rsidR="00534FB5" w:rsidRPr="002348CA" w:rsidRDefault="00534FB5" w:rsidP="00534FB5">
            <w:pPr>
              <w:spacing w:line="240" w:lineRule="auto"/>
              <w:contextualSpacing/>
              <w:jc w:val="center"/>
              <w:rPr>
                <w:b/>
              </w:rPr>
            </w:pPr>
            <w:r w:rsidRPr="00E40BFA">
              <w:t>57,5±3,99*</w:t>
            </w:r>
          </w:p>
        </w:tc>
        <w:tc>
          <w:tcPr>
            <w:tcW w:w="2233" w:type="dxa"/>
            <w:shd w:val="clear" w:color="auto" w:fill="auto"/>
          </w:tcPr>
          <w:p w:rsidR="00534FB5" w:rsidRPr="002348CA" w:rsidRDefault="00534FB5" w:rsidP="00534FB5">
            <w:pPr>
              <w:spacing w:line="240" w:lineRule="auto"/>
              <w:contextualSpacing/>
              <w:jc w:val="center"/>
              <w:rPr>
                <w:b/>
              </w:rPr>
            </w:pPr>
            <w:r w:rsidRPr="00E40BFA">
              <w:t>87,2±5,48*</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ОГ2а</w:t>
            </w:r>
          </w:p>
        </w:tc>
        <w:tc>
          <w:tcPr>
            <w:tcW w:w="1843" w:type="dxa"/>
            <w:shd w:val="clear" w:color="auto" w:fill="auto"/>
          </w:tcPr>
          <w:p w:rsidR="00534FB5" w:rsidRPr="002348CA" w:rsidRDefault="00534FB5" w:rsidP="00534FB5">
            <w:pPr>
              <w:spacing w:line="240" w:lineRule="auto"/>
              <w:contextualSpacing/>
              <w:jc w:val="center"/>
              <w:rPr>
                <w:b/>
              </w:rPr>
            </w:pPr>
            <w:r w:rsidRPr="00E40BFA">
              <w:t>38,0±2,41</w:t>
            </w:r>
          </w:p>
        </w:tc>
        <w:tc>
          <w:tcPr>
            <w:tcW w:w="1984" w:type="dxa"/>
            <w:shd w:val="clear" w:color="auto" w:fill="auto"/>
          </w:tcPr>
          <w:p w:rsidR="00534FB5" w:rsidRPr="002348CA" w:rsidRDefault="00534FB5" w:rsidP="00534FB5">
            <w:pPr>
              <w:spacing w:line="240" w:lineRule="auto"/>
              <w:contextualSpacing/>
              <w:jc w:val="center"/>
              <w:rPr>
                <w:b/>
              </w:rPr>
            </w:pPr>
            <w:r w:rsidRPr="00E40BFA">
              <w:t>53,1±4,11*</w:t>
            </w:r>
          </w:p>
        </w:tc>
        <w:tc>
          <w:tcPr>
            <w:tcW w:w="2127" w:type="dxa"/>
            <w:shd w:val="clear" w:color="auto" w:fill="auto"/>
          </w:tcPr>
          <w:p w:rsidR="00534FB5" w:rsidRPr="002348CA" w:rsidRDefault="00534FB5" w:rsidP="00534FB5">
            <w:pPr>
              <w:spacing w:line="240" w:lineRule="auto"/>
              <w:contextualSpacing/>
              <w:jc w:val="center"/>
              <w:rPr>
                <w:b/>
              </w:rPr>
            </w:pPr>
            <w:r w:rsidRPr="00E40BFA">
              <w:t>48,0±2,52*</w:t>
            </w:r>
          </w:p>
        </w:tc>
        <w:tc>
          <w:tcPr>
            <w:tcW w:w="2233" w:type="dxa"/>
            <w:shd w:val="clear" w:color="auto" w:fill="auto"/>
          </w:tcPr>
          <w:p w:rsidR="00534FB5" w:rsidRPr="002348CA" w:rsidRDefault="00534FB5" w:rsidP="00534FB5">
            <w:pPr>
              <w:spacing w:line="240" w:lineRule="auto"/>
              <w:contextualSpacing/>
              <w:jc w:val="center"/>
              <w:rPr>
                <w:b/>
              </w:rPr>
            </w:pPr>
            <w:r w:rsidRPr="00E40BFA">
              <w:t>64,3±2,67*</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ОГ3б</w:t>
            </w:r>
          </w:p>
        </w:tc>
        <w:tc>
          <w:tcPr>
            <w:tcW w:w="1843" w:type="dxa"/>
            <w:shd w:val="clear" w:color="auto" w:fill="auto"/>
          </w:tcPr>
          <w:p w:rsidR="00534FB5" w:rsidRPr="002348CA" w:rsidRDefault="00534FB5" w:rsidP="00534FB5">
            <w:pPr>
              <w:spacing w:line="240" w:lineRule="auto"/>
              <w:contextualSpacing/>
              <w:jc w:val="center"/>
              <w:rPr>
                <w:b/>
              </w:rPr>
            </w:pPr>
            <w:r w:rsidRPr="00E40BFA">
              <w:t>40,1±2,25</w:t>
            </w:r>
          </w:p>
        </w:tc>
        <w:tc>
          <w:tcPr>
            <w:tcW w:w="1984" w:type="dxa"/>
            <w:shd w:val="clear" w:color="auto" w:fill="auto"/>
          </w:tcPr>
          <w:p w:rsidR="00534FB5" w:rsidRPr="002348CA" w:rsidRDefault="00534FB5" w:rsidP="00534FB5">
            <w:pPr>
              <w:spacing w:line="240" w:lineRule="auto"/>
              <w:contextualSpacing/>
              <w:jc w:val="center"/>
              <w:rPr>
                <w:b/>
              </w:rPr>
            </w:pPr>
            <w:r w:rsidRPr="00E40BFA">
              <w:t>70,1±2,28*</w:t>
            </w:r>
          </w:p>
        </w:tc>
        <w:tc>
          <w:tcPr>
            <w:tcW w:w="2127" w:type="dxa"/>
            <w:shd w:val="clear" w:color="auto" w:fill="auto"/>
          </w:tcPr>
          <w:p w:rsidR="00534FB5" w:rsidRPr="002348CA" w:rsidRDefault="00534FB5" w:rsidP="00534FB5">
            <w:pPr>
              <w:spacing w:line="240" w:lineRule="auto"/>
              <w:contextualSpacing/>
              <w:jc w:val="center"/>
              <w:rPr>
                <w:b/>
              </w:rPr>
            </w:pPr>
            <w:r w:rsidRPr="00E40BFA">
              <w:t>56,7±3,51*</w:t>
            </w:r>
          </w:p>
        </w:tc>
        <w:tc>
          <w:tcPr>
            <w:tcW w:w="2233" w:type="dxa"/>
            <w:shd w:val="clear" w:color="auto" w:fill="auto"/>
          </w:tcPr>
          <w:p w:rsidR="00534FB5" w:rsidRPr="002348CA" w:rsidRDefault="00534FB5" w:rsidP="00534FB5">
            <w:pPr>
              <w:spacing w:line="240" w:lineRule="auto"/>
              <w:contextualSpacing/>
              <w:jc w:val="center"/>
              <w:rPr>
                <w:b/>
              </w:rPr>
            </w:pPr>
            <w:r w:rsidRPr="00E40BFA">
              <w:t>86,2±5,56*</w:t>
            </w:r>
          </w:p>
        </w:tc>
      </w:tr>
      <w:tr w:rsidR="00534FB5" w:rsidRPr="002348CA" w:rsidTr="00534FB5">
        <w:tc>
          <w:tcPr>
            <w:tcW w:w="1384" w:type="dxa"/>
            <w:shd w:val="clear" w:color="auto" w:fill="auto"/>
          </w:tcPr>
          <w:p w:rsidR="00534FB5" w:rsidRPr="00E40BFA" w:rsidRDefault="00534FB5" w:rsidP="00534FB5">
            <w:pPr>
              <w:spacing w:line="240" w:lineRule="auto"/>
              <w:contextualSpacing/>
              <w:jc w:val="center"/>
            </w:pPr>
            <w:r w:rsidRPr="00E40BFA">
              <w:t>ОГ3а</w:t>
            </w:r>
          </w:p>
        </w:tc>
        <w:tc>
          <w:tcPr>
            <w:tcW w:w="1843" w:type="dxa"/>
            <w:shd w:val="clear" w:color="auto" w:fill="auto"/>
          </w:tcPr>
          <w:p w:rsidR="00534FB5" w:rsidRPr="00E40BFA" w:rsidRDefault="00534FB5" w:rsidP="00534FB5">
            <w:pPr>
              <w:spacing w:line="240" w:lineRule="auto"/>
              <w:contextualSpacing/>
              <w:jc w:val="center"/>
            </w:pPr>
            <w:r w:rsidRPr="00E40BFA">
              <w:t>37,6±2,52</w:t>
            </w:r>
          </w:p>
        </w:tc>
        <w:tc>
          <w:tcPr>
            <w:tcW w:w="1984" w:type="dxa"/>
            <w:shd w:val="clear" w:color="auto" w:fill="auto"/>
          </w:tcPr>
          <w:p w:rsidR="00534FB5" w:rsidRPr="00E40BFA" w:rsidRDefault="00534FB5" w:rsidP="00534FB5">
            <w:pPr>
              <w:spacing w:line="240" w:lineRule="auto"/>
              <w:contextualSpacing/>
              <w:jc w:val="center"/>
            </w:pPr>
            <w:r w:rsidRPr="00E40BFA">
              <w:t>54,5±2,70*</w:t>
            </w:r>
          </w:p>
        </w:tc>
        <w:tc>
          <w:tcPr>
            <w:tcW w:w="2127" w:type="dxa"/>
            <w:shd w:val="clear" w:color="auto" w:fill="auto"/>
          </w:tcPr>
          <w:p w:rsidR="00534FB5" w:rsidRPr="00E40BFA" w:rsidRDefault="00534FB5" w:rsidP="00534FB5">
            <w:pPr>
              <w:spacing w:line="240" w:lineRule="auto"/>
              <w:contextualSpacing/>
              <w:jc w:val="center"/>
            </w:pPr>
            <w:r w:rsidRPr="00E40BFA">
              <w:t>47,8±2,64*</w:t>
            </w:r>
          </w:p>
        </w:tc>
        <w:tc>
          <w:tcPr>
            <w:tcW w:w="2233" w:type="dxa"/>
            <w:shd w:val="clear" w:color="auto" w:fill="auto"/>
          </w:tcPr>
          <w:p w:rsidR="00534FB5" w:rsidRPr="00E40BFA" w:rsidRDefault="00534FB5" w:rsidP="00534FB5">
            <w:pPr>
              <w:spacing w:line="240" w:lineRule="auto"/>
              <w:contextualSpacing/>
              <w:jc w:val="center"/>
            </w:pPr>
            <w:r w:rsidRPr="00E40BFA">
              <w:t>64,4±2,39*</w:t>
            </w:r>
          </w:p>
        </w:tc>
      </w:tr>
    </w:tbl>
    <w:p w:rsidR="00534FB5" w:rsidRPr="00DC657B" w:rsidRDefault="00534FB5" w:rsidP="00534FB5">
      <w:pPr>
        <w:ind w:left="-142"/>
        <w:contextualSpacing/>
        <w:rPr>
          <w:sz w:val="24"/>
          <w:szCs w:val="24"/>
        </w:rPr>
      </w:pPr>
      <w:r w:rsidRPr="00DC657B">
        <w:rPr>
          <w:sz w:val="24"/>
          <w:szCs w:val="24"/>
        </w:rPr>
        <w:t>Примітка: * –</w:t>
      </w:r>
      <w:r>
        <w:rPr>
          <w:sz w:val="24"/>
          <w:szCs w:val="24"/>
        </w:rPr>
        <w:t xml:space="preserve"> </w:t>
      </w:r>
      <w:r w:rsidRPr="00DC657B">
        <w:rPr>
          <w:color w:val="000000"/>
          <w:spacing w:val="-1"/>
          <w:sz w:val="24"/>
          <w:szCs w:val="24"/>
        </w:rPr>
        <w:t xml:space="preserve">достовірна різниця між показниками ОГб/ОГа </w:t>
      </w:r>
      <w:r w:rsidRPr="00DC657B">
        <w:rPr>
          <w:sz w:val="24"/>
          <w:szCs w:val="24"/>
        </w:rPr>
        <w:t>(р&lt;0,05)</w:t>
      </w:r>
      <w:r>
        <w:rPr>
          <w:sz w:val="24"/>
          <w:szCs w:val="24"/>
        </w:rPr>
        <w:t>.</w:t>
      </w:r>
    </w:p>
    <w:p w:rsidR="00534FB5" w:rsidRPr="00E40BFA" w:rsidRDefault="00534FB5" w:rsidP="00534FB5">
      <w:pPr>
        <w:contextualSpacing/>
      </w:pPr>
      <w:r w:rsidRPr="00E40BFA">
        <w:tab/>
      </w:r>
    </w:p>
    <w:p w:rsidR="00534FB5" w:rsidRDefault="00534FB5" w:rsidP="00534FB5">
      <w:pPr>
        <w:ind w:firstLine="567"/>
        <w:contextualSpacing/>
      </w:pPr>
      <w:r w:rsidRPr="00E40BFA">
        <w:t xml:space="preserve">Застосування запропонованого лікувально-профілактичного комплексу підвищувало здатність тканин ротової порожнини до захисту: через 1 місяць після лікування АПІ підвищувався майже в 2 рази та становив </w:t>
      </w:r>
      <w:r>
        <w:t>у</w:t>
      </w:r>
      <w:r w:rsidRPr="00E40BFA">
        <w:t xml:space="preserve"> середньому (70,4±3,8) %. Через півроку після лікування цей показник знижувався до (57,1±3,5) %, але ще за півроку (12 місяців спостереження) АПІ підвищувався до показників контрольної групи (87,0±5,62) %.</w:t>
      </w:r>
    </w:p>
    <w:p w:rsidR="00534FB5" w:rsidRPr="00E40BFA" w:rsidRDefault="00534FB5" w:rsidP="00534FB5">
      <w:pPr>
        <w:ind w:firstLine="708"/>
        <w:contextualSpacing/>
      </w:pPr>
      <w:r w:rsidRPr="00E40BFA">
        <w:t xml:space="preserve">Проведення традиційних лікувально-профілактичних заходів також </w:t>
      </w:r>
      <w:r>
        <w:t>сприяло</w:t>
      </w:r>
      <w:r w:rsidRPr="00E40BFA">
        <w:t xml:space="preserve"> підвищенн</w:t>
      </w:r>
      <w:r>
        <w:t>ю</w:t>
      </w:r>
      <w:r w:rsidRPr="00E40BFA">
        <w:t xml:space="preserve"> захисних властивостей тканин ротової порожнини. Проте через 1 місяць після лікування АПІ становив в середньому лише (53,8±3,7) %. Через 6 місяців після лікування цей показник також знижувався в середньому до (47,96±2,7) %, але після 12 місяців спостереження АПІ </w:t>
      </w:r>
      <w:r>
        <w:t xml:space="preserve">він </w:t>
      </w:r>
      <w:r w:rsidRPr="00E40BFA">
        <w:t>підвищувався до (64,4±2,77) %.</w:t>
      </w:r>
    </w:p>
    <w:p w:rsidR="00534FB5" w:rsidRDefault="00534FB5" w:rsidP="00534FB5">
      <w:pPr>
        <w:ind w:firstLine="708"/>
        <w:contextualSpacing/>
      </w:pPr>
      <w:r w:rsidRPr="00E40BFA">
        <w:lastRenderedPageBreak/>
        <w:t>Порівняння значень АПІ двох підгруп (ОГа й ОГб) встановило, що в підгрупі ОГб значення АПІ були вищі в 1,24-1,34</w:t>
      </w:r>
      <w:r>
        <w:t> </w:t>
      </w:r>
      <w:r w:rsidRPr="00E40BFA">
        <w:t>раз</w:t>
      </w:r>
      <w:r>
        <w:t>а</w:t>
      </w:r>
      <w:r w:rsidRPr="00E40BFA">
        <w:t xml:space="preserve"> (р&lt;0,05), порівняно з ОГа, протягом всього часу спостереження. Значення АПІ у дітей групи ОГа навіть через рік були нижче </w:t>
      </w:r>
      <w:r>
        <w:t xml:space="preserve">від </w:t>
      </w:r>
      <w:r w:rsidRPr="00E40BFA">
        <w:t xml:space="preserve">значень КГ </w:t>
      </w:r>
      <w:r>
        <w:t>в 1,32 раза</w:t>
      </w:r>
      <w:r w:rsidRPr="00E40BFA">
        <w:t xml:space="preserve"> (р&lt;0,01), тоді як значення АПІ в групі ОГб</w:t>
      </w:r>
      <w:r>
        <w:t xml:space="preserve"> відповідали значенням КГ (див. </w:t>
      </w:r>
      <w:r w:rsidRPr="00E40BFA">
        <w:t>рис.</w:t>
      </w:r>
      <w:r>
        <w:t> 4</w:t>
      </w:r>
      <w:r w:rsidRPr="00E40BFA">
        <w:t>.4.</w:t>
      </w:r>
      <w:r>
        <w:t>2.4</w:t>
      </w:r>
      <w:r w:rsidRPr="00E40BFA">
        <w:t>).</w:t>
      </w:r>
    </w:p>
    <w:p w:rsidR="00534FB5" w:rsidRDefault="00534FB5" w:rsidP="00534FB5">
      <w:pPr>
        <w:ind w:firstLine="567"/>
        <w:contextualSpacing/>
      </w:pPr>
      <w:r>
        <w:t>На рисунку 4</w:t>
      </w:r>
      <w:r w:rsidRPr="00E40BFA">
        <w:t>.4.</w:t>
      </w:r>
      <w:r>
        <w:t>2.4</w:t>
      </w:r>
      <w:r w:rsidRPr="00E40BFA">
        <w:t xml:space="preserve"> </w:t>
      </w:r>
      <w:r>
        <w:t xml:space="preserve">графічно зображено середні показники АПІ у дітей </w:t>
      </w:r>
      <w:r w:rsidR="006C493E">
        <w:t>із вродженою</w:t>
      </w:r>
      <w:r w:rsidRPr="00E40BFA">
        <w:t xml:space="preserve"> глухотою до і після лікування.</w:t>
      </w:r>
    </w:p>
    <w:p w:rsidR="00534FB5" w:rsidRDefault="00534FB5" w:rsidP="00534FB5">
      <w:pPr>
        <w:ind w:firstLine="567"/>
        <w:contextualSpacing/>
      </w:pPr>
    </w:p>
    <w:p w:rsidR="00534FB5" w:rsidRPr="00E40BFA" w:rsidRDefault="006C493E" w:rsidP="00534FB5">
      <w:pPr>
        <w:jc w:val="center"/>
      </w:pPr>
      <w:r>
        <w:rPr>
          <w:noProof/>
          <w:lang w:val="ru-RU"/>
        </w:rPr>
        <w:drawing>
          <wp:inline distT="0" distB="0" distL="0" distR="0">
            <wp:extent cx="3829050" cy="22193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3829050" cy="2219325"/>
                    </a:xfrm>
                    <a:prstGeom prst="rect">
                      <a:avLst/>
                    </a:prstGeom>
                    <a:noFill/>
                    <a:ln w="9525">
                      <a:noFill/>
                      <a:miter lim="800000"/>
                      <a:headEnd/>
                      <a:tailEnd/>
                    </a:ln>
                  </pic:spPr>
                </pic:pic>
              </a:graphicData>
            </a:graphic>
          </wp:inline>
        </w:drawing>
      </w:r>
    </w:p>
    <w:p w:rsidR="00534FB5" w:rsidRDefault="00534FB5" w:rsidP="00534FB5">
      <w:pPr>
        <w:ind w:firstLine="709"/>
        <w:contextualSpacing/>
      </w:pPr>
      <w:r w:rsidRPr="00E40BFA">
        <w:t>Рис</w:t>
      </w:r>
      <w:r>
        <w:t>.</w:t>
      </w:r>
      <w:r w:rsidRPr="00E40BFA">
        <w:t xml:space="preserve"> </w:t>
      </w:r>
      <w:r>
        <w:t>4</w:t>
      </w:r>
      <w:r w:rsidRPr="00E40BFA">
        <w:t>.4.</w:t>
      </w:r>
      <w:r>
        <w:t>2.4.</w:t>
      </w:r>
      <w:r w:rsidRPr="00E40BFA">
        <w:t xml:space="preserve"> С</w:t>
      </w:r>
      <w:r>
        <w:t xml:space="preserve">ередні показники АПІ у дітей </w:t>
      </w:r>
      <w:r w:rsidR="006C493E">
        <w:t>із вродженою</w:t>
      </w:r>
      <w:r>
        <w:t xml:space="preserve"> глухотою до і після лікування.</w:t>
      </w:r>
    </w:p>
    <w:p w:rsidR="00534FB5" w:rsidRPr="00E40BFA" w:rsidRDefault="00534FB5" w:rsidP="00534FB5">
      <w:pPr>
        <w:contextualSpacing/>
      </w:pPr>
    </w:p>
    <w:p w:rsidR="00534FB5" w:rsidRPr="00E40BFA" w:rsidRDefault="00534FB5" w:rsidP="00534FB5">
      <w:pPr>
        <w:ind w:firstLine="708"/>
        <w:contextualSpacing/>
      </w:pPr>
      <w:r w:rsidRPr="00E40BFA">
        <w:t>Таким чином, при порівнянні показн</w:t>
      </w:r>
      <w:r>
        <w:t>иків окислювального гомеостазу і</w:t>
      </w:r>
      <w:r w:rsidRPr="00E40BFA">
        <w:t xml:space="preserve"> антиоксидантної системи встановлено, що у дітей, які отримували запропонований лікувально-профілактичний комплекс, накопичення продуктів ПОЛ було в середньому в 1,13</w:t>
      </w:r>
      <w:r>
        <w:t> </w:t>
      </w:r>
      <w:r w:rsidRPr="00E40BFA">
        <w:t>раз</w:t>
      </w:r>
      <w:r>
        <w:t>а</w:t>
      </w:r>
      <w:r w:rsidRPr="00E40BFA">
        <w:t xml:space="preserve"> менше (р&lt;0,05), рівень антиоксидантного захисту (активність СОД і каталази) вищ</w:t>
      </w:r>
      <w:r>
        <w:t>ий</w:t>
      </w:r>
      <w:r w:rsidRPr="00E40BFA">
        <w:t xml:space="preserve"> в середньому в 1,1</w:t>
      </w:r>
      <w:r>
        <w:t> раза</w:t>
      </w:r>
      <w:r w:rsidRPr="00E40BFA">
        <w:t xml:space="preserve"> та 1,15</w:t>
      </w:r>
      <w:r>
        <w:t> </w:t>
      </w:r>
      <w:r w:rsidRPr="00E40BFA">
        <w:t>раз</w:t>
      </w:r>
      <w:r>
        <w:t>а</w:t>
      </w:r>
      <w:r w:rsidRPr="00E40BFA">
        <w:t xml:space="preserve"> відповідно, порівняно з аналогічними показниками дітей, </w:t>
      </w:r>
      <w:r>
        <w:t xml:space="preserve">які </w:t>
      </w:r>
      <w:r w:rsidRPr="00E40BFA">
        <w:t>отримували традиційну лікувально-профілактичну схему. Запропонований лікувально-профілактичний комплекс за час спостереження повністю відновлював захисні сили тканин ротової порожнини, тоді як значення АПІ (при застосуванні традиційних лікувально-профілактичних з</w:t>
      </w:r>
      <w:r>
        <w:t>аходів) були нижчими, в 1,3 раза</w:t>
      </w:r>
      <w:r w:rsidRPr="00E40BFA">
        <w:t xml:space="preserve"> (р&lt;0,01), порівняно з аналогічними </w:t>
      </w:r>
      <w:r w:rsidRPr="00E40BFA">
        <w:lastRenderedPageBreak/>
        <w:t>показниками КГ.</w:t>
      </w:r>
    </w:p>
    <w:p w:rsidR="00534FB5" w:rsidRPr="008E79A9" w:rsidRDefault="00534FB5" w:rsidP="00534FB5">
      <w:pPr>
        <w:tabs>
          <w:tab w:val="left" w:pos="0"/>
        </w:tabs>
        <w:ind w:firstLine="709"/>
        <w:contextualSpacing/>
      </w:pPr>
      <w:r w:rsidRPr="00E40BFA">
        <w:t>Узагальнюючи все зазначене вище</w:t>
      </w:r>
      <w:r>
        <w:t>,</w:t>
      </w:r>
      <w:r w:rsidRPr="00E40BFA">
        <w:t xml:space="preserve"> можна з</w:t>
      </w:r>
      <w:r>
        <w:t>робити висновок, що у</w:t>
      </w:r>
      <w:r w:rsidRPr="00E40BFA">
        <w:t xml:space="preserve"> </w:t>
      </w:r>
      <w:r>
        <w:t>ДВГ</w:t>
      </w:r>
      <w:r w:rsidRPr="00E40BFA">
        <w:t xml:space="preserve"> встановлено дисбаланс стану окислювального гомеостазу, антиоксидантної системи та резистентності тканин порожнини рота. Рівень ТБК-активних продуктів у дітей ОГ </w:t>
      </w:r>
      <w:r>
        <w:t xml:space="preserve">було </w:t>
      </w:r>
      <w:r w:rsidRPr="00E40BFA">
        <w:t>підвищено в 1,47</w:t>
      </w:r>
      <w:r>
        <w:t> </w:t>
      </w:r>
      <w:r w:rsidRPr="00E40BFA">
        <w:t>раз</w:t>
      </w:r>
      <w:r>
        <w:t>а</w:t>
      </w:r>
      <w:r w:rsidRPr="00E40BFA">
        <w:t xml:space="preserve"> (p&lt;0,05), рівні активності каталази та супероксиддисмутази знижено в 1,48</w:t>
      </w:r>
      <w:r>
        <w:t> раза</w:t>
      </w:r>
      <w:r w:rsidRPr="00E40BFA">
        <w:t xml:space="preserve"> та 1,57</w:t>
      </w:r>
      <w:r>
        <w:t> </w:t>
      </w:r>
      <w:r w:rsidRPr="00E40BFA">
        <w:t>раз</w:t>
      </w:r>
      <w:r>
        <w:t>а</w:t>
      </w:r>
      <w:r w:rsidRPr="00E40BFA">
        <w:t xml:space="preserve"> (p&lt;0,05) відповідно,  а показник АПІ – в 2,17</w:t>
      </w:r>
      <w:r>
        <w:t> </w:t>
      </w:r>
      <w:r w:rsidRPr="00E40BFA">
        <w:t>раз</w:t>
      </w:r>
      <w:r>
        <w:t>а</w:t>
      </w:r>
      <w:r w:rsidRPr="00E40BFA">
        <w:t xml:space="preserve"> (p&lt;0,05), порівнян</w:t>
      </w:r>
      <w:r>
        <w:t>о</w:t>
      </w:r>
      <w:r w:rsidRPr="00E40BFA">
        <w:t xml:space="preserve"> з дітьми КГ.</w:t>
      </w:r>
      <w:r>
        <w:t xml:space="preserve"> </w:t>
      </w:r>
      <w:r w:rsidRPr="00D64A63">
        <w:t xml:space="preserve">Це вказує на дисбаланс в системі </w:t>
      </w:r>
      <w:r w:rsidR="00CB78C0">
        <w:t>перекисн</w:t>
      </w:r>
      <w:r w:rsidRPr="00D64A63">
        <w:t>ого окислення ліпідів</w:t>
      </w:r>
      <w:r>
        <w:t xml:space="preserve"> і в</w:t>
      </w:r>
      <w:r w:rsidRPr="00D64A63">
        <w:t xml:space="preserve"> антиоксидантній системі</w:t>
      </w:r>
      <w:r>
        <w:t>, а</w:t>
      </w:r>
      <w:r w:rsidRPr="00D64A63">
        <w:t xml:space="preserve"> </w:t>
      </w:r>
      <w:r w:rsidRPr="00720843">
        <w:t>та</w:t>
      </w:r>
      <w:r>
        <w:t>кож</w:t>
      </w:r>
      <w:r w:rsidRPr="00720843">
        <w:t xml:space="preserve"> свідчить про вагомі порушення </w:t>
      </w:r>
      <w:r>
        <w:t>захисних сил</w:t>
      </w:r>
      <w:r w:rsidRPr="00720843">
        <w:t xml:space="preserve"> тканин ротової порожнини</w:t>
      </w:r>
      <w:r w:rsidRPr="00D64A63">
        <w:t xml:space="preserve"> у дітей з вадами слуху.</w:t>
      </w:r>
      <w:r>
        <w:t xml:space="preserve"> </w:t>
      </w:r>
      <w:r w:rsidRPr="00E40BFA">
        <w:t>Діти ОГб (запропонований лікувально-профілактичний комплекс)</w:t>
      </w:r>
      <w:r>
        <w:t>,</w:t>
      </w:r>
      <w:r w:rsidRPr="00E40BFA">
        <w:t xml:space="preserve"> порівнян</w:t>
      </w:r>
      <w:r>
        <w:t>о</w:t>
      </w:r>
      <w:r w:rsidRPr="00E40BFA">
        <w:t xml:space="preserve"> з дітьми ОГа (традиційні лікувально-профілактичні заходи), мали рівень ТБК-АП менш</w:t>
      </w:r>
      <w:r>
        <w:t>ий</w:t>
      </w:r>
      <w:r w:rsidRPr="00E40BFA">
        <w:t xml:space="preserve"> в 1,13</w:t>
      </w:r>
      <w:r>
        <w:t> </w:t>
      </w:r>
      <w:r w:rsidRPr="00E40BFA">
        <w:t>раз</w:t>
      </w:r>
      <w:r>
        <w:t>а</w:t>
      </w:r>
      <w:r w:rsidRPr="00E40BFA">
        <w:t xml:space="preserve"> (р&lt;0,05), рівень антиоксидантного захисту (активність СОД і каталази) вищ</w:t>
      </w:r>
      <w:r>
        <w:t>ий</w:t>
      </w:r>
      <w:r w:rsidRPr="00E40BFA">
        <w:t xml:space="preserve">, </w:t>
      </w:r>
      <w:r w:rsidRPr="008E79A9">
        <w:t>відповідно, в 1,1</w:t>
      </w:r>
      <w:r>
        <w:t> раза</w:t>
      </w:r>
      <w:r w:rsidRPr="008E79A9">
        <w:t xml:space="preserve"> й 1,15</w:t>
      </w:r>
      <w:r>
        <w:t> </w:t>
      </w:r>
      <w:r w:rsidRPr="008E79A9">
        <w:t>раз</w:t>
      </w:r>
      <w:r>
        <w:t>а</w:t>
      </w:r>
      <w:r w:rsidRPr="008E79A9">
        <w:t xml:space="preserve"> (р&lt;0,05).</w:t>
      </w:r>
      <w:r>
        <w:t xml:space="preserve"> Через рік після застосування запропонованого нами лікування значення АПІ виходило на рівень показників КГ, що свідчить про повне відновлення захисних сил</w:t>
      </w:r>
      <w:r w:rsidRPr="00720843">
        <w:t xml:space="preserve"> тканин ротової порожнини</w:t>
      </w:r>
      <w:r w:rsidRPr="00D64A63">
        <w:t xml:space="preserve"> у дітей з вадами слуху</w:t>
      </w:r>
      <w:r>
        <w:t xml:space="preserve">. </w:t>
      </w:r>
      <w:r w:rsidRPr="00D64A63">
        <w:t xml:space="preserve">Таким чином, </w:t>
      </w:r>
      <w:r>
        <w:t>за результатами досліджень динаміки</w:t>
      </w:r>
      <w:r w:rsidR="00F7280B">
        <w:t xml:space="preserve"> зміни стану окислюван</w:t>
      </w:r>
      <w:r w:rsidRPr="007577AB">
        <w:t>ого гомеостазу, антиоксидантної системи і захисних сил ткан</w:t>
      </w:r>
      <w:r>
        <w:t xml:space="preserve">ин ротової порожнини у дітей </w:t>
      </w:r>
      <w:r w:rsidR="006C493E">
        <w:t>із вродженою</w:t>
      </w:r>
      <w:r w:rsidRPr="007577AB">
        <w:t xml:space="preserve"> глухотою</w:t>
      </w:r>
      <w:r>
        <w:t>, доведено</w:t>
      </w:r>
      <w:r w:rsidRPr="00D64A63">
        <w:t>, що запропонована схема лікування та профілактики є більш ефективною у порівнянні з традиційним лікувально-профілактичним комплексом</w:t>
      </w:r>
      <w:r>
        <w:t xml:space="preserve">. </w:t>
      </w:r>
    </w:p>
    <w:p w:rsidR="00534FB5" w:rsidRDefault="00534FB5" w:rsidP="00534FB5">
      <w:pPr>
        <w:tabs>
          <w:tab w:val="left" w:pos="0"/>
        </w:tabs>
        <w:ind w:firstLine="709"/>
        <w:contextualSpacing/>
        <w:rPr>
          <w:b/>
        </w:rPr>
      </w:pPr>
      <w:r w:rsidRPr="00376274">
        <w:rPr>
          <w:b/>
        </w:rPr>
        <w:t xml:space="preserve">4.4.3. </w:t>
      </w:r>
      <w:r w:rsidRPr="00162AB9">
        <w:rPr>
          <w:b/>
        </w:rPr>
        <w:t>Динаміка зміни стану місцевого імунітету ротової рідини</w:t>
      </w:r>
      <w:r w:rsidRPr="00376274">
        <w:rPr>
          <w:b/>
        </w:rPr>
        <w:t xml:space="preserve"> </w:t>
      </w:r>
    </w:p>
    <w:p w:rsidR="00534FB5" w:rsidRDefault="00534FB5" w:rsidP="00534FB5">
      <w:pPr>
        <w:ind w:firstLine="709"/>
        <w:contextualSpacing/>
      </w:pPr>
      <w:r w:rsidRPr="008647CA">
        <w:t xml:space="preserve">Для оцінки стану місцевого імунітету порожнини рота </w:t>
      </w:r>
      <w:r>
        <w:t xml:space="preserve">ми </w:t>
      </w:r>
      <w:r w:rsidRPr="008647CA">
        <w:t>досліджували фактори специфічної та неспецифічної резистентності.</w:t>
      </w:r>
    </w:p>
    <w:p w:rsidR="00534FB5" w:rsidRDefault="00534FB5" w:rsidP="00B3351A">
      <w:pPr>
        <w:ind w:firstLine="709"/>
        <w:contextualSpacing/>
        <w:rPr>
          <w:shd w:val="clear" w:color="auto" w:fill="FFFFFF"/>
        </w:rPr>
      </w:pPr>
      <w:r w:rsidRPr="008647CA">
        <w:rPr>
          <w:shd w:val="clear" w:color="auto" w:fill="FFFFFF"/>
        </w:rPr>
        <w:t>В якості індикатору стану неспецифічної резистентності досліджували активність лізоциму ротової рідини. Стан специфічної резистентності</w:t>
      </w:r>
      <w:r>
        <w:rPr>
          <w:shd w:val="clear" w:color="auto" w:fill="FFFFFF"/>
        </w:rPr>
        <w:t xml:space="preserve"> </w:t>
      </w:r>
      <w:r w:rsidRPr="008647CA">
        <w:rPr>
          <w:shd w:val="clear" w:color="auto" w:fill="FFFFFF"/>
        </w:rPr>
        <w:t>оцінювали за вмістом</w:t>
      </w:r>
      <w:r>
        <w:rPr>
          <w:shd w:val="clear" w:color="auto" w:fill="FFFFFF"/>
        </w:rPr>
        <w:t xml:space="preserve"> </w:t>
      </w:r>
      <w:r w:rsidRPr="001E7C90">
        <w:rPr>
          <w:rStyle w:val="a9"/>
          <w:bCs/>
          <w:i w:val="0"/>
          <w:iCs w:val="0"/>
          <w:color w:val="000000"/>
        </w:rPr>
        <w:t>sIgA</w:t>
      </w:r>
      <w:r>
        <w:rPr>
          <w:shd w:val="clear" w:color="auto" w:fill="FFFFFF"/>
        </w:rPr>
        <w:t xml:space="preserve"> в ротовій рідині (див. табл. 4.4.3.1)</w:t>
      </w:r>
      <w:r w:rsidRPr="008647CA">
        <w:rPr>
          <w:shd w:val="clear" w:color="auto" w:fill="FFFFFF"/>
        </w:rPr>
        <w:t>.</w:t>
      </w:r>
    </w:p>
    <w:p w:rsidR="00D864D4" w:rsidRPr="004435C5" w:rsidRDefault="00D864D4" w:rsidP="00B3351A">
      <w:pPr>
        <w:ind w:firstLine="709"/>
        <w:contextualSpacing/>
        <w:rPr>
          <w:shd w:val="clear" w:color="auto" w:fill="FFFFFF"/>
        </w:rPr>
      </w:pPr>
    </w:p>
    <w:p w:rsidR="00534FB5" w:rsidRPr="00376274" w:rsidRDefault="00534FB5" w:rsidP="00534FB5">
      <w:pPr>
        <w:pStyle w:val="22"/>
        <w:contextualSpacing/>
        <w:jc w:val="right"/>
        <w:rPr>
          <w:rFonts w:ascii="Times New Roman" w:hAnsi="Times New Roman"/>
          <w:i/>
          <w:sz w:val="28"/>
          <w:szCs w:val="28"/>
        </w:rPr>
      </w:pPr>
      <w:r w:rsidRPr="00376274">
        <w:rPr>
          <w:rFonts w:ascii="Times New Roman" w:hAnsi="Times New Roman"/>
          <w:i/>
          <w:sz w:val="28"/>
          <w:szCs w:val="28"/>
        </w:rPr>
        <w:lastRenderedPageBreak/>
        <w:t>Таблиця 4.4.3.1</w:t>
      </w:r>
    </w:p>
    <w:p w:rsidR="00534FB5" w:rsidRDefault="00534FB5" w:rsidP="00534FB5">
      <w:pPr>
        <w:spacing w:line="240" w:lineRule="auto"/>
        <w:ind w:firstLine="567"/>
        <w:contextualSpacing/>
        <w:jc w:val="center"/>
        <w:rPr>
          <w:b/>
        </w:rPr>
      </w:pPr>
      <w:r w:rsidRPr="00376274">
        <w:rPr>
          <w:b/>
        </w:rPr>
        <w:t>Рівень секреторного імуноглобуліну А до та після проведення лікувально-п</w:t>
      </w:r>
      <w:r>
        <w:rPr>
          <w:b/>
        </w:rPr>
        <w:t>рофілактичних заходів у дітей основної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801"/>
        <w:gridCol w:w="1926"/>
        <w:gridCol w:w="2053"/>
        <w:gridCol w:w="2163"/>
      </w:tblGrid>
      <w:tr w:rsidR="00534FB5" w:rsidRPr="002348CA" w:rsidTr="00534FB5">
        <w:tc>
          <w:tcPr>
            <w:tcW w:w="1384" w:type="dxa"/>
            <w:vMerge w:val="restart"/>
            <w:shd w:val="clear" w:color="auto" w:fill="auto"/>
          </w:tcPr>
          <w:p w:rsidR="00534FB5" w:rsidRDefault="00534FB5" w:rsidP="00534FB5">
            <w:pPr>
              <w:spacing w:line="240" w:lineRule="auto"/>
              <w:contextualSpacing/>
              <w:jc w:val="center"/>
            </w:pPr>
            <w:r>
              <w:t xml:space="preserve">Групи </w:t>
            </w:r>
          </w:p>
          <w:p w:rsidR="00534FB5" w:rsidRDefault="00534FB5" w:rsidP="00534FB5">
            <w:pPr>
              <w:spacing w:line="240" w:lineRule="auto"/>
              <w:contextualSpacing/>
              <w:jc w:val="center"/>
            </w:pPr>
            <w:r>
              <w:t>обстежених</w:t>
            </w:r>
          </w:p>
          <w:p w:rsidR="00534FB5" w:rsidRPr="00E42B5D" w:rsidRDefault="00534FB5" w:rsidP="00534FB5">
            <w:pPr>
              <w:spacing w:line="240" w:lineRule="auto"/>
              <w:contextualSpacing/>
              <w:jc w:val="center"/>
            </w:pPr>
            <w:r>
              <w:t>дітей</w:t>
            </w:r>
          </w:p>
        </w:tc>
        <w:tc>
          <w:tcPr>
            <w:tcW w:w="8187" w:type="dxa"/>
            <w:gridSpan w:val="4"/>
            <w:shd w:val="clear" w:color="auto" w:fill="auto"/>
          </w:tcPr>
          <w:p w:rsidR="00534FB5" w:rsidRPr="002348CA" w:rsidRDefault="00534FB5" w:rsidP="00534FB5">
            <w:pPr>
              <w:spacing w:line="240" w:lineRule="auto"/>
              <w:contextualSpacing/>
              <w:jc w:val="center"/>
              <w:rPr>
                <w:b/>
              </w:rPr>
            </w:pPr>
            <w:r w:rsidRPr="00E40BFA">
              <w:t>sIgA, мг/л,(</w:t>
            </w:r>
            <w:r w:rsidRPr="00E40BFA">
              <w:rPr>
                <w:lang w:val="en-US"/>
              </w:rPr>
              <w:t>M±m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uto"/>
              <w:contextualSpacing/>
              <w:jc w:val="center"/>
              <w:rPr>
                <w:b/>
              </w:rPr>
            </w:pPr>
          </w:p>
        </w:tc>
        <w:tc>
          <w:tcPr>
            <w:tcW w:w="1843" w:type="dxa"/>
            <w:shd w:val="clear" w:color="auto" w:fill="auto"/>
          </w:tcPr>
          <w:p w:rsidR="00534FB5" w:rsidRPr="001E1FAE" w:rsidRDefault="00534FB5" w:rsidP="00534FB5">
            <w:pPr>
              <w:spacing w:line="240" w:lineRule="auto"/>
              <w:contextualSpacing/>
              <w:jc w:val="center"/>
            </w:pPr>
            <w:r>
              <w:t xml:space="preserve"> </w:t>
            </w:r>
            <w:r w:rsidRPr="001E1FAE">
              <w:t>До лікування</w:t>
            </w:r>
          </w:p>
        </w:tc>
        <w:tc>
          <w:tcPr>
            <w:tcW w:w="1984" w:type="dxa"/>
            <w:shd w:val="clear" w:color="auto" w:fill="auto"/>
          </w:tcPr>
          <w:p w:rsidR="00534FB5" w:rsidRPr="001E1FAE" w:rsidRDefault="00534FB5" w:rsidP="00534FB5">
            <w:pPr>
              <w:spacing w:line="240" w:lineRule="auto"/>
              <w:contextualSpacing/>
              <w:jc w:val="center"/>
            </w:pPr>
            <w:r w:rsidRPr="001E1FAE">
              <w:t xml:space="preserve">Через 1 </w:t>
            </w:r>
            <w:r>
              <w:t>місяць</w:t>
            </w:r>
          </w:p>
        </w:tc>
        <w:tc>
          <w:tcPr>
            <w:tcW w:w="2127" w:type="dxa"/>
            <w:shd w:val="clear" w:color="auto" w:fill="auto"/>
          </w:tcPr>
          <w:p w:rsidR="00534FB5" w:rsidRDefault="00534FB5" w:rsidP="00534FB5">
            <w:pPr>
              <w:spacing w:line="240" w:lineRule="auto"/>
              <w:contextualSpacing/>
              <w:jc w:val="center"/>
            </w:pPr>
            <w:r>
              <w:t>Через 6</w:t>
            </w:r>
          </w:p>
          <w:p w:rsidR="00534FB5" w:rsidRPr="001E1FAE" w:rsidRDefault="00534FB5" w:rsidP="00534FB5">
            <w:pPr>
              <w:spacing w:line="240" w:lineRule="auto"/>
              <w:contextualSpacing/>
              <w:jc w:val="center"/>
            </w:pPr>
            <w:r>
              <w:t xml:space="preserve"> місяців</w:t>
            </w:r>
          </w:p>
        </w:tc>
        <w:tc>
          <w:tcPr>
            <w:tcW w:w="2233" w:type="dxa"/>
            <w:shd w:val="clear" w:color="auto" w:fill="auto"/>
          </w:tcPr>
          <w:p w:rsidR="00534FB5" w:rsidRPr="001E1FAE" w:rsidRDefault="00534FB5" w:rsidP="00534FB5">
            <w:pPr>
              <w:spacing w:line="240" w:lineRule="auto"/>
              <w:contextualSpacing/>
              <w:jc w:val="center"/>
            </w:pPr>
            <w:r>
              <w:t>Через 12 місяців</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ОГ1б</w:t>
            </w:r>
          </w:p>
        </w:tc>
        <w:tc>
          <w:tcPr>
            <w:tcW w:w="1843" w:type="dxa"/>
            <w:shd w:val="clear" w:color="auto" w:fill="auto"/>
          </w:tcPr>
          <w:p w:rsidR="00534FB5" w:rsidRPr="002348CA" w:rsidRDefault="00534FB5" w:rsidP="00534FB5">
            <w:pPr>
              <w:spacing w:line="240" w:lineRule="auto"/>
              <w:contextualSpacing/>
              <w:jc w:val="center"/>
              <w:rPr>
                <w:b/>
              </w:rPr>
            </w:pPr>
            <w:r w:rsidRPr="00E40BFA">
              <w:t>75,55±2,69</w:t>
            </w:r>
          </w:p>
        </w:tc>
        <w:tc>
          <w:tcPr>
            <w:tcW w:w="1984" w:type="dxa"/>
            <w:shd w:val="clear" w:color="auto" w:fill="auto"/>
          </w:tcPr>
          <w:p w:rsidR="00534FB5" w:rsidRPr="002348CA" w:rsidRDefault="00534FB5" w:rsidP="00534FB5">
            <w:pPr>
              <w:spacing w:line="240" w:lineRule="auto"/>
              <w:contextualSpacing/>
              <w:jc w:val="center"/>
              <w:rPr>
                <w:b/>
              </w:rPr>
            </w:pPr>
            <w:r w:rsidRPr="00E40BFA">
              <w:t>90,94±2,33</w:t>
            </w:r>
          </w:p>
        </w:tc>
        <w:tc>
          <w:tcPr>
            <w:tcW w:w="2127" w:type="dxa"/>
            <w:shd w:val="clear" w:color="auto" w:fill="auto"/>
          </w:tcPr>
          <w:p w:rsidR="00534FB5" w:rsidRPr="002348CA" w:rsidRDefault="00534FB5" w:rsidP="00534FB5">
            <w:pPr>
              <w:spacing w:line="240" w:lineRule="auto"/>
              <w:contextualSpacing/>
              <w:jc w:val="center"/>
              <w:rPr>
                <w:b/>
              </w:rPr>
            </w:pPr>
            <w:r w:rsidRPr="00E40BFA">
              <w:t>86,32±2,55</w:t>
            </w:r>
          </w:p>
        </w:tc>
        <w:tc>
          <w:tcPr>
            <w:tcW w:w="2233" w:type="dxa"/>
            <w:shd w:val="clear" w:color="auto" w:fill="auto"/>
          </w:tcPr>
          <w:p w:rsidR="00534FB5" w:rsidRPr="002348CA" w:rsidRDefault="00534FB5" w:rsidP="00534FB5">
            <w:pPr>
              <w:spacing w:line="240" w:lineRule="auto"/>
              <w:contextualSpacing/>
              <w:jc w:val="center"/>
              <w:rPr>
                <w:b/>
              </w:rPr>
            </w:pPr>
            <w:r w:rsidRPr="00E40BFA">
              <w:t>98,89±4,39*</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ОГ1а</w:t>
            </w:r>
          </w:p>
        </w:tc>
        <w:tc>
          <w:tcPr>
            <w:tcW w:w="1843" w:type="dxa"/>
            <w:shd w:val="clear" w:color="auto" w:fill="auto"/>
          </w:tcPr>
          <w:p w:rsidR="00534FB5" w:rsidRPr="002348CA" w:rsidRDefault="00534FB5" w:rsidP="00534FB5">
            <w:pPr>
              <w:spacing w:line="240" w:lineRule="auto"/>
              <w:contextualSpacing/>
              <w:jc w:val="center"/>
              <w:rPr>
                <w:b/>
              </w:rPr>
            </w:pPr>
            <w:r w:rsidRPr="00E40BFA">
              <w:t>74,73±2,38</w:t>
            </w:r>
          </w:p>
        </w:tc>
        <w:tc>
          <w:tcPr>
            <w:tcW w:w="1984" w:type="dxa"/>
            <w:shd w:val="clear" w:color="auto" w:fill="auto"/>
          </w:tcPr>
          <w:p w:rsidR="00534FB5" w:rsidRPr="002348CA" w:rsidRDefault="00534FB5" w:rsidP="00534FB5">
            <w:pPr>
              <w:spacing w:line="240" w:lineRule="auto"/>
              <w:contextualSpacing/>
              <w:jc w:val="center"/>
              <w:rPr>
                <w:b/>
              </w:rPr>
            </w:pPr>
            <w:r w:rsidRPr="00E40BFA">
              <w:t>88,74±3,99</w:t>
            </w:r>
          </w:p>
        </w:tc>
        <w:tc>
          <w:tcPr>
            <w:tcW w:w="2127" w:type="dxa"/>
            <w:shd w:val="clear" w:color="auto" w:fill="auto"/>
          </w:tcPr>
          <w:p w:rsidR="00534FB5" w:rsidRPr="002348CA" w:rsidRDefault="00534FB5" w:rsidP="00534FB5">
            <w:pPr>
              <w:spacing w:line="240" w:lineRule="auto"/>
              <w:contextualSpacing/>
              <w:jc w:val="center"/>
              <w:rPr>
                <w:b/>
              </w:rPr>
            </w:pPr>
            <w:r w:rsidRPr="00E40BFA">
              <w:t>82,74±3,23</w:t>
            </w:r>
          </w:p>
        </w:tc>
        <w:tc>
          <w:tcPr>
            <w:tcW w:w="2233" w:type="dxa"/>
            <w:shd w:val="clear" w:color="auto" w:fill="auto"/>
          </w:tcPr>
          <w:p w:rsidR="00534FB5" w:rsidRPr="002348CA" w:rsidRDefault="00534FB5" w:rsidP="00534FB5">
            <w:pPr>
              <w:spacing w:line="240" w:lineRule="auto"/>
              <w:contextualSpacing/>
              <w:jc w:val="center"/>
              <w:rPr>
                <w:b/>
              </w:rPr>
            </w:pPr>
            <w:r w:rsidRPr="00E40BFA">
              <w:t>89,09±2,97*</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ОГ2б</w:t>
            </w:r>
          </w:p>
        </w:tc>
        <w:tc>
          <w:tcPr>
            <w:tcW w:w="1843" w:type="dxa"/>
            <w:shd w:val="clear" w:color="auto" w:fill="auto"/>
          </w:tcPr>
          <w:p w:rsidR="00534FB5" w:rsidRPr="002348CA" w:rsidRDefault="00534FB5" w:rsidP="00534FB5">
            <w:pPr>
              <w:spacing w:line="240" w:lineRule="auto"/>
              <w:contextualSpacing/>
              <w:jc w:val="center"/>
              <w:rPr>
                <w:b/>
              </w:rPr>
            </w:pPr>
            <w:r w:rsidRPr="00E40BFA">
              <w:t>75,62±3,54</w:t>
            </w:r>
          </w:p>
        </w:tc>
        <w:tc>
          <w:tcPr>
            <w:tcW w:w="1984" w:type="dxa"/>
            <w:shd w:val="clear" w:color="auto" w:fill="auto"/>
          </w:tcPr>
          <w:p w:rsidR="00534FB5" w:rsidRPr="002348CA" w:rsidRDefault="00534FB5" w:rsidP="00534FB5">
            <w:pPr>
              <w:spacing w:line="240" w:lineRule="auto"/>
              <w:contextualSpacing/>
              <w:jc w:val="center"/>
              <w:rPr>
                <w:b/>
              </w:rPr>
            </w:pPr>
            <w:r w:rsidRPr="00E40BFA">
              <w:t>90,95±1,93</w:t>
            </w:r>
          </w:p>
        </w:tc>
        <w:tc>
          <w:tcPr>
            <w:tcW w:w="2127" w:type="dxa"/>
            <w:shd w:val="clear" w:color="auto" w:fill="auto"/>
          </w:tcPr>
          <w:p w:rsidR="00534FB5" w:rsidRPr="002348CA" w:rsidRDefault="00534FB5" w:rsidP="00534FB5">
            <w:pPr>
              <w:spacing w:line="240" w:lineRule="auto"/>
              <w:contextualSpacing/>
              <w:jc w:val="center"/>
              <w:rPr>
                <w:b/>
              </w:rPr>
            </w:pPr>
            <w:r w:rsidRPr="00E40BFA">
              <w:t>86,29±3,89</w:t>
            </w:r>
          </w:p>
        </w:tc>
        <w:tc>
          <w:tcPr>
            <w:tcW w:w="2233" w:type="dxa"/>
            <w:shd w:val="clear" w:color="auto" w:fill="auto"/>
          </w:tcPr>
          <w:p w:rsidR="00534FB5" w:rsidRPr="002348CA" w:rsidRDefault="00534FB5" w:rsidP="00534FB5">
            <w:pPr>
              <w:spacing w:line="240" w:lineRule="auto"/>
              <w:contextualSpacing/>
              <w:jc w:val="center"/>
              <w:rPr>
                <w:b/>
              </w:rPr>
            </w:pPr>
            <w:r w:rsidRPr="00E40BFA">
              <w:t>97,86±2,63*</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ОГ2а</w:t>
            </w:r>
          </w:p>
        </w:tc>
        <w:tc>
          <w:tcPr>
            <w:tcW w:w="1843" w:type="dxa"/>
            <w:shd w:val="clear" w:color="auto" w:fill="auto"/>
          </w:tcPr>
          <w:p w:rsidR="00534FB5" w:rsidRPr="002348CA" w:rsidRDefault="00534FB5" w:rsidP="00534FB5">
            <w:pPr>
              <w:spacing w:line="240" w:lineRule="auto"/>
              <w:contextualSpacing/>
              <w:jc w:val="center"/>
              <w:rPr>
                <w:b/>
              </w:rPr>
            </w:pPr>
            <w:r w:rsidRPr="00E40BFA">
              <w:t>75,50±2,24</w:t>
            </w:r>
          </w:p>
        </w:tc>
        <w:tc>
          <w:tcPr>
            <w:tcW w:w="1984" w:type="dxa"/>
            <w:shd w:val="clear" w:color="auto" w:fill="auto"/>
          </w:tcPr>
          <w:p w:rsidR="00534FB5" w:rsidRPr="002348CA" w:rsidRDefault="00534FB5" w:rsidP="00534FB5">
            <w:pPr>
              <w:spacing w:line="240" w:lineRule="auto"/>
              <w:contextualSpacing/>
              <w:jc w:val="center"/>
              <w:rPr>
                <w:b/>
              </w:rPr>
            </w:pPr>
            <w:r w:rsidRPr="00E40BFA">
              <w:t>88,80±4,13</w:t>
            </w:r>
          </w:p>
        </w:tc>
        <w:tc>
          <w:tcPr>
            <w:tcW w:w="2127" w:type="dxa"/>
            <w:shd w:val="clear" w:color="auto" w:fill="auto"/>
          </w:tcPr>
          <w:p w:rsidR="00534FB5" w:rsidRPr="002348CA" w:rsidRDefault="00534FB5" w:rsidP="00534FB5">
            <w:pPr>
              <w:spacing w:line="240" w:lineRule="auto"/>
              <w:contextualSpacing/>
              <w:jc w:val="center"/>
              <w:rPr>
                <w:b/>
              </w:rPr>
            </w:pPr>
            <w:r w:rsidRPr="00E40BFA">
              <w:t>82,74±3,00</w:t>
            </w:r>
          </w:p>
        </w:tc>
        <w:tc>
          <w:tcPr>
            <w:tcW w:w="2233" w:type="dxa"/>
            <w:shd w:val="clear" w:color="auto" w:fill="auto"/>
          </w:tcPr>
          <w:p w:rsidR="00534FB5" w:rsidRPr="002348CA" w:rsidRDefault="00534FB5" w:rsidP="00534FB5">
            <w:pPr>
              <w:spacing w:line="240" w:lineRule="auto"/>
              <w:contextualSpacing/>
              <w:jc w:val="center"/>
              <w:rPr>
                <w:b/>
              </w:rPr>
            </w:pPr>
            <w:r w:rsidRPr="00E40BFA">
              <w:t>88,77±2,51*</w:t>
            </w:r>
          </w:p>
        </w:tc>
      </w:tr>
      <w:tr w:rsidR="00534FB5" w:rsidRPr="002348CA" w:rsidTr="00534FB5">
        <w:tc>
          <w:tcPr>
            <w:tcW w:w="1384" w:type="dxa"/>
            <w:shd w:val="clear" w:color="auto" w:fill="auto"/>
          </w:tcPr>
          <w:p w:rsidR="00534FB5" w:rsidRPr="002348CA" w:rsidRDefault="00534FB5" w:rsidP="00534FB5">
            <w:pPr>
              <w:spacing w:line="240" w:lineRule="auto"/>
              <w:contextualSpacing/>
              <w:jc w:val="center"/>
              <w:rPr>
                <w:b/>
              </w:rPr>
            </w:pPr>
            <w:r w:rsidRPr="00E40BFA">
              <w:t>ОГ3б</w:t>
            </w:r>
          </w:p>
        </w:tc>
        <w:tc>
          <w:tcPr>
            <w:tcW w:w="1843" w:type="dxa"/>
            <w:shd w:val="clear" w:color="auto" w:fill="auto"/>
          </w:tcPr>
          <w:p w:rsidR="00534FB5" w:rsidRPr="002348CA" w:rsidRDefault="00534FB5" w:rsidP="00534FB5">
            <w:pPr>
              <w:spacing w:line="240" w:lineRule="auto"/>
              <w:contextualSpacing/>
              <w:jc w:val="center"/>
              <w:rPr>
                <w:b/>
              </w:rPr>
            </w:pPr>
            <w:r w:rsidRPr="00E40BFA">
              <w:t>75,55±2,85</w:t>
            </w:r>
          </w:p>
        </w:tc>
        <w:tc>
          <w:tcPr>
            <w:tcW w:w="1984" w:type="dxa"/>
            <w:shd w:val="clear" w:color="auto" w:fill="auto"/>
          </w:tcPr>
          <w:p w:rsidR="00534FB5" w:rsidRPr="002348CA" w:rsidRDefault="00534FB5" w:rsidP="00534FB5">
            <w:pPr>
              <w:spacing w:line="240" w:lineRule="auto"/>
              <w:contextualSpacing/>
              <w:jc w:val="center"/>
              <w:rPr>
                <w:b/>
              </w:rPr>
            </w:pPr>
            <w:r w:rsidRPr="00E40BFA">
              <w:t>90,95±2,35</w:t>
            </w:r>
          </w:p>
        </w:tc>
        <w:tc>
          <w:tcPr>
            <w:tcW w:w="2127" w:type="dxa"/>
            <w:shd w:val="clear" w:color="auto" w:fill="auto"/>
          </w:tcPr>
          <w:p w:rsidR="00534FB5" w:rsidRPr="002348CA" w:rsidRDefault="00534FB5" w:rsidP="00534FB5">
            <w:pPr>
              <w:spacing w:line="240" w:lineRule="auto"/>
              <w:contextualSpacing/>
              <w:jc w:val="center"/>
              <w:rPr>
                <w:b/>
              </w:rPr>
            </w:pPr>
            <w:r w:rsidRPr="00E40BFA">
              <w:t>86,30±3,19</w:t>
            </w:r>
          </w:p>
        </w:tc>
        <w:tc>
          <w:tcPr>
            <w:tcW w:w="2233" w:type="dxa"/>
            <w:shd w:val="clear" w:color="auto" w:fill="auto"/>
          </w:tcPr>
          <w:p w:rsidR="00534FB5" w:rsidRPr="002348CA" w:rsidRDefault="00534FB5" w:rsidP="00534FB5">
            <w:pPr>
              <w:spacing w:line="240" w:lineRule="auto"/>
              <w:contextualSpacing/>
              <w:jc w:val="center"/>
              <w:rPr>
                <w:b/>
              </w:rPr>
            </w:pPr>
            <w:r w:rsidRPr="00E40BFA">
              <w:t>99,33±4,51*</w:t>
            </w:r>
          </w:p>
        </w:tc>
      </w:tr>
      <w:tr w:rsidR="00534FB5" w:rsidRPr="002348CA" w:rsidTr="00534FB5">
        <w:tc>
          <w:tcPr>
            <w:tcW w:w="1384" w:type="dxa"/>
            <w:shd w:val="clear" w:color="auto" w:fill="auto"/>
          </w:tcPr>
          <w:p w:rsidR="00534FB5" w:rsidRPr="00E40BFA" w:rsidRDefault="00534FB5" w:rsidP="00534FB5">
            <w:pPr>
              <w:spacing w:line="240" w:lineRule="auto"/>
              <w:contextualSpacing/>
              <w:jc w:val="center"/>
            </w:pPr>
            <w:r w:rsidRPr="00E40BFA">
              <w:t>ОГ3а</w:t>
            </w:r>
          </w:p>
        </w:tc>
        <w:tc>
          <w:tcPr>
            <w:tcW w:w="1843" w:type="dxa"/>
            <w:shd w:val="clear" w:color="auto" w:fill="auto"/>
          </w:tcPr>
          <w:p w:rsidR="00534FB5" w:rsidRPr="00E40BFA" w:rsidRDefault="00534FB5" w:rsidP="00534FB5">
            <w:pPr>
              <w:spacing w:line="240" w:lineRule="auto"/>
              <w:contextualSpacing/>
              <w:jc w:val="center"/>
            </w:pPr>
            <w:r w:rsidRPr="00E40BFA">
              <w:t>75,34±2,59</w:t>
            </w:r>
          </w:p>
        </w:tc>
        <w:tc>
          <w:tcPr>
            <w:tcW w:w="1984" w:type="dxa"/>
            <w:shd w:val="clear" w:color="auto" w:fill="auto"/>
          </w:tcPr>
          <w:p w:rsidR="00534FB5" w:rsidRPr="00E40BFA" w:rsidRDefault="00534FB5" w:rsidP="00534FB5">
            <w:pPr>
              <w:spacing w:line="240" w:lineRule="auto"/>
              <w:contextualSpacing/>
              <w:jc w:val="center"/>
            </w:pPr>
            <w:r w:rsidRPr="00E40BFA">
              <w:t>88,71±2,58</w:t>
            </w:r>
          </w:p>
        </w:tc>
        <w:tc>
          <w:tcPr>
            <w:tcW w:w="2127" w:type="dxa"/>
            <w:shd w:val="clear" w:color="auto" w:fill="auto"/>
          </w:tcPr>
          <w:p w:rsidR="00534FB5" w:rsidRPr="00E40BFA" w:rsidRDefault="00534FB5" w:rsidP="00534FB5">
            <w:pPr>
              <w:spacing w:line="240" w:lineRule="auto"/>
              <w:contextualSpacing/>
              <w:jc w:val="center"/>
            </w:pPr>
            <w:r w:rsidRPr="00E40BFA">
              <w:t>82,74±2,69</w:t>
            </w:r>
          </w:p>
        </w:tc>
        <w:tc>
          <w:tcPr>
            <w:tcW w:w="2233" w:type="dxa"/>
            <w:shd w:val="clear" w:color="auto" w:fill="auto"/>
          </w:tcPr>
          <w:p w:rsidR="00534FB5" w:rsidRPr="00E40BFA" w:rsidRDefault="00534FB5" w:rsidP="00534FB5">
            <w:pPr>
              <w:spacing w:line="240" w:lineRule="auto"/>
              <w:contextualSpacing/>
              <w:jc w:val="center"/>
            </w:pPr>
            <w:r w:rsidRPr="00E40BFA">
              <w:t>90,49±3,25*</w:t>
            </w:r>
          </w:p>
        </w:tc>
      </w:tr>
    </w:tbl>
    <w:p w:rsidR="00534FB5" w:rsidRDefault="00534FB5" w:rsidP="00534FB5">
      <w:pPr>
        <w:ind w:left="-142"/>
        <w:contextualSpacing/>
        <w:rPr>
          <w:sz w:val="24"/>
        </w:rPr>
      </w:pPr>
      <w:r w:rsidRPr="001E1FAE">
        <w:rPr>
          <w:sz w:val="24"/>
        </w:rPr>
        <w:t>Примітка: * –</w:t>
      </w:r>
      <w:r>
        <w:rPr>
          <w:sz w:val="24"/>
        </w:rPr>
        <w:t xml:space="preserve"> </w:t>
      </w:r>
      <w:r w:rsidRPr="001E1FAE">
        <w:rPr>
          <w:color w:val="000000"/>
          <w:spacing w:val="-1"/>
          <w:sz w:val="24"/>
        </w:rPr>
        <w:t xml:space="preserve">достовірна різниця між показниками ОГб/ОГа </w:t>
      </w:r>
      <w:r w:rsidRPr="001E1FAE">
        <w:rPr>
          <w:sz w:val="24"/>
        </w:rPr>
        <w:t>(р≤0,05)</w:t>
      </w:r>
      <w:r>
        <w:rPr>
          <w:sz w:val="24"/>
        </w:rPr>
        <w:t>.</w:t>
      </w:r>
    </w:p>
    <w:p w:rsidR="00534FB5" w:rsidRPr="002D64EA" w:rsidRDefault="00534FB5" w:rsidP="00534FB5">
      <w:pPr>
        <w:ind w:left="-142"/>
        <w:contextualSpacing/>
      </w:pPr>
    </w:p>
    <w:p w:rsidR="00534FB5" w:rsidRDefault="00534FB5" w:rsidP="00534FB5">
      <w:pPr>
        <w:tabs>
          <w:tab w:val="left" w:pos="0"/>
        </w:tabs>
        <w:ind w:firstLine="709"/>
        <w:contextualSpacing/>
      </w:pPr>
      <w:r w:rsidRPr="00376274">
        <w:t>Проведення лікувально-профілактичних заходів, як традиційних</w:t>
      </w:r>
      <w:r>
        <w:t>,</w:t>
      </w:r>
      <w:r w:rsidRPr="00376274">
        <w:t xml:space="preserve"> так і запропонованих, у дітей </w:t>
      </w:r>
      <w:r>
        <w:t>основної групи</w:t>
      </w:r>
      <w:r w:rsidRPr="00376274">
        <w:t xml:space="preserve"> </w:t>
      </w:r>
      <w:r>
        <w:t>сприяло</w:t>
      </w:r>
      <w:r w:rsidRPr="00376274">
        <w:t xml:space="preserve"> по</w:t>
      </w:r>
      <w:r>
        <w:t>ліпш</w:t>
      </w:r>
      <w:r w:rsidRPr="00376274">
        <w:t>енн</w:t>
      </w:r>
      <w:r>
        <w:t>ю</w:t>
      </w:r>
      <w:r w:rsidRPr="00376274">
        <w:t xml:space="preserve"> стану неспецифічної резистентності</w:t>
      </w:r>
      <w:r>
        <w:t xml:space="preserve"> ротової порожнини (</w:t>
      </w:r>
      <w:r w:rsidRPr="00376274">
        <w:t>табл.</w:t>
      </w:r>
      <w:r>
        <w:t> </w:t>
      </w:r>
      <w:r w:rsidRPr="00376274">
        <w:t>4.4.3.1).</w:t>
      </w:r>
    </w:p>
    <w:p w:rsidR="00534FB5" w:rsidRDefault="00534FB5" w:rsidP="00534FB5">
      <w:pPr>
        <w:ind w:firstLine="708"/>
        <w:contextualSpacing/>
      </w:pPr>
      <w:r>
        <w:t>П</w:t>
      </w:r>
      <w:r w:rsidRPr="00E40BFA">
        <w:t xml:space="preserve">ісля проведення лікувально-профілактичних заходів у дітей </w:t>
      </w:r>
      <w:r>
        <w:t>основної групи</w:t>
      </w:r>
      <w:r w:rsidRPr="00E40BFA">
        <w:t xml:space="preserve"> </w:t>
      </w:r>
      <w:r>
        <w:t>виявлено</w:t>
      </w:r>
      <w:r w:rsidRPr="00E40BFA">
        <w:t xml:space="preserve"> підвищення рівня </w:t>
      </w:r>
      <w:r w:rsidRPr="001E7C90">
        <w:rPr>
          <w:rStyle w:val="a9"/>
          <w:bCs/>
          <w:i w:val="0"/>
          <w:iCs w:val="0"/>
          <w:color w:val="000000"/>
        </w:rPr>
        <w:t>sIgA</w:t>
      </w:r>
      <w:r w:rsidRPr="00E40BFA">
        <w:t xml:space="preserve"> (p&lt;0,05) у порівнянні з вихідними даними ОГ лише через рік після початку спостереження. </w:t>
      </w:r>
    </w:p>
    <w:p w:rsidR="00534FB5" w:rsidRDefault="00534FB5" w:rsidP="00534FB5">
      <w:pPr>
        <w:ind w:firstLine="708"/>
        <w:contextualSpacing/>
      </w:pPr>
      <w:r w:rsidRPr="00E40BFA">
        <w:t xml:space="preserve">Порівняння показників рівня sIgA між </w:t>
      </w:r>
      <w:r>
        <w:t>під</w:t>
      </w:r>
      <w:r w:rsidRPr="00E40BFA">
        <w:t xml:space="preserve">групами ОГа та ОГб показало, що в </w:t>
      </w:r>
      <w:r>
        <w:t>під</w:t>
      </w:r>
      <w:r w:rsidRPr="00E40BFA">
        <w:t>групі ОГб рівень sIgA був вищ</w:t>
      </w:r>
      <w:r>
        <w:t>ий</w:t>
      </w:r>
      <w:r w:rsidRPr="00E40BFA">
        <w:t xml:space="preserve"> в середньому в 1,11</w:t>
      </w:r>
      <w:r>
        <w:t> </w:t>
      </w:r>
      <w:r w:rsidRPr="00E40BFA">
        <w:t>раз</w:t>
      </w:r>
      <w:r>
        <w:t>а</w:t>
      </w:r>
      <w:r w:rsidR="00D864D4">
        <w:t> </w:t>
      </w:r>
      <w:r w:rsidRPr="00E40BFA">
        <w:t>(p&lt;0,05), порівняно з аналогічним</w:t>
      </w:r>
      <w:r>
        <w:t>и показниками ОГа (</w:t>
      </w:r>
      <w:r>
        <w:rPr>
          <w:shd w:val="clear" w:color="auto" w:fill="FFFFFF"/>
        </w:rPr>
        <w:t>див.</w:t>
      </w:r>
      <w:r w:rsidR="00D864D4">
        <w:rPr>
          <w:shd w:val="clear" w:color="auto" w:fill="FFFFFF"/>
        </w:rPr>
        <w:t> </w:t>
      </w:r>
      <w:r w:rsidRPr="00E40BFA">
        <w:t>рис.</w:t>
      </w:r>
      <w:r>
        <w:t xml:space="preserve"> 4.4.3.1, </w:t>
      </w:r>
      <w:r>
        <w:rPr>
          <w:shd w:val="clear" w:color="auto" w:fill="FFFFFF"/>
        </w:rPr>
        <w:t>табл. 4.4.3.1</w:t>
      </w:r>
      <w:r w:rsidRPr="00E40BFA">
        <w:t xml:space="preserve">). </w:t>
      </w:r>
    </w:p>
    <w:p w:rsidR="00534FB5" w:rsidRPr="0002243A" w:rsidRDefault="00534FB5" w:rsidP="00534FB5">
      <w:pPr>
        <w:contextualSpacing/>
        <w:rPr>
          <w:sz w:val="10"/>
        </w:rPr>
      </w:pPr>
    </w:p>
    <w:p w:rsidR="00534FB5" w:rsidRPr="00E40BFA" w:rsidRDefault="006C493E" w:rsidP="00534FB5">
      <w:pPr>
        <w:spacing w:line="240" w:lineRule="auto"/>
        <w:contextualSpacing/>
        <w:jc w:val="center"/>
      </w:pPr>
      <w:r>
        <w:rPr>
          <w:noProof/>
          <w:lang w:val="ru-RU"/>
        </w:rPr>
        <w:drawing>
          <wp:inline distT="0" distB="0" distL="0" distR="0">
            <wp:extent cx="4152900" cy="22193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4152900" cy="2219325"/>
                    </a:xfrm>
                    <a:prstGeom prst="rect">
                      <a:avLst/>
                    </a:prstGeom>
                    <a:noFill/>
                    <a:ln w="9525">
                      <a:noFill/>
                      <a:miter lim="800000"/>
                      <a:headEnd/>
                      <a:tailEnd/>
                    </a:ln>
                  </pic:spPr>
                </pic:pic>
              </a:graphicData>
            </a:graphic>
          </wp:inline>
        </w:drawing>
      </w:r>
    </w:p>
    <w:p w:rsidR="00534FB5" w:rsidRDefault="00534FB5" w:rsidP="00534FB5">
      <w:pPr>
        <w:spacing w:line="240" w:lineRule="auto"/>
        <w:ind w:firstLine="709"/>
        <w:contextualSpacing/>
      </w:pPr>
      <w:r w:rsidRPr="00B32824">
        <w:t>Рис. 4.4.3.1</w:t>
      </w:r>
      <w:r>
        <w:t>.</w:t>
      </w:r>
      <w:r w:rsidRPr="00B32824">
        <w:t xml:space="preserve"> Середні показники рівня sIgA у дітей до і після лікування</w:t>
      </w:r>
      <w:r>
        <w:t>.</w:t>
      </w:r>
    </w:p>
    <w:p w:rsidR="00534FB5" w:rsidRPr="001E1FAE" w:rsidRDefault="00534FB5" w:rsidP="00534FB5">
      <w:pPr>
        <w:ind w:firstLine="708"/>
        <w:contextualSpacing/>
        <w:rPr>
          <w:sz w:val="20"/>
        </w:rPr>
      </w:pPr>
    </w:p>
    <w:p w:rsidR="00534FB5" w:rsidRDefault="00534FB5" w:rsidP="00534FB5">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Дослідження рівня лізоциму на етапах лікування показало, що у дітей ОГ після лікування активність лізоциму збільшувалас</w:t>
      </w:r>
      <w:r>
        <w:rPr>
          <w:rFonts w:ascii="Times New Roman" w:hAnsi="Times New Roman"/>
          <w:sz w:val="28"/>
          <w:szCs w:val="28"/>
        </w:rPr>
        <w:t>я</w:t>
      </w:r>
      <w:r w:rsidRPr="002D64EA">
        <w:rPr>
          <w:rFonts w:ascii="Times New Roman" w:hAnsi="Times New Roman"/>
          <w:sz w:val="28"/>
          <w:szCs w:val="28"/>
        </w:rPr>
        <w:t xml:space="preserve"> в середньому в 1,1-1,29</w:t>
      </w:r>
      <w:r>
        <w:rPr>
          <w:rFonts w:ascii="Times New Roman" w:hAnsi="Times New Roman"/>
          <w:sz w:val="28"/>
          <w:szCs w:val="28"/>
        </w:rPr>
        <w:t> </w:t>
      </w:r>
      <w:r w:rsidRPr="002D64EA">
        <w:rPr>
          <w:rFonts w:ascii="Times New Roman" w:hAnsi="Times New Roman"/>
          <w:sz w:val="28"/>
          <w:szCs w:val="28"/>
        </w:rPr>
        <w:t>раз</w:t>
      </w:r>
      <w:r>
        <w:rPr>
          <w:rFonts w:ascii="Times New Roman" w:hAnsi="Times New Roman"/>
          <w:sz w:val="28"/>
          <w:szCs w:val="28"/>
        </w:rPr>
        <w:t>а</w:t>
      </w:r>
      <w:r w:rsidRPr="002D64EA">
        <w:rPr>
          <w:rFonts w:ascii="Times New Roman" w:hAnsi="Times New Roman"/>
          <w:sz w:val="28"/>
          <w:szCs w:val="28"/>
        </w:rPr>
        <w:t xml:space="preserve"> (p&lt;0,001) також тільки через рік (див. табл.</w:t>
      </w:r>
      <w:r>
        <w:rPr>
          <w:rFonts w:ascii="Times New Roman" w:hAnsi="Times New Roman"/>
          <w:sz w:val="28"/>
          <w:szCs w:val="28"/>
        </w:rPr>
        <w:t> </w:t>
      </w:r>
      <w:r w:rsidRPr="002D64EA">
        <w:rPr>
          <w:rFonts w:ascii="Times New Roman" w:hAnsi="Times New Roman"/>
          <w:sz w:val="28"/>
          <w:szCs w:val="28"/>
        </w:rPr>
        <w:t>4.4.3.2).</w:t>
      </w:r>
    </w:p>
    <w:p w:rsidR="00534FB5" w:rsidRPr="002D64EA" w:rsidRDefault="00534FB5" w:rsidP="00534FB5">
      <w:pPr>
        <w:pStyle w:val="22"/>
        <w:spacing w:after="0" w:line="360" w:lineRule="auto"/>
        <w:ind w:left="0" w:firstLine="709"/>
        <w:contextualSpacing/>
        <w:jc w:val="both"/>
        <w:rPr>
          <w:rFonts w:ascii="Times New Roman" w:hAnsi="Times New Roman"/>
          <w:sz w:val="20"/>
          <w:szCs w:val="28"/>
        </w:rPr>
      </w:pPr>
    </w:p>
    <w:p w:rsidR="00534FB5" w:rsidRPr="00B32824" w:rsidRDefault="00534FB5" w:rsidP="00534FB5">
      <w:pPr>
        <w:pStyle w:val="22"/>
        <w:spacing w:line="360" w:lineRule="auto"/>
        <w:jc w:val="right"/>
        <w:rPr>
          <w:rFonts w:ascii="Times New Roman" w:hAnsi="Times New Roman"/>
          <w:i/>
          <w:sz w:val="28"/>
          <w:szCs w:val="28"/>
        </w:rPr>
      </w:pPr>
      <w:r w:rsidRPr="00B32824">
        <w:rPr>
          <w:rFonts w:ascii="Times New Roman" w:hAnsi="Times New Roman"/>
          <w:i/>
          <w:sz w:val="28"/>
          <w:szCs w:val="28"/>
        </w:rPr>
        <w:t>Таблиця 4.4.3.2</w:t>
      </w:r>
    </w:p>
    <w:p w:rsidR="00534FB5" w:rsidRDefault="00534FB5" w:rsidP="00534FB5">
      <w:pPr>
        <w:spacing w:line="240" w:lineRule="auto"/>
        <w:ind w:firstLine="567"/>
        <w:jc w:val="center"/>
        <w:rPr>
          <w:b/>
        </w:rPr>
      </w:pPr>
      <w:r w:rsidRPr="00B32824">
        <w:rPr>
          <w:b/>
        </w:rPr>
        <w:t>Активність лізоциму до та після проведення лікувально-профілактичних заходів у дітей 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vMerge w:val="restart"/>
            <w:shd w:val="clear" w:color="auto" w:fill="auto"/>
          </w:tcPr>
          <w:p w:rsidR="00534FB5" w:rsidRPr="00E42B5D" w:rsidRDefault="00534FB5" w:rsidP="00534FB5">
            <w:pPr>
              <w:spacing w:line="240" w:lineRule="atLeast"/>
              <w:contextualSpacing/>
              <w:jc w:val="center"/>
            </w:pPr>
            <w:r>
              <w:t>Групи дітей</w:t>
            </w:r>
          </w:p>
        </w:tc>
        <w:tc>
          <w:tcPr>
            <w:tcW w:w="8187" w:type="dxa"/>
            <w:gridSpan w:val="4"/>
            <w:shd w:val="clear" w:color="auto" w:fill="auto"/>
          </w:tcPr>
          <w:p w:rsidR="00534FB5" w:rsidRPr="002348CA" w:rsidRDefault="00534FB5" w:rsidP="00534FB5">
            <w:pPr>
              <w:spacing w:line="240" w:lineRule="atLeast"/>
              <w:contextualSpacing/>
              <w:jc w:val="center"/>
              <w:rPr>
                <w:b/>
              </w:rPr>
            </w:pPr>
            <w:r w:rsidRPr="00E40BFA">
              <w:t>Активність лізоциму, у.о./мл, (</w:t>
            </w:r>
            <w:r w:rsidRPr="00E40BFA">
              <w:rPr>
                <w:lang w:val="en-US"/>
              </w:rPr>
              <w:t>M</w:t>
            </w:r>
            <w:r w:rsidRPr="00E40BFA">
              <w:t>±</w:t>
            </w:r>
            <w:r w:rsidRPr="00E40BFA">
              <w:rPr>
                <w:lang w:val="en-US"/>
              </w:rPr>
              <w:t>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tLeast"/>
              <w:contextualSpacing/>
              <w:jc w:val="center"/>
              <w:rPr>
                <w:b/>
              </w:rPr>
            </w:pPr>
          </w:p>
        </w:tc>
        <w:tc>
          <w:tcPr>
            <w:tcW w:w="1843" w:type="dxa"/>
            <w:shd w:val="clear" w:color="auto" w:fill="auto"/>
          </w:tcPr>
          <w:p w:rsidR="00534FB5" w:rsidRPr="001E1FAE" w:rsidRDefault="00534FB5" w:rsidP="00534FB5">
            <w:pPr>
              <w:spacing w:line="240" w:lineRule="atLeast"/>
              <w:contextualSpacing/>
              <w:jc w:val="center"/>
            </w:pPr>
            <w:r w:rsidRPr="001E1FAE">
              <w:t>До лікування</w:t>
            </w:r>
          </w:p>
        </w:tc>
        <w:tc>
          <w:tcPr>
            <w:tcW w:w="1984" w:type="dxa"/>
            <w:shd w:val="clear" w:color="auto" w:fill="auto"/>
          </w:tcPr>
          <w:p w:rsidR="00534FB5" w:rsidRPr="001E1FAE" w:rsidRDefault="00534FB5" w:rsidP="00534FB5">
            <w:pPr>
              <w:spacing w:line="240" w:lineRule="atLeast"/>
              <w:contextualSpacing/>
              <w:jc w:val="center"/>
            </w:pPr>
            <w:r w:rsidRPr="001E1FAE">
              <w:t xml:space="preserve">Через 1 </w:t>
            </w:r>
            <w:r>
              <w:t>місяць</w:t>
            </w:r>
          </w:p>
        </w:tc>
        <w:tc>
          <w:tcPr>
            <w:tcW w:w="2127" w:type="dxa"/>
            <w:shd w:val="clear" w:color="auto" w:fill="auto"/>
          </w:tcPr>
          <w:p w:rsidR="00534FB5" w:rsidRPr="001E1FAE" w:rsidRDefault="00534FB5" w:rsidP="00534FB5">
            <w:pPr>
              <w:spacing w:line="240" w:lineRule="atLeast"/>
              <w:contextualSpacing/>
            </w:pPr>
            <w:r>
              <w:t>Через 6 місяців</w:t>
            </w:r>
          </w:p>
        </w:tc>
        <w:tc>
          <w:tcPr>
            <w:tcW w:w="2233" w:type="dxa"/>
            <w:shd w:val="clear" w:color="auto" w:fill="auto"/>
          </w:tcPr>
          <w:p w:rsidR="00534FB5" w:rsidRPr="001E1FAE" w:rsidRDefault="00534FB5" w:rsidP="00534FB5">
            <w:pPr>
              <w:spacing w:line="240" w:lineRule="atLeast"/>
              <w:contextualSpacing/>
              <w:jc w:val="center"/>
            </w:pPr>
            <w:r>
              <w:t>Через 12 місяців</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ОГ1б</w:t>
            </w:r>
          </w:p>
        </w:tc>
        <w:tc>
          <w:tcPr>
            <w:tcW w:w="1843" w:type="dxa"/>
            <w:shd w:val="clear" w:color="auto" w:fill="auto"/>
          </w:tcPr>
          <w:p w:rsidR="00534FB5" w:rsidRPr="002348CA" w:rsidRDefault="00534FB5" w:rsidP="00534FB5">
            <w:pPr>
              <w:spacing w:line="240" w:lineRule="atLeast"/>
              <w:contextualSpacing/>
              <w:jc w:val="center"/>
              <w:rPr>
                <w:b/>
              </w:rPr>
            </w:pPr>
            <w:r w:rsidRPr="00E40BFA">
              <w:t>33,8±2,13</w:t>
            </w:r>
          </w:p>
        </w:tc>
        <w:tc>
          <w:tcPr>
            <w:tcW w:w="1984" w:type="dxa"/>
            <w:shd w:val="clear" w:color="auto" w:fill="auto"/>
          </w:tcPr>
          <w:p w:rsidR="00534FB5" w:rsidRPr="002348CA" w:rsidRDefault="00534FB5" w:rsidP="00534FB5">
            <w:pPr>
              <w:spacing w:line="240" w:lineRule="atLeast"/>
              <w:contextualSpacing/>
              <w:jc w:val="center"/>
              <w:rPr>
                <w:b/>
              </w:rPr>
            </w:pPr>
            <w:r w:rsidRPr="00E40BFA">
              <w:t>40,5±1,11</w:t>
            </w:r>
          </w:p>
        </w:tc>
        <w:tc>
          <w:tcPr>
            <w:tcW w:w="2127" w:type="dxa"/>
            <w:shd w:val="clear" w:color="auto" w:fill="auto"/>
          </w:tcPr>
          <w:p w:rsidR="00534FB5" w:rsidRPr="002348CA" w:rsidRDefault="00534FB5" w:rsidP="00534FB5">
            <w:pPr>
              <w:spacing w:line="240" w:lineRule="atLeast"/>
              <w:contextualSpacing/>
              <w:jc w:val="center"/>
              <w:rPr>
                <w:b/>
              </w:rPr>
            </w:pPr>
            <w:r w:rsidRPr="00E40BFA">
              <w:t>35,1±1,54</w:t>
            </w:r>
          </w:p>
        </w:tc>
        <w:tc>
          <w:tcPr>
            <w:tcW w:w="2233" w:type="dxa"/>
            <w:shd w:val="clear" w:color="auto" w:fill="auto"/>
          </w:tcPr>
          <w:p w:rsidR="00534FB5" w:rsidRPr="002348CA" w:rsidRDefault="00534FB5" w:rsidP="00534FB5">
            <w:pPr>
              <w:spacing w:line="240" w:lineRule="atLeast"/>
              <w:contextualSpacing/>
              <w:jc w:val="center"/>
              <w:rPr>
                <w:b/>
              </w:rPr>
            </w:pPr>
            <w:r w:rsidRPr="00E40BFA">
              <w:t>53,2±1,41*</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ОГ1а</w:t>
            </w:r>
          </w:p>
        </w:tc>
        <w:tc>
          <w:tcPr>
            <w:tcW w:w="1843" w:type="dxa"/>
            <w:shd w:val="clear" w:color="auto" w:fill="auto"/>
          </w:tcPr>
          <w:p w:rsidR="00534FB5" w:rsidRPr="002348CA" w:rsidRDefault="00534FB5" w:rsidP="00534FB5">
            <w:pPr>
              <w:spacing w:line="240" w:lineRule="atLeast"/>
              <w:contextualSpacing/>
              <w:jc w:val="center"/>
              <w:rPr>
                <w:b/>
              </w:rPr>
            </w:pPr>
            <w:r w:rsidRPr="00E40BFA">
              <w:t>33,5±2,55</w:t>
            </w:r>
          </w:p>
        </w:tc>
        <w:tc>
          <w:tcPr>
            <w:tcW w:w="1984" w:type="dxa"/>
            <w:shd w:val="clear" w:color="auto" w:fill="auto"/>
          </w:tcPr>
          <w:p w:rsidR="00534FB5" w:rsidRPr="002348CA" w:rsidRDefault="00534FB5" w:rsidP="00534FB5">
            <w:pPr>
              <w:spacing w:line="240" w:lineRule="atLeast"/>
              <w:contextualSpacing/>
              <w:jc w:val="center"/>
              <w:rPr>
                <w:b/>
              </w:rPr>
            </w:pPr>
            <w:r w:rsidRPr="00E40BFA">
              <w:t>37,4±2,21</w:t>
            </w:r>
          </w:p>
        </w:tc>
        <w:tc>
          <w:tcPr>
            <w:tcW w:w="2127" w:type="dxa"/>
            <w:shd w:val="clear" w:color="auto" w:fill="auto"/>
          </w:tcPr>
          <w:p w:rsidR="00534FB5" w:rsidRPr="002348CA" w:rsidRDefault="00534FB5" w:rsidP="00534FB5">
            <w:pPr>
              <w:spacing w:line="240" w:lineRule="atLeast"/>
              <w:contextualSpacing/>
              <w:jc w:val="center"/>
              <w:rPr>
                <w:b/>
              </w:rPr>
            </w:pPr>
            <w:r w:rsidRPr="00E40BFA">
              <w:t>33,0±2,12</w:t>
            </w:r>
          </w:p>
        </w:tc>
        <w:tc>
          <w:tcPr>
            <w:tcW w:w="2233" w:type="dxa"/>
            <w:shd w:val="clear" w:color="auto" w:fill="auto"/>
          </w:tcPr>
          <w:p w:rsidR="00534FB5" w:rsidRPr="002348CA" w:rsidRDefault="00534FB5" w:rsidP="00534FB5">
            <w:pPr>
              <w:spacing w:line="240" w:lineRule="atLeast"/>
              <w:contextualSpacing/>
              <w:jc w:val="center"/>
              <w:rPr>
                <w:b/>
              </w:rPr>
            </w:pPr>
            <w:r w:rsidRPr="00E40BFA">
              <w:t>41,9±1,98*</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ОГ2б</w:t>
            </w:r>
          </w:p>
        </w:tc>
        <w:tc>
          <w:tcPr>
            <w:tcW w:w="1843" w:type="dxa"/>
            <w:shd w:val="clear" w:color="auto" w:fill="auto"/>
          </w:tcPr>
          <w:p w:rsidR="00534FB5" w:rsidRPr="002348CA" w:rsidRDefault="00534FB5" w:rsidP="00534FB5">
            <w:pPr>
              <w:spacing w:line="240" w:lineRule="atLeast"/>
              <w:contextualSpacing/>
              <w:jc w:val="center"/>
              <w:rPr>
                <w:b/>
              </w:rPr>
            </w:pPr>
            <w:r w:rsidRPr="00E40BFA">
              <w:t>33,8±1,66</w:t>
            </w:r>
          </w:p>
        </w:tc>
        <w:tc>
          <w:tcPr>
            <w:tcW w:w="1984" w:type="dxa"/>
            <w:shd w:val="clear" w:color="auto" w:fill="auto"/>
          </w:tcPr>
          <w:p w:rsidR="00534FB5" w:rsidRPr="002348CA" w:rsidRDefault="00534FB5" w:rsidP="00534FB5">
            <w:pPr>
              <w:spacing w:line="240" w:lineRule="atLeast"/>
              <w:contextualSpacing/>
              <w:jc w:val="center"/>
              <w:rPr>
                <w:b/>
              </w:rPr>
            </w:pPr>
            <w:r w:rsidRPr="007E614C">
              <w:t>41,1±1,27</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7E614C">
              <w:t>35,2±1,87</w:t>
            </w:r>
          </w:p>
        </w:tc>
        <w:tc>
          <w:tcPr>
            <w:tcW w:w="2233" w:type="dxa"/>
            <w:shd w:val="clear" w:color="auto" w:fill="auto"/>
          </w:tcPr>
          <w:p w:rsidR="00534FB5" w:rsidRPr="002348CA" w:rsidRDefault="00534FB5" w:rsidP="00534FB5">
            <w:pPr>
              <w:spacing w:line="240" w:lineRule="atLeast"/>
              <w:contextualSpacing/>
              <w:jc w:val="center"/>
              <w:rPr>
                <w:b/>
              </w:rPr>
            </w:pPr>
            <w:r w:rsidRPr="007E614C">
              <w:t>54,3±1,09*</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ОГ2а</w:t>
            </w:r>
          </w:p>
        </w:tc>
        <w:tc>
          <w:tcPr>
            <w:tcW w:w="1843" w:type="dxa"/>
            <w:shd w:val="clear" w:color="auto" w:fill="auto"/>
          </w:tcPr>
          <w:p w:rsidR="00534FB5" w:rsidRPr="002348CA" w:rsidRDefault="00534FB5" w:rsidP="00534FB5">
            <w:pPr>
              <w:spacing w:line="240" w:lineRule="atLeast"/>
              <w:contextualSpacing/>
              <w:jc w:val="center"/>
              <w:rPr>
                <w:b/>
              </w:rPr>
            </w:pPr>
            <w:r w:rsidRPr="00E40BFA">
              <w:t>33,1±2,68</w:t>
            </w:r>
          </w:p>
        </w:tc>
        <w:tc>
          <w:tcPr>
            <w:tcW w:w="1984" w:type="dxa"/>
            <w:shd w:val="clear" w:color="auto" w:fill="auto"/>
          </w:tcPr>
          <w:p w:rsidR="00534FB5" w:rsidRPr="002348CA" w:rsidRDefault="00534FB5" w:rsidP="00534FB5">
            <w:pPr>
              <w:spacing w:line="240" w:lineRule="atLeast"/>
              <w:contextualSpacing/>
              <w:jc w:val="center"/>
              <w:rPr>
                <w:b/>
              </w:rPr>
            </w:pPr>
            <w:r w:rsidRPr="007E614C">
              <w:t>36,7±2,17</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7E614C">
              <w:t>32,3±1,28</w:t>
            </w:r>
          </w:p>
        </w:tc>
        <w:tc>
          <w:tcPr>
            <w:tcW w:w="2233" w:type="dxa"/>
            <w:shd w:val="clear" w:color="auto" w:fill="auto"/>
          </w:tcPr>
          <w:p w:rsidR="00534FB5" w:rsidRPr="002348CA" w:rsidRDefault="00534FB5" w:rsidP="00534FB5">
            <w:pPr>
              <w:spacing w:line="240" w:lineRule="atLeast"/>
              <w:contextualSpacing/>
              <w:jc w:val="center"/>
              <w:rPr>
                <w:b/>
              </w:rPr>
            </w:pPr>
            <w:r w:rsidRPr="007E614C">
              <w:t>40,8±1,52*</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ОГ3б</w:t>
            </w:r>
          </w:p>
        </w:tc>
        <w:tc>
          <w:tcPr>
            <w:tcW w:w="1843" w:type="dxa"/>
            <w:shd w:val="clear" w:color="auto" w:fill="auto"/>
          </w:tcPr>
          <w:p w:rsidR="00534FB5" w:rsidRPr="002348CA" w:rsidRDefault="00534FB5" w:rsidP="00534FB5">
            <w:pPr>
              <w:spacing w:line="240" w:lineRule="atLeast"/>
              <w:contextualSpacing/>
              <w:jc w:val="center"/>
              <w:rPr>
                <w:b/>
              </w:rPr>
            </w:pPr>
            <w:r w:rsidRPr="007E614C">
              <w:t>34,1±2,86</w:t>
            </w:r>
          </w:p>
        </w:tc>
        <w:tc>
          <w:tcPr>
            <w:tcW w:w="1984" w:type="dxa"/>
            <w:shd w:val="clear" w:color="auto" w:fill="auto"/>
          </w:tcPr>
          <w:p w:rsidR="00534FB5" w:rsidRPr="002348CA" w:rsidRDefault="00534FB5" w:rsidP="00534FB5">
            <w:pPr>
              <w:spacing w:line="240" w:lineRule="atLeast"/>
              <w:contextualSpacing/>
              <w:jc w:val="center"/>
              <w:rPr>
                <w:b/>
              </w:rPr>
            </w:pPr>
            <w:r w:rsidRPr="007E614C">
              <w:t>40,6±1,83</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7E614C">
              <w:t>35,5±1,85</w:t>
            </w:r>
          </w:p>
        </w:tc>
        <w:tc>
          <w:tcPr>
            <w:tcW w:w="2233" w:type="dxa"/>
            <w:shd w:val="clear" w:color="auto" w:fill="auto"/>
          </w:tcPr>
          <w:p w:rsidR="00534FB5" w:rsidRPr="002348CA" w:rsidRDefault="00534FB5" w:rsidP="00534FB5">
            <w:pPr>
              <w:spacing w:line="240" w:lineRule="atLeast"/>
              <w:contextualSpacing/>
              <w:jc w:val="center"/>
              <w:rPr>
                <w:b/>
              </w:rPr>
            </w:pPr>
            <w:r w:rsidRPr="007E614C">
              <w:t>53,6±0,95*</w:t>
            </w:r>
          </w:p>
        </w:tc>
      </w:tr>
      <w:tr w:rsidR="00534FB5" w:rsidRPr="002348CA" w:rsidTr="00534FB5">
        <w:tc>
          <w:tcPr>
            <w:tcW w:w="1384" w:type="dxa"/>
            <w:shd w:val="clear" w:color="auto" w:fill="auto"/>
          </w:tcPr>
          <w:p w:rsidR="00534FB5" w:rsidRPr="00E40BFA" w:rsidRDefault="00534FB5" w:rsidP="00534FB5">
            <w:pPr>
              <w:spacing w:line="240" w:lineRule="atLeast"/>
              <w:contextualSpacing/>
              <w:jc w:val="center"/>
            </w:pPr>
            <w:r w:rsidRPr="00E40BFA">
              <w:t>ОГ3а</w:t>
            </w:r>
          </w:p>
        </w:tc>
        <w:tc>
          <w:tcPr>
            <w:tcW w:w="1843" w:type="dxa"/>
            <w:shd w:val="clear" w:color="auto" w:fill="auto"/>
          </w:tcPr>
          <w:p w:rsidR="00534FB5" w:rsidRPr="00E40BFA" w:rsidRDefault="00534FB5" w:rsidP="00534FB5">
            <w:pPr>
              <w:spacing w:line="240" w:lineRule="atLeast"/>
              <w:contextualSpacing/>
              <w:jc w:val="center"/>
            </w:pPr>
            <w:r w:rsidRPr="007E614C">
              <w:t>33,2±1,57</w:t>
            </w:r>
          </w:p>
        </w:tc>
        <w:tc>
          <w:tcPr>
            <w:tcW w:w="1984" w:type="dxa"/>
            <w:shd w:val="clear" w:color="auto" w:fill="auto"/>
          </w:tcPr>
          <w:p w:rsidR="00534FB5" w:rsidRPr="00E40BFA" w:rsidRDefault="00534FB5" w:rsidP="00534FB5">
            <w:pPr>
              <w:spacing w:line="240" w:lineRule="atLeast"/>
              <w:contextualSpacing/>
              <w:jc w:val="center"/>
            </w:pPr>
            <w:r w:rsidRPr="007E614C">
              <w:t>36,8±1,82</w:t>
            </w:r>
            <w:r w:rsidR="00EB72B7" w:rsidRPr="00E40BFA">
              <w:t>*</w:t>
            </w:r>
          </w:p>
        </w:tc>
        <w:tc>
          <w:tcPr>
            <w:tcW w:w="2127" w:type="dxa"/>
            <w:shd w:val="clear" w:color="auto" w:fill="auto"/>
          </w:tcPr>
          <w:p w:rsidR="00534FB5" w:rsidRPr="00E40BFA" w:rsidRDefault="00534FB5" w:rsidP="00534FB5">
            <w:pPr>
              <w:spacing w:line="240" w:lineRule="atLeast"/>
              <w:contextualSpacing/>
              <w:jc w:val="center"/>
            </w:pPr>
            <w:r w:rsidRPr="007E614C">
              <w:t>32,7±1,84</w:t>
            </w:r>
          </w:p>
        </w:tc>
        <w:tc>
          <w:tcPr>
            <w:tcW w:w="2233" w:type="dxa"/>
            <w:shd w:val="clear" w:color="auto" w:fill="auto"/>
          </w:tcPr>
          <w:p w:rsidR="00534FB5" w:rsidRPr="00E40BFA" w:rsidRDefault="00534FB5" w:rsidP="00534FB5">
            <w:pPr>
              <w:spacing w:line="240" w:lineRule="atLeast"/>
              <w:contextualSpacing/>
              <w:jc w:val="center"/>
            </w:pPr>
            <w:r w:rsidRPr="007E614C">
              <w:t>41,1±0,90*</w:t>
            </w:r>
          </w:p>
        </w:tc>
      </w:tr>
    </w:tbl>
    <w:p w:rsidR="00534FB5" w:rsidRPr="001E1FAE" w:rsidRDefault="00534FB5" w:rsidP="00534FB5">
      <w:pPr>
        <w:ind w:left="-142"/>
        <w:contextualSpacing/>
        <w:rPr>
          <w:sz w:val="24"/>
          <w:szCs w:val="24"/>
        </w:rPr>
      </w:pPr>
      <w:r w:rsidRPr="001E1FAE">
        <w:rPr>
          <w:sz w:val="24"/>
          <w:szCs w:val="24"/>
        </w:rPr>
        <w:t>Примітка: * –</w:t>
      </w:r>
      <w:r>
        <w:rPr>
          <w:sz w:val="24"/>
          <w:szCs w:val="24"/>
        </w:rPr>
        <w:t xml:space="preserve"> </w:t>
      </w:r>
      <w:r w:rsidRPr="001E1FAE">
        <w:rPr>
          <w:color w:val="000000"/>
          <w:spacing w:val="-1"/>
          <w:sz w:val="24"/>
          <w:szCs w:val="24"/>
        </w:rPr>
        <w:t xml:space="preserve">достовірна різниця між показниками ОГб/ОГа </w:t>
      </w:r>
      <w:r w:rsidRPr="001E1FAE">
        <w:rPr>
          <w:sz w:val="24"/>
          <w:szCs w:val="24"/>
        </w:rPr>
        <w:t>(р≤0,05)</w:t>
      </w:r>
      <w:r>
        <w:rPr>
          <w:sz w:val="24"/>
          <w:szCs w:val="24"/>
        </w:rPr>
        <w:t>.</w:t>
      </w:r>
    </w:p>
    <w:p w:rsidR="00534FB5" w:rsidRPr="00E40BFA" w:rsidRDefault="00534FB5" w:rsidP="00534FB5">
      <w:pPr>
        <w:ind w:firstLine="708"/>
        <w:contextualSpacing/>
      </w:pPr>
      <w:r w:rsidRPr="00E40BFA">
        <w:t>Рівень активності лізоциму при застосуванні традиційного лікувально-профілактичного комплексу</w:t>
      </w:r>
      <w:r>
        <w:t>,</w:t>
      </w:r>
      <w:r w:rsidRPr="00E40BFA">
        <w:t xml:space="preserve"> порівняно з вихідними даними, практично не змінювався – в середньому (36,98±1,62) у.о./мл проти (33,58±2,24) у.о./мл, тоді як після застосування запропонованого комплексу рівень активності лізоциму становив </w:t>
      </w:r>
      <w:r>
        <w:t>у</w:t>
      </w:r>
      <w:r w:rsidRPr="00E40BFA">
        <w:t xml:space="preserve"> середньому (43,22±1,76) у.о./мл. Тобто активність лізоциму збільшувалас</w:t>
      </w:r>
      <w:r>
        <w:t>я</w:t>
      </w:r>
      <w:r w:rsidRPr="00E40BFA">
        <w:t xml:space="preserve"> через рік після застосування запропонованого комплексу, але показники вказаного ферменту так і не вийшли на рівень показників дітей КГ (в середньому (60,2±2,93) у.о./мл). </w:t>
      </w:r>
    </w:p>
    <w:p w:rsidR="00534FB5" w:rsidRDefault="00534FB5" w:rsidP="00534FB5">
      <w:pPr>
        <w:ind w:firstLine="708"/>
        <w:contextualSpacing/>
      </w:pPr>
      <w:r w:rsidRPr="00E40BFA">
        <w:t>Однак результати досліджень свідчать, що у групі дітей, які отримували запропонований лікувально-профілактичний комплекс через рік спостережень рівень активності лізоциму був достовірно вищ</w:t>
      </w:r>
      <w:r>
        <w:t>ий –</w:t>
      </w:r>
      <w:r w:rsidRPr="00E40BFA">
        <w:t xml:space="preserve"> в середньому в 1,17</w:t>
      </w:r>
      <w:r>
        <w:t> </w:t>
      </w:r>
      <w:r w:rsidRPr="00E40BFA">
        <w:t>раз</w:t>
      </w:r>
      <w:r>
        <w:t>а</w:t>
      </w:r>
      <w:r w:rsidRPr="00E40BFA">
        <w:t xml:space="preserve"> (p&lt;0,001), порівняно з групою дітей, які отримували традиційну схему </w:t>
      </w:r>
      <w:r>
        <w:t>лікування та профілактики (див. рис. 4.4.3.2</w:t>
      </w:r>
      <w:r w:rsidRPr="00E40BFA">
        <w:t>).</w:t>
      </w:r>
    </w:p>
    <w:p w:rsidR="00534FB5" w:rsidRDefault="00534FB5" w:rsidP="00534FB5">
      <w:pPr>
        <w:contextualSpacing/>
      </w:pPr>
    </w:p>
    <w:p w:rsidR="00534FB5" w:rsidRPr="00E40BFA" w:rsidRDefault="006C493E" w:rsidP="00534FB5">
      <w:pPr>
        <w:contextualSpacing/>
        <w:jc w:val="center"/>
      </w:pPr>
      <w:r>
        <w:rPr>
          <w:noProof/>
          <w:lang w:val="ru-RU"/>
        </w:rPr>
        <w:lastRenderedPageBreak/>
        <w:drawing>
          <wp:inline distT="0" distB="0" distL="0" distR="0">
            <wp:extent cx="4152900" cy="22193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4152900" cy="2219325"/>
                    </a:xfrm>
                    <a:prstGeom prst="rect">
                      <a:avLst/>
                    </a:prstGeom>
                    <a:noFill/>
                    <a:ln w="9525">
                      <a:noFill/>
                      <a:miter lim="800000"/>
                      <a:headEnd/>
                      <a:tailEnd/>
                    </a:ln>
                  </pic:spPr>
                </pic:pic>
              </a:graphicData>
            </a:graphic>
          </wp:inline>
        </w:drawing>
      </w:r>
    </w:p>
    <w:p w:rsidR="00534FB5" w:rsidRDefault="00534FB5" w:rsidP="00534FB5">
      <w:pPr>
        <w:ind w:firstLine="709"/>
        <w:contextualSpacing/>
      </w:pPr>
      <w:r>
        <w:t>Рис. 4.4.3.2</w:t>
      </w:r>
      <w:r w:rsidRPr="00E40BFA">
        <w:t>.</w:t>
      </w:r>
      <w:r w:rsidRPr="00E40BFA">
        <w:tab/>
      </w:r>
      <w:r>
        <w:t xml:space="preserve"> </w:t>
      </w:r>
      <w:r w:rsidRPr="00E40BFA">
        <w:t>Середні показники активності лізоциму у дітей до і після лікування.</w:t>
      </w:r>
    </w:p>
    <w:p w:rsidR="00534FB5" w:rsidRPr="00E40BFA" w:rsidRDefault="00534FB5" w:rsidP="00534FB5">
      <w:pPr>
        <w:contextualSpacing/>
      </w:pP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 xml:space="preserve">Відомо, що дуже багато бактерій продукують уреазу, тому за рівнем цього ензиму можливо судити про </w:t>
      </w:r>
      <w:r>
        <w:rPr>
          <w:rFonts w:ascii="Times New Roman" w:hAnsi="Times New Roman"/>
          <w:sz w:val="28"/>
          <w:szCs w:val="28"/>
        </w:rPr>
        <w:t>чисельність бактерій у ротовій порожнині</w:t>
      </w:r>
      <w:r w:rsidR="00D6210C">
        <w:rPr>
          <w:rFonts w:ascii="Times New Roman" w:hAnsi="Times New Roman"/>
          <w:sz w:val="28"/>
          <w:szCs w:val="28"/>
        </w:rPr>
        <w:t xml:space="preserve"> </w:t>
      </w:r>
      <w:r w:rsidRPr="002D64EA">
        <w:rPr>
          <w:rFonts w:ascii="Times New Roman" w:hAnsi="Times New Roman"/>
          <w:sz w:val="28"/>
          <w:szCs w:val="28"/>
        </w:rPr>
        <w:t>(див.</w:t>
      </w:r>
      <w:r>
        <w:rPr>
          <w:rFonts w:ascii="Times New Roman" w:hAnsi="Times New Roman"/>
          <w:sz w:val="28"/>
          <w:szCs w:val="28"/>
        </w:rPr>
        <w:t xml:space="preserve"> </w:t>
      </w:r>
      <w:r w:rsidRPr="002D64EA">
        <w:rPr>
          <w:rFonts w:ascii="Times New Roman" w:hAnsi="Times New Roman"/>
          <w:sz w:val="28"/>
          <w:szCs w:val="28"/>
        </w:rPr>
        <w:t>табл. 4.4.3.3).</w:t>
      </w:r>
      <w:r>
        <w:rPr>
          <w:rFonts w:ascii="Times New Roman" w:hAnsi="Times New Roman"/>
          <w:sz w:val="28"/>
          <w:szCs w:val="28"/>
        </w:rPr>
        <w:t xml:space="preserve"> </w:t>
      </w:r>
    </w:p>
    <w:p w:rsidR="00534FB5" w:rsidRPr="00870AD7" w:rsidRDefault="00534FB5" w:rsidP="00534FB5">
      <w:pPr>
        <w:pStyle w:val="22"/>
        <w:spacing w:line="240" w:lineRule="auto"/>
        <w:contextualSpacing/>
        <w:jc w:val="right"/>
        <w:rPr>
          <w:rFonts w:ascii="Times New Roman" w:hAnsi="Times New Roman"/>
          <w:i/>
          <w:sz w:val="28"/>
          <w:szCs w:val="28"/>
        </w:rPr>
      </w:pPr>
      <w:r w:rsidRPr="00870AD7">
        <w:rPr>
          <w:rFonts w:ascii="Times New Roman" w:hAnsi="Times New Roman"/>
          <w:i/>
          <w:sz w:val="28"/>
          <w:szCs w:val="28"/>
        </w:rPr>
        <w:t>Таблиця 4.4.3.3</w:t>
      </w:r>
    </w:p>
    <w:p w:rsidR="00534FB5" w:rsidRDefault="00534FB5" w:rsidP="00534FB5">
      <w:pPr>
        <w:ind w:firstLine="567"/>
        <w:contextualSpacing/>
        <w:jc w:val="center"/>
        <w:rPr>
          <w:b/>
        </w:rPr>
      </w:pPr>
      <w:r w:rsidRPr="00870AD7">
        <w:rPr>
          <w:b/>
        </w:rPr>
        <w:t>Активність уреази до та після проведення лікувально-профілактичних заходів у дітей 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348CA" w:rsidTr="00534FB5">
        <w:tc>
          <w:tcPr>
            <w:tcW w:w="1384" w:type="dxa"/>
            <w:vMerge w:val="restart"/>
            <w:shd w:val="clear" w:color="auto" w:fill="auto"/>
          </w:tcPr>
          <w:p w:rsidR="00534FB5" w:rsidRPr="00E42B5D" w:rsidRDefault="00534FB5" w:rsidP="00534FB5">
            <w:pPr>
              <w:spacing w:line="240" w:lineRule="atLeast"/>
              <w:contextualSpacing/>
              <w:jc w:val="center"/>
            </w:pPr>
            <w:r>
              <w:t>Групи дітей</w:t>
            </w:r>
          </w:p>
        </w:tc>
        <w:tc>
          <w:tcPr>
            <w:tcW w:w="8187" w:type="dxa"/>
            <w:gridSpan w:val="4"/>
            <w:shd w:val="clear" w:color="auto" w:fill="auto"/>
          </w:tcPr>
          <w:p w:rsidR="00534FB5" w:rsidRPr="002348CA" w:rsidRDefault="00534FB5" w:rsidP="00534FB5">
            <w:pPr>
              <w:spacing w:line="240" w:lineRule="atLeast"/>
              <w:contextualSpacing/>
              <w:jc w:val="center"/>
              <w:rPr>
                <w:b/>
              </w:rPr>
            </w:pPr>
            <w:r w:rsidRPr="00E40BFA">
              <w:t>Активність уреази,</w:t>
            </w:r>
            <w:r>
              <w:t xml:space="preserve"> </w:t>
            </w:r>
            <w:r w:rsidRPr="00945B27">
              <w:rPr>
                <w:spacing w:val="-20"/>
              </w:rPr>
              <w:t>мкмоль/хв/л</w:t>
            </w:r>
            <w:r w:rsidRPr="00E40BFA">
              <w:t>, (</w:t>
            </w:r>
            <w:r w:rsidRPr="00E40BFA">
              <w:rPr>
                <w:lang w:val="en-US"/>
              </w:rPr>
              <w:t>M</w:t>
            </w:r>
            <w:r w:rsidRPr="00E40BFA">
              <w:t>±</w:t>
            </w:r>
            <w:r w:rsidRPr="00E40BFA">
              <w:rPr>
                <w:lang w:val="en-US"/>
              </w:rPr>
              <w:t>m</w:t>
            </w:r>
            <w:r w:rsidRPr="00E40BFA">
              <w:t>)</w:t>
            </w:r>
          </w:p>
        </w:tc>
      </w:tr>
      <w:tr w:rsidR="00534FB5" w:rsidRPr="002348CA" w:rsidTr="00534FB5">
        <w:tc>
          <w:tcPr>
            <w:tcW w:w="1384" w:type="dxa"/>
            <w:vMerge/>
            <w:shd w:val="clear" w:color="auto" w:fill="auto"/>
          </w:tcPr>
          <w:p w:rsidR="00534FB5" w:rsidRPr="002348CA" w:rsidRDefault="00534FB5" w:rsidP="00534FB5">
            <w:pPr>
              <w:spacing w:line="240" w:lineRule="atLeast"/>
              <w:contextualSpacing/>
              <w:jc w:val="center"/>
              <w:rPr>
                <w:b/>
              </w:rPr>
            </w:pPr>
          </w:p>
        </w:tc>
        <w:tc>
          <w:tcPr>
            <w:tcW w:w="1843" w:type="dxa"/>
            <w:shd w:val="clear" w:color="auto" w:fill="auto"/>
          </w:tcPr>
          <w:p w:rsidR="00534FB5" w:rsidRPr="001E1FAE" w:rsidRDefault="00534FB5" w:rsidP="00534FB5">
            <w:pPr>
              <w:spacing w:line="240" w:lineRule="atLeast"/>
              <w:contextualSpacing/>
              <w:jc w:val="center"/>
            </w:pPr>
            <w:r w:rsidRPr="001E1FAE">
              <w:t>До лікування</w:t>
            </w:r>
          </w:p>
        </w:tc>
        <w:tc>
          <w:tcPr>
            <w:tcW w:w="1984" w:type="dxa"/>
            <w:shd w:val="clear" w:color="auto" w:fill="auto"/>
          </w:tcPr>
          <w:p w:rsidR="00534FB5" w:rsidRPr="001E1FAE" w:rsidRDefault="00534FB5" w:rsidP="00534FB5">
            <w:pPr>
              <w:spacing w:line="240" w:lineRule="atLeast"/>
              <w:contextualSpacing/>
              <w:jc w:val="center"/>
            </w:pPr>
            <w:r w:rsidRPr="001E1FAE">
              <w:t xml:space="preserve">Через 1 </w:t>
            </w:r>
            <w:r>
              <w:t>місяць</w:t>
            </w:r>
          </w:p>
        </w:tc>
        <w:tc>
          <w:tcPr>
            <w:tcW w:w="2127" w:type="dxa"/>
            <w:shd w:val="clear" w:color="auto" w:fill="auto"/>
          </w:tcPr>
          <w:p w:rsidR="00534FB5" w:rsidRPr="001E1FAE" w:rsidRDefault="00534FB5" w:rsidP="00534FB5">
            <w:pPr>
              <w:spacing w:line="240" w:lineRule="atLeast"/>
              <w:contextualSpacing/>
            </w:pPr>
            <w:r>
              <w:t>Через 6 місяців</w:t>
            </w:r>
          </w:p>
        </w:tc>
        <w:tc>
          <w:tcPr>
            <w:tcW w:w="2233" w:type="dxa"/>
            <w:shd w:val="clear" w:color="auto" w:fill="auto"/>
          </w:tcPr>
          <w:p w:rsidR="00534FB5" w:rsidRPr="001E1FAE" w:rsidRDefault="00534FB5" w:rsidP="00534FB5">
            <w:pPr>
              <w:spacing w:line="240" w:lineRule="atLeast"/>
              <w:contextualSpacing/>
              <w:jc w:val="center"/>
            </w:pPr>
            <w:r>
              <w:t>Через 12 місяців</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ОГ1б</w:t>
            </w:r>
          </w:p>
        </w:tc>
        <w:tc>
          <w:tcPr>
            <w:tcW w:w="1843" w:type="dxa"/>
            <w:shd w:val="clear" w:color="auto" w:fill="auto"/>
          </w:tcPr>
          <w:p w:rsidR="00534FB5" w:rsidRPr="002348CA" w:rsidRDefault="00534FB5" w:rsidP="00534FB5">
            <w:pPr>
              <w:spacing w:line="240" w:lineRule="atLeast"/>
              <w:contextualSpacing/>
              <w:jc w:val="center"/>
              <w:rPr>
                <w:b/>
              </w:rPr>
            </w:pPr>
            <w:r w:rsidRPr="00E40BFA">
              <w:t>9,52±0,21</w:t>
            </w:r>
          </w:p>
        </w:tc>
        <w:tc>
          <w:tcPr>
            <w:tcW w:w="1984" w:type="dxa"/>
            <w:shd w:val="clear" w:color="auto" w:fill="auto"/>
          </w:tcPr>
          <w:p w:rsidR="00534FB5" w:rsidRPr="002348CA" w:rsidRDefault="00534FB5" w:rsidP="00534FB5">
            <w:pPr>
              <w:spacing w:line="240" w:lineRule="atLeast"/>
              <w:contextualSpacing/>
              <w:jc w:val="center"/>
              <w:rPr>
                <w:b/>
              </w:rPr>
            </w:pPr>
            <w:r w:rsidRPr="00E40BFA">
              <w:t>7,49±0,18</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E40BFA">
              <w:t>8,19±0,36</w:t>
            </w:r>
          </w:p>
        </w:tc>
        <w:tc>
          <w:tcPr>
            <w:tcW w:w="2233" w:type="dxa"/>
            <w:shd w:val="clear" w:color="auto" w:fill="auto"/>
          </w:tcPr>
          <w:p w:rsidR="00534FB5" w:rsidRPr="002348CA" w:rsidRDefault="00534FB5" w:rsidP="00534FB5">
            <w:pPr>
              <w:spacing w:line="240" w:lineRule="atLeast"/>
              <w:contextualSpacing/>
              <w:jc w:val="center"/>
              <w:rPr>
                <w:b/>
              </w:rPr>
            </w:pPr>
            <w:r w:rsidRPr="00E40BFA">
              <w:t>4,51±0,23*</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ОГ1а</w:t>
            </w:r>
          </w:p>
        </w:tc>
        <w:tc>
          <w:tcPr>
            <w:tcW w:w="1843" w:type="dxa"/>
            <w:shd w:val="clear" w:color="auto" w:fill="auto"/>
          </w:tcPr>
          <w:p w:rsidR="00534FB5" w:rsidRPr="002348CA" w:rsidRDefault="00534FB5" w:rsidP="00534FB5">
            <w:pPr>
              <w:spacing w:line="240" w:lineRule="atLeast"/>
              <w:contextualSpacing/>
              <w:jc w:val="center"/>
              <w:rPr>
                <w:b/>
              </w:rPr>
            </w:pPr>
            <w:r w:rsidRPr="00E40BFA">
              <w:t>9,53±0,31</w:t>
            </w:r>
          </w:p>
        </w:tc>
        <w:tc>
          <w:tcPr>
            <w:tcW w:w="1984" w:type="dxa"/>
            <w:shd w:val="clear" w:color="auto" w:fill="auto"/>
          </w:tcPr>
          <w:p w:rsidR="00534FB5" w:rsidRPr="002348CA" w:rsidRDefault="00534FB5" w:rsidP="00534FB5">
            <w:pPr>
              <w:spacing w:line="240" w:lineRule="atLeast"/>
              <w:contextualSpacing/>
              <w:jc w:val="center"/>
              <w:rPr>
                <w:b/>
              </w:rPr>
            </w:pPr>
            <w:r w:rsidRPr="00E40BFA">
              <w:t>7,96±0,25</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E40BFA">
              <w:t>8,80±0,42</w:t>
            </w:r>
          </w:p>
        </w:tc>
        <w:tc>
          <w:tcPr>
            <w:tcW w:w="2233" w:type="dxa"/>
            <w:shd w:val="clear" w:color="auto" w:fill="auto"/>
          </w:tcPr>
          <w:p w:rsidR="00534FB5" w:rsidRPr="002348CA" w:rsidRDefault="00534FB5" w:rsidP="00534FB5">
            <w:pPr>
              <w:spacing w:line="240" w:lineRule="atLeast"/>
              <w:contextualSpacing/>
              <w:jc w:val="center"/>
              <w:rPr>
                <w:b/>
              </w:rPr>
            </w:pPr>
            <w:r w:rsidRPr="00E40BFA">
              <w:t>5,43±0,31*</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ОГ2б</w:t>
            </w:r>
          </w:p>
        </w:tc>
        <w:tc>
          <w:tcPr>
            <w:tcW w:w="1843" w:type="dxa"/>
            <w:shd w:val="clear" w:color="auto" w:fill="auto"/>
          </w:tcPr>
          <w:p w:rsidR="00534FB5" w:rsidRPr="002348CA" w:rsidRDefault="00534FB5" w:rsidP="00534FB5">
            <w:pPr>
              <w:spacing w:line="240" w:lineRule="atLeast"/>
              <w:contextualSpacing/>
              <w:jc w:val="center"/>
              <w:rPr>
                <w:b/>
              </w:rPr>
            </w:pPr>
            <w:r w:rsidRPr="00E40BFA">
              <w:t>9,51±0,61</w:t>
            </w:r>
          </w:p>
        </w:tc>
        <w:tc>
          <w:tcPr>
            <w:tcW w:w="1984" w:type="dxa"/>
            <w:shd w:val="clear" w:color="auto" w:fill="auto"/>
          </w:tcPr>
          <w:p w:rsidR="00534FB5" w:rsidRPr="002348CA" w:rsidRDefault="00534FB5" w:rsidP="00534FB5">
            <w:pPr>
              <w:spacing w:line="240" w:lineRule="atLeast"/>
              <w:contextualSpacing/>
              <w:jc w:val="center"/>
              <w:rPr>
                <w:b/>
              </w:rPr>
            </w:pPr>
            <w:r w:rsidRPr="00E40BFA">
              <w:t>7,52±0,29</w:t>
            </w:r>
          </w:p>
        </w:tc>
        <w:tc>
          <w:tcPr>
            <w:tcW w:w="2127" w:type="dxa"/>
            <w:shd w:val="clear" w:color="auto" w:fill="auto"/>
          </w:tcPr>
          <w:p w:rsidR="00534FB5" w:rsidRPr="002348CA" w:rsidRDefault="00534FB5" w:rsidP="00534FB5">
            <w:pPr>
              <w:spacing w:line="240" w:lineRule="atLeast"/>
              <w:contextualSpacing/>
              <w:jc w:val="center"/>
              <w:rPr>
                <w:b/>
              </w:rPr>
            </w:pPr>
            <w:r w:rsidRPr="00E40BFA">
              <w:t>8,15±0,30</w:t>
            </w:r>
          </w:p>
        </w:tc>
        <w:tc>
          <w:tcPr>
            <w:tcW w:w="2233" w:type="dxa"/>
            <w:shd w:val="clear" w:color="auto" w:fill="auto"/>
          </w:tcPr>
          <w:p w:rsidR="00534FB5" w:rsidRPr="002348CA" w:rsidRDefault="00534FB5" w:rsidP="00534FB5">
            <w:pPr>
              <w:spacing w:line="240" w:lineRule="atLeast"/>
              <w:contextualSpacing/>
              <w:jc w:val="center"/>
              <w:rPr>
                <w:b/>
              </w:rPr>
            </w:pPr>
            <w:r w:rsidRPr="00E40BFA">
              <w:t>4,50±0,18*</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ОГ2а</w:t>
            </w:r>
          </w:p>
        </w:tc>
        <w:tc>
          <w:tcPr>
            <w:tcW w:w="1843" w:type="dxa"/>
            <w:shd w:val="clear" w:color="auto" w:fill="auto"/>
          </w:tcPr>
          <w:p w:rsidR="00534FB5" w:rsidRPr="002348CA" w:rsidRDefault="00534FB5" w:rsidP="00534FB5">
            <w:pPr>
              <w:spacing w:line="240" w:lineRule="atLeast"/>
              <w:contextualSpacing/>
              <w:jc w:val="center"/>
              <w:rPr>
                <w:b/>
              </w:rPr>
            </w:pPr>
            <w:r w:rsidRPr="00E40BFA">
              <w:t>9,49±0,51</w:t>
            </w:r>
          </w:p>
        </w:tc>
        <w:tc>
          <w:tcPr>
            <w:tcW w:w="1984" w:type="dxa"/>
            <w:shd w:val="clear" w:color="auto" w:fill="auto"/>
          </w:tcPr>
          <w:p w:rsidR="00534FB5" w:rsidRPr="002348CA" w:rsidRDefault="00534FB5" w:rsidP="00534FB5">
            <w:pPr>
              <w:spacing w:line="240" w:lineRule="atLeast"/>
              <w:contextualSpacing/>
              <w:jc w:val="center"/>
              <w:rPr>
                <w:b/>
              </w:rPr>
            </w:pPr>
            <w:r w:rsidRPr="00E40BFA">
              <w:t>8,08±0,32</w:t>
            </w:r>
          </w:p>
        </w:tc>
        <w:tc>
          <w:tcPr>
            <w:tcW w:w="2127" w:type="dxa"/>
            <w:shd w:val="clear" w:color="auto" w:fill="auto"/>
          </w:tcPr>
          <w:p w:rsidR="00534FB5" w:rsidRPr="002348CA" w:rsidRDefault="00534FB5" w:rsidP="00534FB5">
            <w:pPr>
              <w:spacing w:line="240" w:lineRule="atLeast"/>
              <w:contextualSpacing/>
              <w:jc w:val="center"/>
              <w:rPr>
                <w:b/>
              </w:rPr>
            </w:pPr>
            <w:r w:rsidRPr="00E40BFA">
              <w:t>8,86±0,45</w:t>
            </w:r>
          </w:p>
        </w:tc>
        <w:tc>
          <w:tcPr>
            <w:tcW w:w="2233" w:type="dxa"/>
            <w:shd w:val="clear" w:color="auto" w:fill="auto"/>
          </w:tcPr>
          <w:p w:rsidR="00534FB5" w:rsidRPr="002348CA" w:rsidRDefault="00534FB5" w:rsidP="00534FB5">
            <w:pPr>
              <w:spacing w:line="240" w:lineRule="atLeast"/>
              <w:contextualSpacing/>
              <w:jc w:val="center"/>
              <w:rPr>
                <w:b/>
              </w:rPr>
            </w:pPr>
            <w:r w:rsidRPr="00E40BFA">
              <w:t>5,52±0,18*</w:t>
            </w:r>
          </w:p>
        </w:tc>
      </w:tr>
      <w:tr w:rsidR="00534FB5" w:rsidRPr="002348CA" w:rsidTr="00534FB5">
        <w:tc>
          <w:tcPr>
            <w:tcW w:w="1384" w:type="dxa"/>
            <w:shd w:val="clear" w:color="auto" w:fill="auto"/>
          </w:tcPr>
          <w:p w:rsidR="00534FB5" w:rsidRPr="002348CA" w:rsidRDefault="00534FB5" w:rsidP="00534FB5">
            <w:pPr>
              <w:spacing w:line="240" w:lineRule="atLeast"/>
              <w:contextualSpacing/>
              <w:jc w:val="center"/>
              <w:rPr>
                <w:b/>
              </w:rPr>
            </w:pPr>
            <w:r w:rsidRPr="00E40BFA">
              <w:t>ОГ3б</w:t>
            </w:r>
          </w:p>
        </w:tc>
        <w:tc>
          <w:tcPr>
            <w:tcW w:w="1843" w:type="dxa"/>
            <w:shd w:val="clear" w:color="auto" w:fill="auto"/>
          </w:tcPr>
          <w:p w:rsidR="00534FB5" w:rsidRPr="002348CA" w:rsidRDefault="00534FB5" w:rsidP="00534FB5">
            <w:pPr>
              <w:spacing w:line="240" w:lineRule="atLeast"/>
              <w:contextualSpacing/>
              <w:jc w:val="center"/>
              <w:rPr>
                <w:b/>
              </w:rPr>
            </w:pPr>
            <w:r w:rsidRPr="007E614C">
              <w:t>9,52±0,18</w:t>
            </w:r>
          </w:p>
        </w:tc>
        <w:tc>
          <w:tcPr>
            <w:tcW w:w="1984" w:type="dxa"/>
            <w:shd w:val="clear" w:color="auto" w:fill="auto"/>
          </w:tcPr>
          <w:p w:rsidR="00534FB5" w:rsidRPr="002348CA" w:rsidRDefault="00534FB5" w:rsidP="00534FB5">
            <w:pPr>
              <w:spacing w:line="240" w:lineRule="atLeast"/>
              <w:contextualSpacing/>
              <w:jc w:val="center"/>
              <w:rPr>
                <w:b/>
              </w:rPr>
            </w:pPr>
            <w:r w:rsidRPr="007E614C">
              <w:t>7,49±0,25</w:t>
            </w:r>
            <w:r w:rsidR="00EB72B7" w:rsidRPr="00E40BFA">
              <w:t>*</w:t>
            </w:r>
          </w:p>
        </w:tc>
        <w:tc>
          <w:tcPr>
            <w:tcW w:w="2127" w:type="dxa"/>
            <w:shd w:val="clear" w:color="auto" w:fill="auto"/>
          </w:tcPr>
          <w:p w:rsidR="00534FB5" w:rsidRPr="002348CA" w:rsidRDefault="00534FB5" w:rsidP="00534FB5">
            <w:pPr>
              <w:spacing w:line="240" w:lineRule="atLeast"/>
              <w:contextualSpacing/>
              <w:jc w:val="center"/>
              <w:rPr>
                <w:b/>
              </w:rPr>
            </w:pPr>
            <w:r w:rsidRPr="007E614C">
              <w:t>8,13±0,47</w:t>
            </w:r>
          </w:p>
        </w:tc>
        <w:tc>
          <w:tcPr>
            <w:tcW w:w="2233" w:type="dxa"/>
            <w:shd w:val="clear" w:color="auto" w:fill="auto"/>
          </w:tcPr>
          <w:p w:rsidR="00534FB5" w:rsidRPr="002348CA" w:rsidRDefault="00534FB5" w:rsidP="00534FB5">
            <w:pPr>
              <w:spacing w:line="240" w:lineRule="atLeast"/>
              <w:contextualSpacing/>
              <w:jc w:val="center"/>
              <w:rPr>
                <w:b/>
              </w:rPr>
            </w:pPr>
            <w:r w:rsidRPr="007E614C">
              <w:t>4,53±0,21*</w:t>
            </w:r>
          </w:p>
        </w:tc>
      </w:tr>
      <w:tr w:rsidR="00534FB5" w:rsidRPr="002348CA" w:rsidTr="00534FB5">
        <w:tc>
          <w:tcPr>
            <w:tcW w:w="1384" w:type="dxa"/>
            <w:shd w:val="clear" w:color="auto" w:fill="auto"/>
          </w:tcPr>
          <w:p w:rsidR="00534FB5" w:rsidRPr="00E40BFA" w:rsidRDefault="00534FB5" w:rsidP="00534FB5">
            <w:pPr>
              <w:spacing w:line="240" w:lineRule="atLeast"/>
              <w:contextualSpacing/>
              <w:jc w:val="center"/>
            </w:pPr>
            <w:r w:rsidRPr="00E40BFA">
              <w:t>ОГ3а</w:t>
            </w:r>
          </w:p>
        </w:tc>
        <w:tc>
          <w:tcPr>
            <w:tcW w:w="1843" w:type="dxa"/>
            <w:shd w:val="clear" w:color="auto" w:fill="auto"/>
          </w:tcPr>
          <w:p w:rsidR="00534FB5" w:rsidRPr="00E40BFA" w:rsidRDefault="00534FB5" w:rsidP="00534FB5">
            <w:pPr>
              <w:spacing w:line="240" w:lineRule="atLeast"/>
              <w:contextualSpacing/>
              <w:jc w:val="center"/>
            </w:pPr>
            <w:r w:rsidRPr="007E614C">
              <w:t>9,53±0,32</w:t>
            </w:r>
          </w:p>
        </w:tc>
        <w:tc>
          <w:tcPr>
            <w:tcW w:w="1984" w:type="dxa"/>
            <w:shd w:val="clear" w:color="auto" w:fill="auto"/>
          </w:tcPr>
          <w:p w:rsidR="00534FB5" w:rsidRPr="00E40BFA" w:rsidRDefault="00534FB5" w:rsidP="00534FB5">
            <w:pPr>
              <w:spacing w:line="240" w:lineRule="atLeast"/>
              <w:contextualSpacing/>
              <w:jc w:val="center"/>
            </w:pPr>
            <w:r w:rsidRPr="007E614C">
              <w:t>8,04±0,20</w:t>
            </w:r>
            <w:r w:rsidR="00EB72B7" w:rsidRPr="00E40BFA">
              <w:t>*</w:t>
            </w:r>
          </w:p>
        </w:tc>
        <w:tc>
          <w:tcPr>
            <w:tcW w:w="2127" w:type="dxa"/>
            <w:shd w:val="clear" w:color="auto" w:fill="auto"/>
          </w:tcPr>
          <w:p w:rsidR="00534FB5" w:rsidRPr="00E40BFA" w:rsidRDefault="00534FB5" w:rsidP="00534FB5">
            <w:pPr>
              <w:spacing w:line="240" w:lineRule="atLeast"/>
              <w:contextualSpacing/>
              <w:jc w:val="center"/>
            </w:pPr>
            <w:r w:rsidRPr="007E614C">
              <w:t>8,04±0,20</w:t>
            </w:r>
          </w:p>
        </w:tc>
        <w:tc>
          <w:tcPr>
            <w:tcW w:w="2233" w:type="dxa"/>
            <w:shd w:val="clear" w:color="auto" w:fill="auto"/>
          </w:tcPr>
          <w:p w:rsidR="00534FB5" w:rsidRPr="00E40BFA" w:rsidRDefault="00534FB5" w:rsidP="00534FB5">
            <w:pPr>
              <w:spacing w:line="240" w:lineRule="atLeast"/>
              <w:contextualSpacing/>
              <w:jc w:val="center"/>
            </w:pPr>
            <w:r w:rsidRPr="007E614C">
              <w:t>5,48±0,15*</w:t>
            </w:r>
          </w:p>
        </w:tc>
      </w:tr>
    </w:tbl>
    <w:p w:rsidR="00534FB5" w:rsidRPr="00C721D8" w:rsidRDefault="00534FB5" w:rsidP="00534FB5">
      <w:pPr>
        <w:spacing w:line="240" w:lineRule="atLeast"/>
        <w:ind w:left="-142"/>
        <w:contextualSpacing/>
        <w:rPr>
          <w:vanish/>
        </w:rPr>
      </w:pPr>
    </w:p>
    <w:p w:rsidR="00534FB5" w:rsidRPr="001E1FAE" w:rsidRDefault="00534FB5" w:rsidP="00534FB5">
      <w:pPr>
        <w:contextualSpacing/>
        <w:rPr>
          <w:sz w:val="24"/>
          <w:szCs w:val="24"/>
        </w:rPr>
      </w:pPr>
      <w:r w:rsidRPr="001E1FAE">
        <w:rPr>
          <w:sz w:val="24"/>
          <w:szCs w:val="24"/>
        </w:rPr>
        <w:t>Примітка: * –</w:t>
      </w:r>
      <w:r>
        <w:rPr>
          <w:sz w:val="24"/>
          <w:szCs w:val="24"/>
        </w:rPr>
        <w:t xml:space="preserve"> </w:t>
      </w:r>
      <w:r w:rsidRPr="001E1FAE">
        <w:rPr>
          <w:color w:val="000000"/>
          <w:spacing w:val="-1"/>
          <w:sz w:val="24"/>
          <w:szCs w:val="24"/>
        </w:rPr>
        <w:t xml:space="preserve">достовірна різниця між показниками ОГб/ОГа </w:t>
      </w:r>
      <w:r w:rsidRPr="001E1FAE">
        <w:rPr>
          <w:sz w:val="24"/>
          <w:szCs w:val="24"/>
        </w:rPr>
        <w:t>(р≤0,05)</w:t>
      </w:r>
      <w:r>
        <w:rPr>
          <w:sz w:val="24"/>
          <w:szCs w:val="24"/>
        </w:rPr>
        <w:t>.</w:t>
      </w: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Встановлено, що рівень активності уреази у дітей обох груп поступово знижувався протягом року, але не досяг показників контрольної групи дітей (див.</w:t>
      </w:r>
      <w:r>
        <w:rPr>
          <w:rFonts w:ascii="Times New Roman" w:hAnsi="Times New Roman"/>
          <w:sz w:val="28"/>
          <w:szCs w:val="28"/>
        </w:rPr>
        <w:t xml:space="preserve"> </w:t>
      </w:r>
      <w:r w:rsidRPr="002D64EA">
        <w:rPr>
          <w:rFonts w:ascii="Times New Roman" w:hAnsi="Times New Roman"/>
          <w:sz w:val="28"/>
          <w:szCs w:val="28"/>
        </w:rPr>
        <w:t xml:space="preserve">табл. 4.4.3.3). </w:t>
      </w: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 xml:space="preserve">Згідно </w:t>
      </w:r>
      <w:r>
        <w:rPr>
          <w:rFonts w:ascii="Times New Roman" w:hAnsi="Times New Roman"/>
          <w:sz w:val="28"/>
          <w:szCs w:val="28"/>
        </w:rPr>
        <w:t xml:space="preserve">з </w:t>
      </w:r>
      <w:r w:rsidRPr="002D64EA">
        <w:rPr>
          <w:rFonts w:ascii="Times New Roman" w:hAnsi="Times New Roman"/>
          <w:sz w:val="28"/>
          <w:szCs w:val="28"/>
        </w:rPr>
        <w:t>результат</w:t>
      </w:r>
      <w:r>
        <w:rPr>
          <w:rFonts w:ascii="Times New Roman" w:hAnsi="Times New Roman"/>
          <w:sz w:val="28"/>
          <w:szCs w:val="28"/>
        </w:rPr>
        <w:t>ами</w:t>
      </w:r>
      <w:r w:rsidRPr="002D64EA">
        <w:rPr>
          <w:rFonts w:ascii="Times New Roman" w:hAnsi="Times New Roman"/>
          <w:sz w:val="28"/>
          <w:szCs w:val="28"/>
        </w:rPr>
        <w:t xml:space="preserve"> досліджен</w:t>
      </w:r>
      <w:r>
        <w:rPr>
          <w:rFonts w:ascii="Times New Roman" w:hAnsi="Times New Roman"/>
          <w:sz w:val="28"/>
          <w:szCs w:val="28"/>
        </w:rPr>
        <w:t>ня</w:t>
      </w:r>
      <w:r w:rsidRPr="002D64EA">
        <w:rPr>
          <w:rFonts w:ascii="Times New Roman" w:hAnsi="Times New Roman"/>
          <w:sz w:val="28"/>
          <w:szCs w:val="28"/>
        </w:rPr>
        <w:t xml:space="preserve">, через рік спостереження рівень активності уреази в ОГа знизився в середньому до (5,47±0,21) мкмоль/хв/л, в </w:t>
      </w:r>
      <w:r w:rsidRPr="002D64EA">
        <w:rPr>
          <w:rFonts w:ascii="Times New Roman" w:hAnsi="Times New Roman"/>
          <w:sz w:val="28"/>
          <w:szCs w:val="28"/>
        </w:rPr>
        <w:lastRenderedPageBreak/>
        <w:t xml:space="preserve">ОГб </w:t>
      </w:r>
      <w:r>
        <w:rPr>
          <w:rFonts w:ascii="Times New Roman" w:hAnsi="Times New Roman"/>
          <w:sz w:val="28"/>
          <w:szCs w:val="28"/>
        </w:rPr>
        <w:t xml:space="preserve">– </w:t>
      </w:r>
      <w:r w:rsidRPr="002D64EA">
        <w:rPr>
          <w:rFonts w:ascii="Times New Roman" w:hAnsi="Times New Roman"/>
          <w:sz w:val="28"/>
          <w:szCs w:val="28"/>
        </w:rPr>
        <w:t>до (4,51±0,20) мкмоль/хв/л у порівнянні з вихідними показниками ОГ – (9,52±0,36) мкмоль/хв/л (див. рис.</w:t>
      </w:r>
      <w:r>
        <w:rPr>
          <w:rFonts w:ascii="Times New Roman" w:hAnsi="Times New Roman"/>
          <w:sz w:val="28"/>
          <w:szCs w:val="28"/>
        </w:rPr>
        <w:t> </w:t>
      </w:r>
      <w:r w:rsidRPr="002D64EA">
        <w:rPr>
          <w:rFonts w:ascii="Times New Roman" w:hAnsi="Times New Roman"/>
          <w:sz w:val="28"/>
          <w:szCs w:val="28"/>
        </w:rPr>
        <w:t>4.4.3.3).</w:t>
      </w:r>
    </w:p>
    <w:p w:rsidR="00534FB5" w:rsidRPr="001E1FAE" w:rsidRDefault="00534FB5" w:rsidP="00534FB5">
      <w:pPr>
        <w:pStyle w:val="22"/>
        <w:spacing w:after="0" w:line="360" w:lineRule="auto"/>
        <w:ind w:left="0" w:firstLine="709"/>
        <w:contextualSpacing/>
        <w:jc w:val="both"/>
        <w:rPr>
          <w:rFonts w:ascii="Times New Roman" w:hAnsi="Times New Roman"/>
          <w:sz w:val="28"/>
          <w:szCs w:val="28"/>
        </w:rPr>
      </w:pPr>
    </w:p>
    <w:p w:rsidR="00534FB5" w:rsidRPr="00E40BFA" w:rsidRDefault="006C493E" w:rsidP="00534FB5">
      <w:pPr>
        <w:pStyle w:val="22"/>
        <w:spacing w:after="0" w:line="360" w:lineRule="auto"/>
        <w:ind w:left="0"/>
        <w:contextualSpacing/>
        <w:jc w:val="center"/>
      </w:pPr>
      <w:r>
        <w:rPr>
          <w:rFonts w:ascii="Times New Roman" w:hAnsi="Times New Roman"/>
          <w:noProof/>
          <w:sz w:val="28"/>
          <w:szCs w:val="28"/>
          <w:lang w:val="ru-RU" w:eastAsia="ru-RU"/>
        </w:rPr>
        <w:drawing>
          <wp:inline distT="0" distB="0" distL="0" distR="0">
            <wp:extent cx="4171950" cy="22193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srcRect/>
                    <a:stretch>
                      <a:fillRect/>
                    </a:stretch>
                  </pic:blipFill>
                  <pic:spPr bwMode="auto">
                    <a:xfrm>
                      <a:off x="0" y="0"/>
                      <a:ext cx="4171950" cy="2219325"/>
                    </a:xfrm>
                    <a:prstGeom prst="rect">
                      <a:avLst/>
                    </a:prstGeom>
                    <a:noFill/>
                    <a:ln w="9525">
                      <a:noFill/>
                      <a:miter lim="800000"/>
                      <a:headEnd/>
                      <a:tailEnd/>
                    </a:ln>
                  </pic:spPr>
                </pic:pic>
              </a:graphicData>
            </a:graphic>
          </wp:inline>
        </w:drawing>
      </w:r>
    </w:p>
    <w:p w:rsidR="00534FB5" w:rsidRDefault="00534FB5" w:rsidP="00534FB5">
      <w:pPr>
        <w:ind w:firstLine="709"/>
        <w:contextualSpacing/>
      </w:pPr>
      <w:r>
        <w:t>Рис. 4.4.3.3</w:t>
      </w:r>
      <w:r w:rsidRPr="00E40BFA">
        <w:t>.</w:t>
      </w:r>
      <w:r w:rsidRPr="00E40BFA">
        <w:tab/>
      </w:r>
      <w:r>
        <w:t xml:space="preserve"> </w:t>
      </w:r>
      <w:r w:rsidRPr="00E40BFA">
        <w:t xml:space="preserve">Середні показники активності уреази у дітей до і </w:t>
      </w:r>
      <w:r>
        <w:t>після проведення лікувально-профілактичних заходів</w:t>
      </w:r>
      <w:r w:rsidRPr="00E40BFA">
        <w:t>.</w:t>
      </w:r>
    </w:p>
    <w:p w:rsidR="00534FB5" w:rsidRDefault="00534FB5" w:rsidP="00534FB5">
      <w:pPr>
        <w:contextualSpacing/>
      </w:pPr>
    </w:p>
    <w:p w:rsidR="00534FB5" w:rsidRDefault="00534FB5" w:rsidP="00534FB5">
      <w:pPr>
        <w:ind w:firstLine="567"/>
        <w:contextualSpacing/>
      </w:pPr>
      <w:r>
        <w:t>П</w:t>
      </w:r>
      <w:r w:rsidRPr="00870AD7">
        <w:t>ри порівнянні вихідних показників активності уреази ОГ до та після лікування встановлено, що через рік після проведення лікувально-профілактичних заходів у дітей, які отримували запропоновану схему лікування та профілактики, рівень активності уреази знижувався в середньому в 2,11</w:t>
      </w:r>
      <w:r>
        <w:t> </w:t>
      </w:r>
      <w:r w:rsidRPr="00870AD7">
        <w:t>раз</w:t>
      </w:r>
      <w:r>
        <w:t>а</w:t>
      </w:r>
      <w:r w:rsidRPr="00870AD7">
        <w:t xml:space="preserve"> (p&lt;0,001), а у дітей, </w:t>
      </w:r>
      <w:r>
        <w:t>які</w:t>
      </w:r>
      <w:r w:rsidRPr="00870AD7">
        <w:t xml:space="preserve"> отримували традиційний лікувально-профілактичний ком</w:t>
      </w:r>
      <w:r>
        <w:t>плекс – в середньому в 1,74 раза</w:t>
      </w:r>
      <w:r w:rsidRPr="00870AD7">
        <w:t xml:space="preserve"> (p&lt;0,001). Порівняння показників рівня активності уреази між групами ОГа і ОГб показало, що рівень активності уреази був нижчим </w:t>
      </w:r>
      <w:r>
        <w:t>у</w:t>
      </w:r>
      <w:r w:rsidRPr="00870AD7">
        <w:t xml:space="preserve"> середньому в 1,21</w:t>
      </w:r>
      <w:r>
        <w:t> </w:t>
      </w:r>
      <w:r w:rsidRPr="00870AD7">
        <w:t>р</w:t>
      </w:r>
      <w:r>
        <w:t>аза (p&lt;0,001) у дітей ОГб (</w:t>
      </w:r>
      <w:r w:rsidRPr="00870AD7">
        <w:t>рис.</w:t>
      </w:r>
      <w:r>
        <w:t> </w:t>
      </w:r>
      <w:r w:rsidRPr="00870AD7">
        <w:t>4.4.3.3).</w:t>
      </w:r>
    </w:p>
    <w:p w:rsidR="00D6210C" w:rsidRPr="002D64EA" w:rsidRDefault="00534FB5" w:rsidP="00D6210C">
      <w:pPr>
        <w:pStyle w:val="22"/>
        <w:spacing w:after="0" w:line="360" w:lineRule="auto"/>
        <w:ind w:left="0" w:firstLine="709"/>
        <w:contextualSpacing/>
        <w:jc w:val="both"/>
        <w:rPr>
          <w:rFonts w:ascii="Times New Roman" w:hAnsi="Times New Roman"/>
          <w:sz w:val="28"/>
          <w:szCs w:val="28"/>
        </w:rPr>
      </w:pPr>
      <w:r w:rsidRPr="00D6210C">
        <w:rPr>
          <w:rFonts w:ascii="Times New Roman" w:hAnsi="Times New Roman"/>
          <w:sz w:val="28"/>
          <w:szCs w:val="28"/>
        </w:rPr>
        <w:t>Наступним етапом було визначення ступеня дисбіозу у дітей ОГ та КГ до та після проведення лікувально-профілактичних заходів.</w:t>
      </w:r>
      <w:r w:rsidR="00D6210C">
        <w:t xml:space="preserve"> </w:t>
      </w:r>
      <w:r w:rsidR="00D6210C" w:rsidRPr="002D64EA">
        <w:rPr>
          <w:rFonts w:ascii="Times New Roman" w:hAnsi="Times New Roman"/>
          <w:sz w:val="28"/>
          <w:szCs w:val="28"/>
        </w:rPr>
        <w:t>Визначення показник</w:t>
      </w:r>
      <w:r w:rsidR="00D6210C">
        <w:rPr>
          <w:rFonts w:ascii="Times New Roman" w:hAnsi="Times New Roman"/>
          <w:sz w:val="28"/>
          <w:szCs w:val="28"/>
        </w:rPr>
        <w:t>а</w:t>
      </w:r>
      <w:r w:rsidR="00D6210C" w:rsidRPr="002D64EA">
        <w:rPr>
          <w:rFonts w:ascii="Times New Roman" w:hAnsi="Times New Roman"/>
          <w:sz w:val="28"/>
          <w:szCs w:val="28"/>
        </w:rPr>
        <w:t xml:space="preserve"> ступен</w:t>
      </w:r>
      <w:r w:rsidR="00D6210C">
        <w:rPr>
          <w:rFonts w:ascii="Times New Roman" w:hAnsi="Times New Roman"/>
          <w:sz w:val="28"/>
          <w:szCs w:val="28"/>
        </w:rPr>
        <w:t>я</w:t>
      </w:r>
      <w:r w:rsidR="00D6210C" w:rsidRPr="002D64EA">
        <w:rPr>
          <w:rFonts w:ascii="Times New Roman" w:hAnsi="Times New Roman"/>
          <w:sz w:val="28"/>
          <w:szCs w:val="28"/>
        </w:rPr>
        <w:t xml:space="preserve"> дисбіозу у дітей ОГ до і після лікування виявило, що через рік спостереження у дітей ОГа показник ступен</w:t>
      </w:r>
      <w:r w:rsidR="00D6210C">
        <w:rPr>
          <w:rFonts w:ascii="Times New Roman" w:hAnsi="Times New Roman"/>
          <w:sz w:val="28"/>
          <w:szCs w:val="28"/>
        </w:rPr>
        <w:t>я</w:t>
      </w:r>
      <w:r w:rsidR="00D6210C" w:rsidRPr="002D64EA">
        <w:rPr>
          <w:rFonts w:ascii="Times New Roman" w:hAnsi="Times New Roman"/>
          <w:sz w:val="28"/>
          <w:szCs w:val="28"/>
        </w:rPr>
        <w:t xml:space="preserve"> дисбіозу знизився в середньому в 2,22</w:t>
      </w:r>
      <w:r w:rsidR="00D6210C">
        <w:rPr>
          <w:rFonts w:ascii="Times New Roman" w:hAnsi="Times New Roman"/>
          <w:sz w:val="28"/>
          <w:szCs w:val="28"/>
        </w:rPr>
        <w:t> </w:t>
      </w:r>
      <w:r w:rsidR="00D6210C" w:rsidRPr="002D64EA">
        <w:rPr>
          <w:rFonts w:ascii="Times New Roman" w:hAnsi="Times New Roman"/>
          <w:sz w:val="28"/>
          <w:szCs w:val="28"/>
        </w:rPr>
        <w:t>раза (p&lt;0,001), а у дітей ОГб – в 3,54</w:t>
      </w:r>
      <w:r w:rsidR="00D6210C">
        <w:rPr>
          <w:rFonts w:ascii="Times New Roman" w:hAnsi="Times New Roman"/>
          <w:sz w:val="28"/>
          <w:szCs w:val="28"/>
        </w:rPr>
        <w:t> </w:t>
      </w:r>
      <w:r w:rsidR="00D6210C" w:rsidRPr="002D64EA">
        <w:rPr>
          <w:rFonts w:ascii="Times New Roman" w:hAnsi="Times New Roman"/>
          <w:sz w:val="28"/>
          <w:szCs w:val="28"/>
        </w:rPr>
        <w:t>раза (p&lt;0,001) у порівнянні з вихідними показниками ОГ, але все одно був вищ</w:t>
      </w:r>
      <w:r w:rsidR="00D6210C">
        <w:rPr>
          <w:rFonts w:ascii="Times New Roman" w:hAnsi="Times New Roman"/>
          <w:sz w:val="28"/>
          <w:szCs w:val="28"/>
        </w:rPr>
        <w:t>ий</w:t>
      </w:r>
      <w:r w:rsidR="00D6210C" w:rsidRPr="002D64EA">
        <w:rPr>
          <w:rFonts w:ascii="Times New Roman" w:hAnsi="Times New Roman"/>
          <w:sz w:val="28"/>
          <w:szCs w:val="28"/>
        </w:rPr>
        <w:t xml:space="preserve"> в 1,69-2,7</w:t>
      </w:r>
      <w:r w:rsidR="00D6210C">
        <w:rPr>
          <w:rFonts w:ascii="Times New Roman" w:hAnsi="Times New Roman"/>
          <w:sz w:val="28"/>
          <w:szCs w:val="28"/>
        </w:rPr>
        <w:t> </w:t>
      </w:r>
      <w:r w:rsidR="00D6210C" w:rsidRPr="002D64EA">
        <w:rPr>
          <w:rFonts w:ascii="Times New Roman" w:hAnsi="Times New Roman"/>
          <w:sz w:val="28"/>
          <w:szCs w:val="28"/>
        </w:rPr>
        <w:t>раз</w:t>
      </w:r>
      <w:r w:rsidR="00D6210C">
        <w:rPr>
          <w:rFonts w:ascii="Times New Roman" w:hAnsi="Times New Roman"/>
          <w:sz w:val="28"/>
          <w:szCs w:val="28"/>
        </w:rPr>
        <w:t>а</w:t>
      </w:r>
      <w:r w:rsidR="00D6210C" w:rsidRPr="002D64EA">
        <w:rPr>
          <w:rFonts w:ascii="Times New Roman" w:hAnsi="Times New Roman"/>
          <w:sz w:val="28"/>
          <w:szCs w:val="28"/>
        </w:rPr>
        <w:t xml:space="preserve">, порівняно з КГ (див. </w:t>
      </w:r>
      <w:r w:rsidR="00D6210C" w:rsidRPr="000703A9">
        <w:rPr>
          <w:rFonts w:ascii="Times New Roman" w:hAnsi="Times New Roman"/>
          <w:sz w:val="28"/>
          <w:szCs w:val="28"/>
        </w:rPr>
        <w:t>табл. та</w:t>
      </w:r>
      <w:r w:rsidR="00D6210C" w:rsidRPr="002D64EA">
        <w:rPr>
          <w:rFonts w:ascii="Times New Roman" w:hAnsi="Times New Roman"/>
          <w:sz w:val="28"/>
          <w:szCs w:val="28"/>
        </w:rPr>
        <w:t xml:space="preserve"> рис.</w:t>
      </w:r>
      <w:r w:rsidR="00D6210C">
        <w:rPr>
          <w:rFonts w:ascii="Times New Roman" w:hAnsi="Times New Roman"/>
          <w:sz w:val="28"/>
          <w:szCs w:val="28"/>
        </w:rPr>
        <w:t> </w:t>
      </w:r>
      <w:r w:rsidR="00D6210C" w:rsidRPr="002D64EA">
        <w:rPr>
          <w:rFonts w:ascii="Times New Roman" w:hAnsi="Times New Roman"/>
          <w:sz w:val="28"/>
          <w:szCs w:val="28"/>
        </w:rPr>
        <w:t xml:space="preserve">4.4.3.4). </w:t>
      </w:r>
    </w:p>
    <w:p w:rsidR="00534FB5" w:rsidRPr="00E40BFA" w:rsidRDefault="00534FB5" w:rsidP="00534FB5">
      <w:pPr>
        <w:ind w:firstLine="567"/>
        <w:contextualSpacing/>
      </w:pPr>
    </w:p>
    <w:p w:rsidR="00534FB5" w:rsidRPr="00870AD7" w:rsidRDefault="00534FB5" w:rsidP="00534FB5">
      <w:pPr>
        <w:pStyle w:val="22"/>
        <w:spacing w:after="0" w:line="360" w:lineRule="auto"/>
        <w:ind w:left="0"/>
        <w:contextualSpacing/>
        <w:jc w:val="right"/>
        <w:rPr>
          <w:rFonts w:ascii="Times New Roman" w:hAnsi="Times New Roman"/>
          <w:i/>
          <w:sz w:val="28"/>
          <w:szCs w:val="28"/>
        </w:rPr>
      </w:pPr>
      <w:r w:rsidRPr="00870AD7">
        <w:rPr>
          <w:rFonts w:ascii="Times New Roman" w:hAnsi="Times New Roman"/>
          <w:i/>
          <w:sz w:val="28"/>
          <w:szCs w:val="28"/>
        </w:rPr>
        <w:t>Таблиця 4.4.3.4</w:t>
      </w:r>
    </w:p>
    <w:p w:rsidR="00534FB5" w:rsidRPr="002D64EA" w:rsidRDefault="00534FB5" w:rsidP="00534FB5">
      <w:pPr>
        <w:ind w:firstLine="567"/>
        <w:contextualSpacing/>
        <w:jc w:val="center"/>
        <w:rPr>
          <w:b/>
        </w:rPr>
      </w:pPr>
      <w:r w:rsidRPr="002D64EA">
        <w:rPr>
          <w:b/>
        </w:rPr>
        <w:t xml:space="preserve">Ступінь дисбіозу порожнини рота у дітей основної групи до та після проведення лікувально-профілактичних заходів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843"/>
        <w:gridCol w:w="1984"/>
        <w:gridCol w:w="2127"/>
        <w:gridCol w:w="2233"/>
      </w:tblGrid>
      <w:tr w:rsidR="00534FB5" w:rsidRPr="002D64EA" w:rsidTr="00534FB5">
        <w:tc>
          <w:tcPr>
            <w:tcW w:w="1384" w:type="dxa"/>
            <w:vMerge w:val="restart"/>
            <w:shd w:val="clear" w:color="auto" w:fill="auto"/>
          </w:tcPr>
          <w:p w:rsidR="00534FB5" w:rsidRPr="002D64EA" w:rsidRDefault="00534FB5" w:rsidP="00534FB5">
            <w:pPr>
              <w:spacing w:line="240" w:lineRule="atLeast"/>
              <w:contextualSpacing/>
              <w:jc w:val="center"/>
            </w:pPr>
            <w:r w:rsidRPr="002D64EA">
              <w:t>Групи дітей</w:t>
            </w:r>
          </w:p>
        </w:tc>
        <w:tc>
          <w:tcPr>
            <w:tcW w:w="8187" w:type="dxa"/>
            <w:gridSpan w:val="4"/>
            <w:shd w:val="clear" w:color="auto" w:fill="auto"/>
          </w:tcPr>
          <w:p w:rsidR="00534FB5" w:rsidRPr="002D64EA" w:rsidRDefault="00534FB5" w:rsidP="00534FB5">
            <w:pPr>
              <w:spacing w:line="240" w:lineRule="atLeast"/>
              <w:contextualSpacing/>
              <w:jc w:val="center"/>
              <w:rPr>
                <w:b/>
              </w:rPr>
            </w:pPr>
            <w:r w:rsidRPr="002D64EA">
              <w:t>Ступінь дисбіозу, (M±m)</w:t>
            </w:r>
          </w:p>
        </w:tc>
      </w:tr>
      <w:tr w:rsidR="00534FB5" w:rsidRPr="002D64EA" w:rsidTr="00534FB5">
        <w:tc>
          <w:tcPr>
            <w:tcW w:w="1384" w:type="dxa"/>
            <w:vMerge/>
            <w:shd w:val="clear" w:color="auto" w:fill="auto"/>
          </w:tcPr>
          <w:p w:rsidR="00534FB5" w:rsidRPr="002D64EA" w:rsidRDefault="00534FB5" w:rsidP="00534FB5">
            <w:pPr>
              <w:spacing w:line="240" w:lineRule="atLeast"/>
              <w:contextualSpacing/>
              <w:jc w:val="center"/>
              <w:rPr>
                <w:b/>
              </w:rPr>
            </w:pPr>
          </w:p>
        </w:tc>
        <w:tc>
          <w:tcPr>
            <w:tcW w:w="1843" w:type="dxa"/>
            <w:shd w:val="clear" w:color="auto" w:fill="auto"/>
          </w:tcPr>
          <w:p w:rsidR="00534FB5" w:rsidRPr="002D64EA" w:rsidRDefault="00534FB5" w:rsidP="00534FB5">
            <w:pPr>
              <w:spacing w:line="240" w:lineRule="atLeast"/>
              <w:contextualSpacing/>
              <w:jc w:val="center"/>
            </w:pPr>
            <w:r w:rsidRPr="002D64EA">
              <w:t>До лікування</w:t>
            </w:r>
          </w:p>
        </w:tc>
        <w:tc>
          <w:tcPr>
            <w:tcW w:w="1984" w:type="dxa"/>
            <w:shd w:val="clear" w:color="auto" w:fill="auto"/>
          </w:tcPr>
          <w:p w:rsidR="00534FB5" w:rsidRPr="002D64EA" w:rsidRDefault="00534FB5" w:rsidP="00534FB5">
            <w:pPr>
              <w:spacing w:line="240" w:lineRule="atLeast"/>
              <w:contextualSpacing/>
              <w:jc w:val="center"/>
            </w:pPr>
            <w:r w:rsidRPr="002D64EA">
              <w:t>Через 1 місяць</w:t>
            </w:r>
          </w:p>
        </w:tc>
        <w:tc>
          <w:tcPr>
            <w:tcW w:w="2127" w:type="dxa"/>
            <w:shd w:val="clear" w:color="auto" w:fill="auto"/>
          </w:tcPr>
          <w:p w:rsidR="00534FB5" w:rsidRPr="002D64EA" w:rsidRDefault="00534FB5" w:rsidP="00534FB5">
            <w:pPr>
              <w:spacing w:line="240" w:lineRule="atLeast"/>
              <w:contextualSpacing/>
            </w:pPr>
            <w:r w:rsidRPr="002D64EA">
              <w:t>Через 6 місяців</w:t>
            </w:r>
          </w:p>
        </w:tc>
        <w:tc>
          <w:tcPr>
            <w:tcW w:w="2233" w:type="dxa"/>
            <w:shd w:val="clear" w:color="auto" w:fill="auto"/>
          </w:tcPr>
          <w:p w:rsidR="00534FB5" w:rsidRPr="002D64EA" w:rsidRDefault="00534FB5" w:rsidP="00534FB5">
            <w:pPr>
              <w:spacing w:line="240" w:lineRule="atLeast"/>
              <w:contextualSpacing/>
              <w:jc w:val="center"/>
            </w:pPr>
            <w:r w:rsidRPr="002D64EA">
              <w:t>Через 12 місяців</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rPr>
                <w:b/>
              </w:rPr>
            </w:pPr>
            <w:r w:rsidRPr="002D64EA">
              <w:t>ОГ1б</w:t>
            </w:r>
          </w:p>
        </w:tc>
        <w:tc>
          <w:tcPr>
            <w:tcW w:w="1843" w:type="dxa"/>
            <w:shd w:val="clear" w:color="auto" w:fill="auto"/>
          </w:tcPr>
          <w:p w:rsidR="00534FB5" w:rsidRPr="002D64EA" w:rsidRDefault="00534FB5" w:rsidP="00534FB5">
            <w:pPr>
              <w:spacing w:line="240" w:lineRule="atLeast"/>
              <w:contextualSpacing/>
              <w:jc w:val="center"/>
              <w:rPr>
                <w:b/>
              </w:rPr>
            </w:pPr>
            <w:r w:rsidRPr="002D64EA">
              <w:t>6,46±0,49</w:t>
            </w:r>
          </w:p>
        </w:tc>
        <w:tc>
          <w:tcPr>
            <w:tcW w:w="1984" w:type="dxa"/>
            <w:shd w:val="clear" w:color="auto" w:fill="auto"/>
          </w:tcPr>
          <w:p w:rsidR="00534FB5" w:rsidRPr="002D64EA" w:rsidRDefault="00534FB5" w:rsidP="00534FB5">
            <w:pPr>
              <w:spacing w:line="240" w:lineRule="atLeast"/>
              <w:contextualSpacing/>
              <w:jc w:val="center"/>
              <w:rPr>
                <w:b/>
              </w:rPr>
            </w:pPr>
            <w:r w:rsidRPr="002D64EA">
              <w:t>4,06±0,17*</w:t>
            </w:r>
          </w:p>
        </w:tc>
        <w:tc>
          <w:tcPr>
            <w:tcW w:w="2127" w:type="dxa"/>
            <w:shd w:val="clear" w:color="auto" w:fill="auto"/>
          </w:tcPr>
          <w:p w:rsidR="00534FB5" w:rsidRPr="002D64EA" w:rsidRDefault="00534FB5" w:rsidP="00534FB5">
            <w:pPr>
              <w:spacing w:line="240" w:lineRule="atLeast"/>
              <w:contextualSpacing/>
              <w:jc w:val="center"/>
              <w:rPr>
                <w:b/>
              </w:rPr>
            </w:pPr>
            <w:r w:rsidRPr="002D64EA">
              <w:t>5,11±0,35*</w:t>
            </w:r>
          </w:p>
        </w:tc>
        <w:tc>
          <w:tcPr>
            <w:tcW w:w="2233" w:type="dxa"/>
            <w:shd w:val="clear" w:color="auto" w:fill="auto"/>
          </w:tcPr>
          <w:p w:rsidR="00534FB5" w:rsidRPr="002D64EA" w:rsidRDefault="00534FB5" w:rsidP="00534FB5">
            <w:pPr>
              <w:spacing w:line="240" w:lineRule="atLeast"/>
              <w:contextualSpacing/>
              <w:jc w:val="center"/>
              <w:rPr>
                <w:b/>
              </w:rPr>
            </w:pPr>
            <w:r w:rsidRPr="002D64EA">
              <w:t>1,82±0,12*</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rPr>
                <w:b/>
              </w:rPr>
            </w:pPr>
            <w:r w:rsidRPr="002D64EA">
              <w:t>ОГ1а</w:t>
            </w:r>
          </w:p>
        </w:tc>
        <w:tc>
          <w:tcPr>
            <w:tcW w:w="1843" w:type="dxa"/>
            <w:shd w:val="clear" w:color="auto" w:fill="auto"/>
          </w:tcPr>
          <w:p w:rsidR="00534FB5" w:rsidRPr="002D64EA" w:rsidRDefault="00534FB5" w:rsidP="00534FB5">
            <w:pPr>
              <w:spacing w:line="240" w:lineRule="atLeast"/>
              <w:contextualSpacing/>
              <w:jc w:val="center"/>
              <w:rPr>
                <w:b/>
              </w:rPr>
            </w:pPr>
            <w:r w:rsidRPr="002D64EA">
              <w:t>6,47±0,39</w:t>
            </w:r>
          </w:p>
        </w:tc>
        <w:tc>
          <w:tcPr>
            <w:tcW w:w="1984" w:type="dxa"/>
            <w:shd w:val="clear" w:color="auto" w:fill="auto"/>
          </w:tcPr>
          <w:p w:rsidR="00534FB5" w:rsidRPr="002D64EA" w:rsidRDefault="00534FB5" w:rsidP="00534FB5">
            <w:pPr>
              <w:spacing w:line="240" w:lineRule="atLeast"/>
              <w:contextualSpacing/>
              <w:jc w:val="center"/>
              <w:rPr>
                <w:b/>
              </w:rPr>
            </w:pPr>
            <w:r w:rsidRPr="002D64EA">
              <w:t>4,85±0,40*</w:t>
            </w:r>
          </w:p>
        </w:tc>
        <w:tc>
          <w:tcPr>
            <w:tcW w:w="2127" w:type="dxa"/>
            <w:shd w:val="clear" w:color="auto" w:fill="auto"/>
          </w:tcPr>
          <w:p w:rsidR="00534FB5" w:rsidRPr="002D64EA" w:rsidRDefault="00534FB5" w:rsidP="00534FB5">
            <w:pPr>
              <w:spacing w:line="240" w:lineRule="atLeast"/>
              <w:contextualSpacing/>
              <w:jc w:val="center"/>
              <w:rPr>
                <w:b/>
              </w:rPr>
            </w:pPr>
            <w:r w:rsidRPr="002D64EA">
              <w:t>6,08±0,49*</w:t>
            </w:r>
          </w:p>
        </w:tc>
        <w:tc>
          <w:tcPr>
            <w:tcW w:w="2233" w:type="dxa"/>
            <w:shd w:val="clear" w:color="auto" w:fill="auto"/>
          </w:tcPr>
          <w:p w:rsidR="00534FB5" w:rsidRPr="002D64EA" w:rsidRDefault="00534FB5" w:rsidP="00534FB5">
            <w:pPr>
              <w:spacing w:line="240" w:lineRule="atLeast"/>
              <w:contextualSpacing/>
              <w:jc w:val="center"/>
              <w:rPr>
                <w:b/>
              </w:rPr>
            </w:pPr>
            <w:r w:rsidRPr="002D64EA">
              <w:t>2,88±0,25*</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rPr>
                <w:b/>
              </w:rPr>
            </w:pPr>
            <w:r w:rsidRPr="002D64EA">
              <w:t>ОГ2б</w:t>
            </w:r>
          </w:p>
        </w:tc>
        <w:tc>
          <w:tcPr>
            <w:tcW w:w="1843" w:type="dxa"/>
            <w:shd w:val="clear" w:color="auto" w:fill="auto"/>
          </w:tcPr>
          <w:p w:rsidR="00534FB5" w:rsidRPr="002D64EA" w:rsidRDefault="00534FB5" w:rsidP="00534FB5">
            <w:pPr>
              <w:spacing w:line="240" w:lineRule="atLeast"/>
              <w:contextualSpacing/>
              <w:jc w:val="center"/>
              <w:rPr>
                <w:b/>
              </w:rPr>
            </w:pPr>
            <w:r w:rsidRPr="002D64EA">
              <w:t>5,84±0,47</w:t>
            </w:r>
          </w:p>
        </w:tc>
        <w:tc>
          <w:tcPr>
            <w:tcW w:w="1984" w:type="dxa"/>
            <w:shd w:val="clear" w:color="auto" w:fill="auto"/>
          </w:tcPr>
          <w:p w:rsidR="00534FB5" w:rsidRPr="002D64EA" w:rsidRDefault="00534FB5" w:rsidP="00534FB5">
            <w:pPr>
              <w:spacing w:line="240" w:lineRule="atLeast"/>
              <w:contextualSpacing/>
              <w:jc w:val="center"/>
              <w:rPr>
                <w:b/>
              </w:rPr>
            </w:pPr>
            <w:r w:rsidRPr="002D64EA">
              <w:t>3,75±0,18*</w:t>
            </w:r>
          </w:p>
        </w:tc>
        <w:tc>
          <w:tcPr>
            <w:tcW w:w="2127" w:type="dxa"/>
            <w:shd w:val="clear" w:color="auto" w:fill="auto"/>
          </w:tcPr>
          <w:p w:rsidR="00534FB5" w:rsidRPr="002D64EA" w:rsidRDefault="00534FB5" w:rsidP="00534FB5">
            <w:pPr>
              <w:spacing w:line="240" w:lineRule="atLeast"/>
              <w:contextualSpacing/>
              <w:jc w:val="center"/>
              <w:rPr>
                <w:b/>
              </w:rPr>
            </w:pPr>
            <w:r w:rsidRPr="002D64EA">
              <w:t>4,81±0,30*</w:t>
            </w:r>
          </w:p>
        </w:tc>
        <w:tc>
          <w:tcPr>
            <w:tcW w:w="2233" w:type="dxa"/>
            <w:shd w:val="clear" w:color="auto" w:fill="auto"/>
          </w:tcPr>
          <w:p w:rsidR="00534FB5" w:rsidRPr="002D64EA" w:rsidRDefault="00534FB5" w:rsidP="00534FB5">
            <w:pPr>
              <w:spacing w:line="240" w:lineRule="atLeast"/>
              <w:contextualSpacing/>
              <w:jc w:val="center"/>
              <w:rPr>
                <w:b/>
              </w:rPr>
            </w:pPr>
            <w:r w:rsidRPr="002D64EA">
              <w:t>1,69±0,09*</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rPr>
                <w:b/>
              </w:rPr>
            </w:pPr>
            <w:r w:rsidRPr="002D64EA">
              <w:t>ОГ2а</w:t>
            </w:r>
          </w:p>
        </w:tc>
        <w:tc>
          <w:tcPr>
            <w:tcW w:w="1843" w:type="dxa"/>
            <w:shd w:val="clear" w:color="auto" w:fill="auto"/>
          </w:tcPr>
          <w:p w:rsidR="00534FB5" w:rsidRPr="002D64EA" w:rsidRDefault="00534FB5" w:rsidP="00534FB5">
            <w:pPr>
              <w:spacing w:line="240" w:lineRule="atLeast"/>
              <w:contextualSpacing/>
              <w:jc w:val="center"/>
              <w:rPr>
                <w:b/>
              </w:rPr>
            </w:pPr>
            <w:r w:rsidRPr="002D64EA">
              <w:t>6,19±0,61</w:t>
            </w:r>
          </w:p>
        </w:tc>
        <w:tc>
          <w:tcPr>
            <w:tcW w:w="1984" w:type="dxa"/>
            <w:shd w:val="clear" w:color="auto" w:fill="auto"/>
          </w:tcPr>
          <w:p w:rsidR="00534FB5" w:rsidRPr="002D64EA" w:rsidRDefault="00534FB5" w:rsidP="00534FB5">
            <w:pPr>
              <w:spacing w:line="240" w:lineRule="atLeast"/>
              <w:contextualSpacing/>
              <w:jc w:val="center"/>
              <w:rPr>
                <w:b/>
              </w:rPr>
            </w:pPr>
            <w:r w:rsidRPr="002D64EA">
              <w:t>4,63±0,37*</w:t>
            </w:r>
          </w:p>
        </w:tc>
        <w:tc>
          <w:tcPr>
            <w:tcW w:w="2127" w:type="dxa"/>
            <w:shd w:val="clear" w:color="auto" w:fill="auto"/>
          </w:tcPr>
          <w:p w:rsidR="00534FB5" w:rsidRPr="002D64EA" w:rsidRDefault="00534FB5" w:rsidP="00534FB5">
            <w:pPr>
              <w:spacing w:line="240" w:lineRule="atLeast"/>
              <w:contextualSpacing/>
              <w:jc w:val="center"/>
              <w:rPr>
                <w:b/>
              </w:rPr>
            </w:pPr>
            <w:r w:rsidRPr="002D64EA">
              <w:t>5,63±0,36*</w:t>
            </w:r>
          </w:p>
        </w:tc>
        <w:tc>
          <w:tcPr>
            <w:tcW w:w="2233" w:type="dxa"/>
            <w:shd w:val="clear" w:color="auto" w:fill="auto"/>
          </w:tcPr>
          <w:p w:rsidR="00534FB5" w:rsidRPr="002D64EA" w:rsidRDefault="00534FB5" w:rsidP="00534FB5">
            <w:pPr>
              <w:spacing w:line="240" w:lineRule="atLeast"/>
              <w:contextualSpacing/>
              <w:jc w:val="center"/>
              <w:rPr>
                <w:b/>
              </w:rPr>
            </w:pPr>
            <w:r w:rsidRPr="002D64EA">
              <w:t>2,75±0,07*</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rPr>
                <w:b/>
              </w:rPr>
            </w:pPr>
            <w:r w:rsidRPr="002D64EA">
              <w:t>ОГ3б</w:t>
            </w:r>
          </w:p>
        </w:tc>
        <w:tc>
          <w:tcPr>
            <w:tcW w:w="1843" w:type="dxa"/>
            <w:shd w:val="clear" w:color="auto" w:fill="auto"/>
          </w:tcPr>
          <w:p w:rsidR="00534FB5" w:rsidRPr="002D64EA" w:rsidRDefault="00534FB5" w:rsidP="00534FB5">
            <w:pPr>
              <w:spacing w:line="240" w:lineRule="atLeast"/>
              <w:contextualSpacing/>
              <w:jc w:val="center"/>
              <w:rPr>
                <w:b/>
              </w:rPr>
            </w:pPr>
            <w:r w:rsidRPr="002D64EA">
              <w:t>6,23±0,58</w:t>
            </w:r>
          </w:p>
        </w:tc>
        <w:tc>
          <w:tcPr>
            <w:tcW w:w="1984" w:type="dxa"/>
            <w:shd w:val="clear" w:color="auto" w:fill="auto"/>
          </w:tcPr>
          <w:p w:rsidR="00534FB5" w:rsidRPr="002D64EA" w:rsidRDefault="00534FB5" w:rsidP="00534FB5">
            <w:pPr>
              <w:spacing w:line="240" w:lineRule="atLeast"/>
              <w:contextualSpacing/>
              <w:jc w:val="center"/>
              <w:rPr>
                <w:b/>
              </w:rPr>
            </w:pPr>
            <w:r w:rsidRPr="002D64EA">
              <w:t>3,82±0,24*</w:t>
            </w:r>
          </w:p>
        </w:tc>
        <w:tc>
          <w:tcPr>
            <w:tcW w:w="2127" w:type="dxa"/>
            <w:shd w:val="clear" w:color="auto" w:fill="auto"/>
          </w:tcPr>
          <w:p w:rsidR="00534FB5" w:rsidRPr="002D64EA" w:rsidRDefault="00534FB5" w:rsidP="00534FB5">
            <w:pPr>
              <w:spacing w:line="240" w:lineRule="atLeast"/>
              <w:contextualSpacing/>
              <w:jc w:val="center"/>
              <w:rPr>
                <w:b/>
              </w:rPr>
            </w:pPr>
            <w:r w:rsidRPr="002D64EA">
              <w:t>4,73±0,29*</w:t>
            </w:r>
          </w:p>
        </w:tc>
        <w:tc>
          <w:tcPr>
            <w:tcW w:w="2233" w:type="dxa"/>
            <w:shd w:val="clear" w:color="auto" w:fill="auto"/>
          </w:tcPr>
          <w:p w:rsidR="00534FB5" w:rsidRPr="002D64EA" w:rsidRDefault="00534FB5" w:rsidP="00534FB5">
            <w:pPr>
              <w:spacing w:line="240" w:lineRule="atLeast"/>
              <w:contextualSpacing/>
              <w:jc w:val="center"/>
              <w:rPr>
                <w:b/>
              </w:rPr>
            </w:pPr>
            <w:r w:rsidRPr="002D64EA">
              <w:t>1,73±0,10*</w:t>
            </w:r>
          </w:p>
        </w:tc>
      </w:tr>
      <w:tr w:rsidR="00534FB5" w:rsidRPr="002D64EA" w:rsidTr="00534FB5">
        <w:tc>
          <w:tcPr>
            <w:tcW w:w="1384" w:type="dxa"/>
            <w:shd w:val="clear" w:color="auto" w:fill="auto"/>
          </w:tcPr>
          <w:p w:rsidR="00534FB5" w:rsidRPr="002D64EA" w:rsidRDefault="00534FB5" w:rsidP="00534FB5">
            <w:pPr>
              <w:spacing w:line="240" w:lineRule="atLeast"/>
              <w:contextualSpacing/>
              <w:jc w:val="center"/>
            </w:pPr>
            <w:r w:rsidRPr="002D64EA">
              <w:t>ОГ3а</w:t>
            </w:r>
          </w:p>
        </w:tc>
        <w:tc>
          <w:tcPr>
            <w:tcW w:w="1843" w:type="dxa"/>
            <w:shd w:val="clear" w:color="auto" w:fill="auto"/>
          </w:tcPr>
          <w:p w:rsidR="00534FB5" w:rsidRPr="002D64EA" w:rsidRDefault="00534FB5" w:rsidP="00534FB5">
            <w:pPr>
              <w:spacing w:line="240" w:lineRule="atLeast"/>
              <w:contextualSpacing/>
              <w:jc w:val="center"/>
            </w:pPr>
            <w:r w:rsidRPr="002D64EA">
              <w:t>5,96±0,30</w:t>
            </w:r>
          </w:p>
        </w:tc>
        <w:tc>
          <w:tcPr>
            <w:tcW w:w="1984" w:type="dxa"/>
            <w:shd w:val="clear" w:color="auto" w:fill="auto"/>
          </w:tcPr>
          <w:p w:rsidR="00534FB5" w:rsidRPr="002D64EA" w:rsidRDefault="00534FB5" w:rsidP="00534FB5">
            <w:pPr>
              <w:spacing w:line="240" w:lineRule="atLeast"/>
              <w:contextualSpacing/>
              <w:jc w:val="center"/>
            </w:pPr>
            <w:r w:rsidRPr="002D64EA">
              <w:t>4,61±0,31*</w:t>
            </w:r>
          </w:p>
        </w:tc>
        <w:tc>
          <w:tcPr>
            <w:tcW w:w="2127" w:type="dxa"/>
            <w:shd w:val="clear" w:color="auto" w:fill="auto"/>
          </w:tcPr>
          <w:p w:rsidR="00534FB5" w:rsidRPr="002D64EA" w:rsidRDefault="00534FB5" w:rsidP="00534FB5">
            <w:pPr>
              <w:spacing w:line="240" w:lineRule="atLeast"/>
              <w:contextualSpacing/>
              <w:jc w:val="center"/>
            </w:pPr>
            <w:r w:rsidRPr="002D64EA">
              <w:t>5,63±0,33*</w:t>
            </w:r>
          </w:p>
        </w:tc>
        <w:tc>
          <w:tcPr>
            <w:tcW w:w="2233" w:type="dxa"/>
            <w:shd w:val="clear" w:color="auto" w:fill="auto"/>
          </w:tcPr>
          <w:p w:rsidR="00534FB5" w:rsidRPr="002D64EA" w:rsidRDefault="00534FB5" w:rsidP="00534FB5">
            <w:pPr>
              <w:spacing w:line="240" w:lineRule="atLeast"/>
              <w:contextualSpacing/>
              <w:jc w:val="center"/>
            </w:pPr>
            <w:r w:rsidRPr="002D64EA">
              <w:t>2,73±0,09*</w:t>
            </w:r>
          </w:p>
        </w:tc>
      </w:tr>
    </w:tbl>
    <w:p w:rsidR="00534FB5" w:rsidRPr="002D64EA" w:rsidRDefault="00534FB5" w:rsidP="00534FB5">
      <w:pPr>
        <w:contextualSpacing/>
        <w:rPr>
          <w:sz w:val="24"/>
        </w:rPr>
      </w:pPr>
      <w:r w:rsidRPr="002D64EA">
        <w:rPr>
          <w:sz w:val="24"/>
        </w:rPr>
        <w:t>Примітка: * –</w:t>
      </w:r>
      <w:r>
        <w:rPr>
          <w:sz w:val="24"/>
        </w:rPr>
        <w:t xml:space="preserve"> </w:t>
      </w:r>
      <w:r w:rsidRPr="002D64EA">
        <w:rPr>
          <w:color w:val="000000"/>
          <w:spacing w:val="-1"/>
          <w:sz w:val="24"/>
        </w:rPr>
        <w:t xml:space="preserve">достовірна різниця між показниками ОГб/ОГа </w:t>
      </w:r>
      <w:r w:rsidRPr="002D64EA">
        <w:rPr>
          <w:sz w:val="24"/>
        </w:rPr>
        <w:t>(р≤0,05).</w:t>
      </w: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p>
    <w:p w:rsidR="00D6210C" w:rsidRPr="002D64EA" w:rsidRDefault="00D6210C" w:rsidP="00D6210C">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При порівнянні показників ступен</w:t>
      </w:r>
      <w:r>
        <w:rPr>
          <w:rFonts w:ascii="Times New Roman" w:hAnsi="Times New Roman"/>
          <w:sz w:val="28"/>
          <w:szCs w:val="28"/>
        </w:rPr>
        <w:t>я</w:t>
      </w:r>
      <w:r w:rsidRPr="002D64EA">
        <w:rPr>
          <w:rFonts w:ascii="Times New Roman" w:hAnsi="Times New Roman"/>
          <w:sz w:val="28"/>
          <w:szCs w:val="28"/>
        </w:rPr>
        <w:t xml:space="preserve"> дисбіозу у дітей ОГа і ОГб встановлено, що зазначений показник був нижч</w:t>
      </w:r>
      <w:r>
        <w:rPr>
          <w:rFonts w:ascii="Times New Roman" w:hAnsi="Times New Roman"/>
          <w:sz w:val="28"/>
          <w:szCs w:val="28"/>
        </w:rPr>
        <w:t>ий</w:t>
      </w:r>
      <w:r w:rsidRPr="002D64EA">
        <w:rPr>
          <w:rFonts w:ascii="Times New Roman" w:hAnsi="Times New Roman"/>
          <w:sz w:val="28"/>
          <w:szCs w:val="28"/>
        </w:rPr>
        <w:t xml:space="preserve"> в середньому в 1,59</w:t>
      </w:r>
      <w:r>
        <w:rPr>
          <w:rFonts w:ascii="Times New Roman" w:hAnsi="Times New Roman"/>
          <w:sz w:val="28"/>
          <w:szCs w:val="28"/>
        </w:rPr>
        <w:t> </w:t>
      </w:r>
      <w:r w:rsidRPr="002D64EA">
        <w:rPr>
          <w:rFonts w:ascii="Times New Roman" w:hAnsi="Times New Roman"/>
          <w:sz w:val="28"/>
          <w:szCs w:val="28"/>
        </w:rPr>
        <w:t>раз</w:t>
      </w:r>
      <w:r>
        <w:rPr>
          <w:rFonts w:ascii="Times New Roman" w:hAnsi="Times New Roman"/>
          <w:sz w:val="28"/>
          <w:szCs w:val="28"/>
        </w:rPr>
        <w:t>а</w:t>
      </w:r>
      <w:r w:rsidRPr="002D64EA">
        <w:rPr>
          <w:rFonts w:ascii="Times New Roman" w:hAnsi="Times New Roman"/>
          <w:sz w:val="28"/>
          <w:szCs w:val="28"/>
        </w:rPr>
        <w:t xml:space="preserve"> (p&lt;0,001) у дітей, які отримували запропоновану схему лікування та профілактики (див. рис.</w:t>
      </w:r>
      <w:r>
        <w:rPr>
          <w:rFonts w:ascii="Times New Roman" w:hAnsi="Times New Roman"/>
          <w:sz w:val="28"/>
          <w:szCs w:val="28"/>
        </w:rPr>
        <w:t> </w:t>
      </w:r>
      <w:r w:rsidRPr="002D64EA">
        <w:rPr>
          <w:rFonts w:ascii="Times New Roman" w:hAnsi="Times New Roman"/>
          <w:sz w:val="28"/>
          <w:szCs w:val="28"/>
        </w:rPr>
        <w:t>4.4.3.4).</w:t>
      </w:r>
    </w:p>
    <w:p w:rsidR="00534FB5" w:rsidRPr="00AC6B51" w:rsidRDefault="00534FB5" w:rsidP="00534FB5">
      <w:pPr>
        <w:pStyle w:val="22"/>
        <w:spacing w:after="0" w:line="360" w:lineRule="auto"/>
        <w:ind w:left="0" w:firstLine="709"/>
        <w:contextualSpacing/>
        <w:jc w:val="both"/>
        <w:rPr>
          <w:rFonts w:ascii="Times New Roman" w:hAnsi="Times New Roman"/>
          <w:sz w:val="24"/>
          <w:szCs w:val="28"/>
        </w:rPr>
      </w:pPr>
    </w:p>
    <w:p w:rsidR="00534FB5" w:rsidRPr="002D64EA" w:rsidRDefault="006C493E" w:rsidP="00534FB5">
      <w:pPr>
        <w:pStyle w:val="22"/>
        <w:spacing w:after="0" w:line="240" w:lineRule="auto"/>
        <w:ind w:left="0" w:firstLine="709"/>
        <w:contextualSpacing/>
        <w:jc w:val="center"/>
        <w:rPr>
          <w:rFonts w:ascii="Times New Roman" w:hAnsi="Times New Roman"/>
          <w:sz w:val="28"/>
          <w:szCs w:val="28"/>
        </w:rPr>
      </w:pPr>
      <w:r>
        <w:rPr>
          <w:noProof/>
          <w:lang w:val="ru-RU" w:eastAsia="ru-RU"/>
        </w:rPr>
        <w:drawing>
          <wp:inline distT="0" distB="0" distL="0" distR="0">
            <wp:extent cx="4029075" cy="2152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srcRect/>
                    <a:stretch>
                      <a:fillRect/>
                    </a:stretch>
                  </pic:blipFill>
                  <pic:spPr bwMode="auto">
                    <a:xfrm>
                      <a:off x="0" y="0"/>
                      <a:ext cx="4029075" cy="2152650"/>
                    </a:xfrm>
                    <a:prstGeom prst="rect">
                      <a:avLst/>
                    </a:prstGeom>
                    <a:noFill/>
                    <a:ln w="9525">
                      <a:noFill/>
                      <a:miter lim="800000"/>
                      <a:headEnd/>
                      <a:tailEnd/>
                    </a:ln>
                  </pic:spPr>
                </pic:pic>
              </a:graphicData>
            </a:graphic>
          </wp:inline>
        </w:drawing>
      </w:r>
    </w:p>
    <w:p w:rsidR="00534FB5" w:rsidRPr="002D64EA" w:rsidRDefault="00534FB5" w:rsidP="00534FB5">
      <w:pPr>
        <w:spacing w:line="240" w:lineRule="auto"/>
        <w:ind w:firstLine="709"/>
        <w:contextualSpacing/>
      </w:pPr>
      <w:r w:rsidRPr="002D64EA">
        <w:t>Рис. 4.4.3.4. Середні показники ступен</w:t>
      </w:r>
      <w:r>
        <w:t>я</w:t>
      </w:r>
      <w:r w:rsidRPr="002D64EA">
        <w:t xml:space="preserve"> дисбіозу у дітей до і після лікування.</w:t>
      </w: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p>
    <w:p w:rsidR="00534FB5" w:rsidRPr="002D64EA" w:rsidRDefault="00534FB5" w:rsidP="00534FB5">
      <w:pPr>
        <w:pStyle w:val="22"/>
        <w:spacing w:after="0" w:line="360" w:lineRule="auto"/>
        <w:ind w:left="0" w:firstLine="709"/>
        <w:contextualSpacing/>
        <w:jc w:val="both"/>
        <w:rPr>
          <w:rFonts w:ascii="Times New Roman" w:hAnsi="Times New Roman"/>
          <w:sz w:val="28"/>
          <w:szCs w:val="28"/>
        </w:rPr>
      </w:pPr>
      <w:r w:rsidRPr="002D64EA">
        <w:rPr>
          <w:rFonts w:ascii="Times New Roman" w:hAnsi="Times New Roman"/>
          <w:sz w:val="28"/>
          <w:szCs w:val="28"/>
        </w:rPr>
        <w:t>Отримані результати свідчать про відновлення місцевого імунітету тканин ротової порожнини при використанні запропонованої схеми лікування.</w:t>
      </w:r>
    </w:p>
    <w:p w:rsidR="00534FB5" w:rsidRDefault="00534FB5" w:rsidP="00534FB5">
      <w:pPr>
        <w:ind w:firstLine="567"/>
        <w:contextualSpacing/>
      </w:pPr>
      <w:r>
        <w:t>Варто</w:t>
      </w:r>
      <w:r w:rsidRPr="002D64EA">
        <w:t xml:space="preserve"> зазначити </w:t>
      </w:r>
      <w:r>
        <w:t xml:space="preserve">про </w:t>
      </w:r>
      <w:r w:rsidRPr="002D64EA">
        <w:t xml:space="preserve">виявлені порушення місцевого імунітету тканин </w:t>
      </w:r>
      <w:r w:rsidRPr="002D64EA">
        <w:lastRenderedPageBreak/>
        <w:t xml:space="preserve">ротової порожнини у ДВГ. Продукування </w:t>
      </w:r>
      <w:r w:rsidRPr="002D64EA">
        <w:rPr>
          <w:rStyle w:val="a9"/>
          <w:bCs/>
          <w:i w:val="0"/>
          <w:iCs w:val="0"/>
          <w:color w:val="000000"/>
        </w:rPr>
        <w:t>sIgA</w:t>
      </w:r>
      <w:r w:rsidRPr="002D64EA">
        <w:t xml:space="preserve"> та активність лізоциму знижені в 1,53</w:t>
      </w:r>
      <w:r>
        <w:t> </w:t>
      </w:r>
      <w:r w:rsidRPr="002D64EA">
        <w:t>раза (p&lt;0,05) та</w:t>
      </w:r>
      <w:r>
        <w:t xml:space="preserve"> </w:t>
      </w:r>
      <w:r w:rsidRPr="002D64EA">
        <w:t>1,79</w:t>
      </w:r>
      <w:r>
        <w:t> </w:t>
      </w:r>
      <w:r w:rsidRPr="002D64EA">
        <w:t>раз</w:t>
      </w:r>
      <w:r>
        <w:t>а</w:t>
      </w:r>
      <w:r w:rsidRPr="002D64EA">
        <w:t xml:space="preserve"> (p&lt;0,001) відповідно</w:t>
      </w:r>
      <w:r>
        <w:t>,</w:t>
      </w:r>
      <w:r w:rsidRPr="002D64EA">
        <w:t xml:space="preserve"> тоді як активність уреази й показник ступен</w:t>
      </w:r>
      <w:r>
        <w:t>я</w:t>
      </w:r>
      <w:r w:rsidRPr="002D64EA">
        <w:t xml:space="preserve"> дисбіозу підвищені відповідно в 3,28 раз</w:t>
      </w:r>
      <w:r>
        <w:t>а</w:t>
      </w:r>
      <w:r w:rsidRPr="002D64EA">
        <w:t xml:space="preserve"> (p&lt;0,001) і 5,84</w:t>
      </w:r>
      <w:r>
        <w:t> </w:t>
      </w:r>
      <w:r w:rsidRPr="002D64EA">
        <w:t>раза (p&lt;0,001)</w:t>
      </w:r>
      <w:r>
        <w:t>,</w:t>
      </w:r>
      <w:r w:rsidRPr="002D64EA">
        <w:t xml:space="preserve"> порівняно з дітьми першої групи здоров</w:t>
      </w:r>
      <w:r>
        <w:t>’</w:t>
      </w:r>
      <w:r w:rsidRPr="002D64EA">
        <w:t>я без патології слуху. З</w:t>
      </w:r>
      <w:r>
        <w:t>’</w:t>
      </w:r>
      <w:r w:rsidRPr="002D64EA">
        <w:t xml:space="preserve">ясовано, що через рік після проведення процедур </w:t>
      </w:r>
      <w:r>
        <w:t>і</w:t>
      </w:r>
      <w:r w:rsidRPr="002D64EA">
        <w:t xml:space="preserve">з застосуванням запропонованого лікувально-профілактичного комплексу стан місцевого імунітету практично відновлювався та досягав рівня показників </w:t>
      </w:r>
      <w:r>
        <w:t>контрольної групи</w:t>
      </w:r>
      <w:r w:rsidRPr="002D64EA">
        <w:t xml:space="preserve">. При застосуванні традиційних лікувально-профілактичних заходів стан місцевого імунітету повільно відновлювався, однак не досягав рівня показників </w:t>
      </w:r>
      <w:r>
        <w:t>контрольної групи</w:t>
      </w:r>
      <w:r w:rsidRPr="002D64EA">
        <w:t xml:space="preserve">. Порівняння показників груп ОГа та ОГб </w:t>
      </w:r>
      <w:r>
        <w:t>показа</w:t>
      </w:r>
      <w:r w:rsidRPr="002D64EA">
        <w:t>ло достовірні відмін</w:t>
      </w:r>
      <w:r>
        <w:t>ності</w:t>
      </w:r>
      <w:r w:rsidRPr="002D64EA">
        <w:t xml:space="preserve"> по</w:t>
      </w:r>
      <w:r>
        <w:t>ліпш</w:t>
      </w:r>
      <w:r w:rsidRPr="002D64EA">
        <w:t>ення стану місцевого імунітету ротової порожнини у дітей з вадами слуху, які отримували запропонований лікувально-профілактичний комплекс.</w:t>
      </w:r>
    </w:p>
    <w:p w:rsidR="00D6210C" w:rsidRPr="002D64EA" w:rsidRDefault="00D6210C" w:rsidP="00D6210C">
      <w:pPr>
        <w:ind w:firstLine="567"/>
        <w:contextualSpacing/>
      </w:pPr>
      <w:r w:rsidRPr="002D64EA">
        <w:t>Таким чином, за результатами досліджен</w:t>
      </w:r>
      <w:r>
        <w:t>ня</w:t>
      </w:r>
      <w:r w:rsidRPr="002D64EA">
        <w:t xml:space="preserve">, доведено, що запропонована схема лікування та профілактики </w:t>
      </w:r>
      <w:r>
        <w:t>сприяла досягненню кращих результатів</w:t>
      </w:r>
      <w:r w:rsidRPr="002D64EA">
        <w:t xml:space="preserve"> у порівнянні з традиційним лікувально-профілактичним комплексом. Це свідчить про високу ефективність запропонованого лікувально-профілактичного комплексу і дозволяє рекомендувати його до широкого використання в практиці.</w:t>
      </w:r>
    </w:p>
    <w:p w:rsidR="00D6210C" w:rsidRPr="002D64EA" w:rsidRDefault="00D6210C" w:rsidP="00534FB5">
      <w:pPr>
        <w:ind w:firstLine="567"/>
        <w:contextualSpacing/>
      </w:pPr>
    </w:p>
    <w:p w:rsidR="00534FB5" w:rsidRDefault="00534FB5" w:rsidP="00534FB5">
      <w:pPr>
        <w:contextualSpacing/>
      </w:pPr>
    </w:p>
    <w:p w:rsidR="00534FB5" w:rsidRDefault="00534FB5" w:rsidP="00534FB5">
      <w:pPr>
        <w:ind w:firstLine="567"/>
        <w:contextualSpacing/>
        <w:rPr>
          <w:b/>
        </w:rPr>
      </w:pPr>
      <w:r w:rsidRPr="00B67973">
        <w:rPr>
          <w:b/>
        </w:rPr>
        <w:t>4</w:t>
      </w:r>
      <w:r>
        <w:rPr>
          <w:b/>
        </w:rPr>
        <w:t>.5</w:t>
      </w:r>
      <w:r w:rsidRPr="00B67973">
        <w:rPr>
          <w:b/>
        </w:rPr>
        <w:t xml:space="preserve">. </w:t>
      </w:r>
      <w:r w:rsidRPr="0097130F">
        <w:rPr>
          <w:b/>
        </w:rPr>
        <w:t>Динаміка зміни мікробіоценозу зубної бляшки</w:t>
      </w:r>
    </w:p>
    <w:p w:rsidR="00534FB5" w:rsidRPr="00AB7CA7" w:rsidRDefault="00534FB5" w:rsidP="00534FB5">
      <w:pPr>
        <w:contextualSpacing/>
        <w:rPr>
          <w:b/>
        </w:rPr>
      </w:pPr>
    </w:p>
    <w:p w:rsidR="00534FB5" w:rsidRDefault="00534FB5" w:rsidP="00534FB5">
      <w:pPr>
        <w:ind w:firstLine="708"/>
        <w:contextualSpacing/>
      </w:pPr>
      <w:r w:rsidRPr="00E40BFA">
        <w:t xml:space="preserve">На сьогодні у патогенезі таких найбільш поширених у практиці дитячого лікаря-стоматолога нозологічних форм, як карієс </w:t>
      </w:r>
      <w:r>
        <w:t>та захворювання тканин пародонта</w:t>
      </w:r>
      <w:r w:rsidRPr="00E40BFA">
        <w:t xml:space="preserve">, провідне місце відводиться мікробному фактору [2, 6]. Одним із важливих чинників, що впливає на формування мікробіоценозу ротової порожнини, є секрет слини та її склад. Обґрунтовано, що у дітей з </w:t>
      </w:r>
      <w:r w:rsidRPr="00E40BFA">
        <w:lastRenderedPageBreak/>
        <w:t xml:space="preserve">вадами слуху </w:t>
      </w:r>
      <w:r>
        <w:t>через</w:t>
      </w:r>
      <w:r w:rsidRPr="00E40BFA">
        <w:t xml:space="preserve"> функціональн</w:t>
      </w:r>
      <w:r>
        <w:t>і</w:t>
      </w:r>
      <w:r w:rsidRPr="00E40BFA">
        <w:t xml:space="preserve"> нервово-психічн</w:t>
      </w:r>
      <w:r>
        <w:t>і</w:t>
      </w:r>
      <w:r w:rsidRPr="00E40BFA">
        <w:t xml:space="preserve"> розлад</w:t>
      </w:r>
      <w:r>
        <w:t>и</w:t>
      </w:r>
      <w:r w:rsidRPr="00E40BFA">
        <w:t xml:space="preserve"> знижується секреторна функція слинних залоз, що є передумовою виникнення дисбіозу ротової порожнини та розвитку стоматологічних захворювань [7]. У попередньому підрозділі показан</w:t>
      </w:r>
      <w:r>
        <w:t>о</w:t>
      </w:r>
      <w:r w:rsidRPr="00E40BFA">
        <w:t xml:space="preserve"> значні відмінності якісного та кількісного складу мікробіоценозу зубної бляшки у </w:t>
      </w:r>
      <w:r>
        <w:t>ДВГ</w:t>
      </w:r>
      <w:r w:rsidRPr="00E40BFA">
        <w:t xml:space="preserve"> та у дітей </w:t>
      </w:r>
      <w:r>
        <w:t>КГ</w:t>
      </w:r>
      <w:r w:rsidRPr="00E40BFA">
        <w:t>. Тому для вказаної групи дітей нагально необхідним є включення у профілактичні схеми засобів гігієни, які мають спрямовану антимікробну дію та забезпечують збереження нормального мікробіоценозу ротової порожнини.</w:t>
      </w:r>
    </w:p>
    <w:p w:rsidR="00534FB5" w:rsidRPr="00E40BFA" w:rsidRDefault="00534FB5" w:rsidP="00534FB5">
      <w:pPr>
        <w:ind w:firstLine="708"/>
        <w:contextualSpacing/>
      </w:pPr>
      <w:r w:rsidRPr="00E40BFA">
        <w:t>Первинне обстеження мікрофлори зубної бляшки у дітей обох груп показало високий рівень мікробної контамінації як резидентними, так і карієсогенними та пародонтопатогенними бактеріями</w:t>
      </w:r>
      <w:r>
        <w:t xml:space="preserve"> (див. додатки Ґ, Д).</w:t>
      </w:r>
      <w:r w:rsidRPr="00E40BFA">
        <w:t xml:space="preserve"> </w:t>
      </w:r>
    </w:p>
    <w:p w:rsidR="00534FB5" w:rsidRPr="00E40BFA" w:rsidRDefault="00534FB5" w:rsidP="00534FB5">
      <w:pPr>
        <w:ind w:firstLine="708"/>
        <w:contextualSpacing/>
      </w:pPr>
      <w:r w:rsidRPr="00E40BFA">
        <w:t xml:space="preserve">Основний карієсогенний вид стрептококів – </w:t>
      </w:r>
      <w:r w:rsidRPr="00E40BFA">
        <w:rPr>
          <w:i/>
        </w:rPr>
        <w:t>S. mutans</w:t>
      </w:r>
      <w:r w:rsidRPr="00E40BFA">
        <w:t xml:space="preserve"> ідентифікований майже </w:t>
      </w:r>
      <w:r>
        <w:t>в</w:t>
      </w:r>
      <w:r w:rsidRPr="00E40BFA">
        <w:t xml:space="preserve"> однакової кількості дітей обох груп – 41,2 та 41,7</w:t>
      </w:r>
      <w:r>
        <w:t> </w:t>
      </w:r>
      <w:r w:rsidRPr="00E40BFA">
        <w:t xml:space="preserve">%, рівень мікробної колонізації становив </w:t>
      </w:r>
      <w:r w:rsidRPr="00E40BFA">
        <w:rPr>
          <w:lang w:val="en-US"/>
        </w:rPr>
        <w:t>lg</w:t>
      </w:r>
      <w:r w:rsidRPr="00E40BFA">
        <w:t xml:space="preserve"> (6,6±0,33) та </w:t>
      </w:r>
      <w:r w:rsidRPr="00E40BFA">
        <w:rPr>
          <w:lang w:val="en-US"/>
        </w:rPr>
        <w:t>lg</w:t>
      </w:r>
      <w:r w:rsidRPr="00E40BFA">
        <w:t xml:space="preserve"> (6,6±0,57) КУО/г. Інший карієсогенний вид – </w:t>
      </w:r>
      <w:r w:rsidRPr="00E40BFA">
        <w:rPr>
          <w:i/>
        </w:rPr>
        <w:t xml:space="preserve">S. sanguis </w:t>
      </w:r>
      <w:r w:rsidRPr="00E40BFA">
        <w:t>колонізував обстежений біотоп у 19,4-20,6</w:t>
      </w:r>
      <w:r>
        <w:t> </w:t>
      </w:r>
      <w:r w:rsidRPr="00E40BFA">
        <w:t>% майже на такому ж рівні.</w:t>
      </w:r>
    </w:p>
    <w:p w:rsidR="00534FB5" w:rsidRPr="00E40BFA" w:rsidRDefault="00534FB5" w:rsidP="00534FB5">
      <w:pPr>
        <w:ind w:firstLine="708"/>
        <w:contextualSpacing/>
      </w:pPr>
      <w:r w:rsidRPr="00E40BFA">
        <w:t>Представники анаеробних пародонтопатогенних бактерій (</w:t>
      </w:r>
      <w:r w:rsidRPr="00E40BFA">
        <w:rPr>
          <w:i/>
          <w:iCs/>
          <w:lang w:val="ru-RU"/>
        </w:rPr>
        <w:t>Porphyromonas</w:t>
      </w:r>
      <w:r w:rsidRPr="00E40BFA">
        <w:rPr>
          <w:i/>
          <w:iCs/>
        </w:rPr>
        <w:t xml:space="preserve"> </w:t>
      </w:r>
      <w:r w:rsidRPr="00E40BFA">
        <w:rPr>
          <w:i/>
          <w:iCs/>
          <w:lang w:val="ru-RU"/>
        </w:rPr>
        <w:t>gingivalis</w:t>
      </w:r>
      <w:r w:rsidRPr="00E40BFA">
        <w:rPr>
          <w:i/>
          <w:iCs/>
        </w:rPr>
        <w:t xml:space="preserve">, </w:t>
      </w:r>
      <w:r w:rsidRPr="00E40BFA">
        <w:rPr>
          <w:i/>
          <w:iCs/>
          <w:lang w:val="ru-RU"/>
        </w:rPr>
        <w:t>Prevotella</w:t>
      </w:r>
      <w:r w:rsidRPr="00E40BFA">
        <w:rPr>
          <w:i/>
          <w:iCs/>
        </w:rPr>
        <w:t xml:space="preserve"> </w:t>
      </w:r>
      <w:r w:rsidRPr="00E40BFA">
        <w:rPr>
          <w:i/>
          <w:iCs/>
          <w:lang w:val="ru-RU"/>
        </w:rPr>
        <w:t>intermedia</w:t>
      </w:r>
      <w:r w:rsidRPr="00E40BFA">
        <w:rPr>
          <w:i/>
          <w:iCs/>
        </w:rPr>
        <w:t xml:space="preserve">, </w:t>
      </w:r>
      <w:r w:rsidRPr="00E40BFA">
        <w:rPr>
          <w:i/>
        </w:rPr>
        <w:t>Fusobacterium spp, Bacteroides spp)</w:t>
      </w:r>
      <w:r w:rsidRPr="00E40BFA">
        <w:t xml:space="preserve"> персистували у зубній бляшці у 72,3-76,6</w:t>
      </w:r>
      <w:r>
        <w:t> </w:t>
      </w:r>
      <w:r w:rsidRPr="00E40BFA">
        <w:t xml:space="preserve">% дітей у кількості, що не перевищувала </w:t>
      </w:r>
      <w:r w:rsidRPr="00E40BFA">
        <w:rPr>
          <w:lang w:val="en-US"/>
        </w:rPr>
        <w:t>lg</w:t>
      </w:r>
      <w:r>
        <w:t> </w:t>
      </w:r>
      <w:r w:rsidRPr="00E40BFA">
        <w:t>5</w:t>
      </w:r>
      <w:r>
        <w:t> </w:t>
      </w:r>
      <w:r w:rsidRPr="00E40BFA">
        <w:t>КУО/г. Аеробні та факультативно-анаеробні грамнегативні бактерії (ацинетобактери, мораксели, псевдомонади, ентеробактерії), які не входять до складу резидентної оральної мікрофлори, виявлено у 41,7-44,1</w:t>
      </w:r>
      <w:r>
        <w:t> </w:t>
      </w:r>
      <w:r w:rsidRPr="00E40BFA">
        <w:t>% випадків. Щільність мікробної колонізації зубної бляшки ентерококами та нейсеріями, які виявлен</w:t>
      </w:r>
      <w:r>
        <w:t>о</w:t>
      </w:r>
      <w:r w:rsidRPr="00E40BFA">
        <w:t xml:space="preserve"> у третини обстежених, перевищувала </w:t>
      </w:r>
      <w:r w:rsidRPr="00E40BFA">
        <w:rPr>
          <w:lang w:val="en-US"/>
        </w:rPr>
        <w:t>lg</w:t>
      </w:r>
      <w:r>
        <w:t> </w:t>
      </w:r>
      <w:r w:rsidRPr="00E40BFA">
        <w:t>5</w:t>
      </w:r>
      <w:r>
        <w:t> </w:t>
      </w:r>
      <w:r w:rsidRPr="00E40BFA">
        <w:t xml:space="preserve">КУО/г. </w:t>
      </w:r>
    </w:p>
    <w:p w:rsidR="00534FB5" w:rsidRPr="00E40BFA" w:rsidRDefault="00534FB5" w:rsidP="00534FB5">
      <w:pPr>
        <w:ind w:firstLine="708"/>
        <w:contextualSpacing/>
      </w:pPr>
      <w:r w:rsidRPr="00E40BFA">
        <w:t>Проведення лікувально-профілактичних заходів дітям обох груп позитивно позначилос</w:t>
      </w:r>
      <w:r>
        <w:t>я</w:t>
      </w:r>
      <w:r w:rsidRPr="00E40BFA">
        <w:t xml:space="preserve"> на стані мікробіоценозу зубної бляшки у порівнянні з вихідними показниками</w:t>
      </w:r>
      <w:r>
        <w:t xml:space="preserve"> (див. додатки Ґ, Д). </w:t>
      </w:r>
      <w:r w:rsidRPr="00E40BFA">
        <w:t>Від</w:t>
      </w:r>
      <w:r>
        <w:t>зна</w:t>
      </w:r>
      <w:r w:rsidRPr="00E40BFA">
        <w:t xml:space="preserve">чено селективний протимікробний ефект, який проявлявся достовірним зниженням </w:t>
      </w:r>
      <w:r w:rsidRPr="00E40BFA">
        <w:lastRenderedPageBreak/>
        <w:t xml:space="preserve">популяційного рівня </w:t>
      </w:r>
      <w:r w:rsidRPr="00E40BFA">
        <w:rPr>
          <w:i/>
        </w:rPr>
        <w:t xml:space="preserve">S. mutans, Haemophillus spp, Prevotella spp, Fusobacterium spp </w:t>
      </w:r>
      <w:r w:rsidRPr="00E40BFA">
        <w:t>(р&lt;0,05)</w:t>
      </w:r>
      <w:r w:rsidRPr="00E40BFA">
        <w:rPr>
          <w:i/>
        </w:rPr>
        <w:t xml:space="preserve">. </w:t>
      </w:r>
      <w:r w:rsidRPr="00E40BFA">
        <w:t xml:space="preserve">Вже через місяць у жодному випадку не виявлено персистенцію гнієрідних коків </w:t>
      </w:r>
      <w:r>
        <w:t>–</w:t>
      </w:r>
      <w:r w:rsidRPr="00E40BFA">
        <w:t xml:space="preserve"> </w:t>
      </w:r>
      <w:r w:rsidRPr="00E40BFA">
        <w:rPr>
          <w:i/>
        </w:rPr>
        <w:t xml:space="preserve">S. pyogеnеs </w:t>
      </w:r>
      <w:r w:rsidRPr="00E40BFA">
        <w:t xml:space="preserve">та </w:t>
      </w:r>
      <w:r w:rsidRPr="00E40BFA">
        <w:rPr>
          <w:i/>
        </w:rPr>
        <w:t>S. aureus</w:t>
      </w:r>
      <w:r w:rsidRPr="00E40BFA">
        <w:t>, деяких видів ентеробактерій. Натомість частота вилучення представників аутохтонної мікрофлори – некарієсогенних стрептококів (</w:t>
      </w:r>
      <w:r w:rsidRPr="00E40BFA">
        <w:rPr>
          <w:i/>
        </w:rPr>
        <w:t>S. mitis, S. oralis, S. sаlivarius</w:t>
      </w:r>
      <w:r w:rsidRPr="00E40BFA">
        <w:t>) зростала у 2-4 рази (р&lt;0,05)</w:t>
      </w:r>
      <w:r w:rsidRPr="00E40BFA">
        <w:rPr>
          <w:i/>
        </w:rPr>
        <w:t>.</w:t>
      </w:r>
    </w:p>
    <w:p w:rsidR="00534FB5" w:rsidRDefault="00534FB5" w:rsidP="00534FB5">
      <w:pPr>
        <w:ind w:firstLine="708"/>
        <w:contextualSpacing/>
      </w:pPr>
      <w:r>
        <w:t>З</w:t>
      </w:r>
      <w:r w:rsidRPr="00E40BFA">
        <w:t xml:space="preserve">іставлення двох лікувально-профілактичних схем за результатами мікробіологічного обстеження біотопу виявило значні переваги запропонованої схеми </w:t>
      </w:r>
      <w:r>
        <w:t>над</w:t>
      </w:r>
      <w:r w:rsidRPr="00E40BFA">
        <w:t xml:space="preserve"> традиційною. Так, відсоток</w:t>
      </w:r>
      <w:r>
        <w:t xml:space="preserve"> ДВГ</w:t>
      </w:r>
      <w:r w:rsidRPr="00E40BFA">
        <w:t>, у яких настала елімінація карієсогенних стрептококів після запропонованої лікувально-профілактичної схеми збільшився у 2 рази у порівнянні з вихідними показниками (р&lt;0,05). Натомість традиційні заходи статистично значимо цей показник не змінювали</w:t>
      </w:r>
      <w:r w:rsidRPr="00E40BFA">
        <w:rPr>
          <w:lang w:val="ru-RU"/>
        </w:rPr>
        <w:t xml:space="preserve"> (</w:t>
      </w:r>
      <w:r>
        <w:rPr>
          <w:lang w:val="ru-RU"/>
        </w:rPr>
        <w:t>рис. 4.5.1</w:t>
      </w:r>
      <w:r w:rsidRPr="0050022A">
        <w:rPr>
          <w:lang w:val="ru-RU"/>
        </w:rPr>
        <w:t>)</w:t>
      </w:r>
      <w:r w:rsidRPr="0050022A">
        <w:t>.</w:t>
      </w:r>
      <w:r w:rsidRPr="00E40BFA">
        <w:t xml:space="preserve"> </w:t>
      </w:r>
    </w:p>
    <w:p w:rsidR="00534FB5" w:rsidRPr="007E5DB2" w:rsidRDefault="00534FB5" w:rsidP="00534FB5">
      <w:pPr>
        <w:ind w:firstLine="708"/>
        <w:contextualSpacing/>
        <w:rPr>
          <w:sz w:val="20"/>
        </w:rPr>
      </w:pPr>
    </w:p>
    <w:p w:rsidR="00534FB5" w:rsidRPr="00E40BFA" w:rsidRDefault="006C493E" w:rsidP="00534FB5">
      <w:pPr>
        <w:spacing w:line="240" w:lineRule="auto"/>
        <w:contextualSpacing/>
        <w:jc w:val="center"/>
      </w:pPr>
      <w:r>
        <w:rPr>
          <w:noProof/>
          <w:lang w:val="ru-RU"/>
        </w:rPr>
        <w:drawing>
          <wp:inline distT="0" distB="0" distL="0" distR="0">
            <wp:extent cx="3990975" cy="2219325"/>
            <wp:effectExtent l="0" t="0" r="0" b="0"/>
            <wp:docPr id="6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1"/>
                    <a:srcRect/>
                    <a:stretch>
                      <a:fillRect/>
                    </a:stretch>
                  </pic:blipFill>
                  <pic:spPr bwMode="auto">
                    <a:xfrm>
                      <a:off x="0" y="0"/>
                      <a:ext cx="3990975" cy="2219325"/>
                    </a:xfrm>
                    <a:prstGeom prst="rect">
                      <a:avLst/>
                    </a:prstGeom>
                    <a:noFill/>
                    <a:ln w="9525">
                      <a:noFill/>
                      <a:miter lim="800000"/>
                      <a:headEnd/>
                      <a:tailEnd/>
                    </a:ln>
                  </pic:spPr>
                </pic:pic>
              </a:graphicData>
            </a:graphic>
          </wp:inline>
        </w:drawing>
      </w:r>
    </w:p>
    <w:p w:rsidR="00534FB5" w:rsidRDefault="00534FB5" w:rsidP="00534FB5">
      <w:pPr>
        <w:ind w:firstLine="709"/>
        <w:contextualSpacing/>
      </w:pPr>
      <w:r w:rsidRPr="0050022A">
        <w:t xml:space="preserve">Рис. </w:t>
      </w:r>
      <w:r w:rsidRPr="00EA231E">
        <w:t>4.</w:t>
      </w:r>
      <w:r>
        <w:t>5.1.</w:t>
      </w:r>
      <w:r w:rsidRPr="00EA231E">
        <w:t xml:space="preserve"> Динаміка частоти вилучення каріесогенних стрептококів у </w:t>
      </w:r>
      <w:r>
        <w:t>ДВГ</w:t>
      </w:r>
      <w:r w:rsidRPr="00EA231E">
        <w:t xml:space="preserve"> при застосуванні різних лікувально-профілактичних схем</w:t>
      </w:r>
      <w:r>
        <w:t>.</w:t>
      </w:r>
    </w:p>
    <w:p w:rsidR="00534FB5" w:rsidRPr="00E40BFA" w:rsidRDefault="00534FB5" w:rsidP="00534FB5">
      <w:pPr>
        <w:contextualSpacing/>
      </w:pPr>
    </w:p>
    <w:p w:rsidR="00534FB5" w:rsidRDefault="00534FB5" w:rsidP="00534FB5">
      <w:pPr>
        <w:ind w:firstLine="708"/>
        <w:contextualSpacing/>
      </w:pPr>
      <w:r w:rsidRPr="00E40BFA">
        <w:t>Найбільш ефективно складові запропонованої схеми впливали на грамнегативні палички – контрольні дослідження через місяць виявили пародонтопатогенну групу бактерій лише у 5,6</w:t>
      </w:r>
      <w:r>
        <w:t> </w:t>
      </w:r>
      <w:r w:rsidRPr="00E40BFA">
        <w:t>% дітей, ентеробактерії та неферментуючі бактерії – у 5,9</w:t>
      </w:r>
      <w:r>
        <w:t> </w:t>
      </w:r>
      <w:r w:rsidRPr="00E40BFA">
        <w:t>% обстежених. Через 6 та 12 місяців вказані мікроорганізми не виявлялис</w:t>
      </w:r>
      <w:r>
        <w:t>я</w:t>
      </w:r>
      <w:r w:rsidR="0002243A">
        <w:t xml:space="preserve">. В ОГа </w:t>
      </w:r>
      <w:r w:rsidRPr="00E40BFA">
        <w:t xml:space="preserve">повної санації не досягнуто – через рік </w:t>
      </w:r>
      <w:r w:rsidRPr="00E40BFA">
        <w:lastRenderedPageBreak/>
        <w:t>анаеробні бактерії ізолювалис</w:t>
      </w:r>
      <w:r>
        <w:t>я</w:t>
      </w:r>
      <w:r w:rsidRPr="00E40BFA">
        <w:t xml:space="preserve"> у третини дітей, аеробні та факультативно-анаеробні – у 5,6</w:t>
      </w:r>
      <w:r>
        <w:t> </w:t>
      </w:r>
      <w:r w:rsidRPr="00E40BFA">
        <w:t>% (</w:t>
      </w:r>
      <w:r>
        <w:t>рис. 4.5.2, 4.5.3).</w:t>
      </w:r>
      <w:r w:rsidRPr="00E40BFA">
        <w:t xml:space="preserve"> </w:t>
      </w:r>
    </w:p>
    <w:p w:rsidR="00534FB5" w:rsidRPr="00E40BFA" w:rsidRDefault="00534FB5" w:rsidP="00534FB5">
      <w:pPr>
        <w:ind w:firstLine="708"/>
        <w:contextualSpacing/>
      </w:pPr>
    </w:p>
    <w:p w:rsidR="00534FB5" w:rsidRDefault="006C493E" w:rsidP="00534FB5">
      <w:pPr>
        <w:contextualSpacing/>
        <w:jc w:val="center"/>
        <w:rPr>
          <w:noProof/>
          <w:lang w:val="ru-RU"/>
        </w:rPr>
      </w:pPr>
      <w:r>
        <w:rPr>
          <w:noProof/>
          <w:lang w:val="ru-RU"/>
        </w:rPr>
        <w:drawing>
          <wp:inline distT="0" distB="0" distL="0" distR="0">
            <wp:extent cx="3800475" cy="2219325"/>
            <wp:effectExtent l="0" t="0" r="0" b="0"/>
            <wp:docPr id="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a:srcRect/>
                    <a:stretch>
                      <a:fillRect/>
                    </a:stretch>
                  </pic:blipFill>
                  <pic:spPr bwMode="auto">
                    <a:xfrm>
                      <a:off x="0" y="0"/>
                      <a:ext cx="3800475" cy="2219325"/>
                    </a:xfrm>
                    <a:prstGeom prst="rect">
                      <a:avLst/>
                    </a:prstGeom>
                    <a:noFill/>
                    <a:ln w="9525">
                      <a:noFill/>
                      <a:miter lim="800000"/>
                      <a:headEnd/>
                      <a:tailEnd/>
                    </a:ln>
                  </pic:spPr>
                </pic:pic>
              </a:graphicData>
            </a:graphic>
          </wp:inline>
        </w:drawing>
      </w:r>
    </w:p>
    <w:p w:rsidR="00534FB5" w:rsidRPr="0050022A" w:rsidRDefault="00534FB5" w:rsidP="00534FB5">
      <w:pPr>
        <w:ind w:firstLine="709"/>
        <w:contextualSpacing/>
      </w:pPr>
      <w:r w:rsidRPr="0050022A">
        <w:t>Рис.</w:t>
      </w:r>
      <w:r>
        <w:t xml:space="preserve"> 4.5.2.</w:t>
      </w:r>
      <w:r w:rsidRPr="0050022A">
        <w:t xml:space="preserve"> Динаміка частоти вилучення </w:t>
      </w:r>
      <w:r w:rsidRPr="00E40BFA">
        <w:t xml:space="preserve">пародонтопатогенних бактерій </w:t>
      </w:r>
      <w:r w:rsidRPr="0050022A">
        <w:t xml:space="preserve">у </w:t>
      </w:r>
      <w:r>
        <w:t>ДВГ</w:t>
      </w:r>
      <w:r w:rsidRPr="0050022A">
        <w:t xml:space="preserve"> при застосуванні різних лікувально-профілактичних схем</w:t>
      </w:r>
      <w:r>
        <w:t>.</w:t>
      </w:r>
    </w:p>
    <w:p w:rsidR="00534FB5" w:rsidRPr="0050022A" w:rsidRDefault="00534FB5" w:rsidP="00534FB5">
      <w:pPr>
        <w:contextualSpacing/>
      </w:pPr>
    </w:p>
    <w:p w:rsidR="00534FB5" w:rsidRPr="0050022A" w:rsidRDefault="006C493E" w:rsidP="00534FB5">
      <w:pPr>
        <w:contextualSpacing/>
        <w:jc w:val="center"/>
      </w:pPr>
      <w:r>
        <w:rPr>
          <w:noProof/>
          <w:lang w:val="ru-RU"/>
        </w:rPr>
        <w:drawing>
          <wp:inline distT="0" distB="0" distL="0" distR="0">
            <wp:extent cx="3400425" cy="2219325"/>
            <wp:effectExtent l="0" t="0" r="0"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srcRect/>
                    <a:stretch>
                      <a:fillRect/>
                    </a:stretch>
                  </pic:blipFill>
                  <pic:spPr bwMode="auto">
                    <a:xfrm>
                      <a:off x="0" y="0"/>
                      <a:ext cx="3400425" cy="2219325"/>
                    </a:xfrm>
                    <a:prstGeom prst="rect">
                      <a:avLst/>
                    </a:prstGeom>
                    <a:noFill/>
                    <a:ln w="9525">
                      <a:noFill/>
                      <a:miter lim="800000"/>
                      <a:headEnd/>
                      <a:tailEnd/>
                    </a:ln>
                  </pic:spPr>
                </pic:pic>
              </a:graphicData>
            </a:graphic>
          </wp:inline>
        </w:drawing>
      </w:r>
    </w:p>
    <w:p w:rsidR="00534FB5" w:rsidRPr="004532B4" w:rsidRDefault="00534FB5" w:rsidP="00534FB5">
      <w:pPr>
        <w:ind w:firstLine="709"/>
        <w:contextualSpacing/>
      </w:pPr>
      <w:r>
        <w:t xml:space="preserve">Рис. 4.5.3. </w:t>
      </w:r>
      <w:r w:rsidRPr="0050022A">
        <w:t xml:space="preserve">Динаміка частоти вилучення ентеробактерій та неферментуючих грамнегативних </w:t>
      </w:r>
      <w:r w:rsidRPr="00E40BFA">
        <w:t xml:space="preserve">бактерій </w:t>
      </w:r>
      <w:r w:rsidRPr="0050022A">
        <w:t xml:space="preserve">у </w:t>
      </w:r>
      <w:r>
        <w:t>ДВГ</w:t>
      </w:r>
      <w:r w:rsidRPr="0050022A">
        <w:t xml:space="preserve"> при застосуван</w:t>
      </w:r>
      <w:r w:rsidRPr="004532B4">
        <w:t>ні різних лікувально-профілактичних схем</w:t>
      </w:r>
      <w:r>
        <w:t>.</w:t>
      </w:r>
    </w:p>
    <w:p w:rsidR="00534FB5" w:rsidRPr="004532B4" w:rsidRDefault="00534FB5" w:rsidP="00534FB5">
      <w:pPr>
        <w:contextualSpacing/>
      </w:pPr>
    </w:p>
    <w:p w:rsidR="00534FB5" w:rsidRPr="00E40BFA" w:rsidRDefault="00534FB5" w:rsidP="00534FB5">
      <w:pPr>
        <w:ind w:firstLine="709"/>
        <w:contextualSpacing/>
      </w:pPr>
      <w:r w:rsidRPr="00E40BFA">
        <w:t xml:space="preserve">Ще одним вагомим доказом ефективності запропонованої лікувально-профілактичної схеми є динаміка вилучення дріжджеподібних грибів роду </w:t>
      </w:r>
      <w:r w:rsidRPr="00E40BFA">
        <w:rPr>
          <w:i/>
          <w:lang w:val="en-US"/>
        </w:rPr>
        <w:t>Candida</w:t>
      </w:r>
      <w:r w:rsidRPr="004532B4">
        <w:t xml:space="preserve"> – через </w:t>
      </w:r>
      <w:r w:rsidRPr="00E40BFA">
        <w:t xml:space="preserve">6 місяців їх ізолювали у двох дітей, а через рік – лише </w:t>
      </w:r>
      <w:r>
        <w:t>в</w:t>
      </w:r>
      <w:r w:rsidRPr="00E40BFA">
        <w:t xml:space="preserve"> однієї дитини</w:t>
      </w:r>
      <w:r>
        <w:t xml:space="preserve"> (рис. 4.5.4).</w:t>
      </w:r>
      <w:r w:rsidRPr="00E40BFA">
        <w:t xml:space="preserve"> </w:t>
      </w:r>
      <w:r w:rsidR="0002243A">
        <w:t>В</w:t>
      </w:r>
      <w:r w:rsidRPr="00E40BFA">
        <w:t xml:space="preserve"> </w:t>
      </w:r>
      <w:r w:rsidR="0002243A">
        <w:t xml:space="preserve">ОГа </w:t>
      </w:r>
      <w:r w:rsidRPr="00E40BFA">
        <w:t xml:space="preserve">обстежених частота вилучення еукаріотів </w:t>
      </w:r>
      <w:r w:rsidRPr="00E40BFA">
        <w:lastRenderedPageBreak/>
        <w:t xml:space="preserve">навіть зросла </w:t>
      </w:r>
      <w:r>
        <w:t xml:space="preserve">– </w:t>
      </w:r>
      <w:r w:rsidRPr="00E40BFA">
        <w:t>з 13,9</w:t>
      </w:r>
      <w:r>
        <w:t> </w:t>
      </w:r>
      <w:r w:rsidRPr="00E40BFA">
        <w:t>% до 22,2</w:t>
      </w:r>
      <w:r>
        <w:t> </w:t>
      </w:r>
      <w:r w:rsidRPr="00E40BFA">
        <w:t>% і залишалас</w:t>
      </w:r>
      <w:r>
        <w:t>я</w:t>
      </w:r>
      <w:r w:rsidRPr="00E40BFA">
        <w:t xml:space="preserve"> на цьому рівні впродовж всього періоду спостереження.</w:t>
      </w:r>
    </w:p>
    <w:p w:rsidR="00534FB5" w:rsidRPr="00E40BFA" w:rsidRDefault="00534FB5" w:rsidP="00534FB5">
      <w:pPr>
        <w:contextualSpacing/>
        <w:rPr>
          <w:lang w:val="ru-RU"/>
        </w:rPr>
      </w:pPr>
    </w:p>
    <w:p w:rsidR="00534FB5" w:rsidRPr="00D24A52" w:rsidRDefault="006C493E" w:rsidP="00534FB5">
      <w:pPr>
        <w:contextualSpacing/>
        <w:jc w:val="center"/>
      </w:pPr>
      <w:r>
        <w:rPr>
          <w:noProof/>
          <w:lang w:val="ru-RU"/>
        </w:rPr>
        <w:drawing>
          <wp:inline distT="0" distB="0" distL="0" distR="0">
            <wp:extent cx="3305175" cy="2219325"/>
            <wp:effectExtent l="0" t="0" r="0"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a:srcRect/>
                    <a:stretch>
                      <a:fillRect/>
                    </a:stretch>
                  </pic:blipFill>
                  <pic:spPr bwMode="auto">
                    <a:xfrm>
                      <a:off x="0" y="0"/>
                      <a:ext cx="3305175" cy="2219325"/>
                    </a:xfrm>
                    <a:prstGeom prst="rect">
                      <a:avLst/>
                    </a:prstGeom>
                    <a:noFill/>
                    <a:ln w="9525">
                      <a:noFill/>
                      <a:miter lim="800000"/>
                      <a:headEnd/>
                      <a:tailEnd/>
                    </a:ln>
                  </pic:spPr>
                </pic:pic>
              </a:graphicData>
            </a:graphic>
          </wp:inline>
        </w:drawing>
      </w:r>
    </w:p>
    <w:p w:rsidR="00534FB5" w:rsidRPr="00D24A52" w:rsidRDefault="00534FB5" w:rsidP="00534FB5">
      <w:pPr>
        <w:ind w:firstLine="709"/>
        <w:contextualSpacing/>
      </w:pPr>
      <w:r w:rsidRPr="00D24A52">
        <w:t xml:space="preserve">Рис. 4.5.4. Динаміка частоти вилучення дріжджеподібних грибів роду </w:t>
      </w:r>
      <w:r w:rsidRPr="00D24A52">
        <w:rPr>
          <w:i/>
        </w:rPr>
        <w:t>Candida</w:t>
      </w:r>
      <w:r w:rsidRPr="00D24A52">
        <w:t xml:space="preserve"> у ДВГ при застосуванні різних лікувально-профілактичних схем</w:t>
      </w:r>
      <w:r>
        <w:t>.</w:t>
      </w:r>
    </w:p>
    <w:p w:rsidR="00534FB5" w:rsidRPr="007D65AB" w:rsidRDefault="00534FB5" w:rsidP="00534FB5">
      <w:pPr>
        <w:contextualSpacing/>
        <w:rPr>
          <w:lang w:val="ru-RU"/>
        </w:rPr>
      </w:pPr>
    </w:p>
    <w:p w:rsidR="00534FB5" w:rsidRPr="00E40BFA" w:rsidRDefault="00534FB5" w:rsidP="00534FB5">
      <w:pPr>
        <w:ind w:firstLine="708"/>
        <w:contextualSpacing/>
      </w:pPr>
      <w:r w:rsidRPr="00E40BFA">
        <w:t>Підсумовуючи викладене</w:t>
      </w:r>
      <w:r w:rsidRPr="000C6EE8">
        <w:t xml:space="preserve"> </w:t>
      </w:r>
      <w:r w:rsidRPr="00E40BFA">
        <w:t xml:space="preserve">вище, </w:t>
      </w:r>
      <w:r>
        <w:t xml:space="preserve">необхідно </w:t>
      </w:r>
      <w:r w:rsidRPr="00E40BFA">
        <w:t>зазначи</w:t>
      </w:r>
      <w:r>
        <w:t>ти про</w:t>
      </w:r>
      <w:r w:rsidRPr="00E40BFA">
        <w:t xml:space="preserve"> значні відмінності якісного та кількісного складу мікробіо</w:t>
      </w:r>
      <w:r>
        <w:t xml:space="preserve">ценозу зубної бляшки у дітей </w:t>
      </w:r>
      <w:r w:rsidR="006C493E">
        <w:t>із вродженою</w:t>
      </w:r>
      <w:r w:rsidRPr="00E40BFA">
        <w:t xml:space="preserve"> глухотою та </w:t>
      </w:r>
      <w:r>
        <w:t>в</w:t>
      </w:r>
      <w:r w:rsidRPr="00E40BFA">
        <w:t xml:space="preserve"> дітей контрольної групи. </w:t>
      </w:r>
      <w:r>
        <w:t>Зі</w:t>
      </w:r>
      <w:r w:rsidRPr="00E40BFA">
        <w:t>ставлення частоти вилучення та щільності мікробної колонізації окремих представників мікробіоценозів показало істотне збільшення персистенції у вказаному біотопі як представників резидентної мікрофлори порожнини рота</w:t>
      </w:r>
      <w:r>
        <w:t>,</w:t>
      </w:r>
      <w:r w:rsidRPr="00E40BFA">
        <w:t xml:space="preserve"> так і облігатних анаеробних бактерій (</w:t>
      </w:r>
      <w:r w:rsidRPr="00E40BFA">
        <w:rPr>
          <w:i/>
          <w:lang w:val="en-US"/>
        </w:rPr>
        <w:t>Fusobacterium</w:t>
      </w:r>
      <w:r w:rsidRPr="00E40BFA">
        <w:rPr>
          <w:i/>
        </w:rPr>
        <w:t xml:space="preserve"> </w:t>
      </w:r>
      <w:r w:rsidRPr="00E40BFA">
        <w:rPr>
          <w:i/>
          <w:lang w:val="en-US"/>
        </w:rPr>
        <w:t>spp</w:t>
      </w:r>
      <w:r w:rsidRPr="00E40BFA">
        <w:t xml:space="preserve">, </w:t>
      </w:r>
      <w:r w:rsidRPr="00E40BFA">
        <w:rPr>
          <w:i/>
          <w:lang w:val="en-US"/>
        </w:rPr>
        <w:t>Bacteroides</w:t>
      </w:r>
      <w:r w:rsidRPr="00E40BFA">
        <w:rPr>
          <w:i/>
        </w:rPr>
        <w:t xml:space="preserve"> </w:t>
      </w:r>
      <w:r w:rsidRPr="00E40BFA">
        <w:rPr>
          <w:i/>
          <w:lang w:val="en-US"/>
        </w:rPr>
        <w:t>spp</w:t>
      </w:r>
      <w:r w:rsidRPr="00E40BFA">
        <w:t xml:space="preserve">, </w:t>
      </w:r>
      <w:r w:rsidRPr="00E40BFA">
        <w:rPr>
          <w:i/>
          <w:lang w:val="en-US"/>
        </w:rPr>
        <w:t>Prevotella</w:t>
      </w:r>
      <w:r w:rsidRPr="00E40BFA">
        <w:rPr>
          <w:i/>
        </w:rPr>
        <w:t xml:space="preserve"> </w:t>
      </w:r>
      <w:r w:rsidRPr="00E40BFA">
        <w:rPr>
          <w:i/>
          <w:lang w:val="en-US"/>
        </w:rPr>
        <w:t>spp</w:t>
      </w:r>
      <w:r w:rsidRPr="00E40BFA">
        <w:t xml:space="preserve">, </w:t>
      </w:r>
      <w:r w:rsidRPr="00E40BFA">
        <w:rPr>
          <w:i/>
          <w:lang w:val="en-US"/>
        </w:rPr>
        <w:t>Porphyromonas</w:t>
      </w:r>
      <w:r w:rsidRPr="00E40BFA">
        <w:rPr>
          <w:i/>
        </w:rPr>
        <w:t xml:space="preserve"> </w:t>
      </w:r>
      <w:r w:rsidRPr="00E40BFA">
        <w:rPr>
          <w:i/>
          <w:lang w:val="en-US"/>
        </w:rPr>
        <w:t>spp</w:t>
      </w:r>
      <w:r w:rsidRPr="00E40BFA">
        <w:t>), ентеробактерій, неферментуючих грамнегативних бактерій (</w:t>
      </w:r>
      <w:r w:rsidRPr="00E40BFA">
        <w:rPr>
          <w:i/>
          <w:lang w:val="en-US"/>
        </w:rPr>
        <w:t>Acinetobacter</w:t>
      </w:r>
      <w:r w:rsidRPr="00E40BFA">
        <w:rPr>
          <w:i/>
        </w:rPr>
        <w:t xml:space="preserve"> </w:t>
      </w:r>
      <w:r w:rsidRPr="00E40BFA">
        <w:rPr>
          <w:i/>
          <w:lang w:val="en-US"/>
        </w:rPr>
        <w:t>spp</w:t>
      </w:r>
      <w:r w:rsidRPr="00E40BFA">
        <w:rPr>
          <w:i/>
        </w:rPr>
        <w:t xml:space="preserve">, </w:t>
      </w:r>
      <w:r w:rsidRPr="00E40BFA">
        <w:rPr>
          <w:i/>
          <w:lang w:val="en-US"/>
        </w:rPr>
        <w:t>P</w:t>
      </w:r>
      <w:r w:rsidRPr="00E40BFA">
        <w:rPr>
          <w:i/>
        </w:rPr>
        <w:t>. а</w:t>
      </w:r>
      <w:r w:rsidRPr="00E40BFA">
        <w:rPr>
          <w:i/>
          <w:lang w:val="en-US"/>
        </w:rPr>
        <w:t>eruginosa</w:t>
      </w:r>
      <w:r w:rsidRPr="00E40BFA">
        <w:t xml:space="preserve">), </w:t>
      </w:r>
      <w:r w:rsidRPr="00E40BFA">
        <w:rPr>
          <w:i/>
          <w:lang w:val="en-US"/>
        </w:rPr>
        <w:t>S</w:t>
      </w:r>
      <w:r w:rsidRPr="00E40BFA">
        <w:rPr>
          <w:i/>
        </w:rPr>
        <w:t xml:space="preserve">. </w:t>
      </w:r>
      <w:r w:rsidRPr="00E40BFA">
        <w:rPr>
          <w:i/>
          <w:lang w:val="en-US"/>
        </w:rPr>
        <w:t>aureus</w:t>
      </w:r>
      <w:r w:rsidRPr="00E40BFA">
        <w:t xml:space="preserve"> та </w:t>
      </w:r>
      <w:r w:rsidRPr="00E40BFA">
        <w:rPr>
          <w:i/>
          <w:lang w:val="en-US"/>
        </w:rPr>
        <w:t>S</w:t>
      </w:r>
      <w:r w:rsidRPr="00E40BFA">
        <w:rPr>
          <w:i/>
        </w:rPr>
        <w:t>.</w:t>
      </w:r>
      <w:r>
        <w:rPr>
          <w:i/>
        </w:rPr>
        <w:t> </w:t>
      </w:r>
      <w:r w:rsidRPr="00E40BFA">
        <w:rPr>
          <w:i/>
        </w:rPr>
        <w:t>р</w:t>
      </w:r>
      <w:r w:rsidRPr="00E40BFA">
        <w:rPr>
          <w:i/>
          <w:lang w:val="en-US"/>
        </w:rPr>
        <w:t>yog</w:t>
      </w:r>
      <w:r w:rsidRPr="00E40BFA">
        <w:rPr>
          <w:i/>
        </w:rPr>
        <w:t>е</w:t>
      </w:r>
      <w:r w:rsidRPr="00E40BFA">
        <w:rPr>
          <w:i/>
          <w:lang w:val="en-US"/>
        </w:rPr>
        <w:t>n</w:t>
      </w:r>
      <w:r w:rsidRPr="00E40BFA">
        <w:rPr>
          <w:i/>
        </w:rPr>
        <w:t>е</w:t>
      </w:r>
      <w:r w:rsidRPr="00E40BFA">
        <w:rPr>
          <w:i/>
          <w:lang w:val="en-US"/>
        </w:rPr>
        <w:t>s</w:t>
      </w:r>
      <w:r w:rsidRPr="00E40BFA">
        <w:rPr>
          <w:i/>
        </w:rPr>
        <w:t>.</w:t>
      </w:r>
      <w:r w:rsidRPr="00E40BFA">
        <w:t xml:space="preserve"> Вилучення карієсогенних штамів </w:t>
      </w:r>
      <w:r w:rsidRPr="00E40BFA">
        <w:rPr>
          <w:i/>
        </w:rPr>
        <w:t>S. mutans</w:t>
      </w:r>
      <w:r w:rsidRPr="00E40BFA">
        <w:t xml:space="preserve"> були удвічі частіш</w:t>
      </w:r>
      <w:r>
        <w:t>і</w:t>
      </w:r>
      <w:r w:rsidRPr="00E40BFA">
        <w:t xml:space="preserve"> </w:t>
      </w:r>
      <w:r>
        <w:t>в</w:t>
      </w:r>
      <w:r w:rsidRPr="00E40BFA">
        <w:t xml:space="preserve"> концентрації, яка статистично перевищувал</w:t>
      </w:r>
      <w:r>
        <w:t>а</w:t>
      </w:r>
      <w:r w:rsidRPr="00E40BFA">
        <w:t xml:space="preserve"> значення, одержані при обстеженні дітей групи порівняння (</w:t>
      </w:r>
      <w:r w:rsidRPr="00E40BFA">
        <w:rPr>
          <w:lang w:val="en-US"/>
        </w:rPr>
        <w:t>lg</w:t>
      </w:r>
      <w:r w:rsidRPr="00E40BFA">
        <w:t xml:space="preserve"> (6,5±0,17) КУО/г проти </w:t>
      </w:r>
      <w:r w:rsidRPr="00E40BFA">
        <w:rPr>
          <w:lang w:val="en-US"/>
        </w:rPr>
        <w:t>lg</w:t>
      </w:r>
      <w:r w:rsidRPr="00E40BFA">
        <w:t xml:space="preserve"> (3,9±0,15) КУО/г) (р&lt;0,01). </w:t>
      </w:r>
    </w:p>
    <w:p w:rsidR="00534FB5" w:rsidRPr="00E40BFA" w:rsidRDefault="00534FB5" w:rsidP="00534FB5">
      <w:pPr>
        <w:ind w:firstLine="708"/>
        <w:contextualSpacing/>
      </w:pPr>
      <w:r w:rsidRPr="00E40BFA">
        <w:t xml:space="preserve">Не виявлено суттєвих розбіжностей між вилученням визначених мікробних асоціацій у </w:t>
      </w:r>
      <w:r>
        <w:t>ДВГ</w:t>
      </w:r>
      <w:r w:rsidRPr="00E40BFA">
        <w:t xml:space="preserve"> у залежнос</w:t>
      </w:r>
      <w:r>
        <w:t>ті від віку</w:t>
      </w:r>
      <w:r w:rsidRPr="00E40BFA">
        <w:t xml:space="preserve">. У дітей контрольної групи простежується незначна тенденція до збільшення кількості персистуючих </w:t>
      </w:r>
      <w:r w:rsidRPr="00E40BFA">
        <w:lastRenderedPageBreak/>
        <w:t>штамів у одного обстеженого зі збільшенням віку.</w:t>
      </w:r>
    </w:p>
    <w:p w:rsidR="00534FB5" w:rsidRPr="00E40BFA" w:rsidRDefault="00534FB5" w:rsidP="00534FB5">
      <w:pPr>
        <w:ind w:firstLine="708"/>
        <w:contextualSpacing/>
        <w:rPr>
          <w:i/>
        </w:rPr>
      </w:pPr>
      <w:r w:rsidRPr="00E40BFA">
        <w:t>Проведення лікувально-профілактичних заходів дітям обох груп позитивно позначилос</w:t>
      </w:r>
      <w:r>
        <w:t>я</w:t>
      </w:r>
      <w:r w:rsidRPr="00E40BFA">
        <w:t xml:space="preserve"> на стані мікробіоценозу зубної бляшки у порівнянні з вихідними показниками</w:t>
      </w:r>
      <w:r>
        <w:rPr>
          <w:lang w:val="ru-RU"/>
        </w:rPr>
        <w:t>. Виявлено</w:t>
      </w:r>
      <w:r w:rsidRPr="00E40BFA">
        <w:rPr>
          <w:lang w:val="ru-RU"/>
        </w:rPr>
        <w:t xml:space="preserve"> </w:t>
      </w:r>
      <w:r w:rsidRPr="00E40BFA">
        <w:t xml:space="preserve">достовірне зниження популяційного рівня </w:t>
      </w:r>
      <w:r w:rsidRPr="00E40BFA">
        <w:rPr>
          <w:i/>
        </w:rPr>
        <w:t xml:space="preserve">S. mutans, Haemophillus spp, Prevotella spp, Fusobacterium spp </w:t>
      </w:r>
      <w:r w:rsidRPr="00E40BFA">
        <w:t>(р&lt;0,05)</w:t>
      </w:r>
      <w:r w:rsidRPr="00E40BFA">
        <w:rPr>
          <w:i/>
        </w:rPr>
        <w:t xml:space="preserve">. </w:t>
      </w:r>
      <w:r w:rsidRPr="00E40BFA">
        <w:t xml:space="preserve">Вже через місяць у жодному випадку не виявлено персистенцію гнієрідних коків - </w:t>
      </w:r>
      <w:r w:rsidRPr="00E40BFA">
        <w:rPr>
          <w:i/>
        </w:rPr>
        <w:t xml:space="preserve">S. pyogеnеs </w:t>
      </w:r>
      <w:r w:rsidRPr="00E40BFA">
        <w:t xml:space="preserve">та </w:t>
      </w:r>
      <w:r w:rsidRPr="00E40BFA">
        <w:rPr>
          <w:i/>
        </w:rPr>
        <w:t>S. aureus</w:t>
      </w:r>
      <w:r w:rsidRPr="00E40BFA">
        <w:t>, деяких видів ентеробактерій. Натомість частота вилучення представників аутохтонної мікрофлори – некарієсогенних стрептококів (</w:t>
      </w:r>
      <w:r w:rsidRPr="00E40BFA">
        <w:rPr>
          <w:i/>
        </w:rPr>
        <w:t>S. mitis, S. oralis, S. sаlivarius</w:t>
      </w:r>
      <w:r w:rsidRPr="00E40BFA">
        <w:t>) зросла у 2-4</w:t>
      </w:r>
      <w:r>
        <w:t> </w:t>
      </w:r>
      <w:r w:rsidRPr="00E40BFA">
        <w:t>рази (р&lt;0,05)</w:t>
      </w:r>
      <w:r w:rsidRPr="00E40BFA">
        <w:rPr>
          <w:i/>
        </w:rPr>
        <w:t>.</w:t>
      </w:r>
    </w:p>
    <w:p w:rsidR="00534FB5" w:rsidRDefault="00534FB5" w:rsidP="00534FB5">
      <w:pPr>
        <w:ind w:firstLine="708"/>
        <w:contextualSpacing/>
      </w:pPr>
      <w:r w:rsidRPr="00E40BFA">
        <w:rPr>
          <w:color w:val="000000"/>
        </w:rPr>
        <w:t xml:space="preserve">Запропонована схема за показниками </w:t>
      </w:r>
      <w:r w:rsidRPr="00E40BFA">
        <w:t>елімінації карієсогенних стрептококів, пародонтопатогенних бактерій, ентеробактерій та неферментуючих грамнегативних бактерій виявил</w:t>
      </w:r>
      <w:r>
        <w:t>а</w:t>
      </w:r>
      <w:r w:rsidRPr="00E40BFA">
        <w:t>с</w:t>
      </w:r>
      <w:r>
        <w:t>я</w:t>
      </w:r>
      <w:r w:rsidRPr="00E40BFA">
        <w:t xml:space="preserve"> більш ефективн</w:t>
      </w:r>
      <w:r>
        <w:t>ою</w:t>
      </w:r>
      <w:r w:rsidRPr="00E40BFA">
        <w:t xml:space="preserve"> у порівнянні з традиційною лікувально-профілактичн</w:t>
      </w:r>
      <w:r>
        <w:t>ою</w:t>
      </w:r>
      <w:r w:rsidRPr="00E40BFA">
        <w:t xml:space="preserve"> схемою, яка застосовується у дитячий практиці.</w:t>
      </w:r>
    </w:p>
    <w:p w:rsidR="00534FB5" w:rsidRPr="008E79A9" w:rsidRDefault="00534FB5" w:rsidP="00534FB5">
      <w:pPr>
        <w:ind w:firstLine="709"/>
        <w:rPr>
          <w:sz w:val="20"/>
          <w:szCs w:val="20"/>
        </w:rPr>
      </w:pPr>
    </w:p>
    <w:p w:rsidR="00BB1289" w:rsidRPr="00BB1289" w:rsidRDefault="00534FB5" w:rsidP="00BB1289">
      <w:pPr>
        <w:pStyle w:val="1"/>
        <w:rPr>
          <w:rFonts w:ascii="Times New Roman" w:hAnsi="Times New Roman"/>
          <w:spacing w:val="4"/>
          <w:sz w:val="28"/>
          <w:szCs w:val="28"/>
        </w:rPr>
      </w:pPr>
      <w:r>
        <w:rPr>
          <w:noProof/>
        </w:rPr>
        <w:br w:type="page"/>
      </w:r>
      <w:bookmarkStart w:id="7" w:name="_Toc128410351"/>
      <w:r w:rsidRPr="00BB1289">
        <w:rPr>
          <w:rFonts w:ascii="Times New Roman" w:hAnsi="Times New Roman"/>
          <w:spacing w:val="4"/>
          <w:sz w:val="28"/>
          <w:szCs w:val="28"/>
        </w:rPr>
        <w:lastRenderedPageBreak/>
        <w:t>ОБГОВОРЕННЯ РЕЗУЛЬТАТІВ</w:t>
      </w:r>
      <w:bookmarkEnd w:id="7"/>
    </w:p>
    <w:p w:rsidR="00534FB5" w:rsidRPr="00BB1289" w:rsidRDefault="00534FB5" w:rsidP="009756C9">
      <w:pPr>
        <w:ind w:firstLine="567"/>
        <w:rPr>
          <w:rStyle w:val="apple-style-span"/>
          <w:color w:val="000000"/>
          <w:spacing w:val="4"/>
        </w:rPr>
      </w:pPr>
      <w:r w:rsidRPr="00BB1289">
        <w:rPr>
          <w:spacing w:val="4"/>
        </w:rPr>
        <w:t xml:space="preserve">У зв’язку з високою поширеністю карієсу зубів та захворювань тканин пародонта у дітей, зокрема у дітей-інвалідів, а також малою вивченістю цих процесів у дітей з особливими слуховими потребами, існує проблема надання </w:t>
      </w:r>
      <w:r w:rsidR="009756C9" w:rsidRPr="00BB1289">
        <w:rPr>
          <w:spacing w:val="4"/>
        </w:rPr>
        <w:t xml:space="preserve">якісної </w:t>
      </w:r>
      <w:r w:rsidRPr="00BB1289">
        <w:rPr>
          <w:spacing w:val="4"/>
        </w:rPr>
        <w:t xml:space="preserve">стоматологічної допомоги дітям із вродженою вадою слуху. </w:t>
      </w:r>
      <w:r w:rsidR="007D67A0">
        <w:rPr>
          <w:spacing w:val="4"/>
        </w:rPr>
        <w:t>Вирішення</w:t>
      </w:r>
      <w:r w:rsidR="009756C9" w:rsidRPr="00BB1289">
        <w:rPr>
          <w:spacing w:val="4"/>
        </w:rPr>
        <w:t xml:space="preserve"> цієї проблеми </w:t>
      </w:r>
      <w:r w:rsidR="007D67A0">
        <w:rPr>
          <w:spacing w:val="4"/>
        </w:rPr>
        <w:t xml:space="preserve">можливе за умови </w:t>
      </w:r>
      <w:r w:rsidR="007D67A0">
        <w:rPr>
          <w:rStyle w:val="apple-style-span"/>
          <w:color w:val="000000"/>
          <w:spacing w:val="4"/>
        </w:rPr>
        <w:t>розробки</w:t>
      </w:r>
      <w:r w:rsidRPr="00BB1289">
        <w:rPr>
          <w:rStyle w:val="apple-style-span"/>
          <w:color w:val="000000"/>
          <w:spacing w:val="4"/>
        </w:rPr>
        <w:t xml:space="preserve"> ефективних способів лікування та профілактики карієсу зубів та захворювань </w:t>
      </w:r>
      <w:r w:rsidRPr="00BB1289">
        <w:rPr>
          <w:spacing w:val="4"/>
        </w:rPr>
        <w:t>тканин пародонта відповідно до етіологічних та патогенетичних чинників, що призвели до розвитку цієї патології</w:t>
      </w:r>
      <w:r w:rsidRPr="00BB1289">
        <w:rPr>
          <w:rStyle w:val="apple-style-span"/>
          <w:color w:val="000000"/>
          <w:spacing w:val="4"/>
        </w:rPr>
        <w:t>.</w:t>
      </w:r>
    </w:p>
    <w:p w:rsidR="00B6632E" w:rsidRPr="00D43CD6" w:rsidRDefault="00B6632E" w:rsidP="00B6632E">
      <w:pPr>
        <w:ind w:firstLine="567"/>
        <w:rPr>
          <w:rStyle w:val="apple-style-span"/>
          <w:spacing w:val="4"/>
        </w:rPr>
      </w:pPr>
      <w:r w:rsidRPr="00BB1289">
        <w:rPr>
          <w:spacing w:val="4"/>
          <w:shd w:val="clear" w:color="auto" w:fill="FFFFFF"/>
        </w:rPr>
        <w:t xml:space="preserve">На сьогодні </w:t>
      </w:r>
      <w:r w:rsidRPr="00BB1289">
        <w:rPr>
          <w:spacing w:val="4"/>
        </w:rPr>
        <w:t xml:space="preserve">були зроблені поодинокі спроби вивчити особливості стоматологічного здоров’я дітей з вадами слуху в залежності від віку і статі та визначити тактику при </w:t>
      </w:r>
      <w:r w:rsidR="004019CB" w:rsidRPr="00BB1289">
        <w:rPr>
          <w:spacing w:val="4"/>
        </w:rPr>
        <w:t>лікуванні</w:t>
      </w:r>
      <w:r w:rsidRPr="00BB1289">
        <w:rPr>
          <w:spacing w:val="4"/>
        </w:rPr>
        <w:t xml:space="preserve"> ц</w:t>
      </w:r>
      <w:r w:rsidR="004019CB" w:rsidRPr="00BB1289">
        <w:rPr>
          <w:spacing w:val="4"/>
        </w:rPr>
        <w:t>ієї групи</w:t>
      </w:r>
      <w:r w:rsidRPr="00BB1289">
        <w:rPr>
          <w:spacing w:val="4"/>
        </w:rPr>
        <w:t xml:space="preserve"> пацієнтів.</w:t>
      </w:r>
    </w:p>
    <w:p w:rsidR="00534FB5" w:rsidRPr="00BB1289" w:rsidRDefault="00534FB5" w:rsidP="009756C9">
      <w:pPr>
        <w:ind w:firstLine="567"/>
        <w:rPr>
          <w:color w:val="000000"/>
          <w:spacing w:val="4"/>
        </w:rPr>
      </w:pPr>
      <w:r w:rsidRPr="00BB1289">
        <w:rPr>
          <w:spacing w:val="4"/>
        </w:rPr>
        <w:t>Для в</w:t>
      </w:r>
      <w:r w:rsidR="00841EC0">
        <w:rPr>
          <w:spacing w:val="4"/>
        </w:rPr>
        <w:t>иявлення</w:t>
      </w:r>
      <w:r w:rsidRPr="00BB1289">
        <w:rPr>
          <w:spacing w:val="4"/>
        </w:rPr>
        <w:t xml:space="preserve"> факторів</w:t>
      </w:r>
      <w:r w:rsidR="004019CB" w:rsidRPr="00BB1289">
        <w:rPr>
          <w:spacing w:val="4"/>
        </w:rPr>
        <w:t xml:space="preserve"> ризику</w:t>
      </w:r>
      <w:r w:rsidRPr="00BB1289">
        <w:rPr>
          <w:spacing w:val="4"/>
        </w:rPr>
        <w:t xml:space="preserve"> розвитку основних стоматологічних захворювань у дітей </w:t>
      </w:r>
      <w:r w:rsidR="006C493E" w:rsidRPr="00BB1289">
        <w:rPr>
          <w:spacing w:val="4"/>
        </w:rPr>
        <w:t>із вродженою</w:t>
      </w:r>
      <w:r w:rsidRPr="00BB1289">
        <w:rPr>
          <w:spacing w:val="4"/>
        </w:rPr>
        <w:t xml:space="preserve"> патологією слуху необхідним є вивчення поширеності та характеру перебігу карієсу зубів та захворювань тканин пародонта, проведення оцінки гігієнічного стану, </w:t>
      </w:r>
      <w:r w:rsidRPr="00BB1289">
        <w:rPr>
          <w:spacing w:val="4"/>
          <w:shd w:val="clear" w:color="auto" w:fill="FFFFFF"/>
        </w:rPr>
        <w:t xml:space="preserve">стану неспецифічної резистентності </w:t>
      </w:r>
      <w:r w:rsidR="009756C9" w:rsidRPr="00BB1289">
        <w:rPr>
          <w:spacing w:val="4"/>
          <w:shd w:val="clear" w:color="auto" w:fill="FFFFFF"/>
        </w:rPr>
        <w:t>та</w:t>
      </w:r>
      <w:r w:rsidRPr="00BB1289">
        <w:rPr>
          <w:spacing w:val="4"/>
          <w:shd w:val="clear" w:color="auto" w:fill="FFFFFF"/>
        </w:rPr>
        <w:t xml:space="preserve"> місцевого імунітету порожнини рота, </w:t>
      </w:r>
      <w:r w:rsidR="00390AB7">
        <w:rPr>
          <w:spacing w:val="4"/>
          <w:shd w:val="clear" w:color="auto" w:fill="FFFFFF"/>
        </w:rPr>
        <w:t>мікробіоценозу</w:t>
      </w:r>
      <w:r w:rsidRPr="00BB1289">
        <w:rPr>
          <w:spacing w:val="4"/>
          <w:shd w:val="clear" w:color="auto" w:fill="FFFFFF"/>
        </w:rPr>
        <w:t xml:space="preserve"> зубної бляшки</w:t>
      </w:r>
      <w:r w:rsidR="009756C9" w:rsidRPr="00BB1289">
        <w:rPr>
          <w:spacing w:val="4"/>
          <w:shd w:val="clear" w:color="auto" w:fill="FFFFFF"/>
        </w:rPr>
        <w:t xml:space="preserve">, </w:t>
      </w:r>
      <w:r w:rsidRPr="00BB1289">
        <w:rPr>
          <w:color w:val="000000"/>
          <w:spacing w:val="4"/>
        </w:rPr>
        <w:t>психоемоційного статусу дітей.</w:t>
      </w:r>
      <w:r w:rsidR="00B6632E" w:rsidRPr="00BB1289">
        <w:rPr>
          <w:color w:val="000000"/>
          <w:spacing w:val="4"/>
        </w:rPr>
        <w:t xml:space="preserve"> </w:t>
      </w:r>
    </w:p>
    <w:p w:rsidR="000C20C5" w:rsidRPr="00BB1289" w:rsidRDefault="00D767D9" w:rsidP="00B6632E">
      <w:pPr>
        <w:ind w:firstLine="709"/>
        <w:contextualSpacing/>
        <w:rPr>
          <w:spacing w:val="4"/>
          <w:lang w:val="ru-RU"/>
        </w:rPr>
      </w:pPr>
      <w:r w:rsidRPr="00BB1289">
        <w:rPr>
          <w:spacing w:val="4"/>
        </w:rPr>
        <w:t xml:space="preserve">Під час проведення науково-дослідної роботи було обстежено </w:t>
      </w:r>
      <w:r w:rsidR="00390AB7">
        <w:rPr>
          <w:spacing w:val="4"/>
        </w:rPr>
        <w:t>142 </w:t>
      </w:r>
      <w:r w:rsidR="00B6632E" w:rsidRPr="00BB1289">
        <w:rPr>
          <w:spacing w:val="4"/>
        </w:rPr>
        <w:t>д</w:t>
      </w:r>
      <w:r w:rsidR="00821AA6">
        <w:rPr>
          <w:spacing w:val="4"/>
        </w:rPr>
        <w:t>итини віком від 6 до 16 років (</w:t>
      </w:r>
      <w:r w:rsidRPr="00BB1289">
        <w:rPr>
          <w:spacing w:val="4"/>
        </w:rPr>
        <w:t>99 дітей із вродженою глухотою та 43 дитини з нормальним слухом першої групи здоров’я</w:t>
      </w:r>
      <w:r w:rsidR="00B6632E" w:rsidRPr="00BB1289">
        <w:rPr>
          <w:spacing w:val="4"/>
        </w:rPr>
        <w:t>)</w:t>
      </w:r>
      <w:r w:rsidRPr="00BB1289">
        <w:rPr>
          <w:spacing w:val="4"/>
        </w:rPr>
        <w:t xml:space="preserve">. З них до складу основної групи було відібрано 70 дітей з діагнозом нейросенсорна туговухість </w:t>
      </w:r>
      <w:r w:rsidRPr="00BB1289">
        <w:rPr>
          <w:spacing w:val="4"/>
          <w:lang w:val="en-US"/>
        </w:rPr>
        <w:t>III</w:t>
      </w:r>
      <w:r w:rsidRPr="00BB1289">
        <w:rPr>
          <w:spacing w:val="4"/>
        </w:rPr>
        <w:t>-</w:t>
      </w:r>
      <w:r w:rsidRPr="00BB1289">
        <w:rPr>
          <w:spacing w:val="4"/>
          <w:lang w:val="en-US"/>
        </w:rPr>
        <w:t>IV</w:t>
      </w:r>
      <w:r w:rsidRPr="00BB1289">
        <w:rPr>
          <w:spacing w:val="4"/>
        </w:rPr>
        <w:t xml:space="preserve"> ступеня, глухота. До контрольної групи </w:t>
      </w:r>
      <w:r w:rsidR="00390AB7">
        <w:rPr>
          <w:spacing w:val="4"/>
        </w:rPr>
        <w:t>увійшли 32 </w:t>
      </w:r>
      <w:r w:rsidR="00B6632E" w:rsidRPr="00BB1289">
        <w:rPr>
          <w:spacing w:val="4"/>
        </w:rPr>
        <w:t>дитини</w:t>
      </w:r>
      <w:r w:rsidRPr="00BB1289">
        <w:rPr>
          <w:spacing w:val="4"/>
        </w:rPr>
        <w:t xml:space="preserve"> першої групи </w:t>
      </w:r>
      <w:r w:rsidR="00B6632E" w:rsidRPr="00BB1289">
        <w:rPr>
          <w:spacing w:val="4"/>
        </w:rPr>
        <w:t>здоров’я</w:t>
      </w:r>
      <w:r w:rsidRPr="00BB1289">
        <w:rPr>
          <w:spacing w:val="4"/>
        </w:rPr>
        <w:t xml:space="preserve"> без патології слуху. </w:t>
      </w:r>
      <w:r w:rsidRPr="00BB1289">
        <w:rPr>
          <w:spacing w:val="4"/>
          <w:lang w:val="ru-RU"/>
        </w:rPr>
        <w:t xml:space="preserve"> </w:t>
      </w:r>
    </w:p>
    <w:p w:rsidR="00534FB5" w:rsidRPr="00BB1289" w:rsidRDefault="00534FB5" w:rsidP="005840BB">
      <w:pPr>
        <w:ind w:firstLine="567"/>
        <w:rPr>
          <w:spacing w:val="4"/>
        </w:rPr>
      </w:pPr>
      <w:r w:rsidRPr="00BB1289">
        <w:rPr>
          <w:spacing w:val="4"/>
        </w:rPr>
        <w:t xml:space="preserve">Так, після вивчення стану твердих тканин зубів у </w:t>
      </w:r>
      <w:r w:rsidR="005840BB" w:rsidRPr="00BB1289">
        <w:rPr>
          <w:spacing w:val="4"/>
          <w:lang w:val="ru-RU"/>
        </w:rPr>
        <w:t>ДВГ</w:t>
      </w:r>
      <w:r w:rsidRPr="00BB1289">
        <w:rPr>
          <w:spacing w:val="4"/>
        </w:rPr>
        <w:t xml:space="preserve"> ми виявили високу поширеність та інтенсивність</w:t>
      </w:r>
      <w:r w:rsidR="00390AB7">
        <w:rPr>
          <w:spacing w:val="4"/>
        </w:rPr>
        <w:t xml:space="preserve"> (кп)</w:t>
      </w:r>
      <w:r w:rsidRPr="00BB1289">
        <w:rPr>
          <w:spacing w:val="4"/>
        </w:rPr>
        <w:t xml:space="preserve"> каріоз</w:t>
      </w:r>
      <w:r w:rsidR="005840BB" w:rsidRPr="00BB1289">
        <w:rPr>
          <w:spacing w:val="4"/>
        </w:rPr>
        <w:t xml:space="preserve">ного процесу в тимчасових зубах  (в ОГ1 </w:t>
      </w:r>
      <w:r w:rsidR="00D70F1A">
        <w:rPr>
          <w:spacing w:val="4"/>
        </w:rPr>
        <w:t>–</w:t>
      </w:r>
      <w:r w:rsidR="00D70F1A" w:rsidRPr="00BB1289">
        <w:rPr>
          <w:spacing w:val="4"/>
        </w:rPr>
        <w:t xml:space="preserve"> </w:t>
      </w:r>
      <w:r w:rsidR="005840BB" w:rsidRPr="00BB1289">
        <w:rPr>
          <w:spacing w:val="4"/>
        </w:rPr>
        <w:t xml:space="preserve">70 %, </w:t>
      </w:r>
      <w:r w:rsidR="00E04CF5" w:rsidRPr="00BB1289">
        <w:rPr>
          <w:spacing w:val="4"/>
          <w:lang w:val="ru-RU"/>
        </w:rPr>
        <w:t xml:space="preserve"> </w:t>
      </w:r>
      <w:r w:rsidR="005840BB" w:rsidRPr="00BB1289">
        <w:rPr>
          <w:spacing w:val="4"/>
        </w:rPr>
        <w:t xml:space="preserve">4,52±0,17 (Р &lt; 0,05)). </w:t>
      </w:r>
      <w:r w:rsidRPr="00BB1289">
        <w:rPr>
          <w:spacing w:val="4"/>
        </w:rPr>
        <w:t xml:space="preserve">Окрім того, майже у всіх </w:t>
      </w:r>
      <w:r w:rsidR="005840BB" w:rsidRPr="00BB1289">
        <w:rPr>
          <w:spacing w:val="4"/>
        </w:rPr>
        <w:t>ДВГ</w:t>
      </w:r>
      <w:r w:rsidRPr="00BB1289">
        <w:rPr>
          <w:spacing w:val="4"/>
        </w:rPr>
        <w:t xml:space="preserve"> каріозний процес в постійних зубах розпочинався одразу ж після їх </w:t>
      </w:r>
      <w:r w:rsidRPr="00BB1289">
        <w:rPr>
          <w:spacing w:val="4"/>
        </w:rPr>
        <w:lastRenderedPageBreak/>
        <w:t xml:space="preserve">прорізування (поширеність карієсу постійних зубів у 7-8-річних дітей становила 65 %), швидко прогресував (поширеність карієсу постійних зубів у 11-12-річних дітей становила 71 %) і до 15-річного віку майже не залишалося дітей з інтактними зубами (поширеність карієсу постійних зубів у 14-15-річних дітей становила 85 %). У віковому аспекті простежувалося чітке підвищення інтенсивності каріозного процесу. Так, у групі 7-8-річних дітей </w:t>
      </w:r>
      <w:r w:rsidR="006C493E" w:rsidRPr="00BB1289">
        <w:rPr>
          <w:spacing w:val="4"/>
        </w:rPr>
        <w:t>із вродженою</w:t>
      </w:r>
      <w:r w:rsidRPr="00BB1289">
        <w:rPr>
          <w:spacing w:val="4"/>
        </w:rPr>
        <w:t xml:space="preserve"> глухото індекс КПВз становив 1,17±0,17 (Р&lt;0,05), в групі 11-12-річних – 3,29±0,13 (Р&lt;0,05), а до 14-15-річного віку досягав 4,35±0,13 (Р&lt;0,05). Каріозний процес у 79 % дітей вражав жувальну поверхню молярів та сліпі ямки різців, у 36 % – контактні поверхні різців та іклів, у 22 % локалізувався на контактних поверхнях молярів та у 18 % – на пришийкових ділянках зубів. 73 % ДВГ мали гострий перебіг каріозного ураження зубів. ДВГ в 27 % випадків мали ускладнений плин каріозного процесу. </w:t>
      </w:r>
    </w:p>
    <w:p w:rsidR="00534FB5" w:rsidRPr="00BB1289" w:rsidRDefault="00534FB5" w:rsidP="00534FB5">
      <w:pPr>
        <w:ind w:firstLine="567"/>
        <w:rPr>
          <w:spacing w:val="4"/>
        </w:rPr>
      </w:pPr>
      <w:r w:rsidRPr="00BB1289">
        <w:rPr>
          <w:spacing w:val="4"/>
        </w:rPr>
        <w:t xml:space="preserve">Аналіз оцінки рівня гігієни зубів у </w:t>
      </w:r>
      <w:r w:rsidR="0020435D" w:rsidRPr="00BB1289">
        <w:rPr>
          <w:spacing w:val="4"/>
        </w:rPr>
        <w:t>ДВГ</w:t>
      </w:r>
      <w:r w:rsidRPr="00BB1289">
        <w:rPr>
          <w:spacing w:val="4"/>
        </w:rPr>
        <w:t xml:space="preserve"> переконливо засвідчив, що показники </w:t>
      </w:r>
      <w:r w:rsidR="00821AA6">
        <w:rPr>
          <w:spacing w:val="4"/>
        </w:rPr>
        <w:t>ГІ за Федоровим-Володкіною</w:t>
      </w:r>
      <w:r w:rsidRPr="00BB1289">
        <w:rPr>
          <w:spacing w:val="4"/>
        </w:rPr>
        <w:t xml:space="preserve"> (1971),</w:t>
      </w:r>
      <w:r w:rsidR="00821AA6">
        <w:rPr>
          <w:color w:val="000000"/>
          <w:spacing w:val="4"/>
          <w:bdr w:val="none" w:sz="0" w:space="0" w:color="auto" w:frame="1"/>
        </w:rPr>
        <w:t xml:space="preserve"> за </w:t>
      </w:r>
      <w:r w:rsidRPr="00BB1289">
        <w:rPr>
          <w:color w:val="000000"/>
          <w:spacing w:val="4"/>
          <w:bdr w:val="none" w:sz="0" w:space="0" w:color="auto" w:frame="1"/>
        </w:rPr>
        <w:t>Stallard (1969)</w:t>
      </w:r>
      <w:r w:rsidRPr="00BB1289">
        <w:rPr>
          <w:spacing w:val="4"/>
        </w:rPr>
        <w:t xml:space="preserve"> та </w:t>
      </w:r>
      <w:r w:rsidR="00821AA6">
        <w:rPr>
          <w:color w:val="000000"/>
          <w:spacing w:val="4"/>
        </w:rPr>
        <w:t>за</w:t>
      </w:r>
      <w:r w:rsidRPr="00BB1289">
        <w:rPr>
          <w:color w:val="000000"/>
          <w:spacing w:val="4"/>
        </w:rPr>
        <w:t xml:space="preserve"> </w:t>
      </w:r>
      <w:r w:rsidRPr="00BB1289">
        <w:rPr>
          <w:spacing w:val="4"/>
        </w:rPr>
        <w:t>J. Silness (1964) і H. Loe (1967) не мали тенденції до підвищення у віковому аспекті, а навпаки, простежувалося їх зниження та стабілізація. Цей факт пояснюється підвищенням рівня освіченості й свідомості дітей. Отже, зростання поширеності й інтенсивності каріозного процесу у ДВГ не пов’язане з рівнем гігієни.</w:t>
      </w:r>
    </w:p>
    <w:p w:rsidR="00534FB5" w:rsidRPr="00BB1289" w:rsidRDefault="00534FB5" w:rsidP="00534FB5">
      <w:pPr>
        <w:ind w:firstLine="567"/>
        <w:rPr>
          <w:color w:val="000000"/>
          <w:spacing w:val="4"/>
          <w:shd w:val="clear" w:color="auto" w:fill="FFFFFF"/>
        </w:rPr>
      </w:pPr>
      <w:r w:rsidRPr="00BB1289">
        <w:rPr>
          <w:spacing w:val="4"/>
        </w:rPr>
        <w:t>Дітям з вродженою глухотою на основі клінічних ознак та відповідно до класифікації Н. Ф. Данилевського (1998) був встановлений діагноз хвороб пародонта, поширеність яких становила 91 %. Серед захворювань тканин пародонта були представлені папіліт, гінгівіт</w:t>
      </w:r>
      <w:r w:rsidR="006461E4" w:rsidRPr="00BB1289">
        <w:rPr>
          <w:spacing w:val="4"/>
          <w:lang w:val="ru-RU"/>
        </w:rPr>
        <w:t>.</w:t>
      </w:r>
      <w:r w:rsidRPr="00BB1289">
        <w:rPr>
          <w:spacing w:val="4"/>
        </w:rPr>
        <w:t xml:space="preserve"> За глибиною ураження запальний процес вражав м’які тканини. У 43 % ДВГ був встановлений середній ступінь важкості, а в 11 % – важкий ступінь важкості катарального гінгівіту. </w:t>
      </w:r>
      <w:r w:rsidRPr="00BB1289">
        <w:rPr>
          <w:color w:val="000000"/>
          <w:spacing w:val="4"/>
          <w:shd w:val="clear" w:color="auto" w:fill="FFFFFF"/>
        </w:rPr>
        <w:t>Для об’єктивної оцінки стану тканин пародонта було використано низку пародонтальних індексів.</w:t>
      </w:r>
      <w:r w:rsidRPr="00BB1289">
        <w:rPr>
          <w:spacing w:val="4"/>
        </w:rPr>
        <w:t xml:space="preserve"> </w:t>
      </w:r>
      <w:r w:rsidRPr="00BB1289">
        <w:rPr>
          <w:color w:val="000000"/>
          <w:spacing w:val="4"/>
          <w:shd w:val="clear" w:color="auto" w:fill="FFFFFF"/>
        </w:rPr>
        <w:t xml:space="preserve">Відповідно </w:t>
      </w:r>
      <w:r w:rsidRPr="00BB1289">
        <w:rPr>
          <w:color w:val="000000"/>
          <w:spacing w:val="4"/>
          <w:shd w:val="clear" w:color="auto" w:fill="FFFFFF"/>
        </w:rPr>
        <w:lastRenderedPageBreak/>
        <w:t xml:space="preserve">до значення індексу РМА у </w:t>
      </w:r>
      <w:r w:rsidR="005A44D7" w:rsidRPr="00BB1289">
        <w:rPr>
          <w:color w:val="000000"/>
          <w:spacing w:val="4"/>
          <w:shd w:val="clear" w:color="auto" w:fill="FFFFFF"/>
        </w:rPr>
        <w:t xml:space="preserve"> ДВГ</w:t>
      </w:r>
      <w:r w:rsidRPr="00BB1289">
        <w:rPr>
          <w:color w:val="000000"/>
          <w:spacing w:val="4"/>
          <w:shd w:val="clear" w:color="auto" w:fill="FFFFFF"/>
        </w:rPr>
        <w:t xml:space="preserve"> було діагностовано легкий та середній ступінь гінгівіту. Для оцінки інтенсивності, поширеності захворювань тканин пародонта та для планування заходів щодо лікування і профілактики цих захворювань використано індекс CPITN. </w:t>
      </w:r>
      <w:r w:rsidRPr="00BB1289">
        <w:rPr>
          <w:spacing w:val="4"/>
        </w:rPr>
        <w:t xml:space="preserve">Аналіз значення індексу </w:t>
      </w:r>
      <w:r w:rsidRPr="00BB1289">
        <w:rPr>
          <w:color w:val="000000"/>
          <w:spacing w:val="4"/>
          <w:shd w:val="clear" w:color="auto" w:fill="FFFFFF"/>
        </w:rPr>
        <w:t xml:space="preserve">CPITN показав, що діти </w:t>
      </w:r>
      <w:r w:rsidR="006C493E" w:rsidRPr="00BB1289">
        <w:rPr>
          <w:color w:val="000000"/>
          <w:spacing w:val="4"/>
          <w:shd w:val="clear" w:color="auto" w:fill="FFFFFF"/>
        </w:rPr>
        <w:t>із вродженою</w:t>
      </w:r>
      <w:r w:rsidRPr="00BB1289">
        <w:rPr>
          <w:color w:val="000000"/>
          <w:spacing w:val="4"/>
          <w:shd w:val="clear" w:color="auto" w:fill="FFFFFF"/>
        </w:rPr>
        <w:t xml:space="preserve"> глухотою потребували поліпшення гігієни порожнини рота</w:t>
      </w:r>
      <w:r w:rsidR="006461E4" w:rsidRPr="00BB1289">
        <w:rPr>
          <w:color w:val="000000"/>
          <w:spacing w:val="4"/>
          <w:shd w:val="clear" w:color="auto" w:fill="FFFFFF"/>
        </w:rPr>
        <w:t>.</w:t>
      </w:r>
      <w:r w:rsidRPr="00BB1289">
        <w:rPr>
          <w:color w:val="000000"/>
          <w:spacing w:val="4"/>
          <w:shd w:val="clear" w:color="auto" w:fill="FFFFFF"/>
        </w:rPr>
        <w:t xml:space="preserve"> </w:t>
      </w:r>
    </w:p>
    <w:p w:rsidR="00BB1289" w:rsidRPr="00BB1289" w:rsidRDefault="00534FB5" w:rsidP="006461E4">
      <w:pPr>
        <w:ind w:firstLine="709"/>
        <w:rPr>
          <w:spacing w:val="4"/>
        </w:rPr>
      </w:pPr>
      <w:r w:rsidRPr="00BB1289">
        <w:rPr>
          <w:spacing w:val="4"/>
          <w:shd w:val="clear" w:color="auto" w:fill="FFFFFF"/>
        </w:rPr>
        <w:t>Оскільки ротова рідина відіграє значну роль у підтриманні постійності внутрішнього середовища ротової порожнини, має захисні, антибактеріальні, імунологічні властивості, виконує функцію очищення, сприяє підвищенню стійкості зубів</w:t>
      </w:r>
      <w:r w:rsidRPr="00BB1289">
        <w:rPr>
          <w:spacing w:val="4"/>
          <w:lang w:eastAsia="uk-UA"/>
        </w:rPr>
        <w:t xml:space="preserve"> до виникнення каріозного процесу та перешкоджає розвитку захворювань тканин пародонта, дітям із вродженою глухотою було проведено</w:t>
      </w:r>
      <w:r w:rsidRPr="00BB1289">
        <w:rPr>
          <w:spacing w:val="4"/>
          <w:shd w:val="clear" w:color="auto" w:fill="FFFFFF"/>
        </w:rPr>
        <w:t xml:space="preserve"> </w:t>
      </w:r>
      <w:r w:rsidRPr="00BB1289">
        <w:rPr>
          <w:spacing w:val="4"/>
        </w:rPr>
        <w:t>вивчення її функціональних</w:t>
      </w:r>
      <w:r w:rsidRPr="00BB1289">
        <w:rPr>
          <w:spacing w:val="4"/>
          <w:lang w:eastAsia="uk-UA"/>
        </w:rPr>
        <w:t>,</w:t>
      </w:r>
      <w:r w:rsidRPr="00BB1289">
        <w:rPr>
          <w:spacing w:val="4"/>
        </w:rPr>
        <w:t xml:space="preserve"> біохімічних та імунологічних властивостей. </w:t>
      </w:r>
    </w:p>
    <w:p w:rsidR="00BB1289" w:rsidRPr="00BB1289" w:rsidRDefault="00534FB5" w:rsidP="006461E4">
      <w:pPr>
        <w:ind w:firstLine="709"/>
        <w:rPr>
          <w:spacing w:val="4"/>
        </w:rPr>
      </w:pPr>
      <w:r w:rsidRPr="00BB1289">
        <w:rPr>
          <w:spacing w:val="4"/>
        </w:rPr>
        <w:t>Було виявлено зниження швидкості слиновиділення у всіх трьох вікових групах дітей</w:t>
      </w:r>
      <w:r w:rsidR="006461E4" w:rsidRPr="00BB1289">
        <w:rPr>
          <w:spacing w:val="4"/>
          <w:lang w:eastAsia="uk-UA"/>
        </w:rPr>
        <w:t xml:space="preserve"> ОГ порівняно з КГ </w:t>
      </w:r>
      <w:r w:rsidR="006461E4" w:rsidRPr="00BB1289">
        <w:rPr>
          <w:spacing w:val="4"/>
        </w:rPr>
        <w:t xml:space="preserve">на 24 %. </w:t>
      </w:r>
    </w:p>
    <w:p w:rsidR="00534FB5" w:rsidRPr="00BB1289" w:rsidRDefault="00534FB5" w:rsidP="006461E4">
      <w:pPr>
        <w:ind w:firstLine="709"/>
        <w:rPr>
          <w:spacing w:val="4"/>
          <w:lang w:val="ru-RU"/>
        </w:rPr>
      </w:pPr>
      <w:r w:rsidRPr="00BB1289">
        <w:rPr>
          <w:spacing w:val="4"/>
        </w:rPr>
        <w:t xml:space="preserve">Для прогнозування розвитку стоматологічних захворювань шляхом оцінювання компенсаторних здібностей організму в порожнині рота, які обумовлені нестабільністю кислотно-лужної рівноваги ротової рідини і визначають схильність індивіда до карієсу, ми провели розрахунок ΔрН – відхилення величини pH від середнього її значення. Визначення ΔрН дозволило здійснити оцінку функціонального стану всіх систем, відповідальних за гомеостаз ротової рідини, проведення трьох послідовних заборів ротової рідини дозволило отримати більш достовірне значення рН, ніж при одноразовому заборі. У всіх трьох вікових групах дітей </w:t>
      </w:r>
      <w:r w:rsidR="006461E4" w:rsidRPr="00BB1289">
        <w:rPr>
          <w:spacing w:val="4"/>
          <w:lang w:val="ru-RU"/>
        </w:rPr>
        <w:t xml:space="preserve">ОГ </w:t>
      </w:r>
      <w:r w:rsidRPr="00BB1289">
        <w:rPr>
          <w:spacing w:val="4"/>
        </w:rPr>
        <w:t>було виявлено підвищення значення показника ΔpH у 9,5 раза, 5,5 раза та 8,3 раза відповідно</w:t>
      </w:r>
      <w:r w:rsidR="006461E4" w:rsidRPr="00BB1289">
        <w:rPr>
          <w:spacing w:val="4"/>
          <w:lang w:eastAsia="uk-UA"/>
        </w:rPr>
        <w:t xml:space="preserve"> порівняно з КГ</w:t>
      </w:r>
      <w:r w:rsidR="006461E4" w:rsidRPr="00BB1289">
        <w:rPr>
          <w:spacing w:val="4"/>
        </w:rPr>
        <w:t xml:space="preserve">. </w:t>
      </w:r>
    </w:p>
    <w:p w:rsidR="00BB1289" w:rsidRPr="00BB1289" w:rsidRDefault="00534FB5" w:rsidP="00534FB5">
      <w:pPr>
        <w:ind w:firstLine="567"/>
        <w:rPr>
          <w:spacing w:val="4"/>
        </w:rPr>
      </w:pPr>
      <w:r w:rsidRPr="00BB1289">
        <w:rPr>
          <w:spacing w:val="4"/>
        </w:rPr>
        <w:t xml:space="preserve">Про процеси </w:t>
      </w:r>
      <w:r w:rsidR="00CB78C0">
        <w:rPr>
          <w:spacing w:val="4"/>
        </w:rPr>
        <w:t>перекисн</w:t>
      </w:r>
      <w:r w:rsidRPr="00BB1289">
        <w:rPr>
          <w:spacing w:val="4"/>
        </w:rPr>
        <w:t>ого окислення ліпідів і стан антиоксидантної системи судили за вмістом проміжних продуктів пероксидації –</w:t>
      </w:r>
      <w:r w:rsidR="00F41074" w:rsidRPr="00BB1289">
        <w:rPr>
          <w:spacing w:val="4"/>
        </w:rPr>
        <w:t xml:space="preserve">                </w:t>
      </w:r>
      <w:r w:rsidRPr="00BB1289">
        <w:rPr>
          <w:spacing w:val="4"/>
        </w:rPr>
        <w:t xml:space="preserve"> ТБК-активних продуктів та активністю ферментів антиоксидантної </w:t>
      </w:r>
      <w:r w:rsidRPr="00BB1289">
        <w:rPr>
          <w:spacing w:val="4"/>
        </w:rPr>
        <w:lastRenderedPageBreak/>
        <w:t xml:space="preserve">системи – каталази і супероксиддисмутази. Захисні сили тканин ротової порожнини оцінювали за антиоксидантно-прооксидантним індексом. </w:t>
      </w:r>
    </w:p>
    <w:p w:rsidR="00534FB5" w:rsidRPr="00BB1289" w:rsidRDefault="00534FB5" w:rsidP="00534FB5">
      <w:pPr>
        <w:ind w:firstLine="567"/>
        <w:rPr>
          <w:spacing w:val="4"/>
        </w:rPr>
      </w:pPr>
      <w:r w:rsidRPr="00BB1289">
        <w:rPr>
          <w:spacing w:val="4"/>
        </w:rPr>
        <w:t xml:space="preserve">У ДВГ </w:t>
      </w:r>
      <w:r w:rsidR="00821AA6">
        <w:rPr>
          <w:spacing w:val="4"/>
        </w:rPr>
        <w:t xml:space="preserve">рівень </w:t>
      </w:r>
      <w:r w:rsidRPr="00BB1289">
        <w:rPr>
          <w:spacing w:val="4"/>
        </w:rPr>
        <w:t>ТБК-активних продук</w:t>
      </w:r>
      <w:r w:rsidR="00821AA6">
        <w:rPr>
          <w:spacing w:val="4"/>
        </w:rPr>
        <w:t xml:space="preserve">тів був підвищений (в 1,41-1,47 раза </w:t>
      </w:r>
      <w:r w:rsidRPr="00BB1289">
        <w:rPr>
          <w:spacing w:val="4"/>
        </w:rPr>
        <w:t>(p&lt;0,05)), разом з тим спостерігалося зниження активності ферме</w:t>
      </w:r>
      <w:r w:rsidR="00821AA6">
        <w:rPr>
          <w:spacing w:val="4"/>
        </w:rPr>
        <w:t xml:space="preserve">нтів антиоксидантної системи (в </w:t>
      </w:r>
      <w:r w:rsidRPr="00BB1289">
        <w:rPr>
          <w:spacing w:val="4"/>
        </w:rPr>
        <w:t>1,48-1,57 раза (p&lt;0,05)), антиоксидантно-прооксидантного індексу</w:t>
      </w:r>
      <w:r w:rsidR="00821AA6">
        <w:rPr>
          <w:spacing w:val="4"/>
        </w:rPr>
        <w:t xml:space="preserve"> </w:t>
      </w:r>
      <w:r w:rsidRPr="00BB1289">
        <w:rPr>
          <w:spacing w:val="4"/>
        </w:rPr>
        <w:t xml:space="preserve">(в 2,17 раза (p&lt;0,05)). Це свідчить про дисбаланс у зазначених вище системах у дітей </w:t>
      </w:r>
      <w:r w:rsidR="006C493E" w:rsidRPr="00BB1289">
        <w:rPr>
          <w:spacing w:val="4"/>
        </w:rPr>
        <w:t>із вродженою</w:t>
      </w:r>
      <w:r w:rsidRPr="00BB1289">
        <w:rPr>
          <w:spacing w:val="4"/>
        </w:rPr>
        <w:t xml:space="preserve"> глухотою. </w:t>
      </w:r>
    </w:p>
    <w:p w:rsidR="00534FB5" w:rsidRPr="00BB1289" w:rsidRDefault="00534FB5" w:rsidP="00534FB5">
      <w:pPr>
        <w:ind w:firstLine="567"/>
        <w:rPr>
          <w:spacing w:val="4"/>
        </w:rPr>
      </w:pPr>
      <w:r w:rsidRPr="00BB1289">
        <w:rPr>
          <w:spacing w:val="4"/>
        </w:rPr>
        <w:t xml:space="preserve">У ДВГ виявлено порушення місцевого імунітету тканин ротової порожнини. Продукування </w:t>
      </w:r>
      <w:r w:rsidRPr="00BB1289">
        <w:rPr>
          <w:rStyle w:val="a9"/>
          <w:bCs/>
          <w:i w:val="0"/>
          <w:iCs w:val="0"/>
          <w:color w:val="000000"/>
          <w:spacing w:val="4"/>
        </w:rPr>
        <w:t>sIgA</w:t>
      </w:r>
      <w:r w:rsidRPr="00BB1289">
        <w:rPr>
          <w:spacing w:val="4"/>
        </w:rPr>
        <w:t xml:space="preserve"> та активність лізоциму були знижені в 1,53 раза (p&lt;0,05) та 1,79 раза (p&lt;0,001) відповідно, тоді як активність уреази і показник ступеня дисбіозу були підвищені в 3,28 раза (p&lt;0,001) і </w:t>
      </w:r>
      <w:r w:rsidR="00F41074" w:rsidRPr="00BB1289">
        <w:rPr>
          <w:spacing w:val="4"/>
        </w:rPr>
        <w:t xml:space="preserve">     </w:t>
      </w:r>
      <w:r w:rsidRPr="00BB1289">
        <w:rPr>
          <w:spacing w:val="4"/>
        </w:rPr>
        <w:t>5,84 раза (p&lt;0,001) відповідно.</w:t>
      </w:r>
    </w:p>
    <w:p w:rsidR="00BB1289" w:rsidRPr="00BB1289" w:rsidRDefault="00534FB5" w:rsidP="00534FB5">
      <w:pPr>
        <w:ind w:firstLine="567"/>
        <w:rPr>
          <w:spacing w:val="4"/>
        </w:rPr>
      </w:pPr>
      <w:r w:rsidRPr="00BB1289">
        <w:rPr>
          <w:rFonts w:eastAsia="TimesNewRomanPSMT"/>
          <w:spacing w:val="4"/>
        </w:rPr>
        <w:t xml:space="preserve">У патогенезі стоматологічних захворювань, беззаперечно, важливу роль відіграють порушення мікробіоти, оскільки порожнина рота є екологічною системою, в якій зовнішні фактори динамічно взаємодіють з внутрішніми, зберігаючи при цьому стан рівноваги. </w:t>
      </w:r>
      <w:r w:rsidRPr="00BB1289">
        <w:rPr>
          <w:spacing w:val="4"/>
        </w:rPr>
        <w:t xml:space="preserve">Мікробіологічні дослідження включали визначення якісного та кількісного складу біоценозу зубної бляшки. </w:t>
      </w:r>
    </w:p>
    <w:p w:rsidR="00534FB5" w:rsidRPr="00BB1289" w:rsidRDefault="00534FB5" w:rsidP="00534FB5">
      <w:pPr>
        <w:ind w:firstLine="567"/>
        <w:rPr>
          <w:rFonts w:eastAsia="TimesNewRomanPSMT"/>
          <w:spacing w:val="4"/>
        </w:rPr>
      </w:pPr>
      <w:r w:rsidRPr="00BB1289">
        <w:rPr>
          <w:spacing w:val="4"/>
        </w:rPr>
        <w:t>Встановлено, що мікробіоценози зубної бляшки у ДВГ складалися з аеробної, факультативно-анаеробної та анаеробної мікрофлори. Штами бактерій та дріжджеподібних грибів персистували в асоціаціях з 2-6-ма представниками мікробного світу. Асоціації з 4-6 ізолятів визначено у 83,8 % уроджено глухих дітей (р&lt;0,01). Загалом у цій групі дітей вилучено  403 штами мікроорганізмів, що у середньому становить (4,4</w:t>
      </w:r>
      <w:r w:rsidRPr="00BB1289">
        <w:rPr>
          <w:rFonts w:eastAsia="TimesNewRomanPSMT"/>
          <w:spacing w:val="4"/>
        </w:rPr>
        <w:t>±0,7)</w:t>
      </w:r>
      <w:r w:rsidRPr="00BB1289">
        <w:rPr>
          <w:spacing w:val="4"/>
        </w:rPr>
        <w:t xml:space="preserve"> ізоляти на одного обстеженого. Структура мікробіоценозів зубної бляшки у дітей </w:t>
      </w:r>
      <w:r w:rsidR="006C493E" w:rsidRPr="00BB1289">
        <w:rPr>
          <w:spacing w:val="4"/>
        </w:rPr>
        <w:t>із вродженою</w:t>
      </w:r>
      <w:r w:rsidRPr="00BB1289">
        <w:rPr>
          <w:spacing w:val="4"/>
        </w:rPr>
        <w:t xml:space="preserve"> глухотою вирізнялася як у кількісному, так і в якісному відношенні: видовий склад представляли 27 родів бактерій та 2 роди пліснявих і дріжджеподібних грибів у середн</w:t>
      </w:r>
      <w:r w:rsidR="00526914" w:rsidRPr="00BB1289">
        <w:rPr>
          <w:spacing w:val="4"/>
        </w:rPr>
        <w:t xml:space="preserve">іх кількостях від lg 3,1 до </w:t>
      </w:r>
      <w:r w:rsidR="00526914" w:rsidRPr="00BB1289">
        <w:rPr>
          <w:spacing w:val="4"/>
        </w:rPr>
        <w:lastRenderedPageBreak/>
        <w:t>lg </w:t>
      </w:r>
      <w:r w:rsidRPr="00BB1289">
        <w:rPr>
          <w:spacing w:val="4"/>
        </w:rPr>
        <w:t>5,8</w:t>
      </w:r>
      <w:r w:rsidR="00526914" w:rsidRPr="00BB1289">
        <w:rPr>
          <w:rFonts w:eastAsia="TimesNewRomanPSMT"/>
          <w:spacing w:val="4"/>
        </w:rPr>
        <w:t>±0,19</w:t>
      </w:r>
      <w:r w:rsidRPr="00BB1289">
        <w:rPr>
          <w:spacing w:val="4"/>
        </w:rPr>
        <w:t xml:space="preserve"> КУО/г. Пришийкову ділянку зубів у ДВГ, окрім вказаних мікроорганізмів (за винятком аерококів), активно колонізували представники анаеробних грамнегативних бактерій (фузобактерії, бактероїди, превотели, порфиромонади) та актиноміцети. Крім цього, у вказаної групи дітей виявлено у 10-20 % персистенцію ентеробактерій та неферментуючих грамнегативних бактерій (клебсієли, кишкові палички, ацинетобактери, псевдомонади), які не входять до складу резидентної оральної мікрофлори. У 15-ти обстежених дітей основної групи вилучено штами </w:t>
      </w:r>
      <w:r w:rsidRPr="00BB1289">
        <w:rPr>
          <w:i/>
          <w:spacing w:val="4"/>
        </w:rPr>
        <w:t>S. aureus</w:t>
      </w:r>
      <w:r w:rsidRPr="00BB1289">
        <w:rPr>
          <w:spacing w:val="4"/>
        </w:rPr>
        <w:t xml:space="preserve"> та </w:t>
      </w:r>
      <w:r w:rsidRPr="00BB1289">
        <w:rPr>
          <w:i/>
          <w:spacing w:val="4"/>
        </w:rPr>
        <w:t>S. рyogеnеs</w:t>
      </w:r>
      <w:r w:rsidRPr="00BB1289">
        <w:rPr>
          <w:spacing w:val="4"/>
        </w:rPr>
        <w:t xml:space="preserve"> у кількості lg (3,2±0,06) та l</w:t>
      </w:r>
      <w:r w:rsidR="00B04040">
        <w:rPr>
          <w:spacing w:val="4"/>
        </w:rPr>
        <w:t>g </w:t>
      </w:r>
      <w:r w:rsidRPr="00BB1289">
        <w:rPr>
          <w:spacing w:val="4"/>
        </w:rPr>
        <w:t>(4,2</w:t>
      </w:r>
      <w:r w:rsidRPr="00BB1289">
        <w:rPr>
          <w:rFonts w:eastAsia="TimesNewRomanPSMT"/>
          <w:spacing w:val="4"/>
        </w:rPr>
        <w:t>±0,29)</w:t>
      </w:r>
      <w:r w:rsidR="00B04040">
        <w:rPr>
          <w:spacing w:val="4"/>
        </w:rPr>
        <w:t> </w:t>
      </w:r>
      <w:r w:rsidRPr="00BB1289">
        <w:rPr>
          <w:spacing w:val="4"/>
        </w:rPr>
        <w:t xml:space="preserve">КУО/г відповідно. Слід зазначити, що у дітей </w:t>
      </w:r>
      <w:r w:rsidR="006C493E" w:rsidRPr="00BB1289">
        <w:rPr>
          <w:spacing w:val="4"/>
        </w:rPr>
        <w:t>із вродженою</w:t>
      </w:r>
      <w:r w:rsidRPr="00BB1289">
        <w:rPr>
          <w:spacing w:val="4"/>
        </w:rPr>
        <w:t xml:space="preserve"> глухотою щільність колонізації обстежених біотопів представниками резидентної мікрофлори (ά-гемолітичні стрептококи, ентерококи, нейсерії) була підвищена (р&lt;0,05). Окремої уваги заслуговує видовий склад ізольованих ά-гемолітичних стрептококів. Статистичні відмінності визначено між персистенцією штамів </w:t>
      </w:r>
      <w:r w:rsidRPr="00BB1289">
        <w:rPr>
          <w:i/>
          <w:spacing w:val="4"/>
        </w:rPr>
        <w:t>S. mutans, S. sanguis</w:t>
      </w:r>
      <w:r w:rsidRPr="00BB1289">
        <w:rPr>
          <w:spacing w:val="4"/>
        </w:rPr>
        <w:t xml:space="preserve"> як за частотою вилучення, так і за щільністю колонізації пришийкової ділянки. Так, знахідки штамів </w:t>
      </w:r>
      <w:r w:rsidRPr="00BB1289">
        <w:rPr>
          <w:i/>
          <w:spacing w:val="4"/>
        </w:rPr>
        <w:t>S. mutans</w:t>
      </w:r>
      <w:r w:rsidRPr="00BB1289">
        <w:rPr>
          <w:spacing w:val="4"/>
        </w:rPr>
        <w:t xml:space="preserve"> були вдвічі частіші у концентрації, що перевищувала значення, одержані при об</w:t>
      </w:r>
      <w:r w:rsidR="00B04040">
        <w:rPr>
          <w:spacing w:val="4"/>
        </w:rPr>
        <w:t>стеженні дітей групи порівняння </w:t>
      </w:r>
      <w:r w:rsidRPr="00BB1289">
        <w:rPr>
          <w:spacing w:val="4"/>
        </w:rPr>
        <w:t xml:space="preserve">(р&lt;0,01). Штами </w:t>
      </w:r>
      <w:r w:rsidRPr="00BB1289">
        <w:rPr>
          <w:i/>
          <w:spacing w:val="4"/>
        </w:rPr>
        <w:t>S. sanguis</w:t>
      </w:r>
      <w:r w:rsidRPr="00BB1289">
        <w:rPr>
          <w:spacing w:val="4"/>
        </w:rPr>
        <w:t xml:space="preserve"> навпаки, частіше вилучалися у дітей без патології слуху, але їх концентрація була нижча. Ізоляти </w:t>
      </w:r>
      <w:r w:rsidRPr="00BB1289">
        <w:rPr>
          <w:i/>
          <w:spacing w:val="4"/>
        </w:rPr>
        <w:t>S. sаlivarius</w:t>
      </w:r>
      <w:r w:rsidRPr="00BB1289">
        <w:rPr>
          <w:spacing w:val="4"/>
        </w:rPr>
        <w:t xml:space="preserve">, які є представниками автохтонної непатогенної мікрофлори порожнини рота, у 12,8 раза рідше колонізували обстежені біотопи у дітей </w:t>
      </w:r>
      <w:r w:rsidR="006C493E" w:rsidRPr="00BB1289">
        <w:rPr>
          <w:spacing w:val="4"/>
        </w:rPr>
        <w:t>із вродженою</w:t>
      </w:r>
      <w:r w:rsidRPr="00BB1289">
        <w:rPr>
          <w:spacing w:val="4"/>
        </w:rPr>
        <w:t xml:space="preserve"> глухотою. Слід зазначити, що не було виявлено суттєвих розбіжностей між вилученням визначених мікробних асоціацій у ДВГ в залежності від віку.</w:t>
      </w:r>
    </w:p>
    <w:p w:rsidR="00534FB5" w:rsidRPr="00BB1289" w:rsidRDefault="00534FB5" w:rsidP="00534FB5">
      <w:pPr>
        <w:ind w:firstLine="567"/>
        <w:rPr>
          <w:spacing w:val="4"/>
        </w:rPr>
      </w:pPr>
      <w:r w:rsidRPr="00BB1289">
        <w:rPr>
          <w:spacing w:val="4"/>
        </w:rPr>
        <w:t xml:space="preserve">Окрім того, окремої уваги заслуговують дані, отримані в результаті </w:t>
      </w:r>
      <w:r w:rsidRPr="00BB1289">
        <w:rPr>
          <w:color w:val="000000"/>
          <w:spacing w:val="4"/>
        </w:rPr>
        <w:t xml:space="preserve">аналізу </w:t>
      </w:r>
      <w:r w:rsidRPr="00BB1289">
        <w:rPr>
          <w:spacing w:val="4"/>
        </w:rPr>
        <w:t xml:space="preserve">протоколів обстежень та індивідуальних карток психоемоційного статусу дітей </w:t>
      </w:r>
      <w:r w:rsidR="006C493E" w:rsidRPr="00BB1289">
        <w:rPr>
          <w:spacing w:val="4"/>
        </w:rPr>
        <w:t>із вродженою</w:t>
      </w:r>
      <w:r w:rsidRPr="00BB1289">
        <w:rPr>
          <w:spacing w:val="4"/>
        </w:rPr>
        <w:t xml:space="preserve"> глухотою. Слід зауважити той факт, що у дітей з вадами слуху виявлено</w:t>
      </w:r>
      <w:r w:rsidRPr="00BB1289">
        <w:rPr>
          <w:bCs/>
          <w:spacing w:val="4"/>
          <w:shd w:val="clear" w:color="auto" w:fill="FFFFFF"/>
        </w:rPr>
        <w:t xml:space="preserve"> значну поширеність (84,1 %) порушень </w:t>
      </w:r>
      <w:r w:rsidRPr="00BB1289">
        <w:rPr>
          <w:bCs/>
          <w:spacing w:val="4"/>
          <w:shd w:val="clear" w:color="auto" w:fill="FFFFFF"/>
        </w:rPr>
        <w:lastRenderedPageBreak/>
        <w:t>психічного та емоційного здоров’я. В структурі порушень психічного здоров’я</w:t>
      </w:r>
      <w:r w:rsidRPr="00BB1289">
        <w:rPr>
          <w:spacing w:val="4"/>
        </w:rPr>
        <w:t xml:space="preserve"> переважали астено-невротичні розлади (27,2 %)</w:t>
      </w:r>
      <w:r w:rsidRPr="00BB1289">
        <w:rPr>
          <w:snapToGrid w:val="0"/>
          <w:spacing w:val="4"/>
        </w:rPr>
        <w:t>, на другому місці перебували</w:t>
      </w:r>
      <w:r w:rsidRPr="00BB1289">
        <w:rPr>
          <w:spacing w:val="4"/>
        </w:rPr>
        <w:t xml:space="preserve"> розлади особистості й поведінки </w:t>
      </w:r>
      <w:r w:rsidRPr="00BB1289">
        <w:rPr>
          <w:snapToGrid w:val="0"/>
          <w:spacing w:val="4"/>
        </w:rPr>
        <w:t>(16,7 %)</w:t>
      </w:r>
      <w:r w:rsidR="00526914" w:rsidRPr="00BB1289">
        <w:rPr>
          <w:snapToGrid w:val="0"/>
          <w:spacing w:val="4"/>
        </w:rPr>
        <w:t>,</w:t>
      </w:r>
      <w:r w:rsidR="00526914" w:rsidRPr="00BB1289">
        <w:rPr>
          <w:spacing w:val="4"/>
        </w:rPr>
        <w:t xml:space="preserve"> на третьому місці були невротичні та стресобумовлені розлади</w:t>
      </w:r>
      <w:r w:rsidR="00526914" w:rsidRPr="00BB1289">
        <w:rPr>
          <w:snapToGrid w:val="0"/>
          <w:spacing w:val="4"/>
        </w:rPr>
        <w:t xml:space="preserve"> (13,2 %)</w:t>
      </w:r>
      <w:r w:rsidRPr="00BB1289">
        <w:rPr>
          <w:snapToGrid w:val="0"/>
          <w:spacing w:val="4"/>
        </w:rPr>
        <w:t>. Порушенням емоційної сфери страждали 27 % дітей з особливими потребами. У дітей з вродженою глухотою встановлено прямий кореляційний зв’язок між інтенсивністю карієсу, важкі</w:t>
      </w:r>
      <w:r w:rsidR="00526914" w:rsidRPr="00BB1289">
        <w:rPr>
          <w:snapToGrid w:val="0"/>
          <w:spacing w:val="4"/>
        </w:rPr>
        <w:t>стю захворювань тканин пародонта</w:t>
      </w:r>
      <w:r w:rsidR="00B04040">
        <w:rPr>
          <w:snapToGrid w:val="0"/>
          <w:spacing w:val="4"/>
        </w:rPr>
        <w:t xml:space="preserve"> (за </w:t>
      </w:r>
      <w:r w:rsidRPr="00BB1289">
        <w:rPr>
          <w:snapToGrid w:val="0"/>
          <w:spacing w:val="4"/>
        </w:rPr>
        <w:t xml:space="preserve">індексом </w:t>
      </w:r>
      <w:r w:rsidRPr="00BB1289">
        <w:rPr>
          <w:snapToGrid w:val="0"/>
          <w:spacing w:val="4"/>
          <w:lang w:val="en-US"/>
        </w:rPr>
        <w:t>PMA</w:t>
      </w:r>
      <w:r w:rsidRPr="00BB1289">
        <w:rPr>
          <w:snapToGrid w:val="0"/>
          <w:spacing w:val="4"/>
        </w:rPr>
        <w:t xml:space="preserve">) і порушенням психічного та емоційного здоров’я. А це підтверджує наявність тісного зв’язку між </w:t>
      </w:r>
      <w:r w:rsidRPr="00BB1289">
        <w:rPr>
          <w:bCs/>
          <w:spacing w:val="4"/>
          <w:shd w:val="clear" w:color="auto" w:fill="FFFFFF"/>
        </w:rPr>
        <w:t xml:space="preserve">психічним, емоційним і </w:t>
      </w:r>
      <w:r w:rsidR="005A44D7" w:rsidRPr="00BB1289">
        <w:rPr>
          <w:bCs/>
          <w:spacing w:val="4"/>
          <w:shd w:val="clear" w:color="auto" w:fill="FFFFFF"/>
        </w:rPr>
        <w:t>стоматологічним</w:t>
      </w:r>
      <w:r w:rsidRPr="00BB1289">
        <w:rPr>
          <w:bCs/>
          <w:spacing w:val="4"/>
          <w:shd w:val="clear" w:color="auto" w:fill="FFFFFF"/>
        </w:rPr>
        <w:t xml:space="preserve"> здоров’ям дітей із вродженою глухотою.</w:t>
      </w:r>
    </w:p>
    <w:p w:rsidR="00534FB5" w:rsidRPr="00BB1289" w:rsidRDefault="00534FB5" w:rsidP="00534FB5">
      <w:pPr>
        <w:ind w:firstLine="567"/>
        <w:rPr>
          <w:spacing w:val="4"/>
          <w:shd w:val="clear" w:color="auto" w:fill="FFFFFF"/>
        </w:rPr>
      </w:pPr>
      <w:r w:rsidRPr="00BB1289">
        <w:rPr>
          <w:spacing w:val="4"/>
        </w:rPr>
        <w:t xml:space="preserve">Отже, можна зробити висновок, що зміни стоматологічного статусу дітей </w:t>
      </w:r>
      <w:r w:rsidR="006C493E" w:rsidRPr="00BB1289">
        <w:rPr>
          <w:spacing w:val="4"/>
        </w:rPr>
        <w:t>із вродженою</w:t>
      </w:r>
      <w:r w:rsidRPr="00BB1289">
        <w:rPr>
          <w:spacing w:val="4"/>
        </w:rPr>
        <w:t xml:space="preserve"> глухотою обумовлені насамперед впливом ендогенних факторів, що підкреслює необхідність розробки і впровадження методів системної профілактики.</w:t>
      </w:r>
    </w:p>
    <w:p w:rsidR="00534FB5" w:rsidRPr="00BB1289" w:rsidRDefault="00534FB5" w:rsidP="00534FB5">
      <w:pPr>
        <w:ind w:firstLine="567"/>
        <w:rPr>
          <w:spacing w:val="4"/>
        </w:rPr>
      </w:pPr>
      <w:r w:rsidRPr="00BB1289">
        <w:rPr>
          <w:spacing w:val="4"/>
        </w:rPr>
        <w:t>На сучасному етапі розвитку стоматології профілактика як система державних, соціальних, гігієнічних та медичних заходів повинна впливати насамперед на макроорганізм із метою загального оздоровлення, проводити заходи для зниження дії патогенних факторів та підсилювати резистентність органів порожнини рота до патогенних впливів. Використання численних антибактеріальних препаратів для профілактики основних стоматологічних захворювань не дало очікуваного результату, поширеність стоматологічних захворювань не знизилася. Виходом із ситуації, що склалася, є звернення стоматології у бік заходів підвищення неспецифічного та специфічного імунітету. Вирішення поставленого завдання можливе шляхом використання адаптогенів рослинного походження в поєднанні зі спектром препаратів специфічної терапії.</w:t>
      </w:r>
    </w:p>
    <w:p w:rsidR="00534FB5" w:rsidRPr="00BB1289" w:rsidRDefault="00534FB5" w:rsidP="004E2D25">
      <w:pPr>
        <w:ind w:firstLine="567"/>
        <w:rPr>
          <w:color w:val="000000"/>
          <w:spacing w:val="4"/>
        </w:rPr>
      </w:pPr>
      <w:r w:rsidRPr="00BB1289">
        <w:rPr>
          <w:spacing w:val="4"/>
        </w:rPr>
        <w:t xml:space="preserve">У своєму пошуку ми зупинили наш вибір на адаптогенних препаратах рослинного походження у вигляді БАД до їжі, а саме екстрактів паростків пшениці. Цей біологічно активний комплекс за рахунок вмісту вільних </w:t>
      </w:r>
      <w:r w:rsidRPr="00BB1289">
        <w:rPr>
          <w:spacing w:val="4"/>
        </w:rPr>
        <w:lastRenderedPageBreak/>
        <w:t>амінокислот, біофлавоноїдів та інших біологічно активних речовин виявляє високу ефективність при профілактиці та лікуванні основних стоматологічних захворювань. Дія препарату ґрунтується на активації ядерно-цитоплазматичних відносин у клітинах, знятті «клітинного стресу», підвищенні ефективності адаптаційних реакцій і, як результат, підвищенні неспецифічної резистентності, у тому числі в порожнині рота. У зв’язку з високою поширеністю захворювань тканин пар</w:t>
      </w:r>
      <w:r w:rsidR="004E2D25" w:rsidRPr="00BB1289">
        <w:rPr>
          <w:spacing w:val="4"/>
        </w:rPr>
        <w:t>о</w:t>
      </w:r>
      <w:r w:rsidRPr="00BB1289">
        <w:rPr>
          <w:spacing w:val="4"/>
        </w:rPr>
        <w:t xml:space="preserve">донту у ДВГ виникла необхідність включення до лікувально-профілактичного комплексу препарату етіологічної та патогенетичної дії. Безумовно, у виникненні захворювань тканин пародонта безпосередню роль відіграють мікроорганізми, але їх патогенний ефект проявляється або за умови надмірного їх накопичення (досягнення обсягу «критичної маси»), або тоді, коли активність місцевих захисних сил знижена. До недостатності природної системи резистентності ротової порожнини призводить велика кількість факторів, які можна позначити як </w:t>
      </w:r>
      <w:r w:rsidRPr="00BB1289">
        <w:rPr>
          <w:color w:val="000000"/>
          <w:spacing w:val="4"/>
        </w:rPr>
        <w:t xml:space="preserve">пускові механізми розвитку запального процесу в яснах. Ці </w:t>
      </w:r>
      <w:r w:rsidRPr="00BB1289">
        <w:rPr>
          <w:spacing w:val="4"/>
        </w:rPr>
        <w:t>фактори</w:t>
      </w:r>
      <w:r w:rsidRPr="00BB1289">
        <w:rPr>
          <w:color w:val="000000"/>
          <w:spacing w:val="4"/>
        </w:rPr>
        <w:t xml:space="preserve"> умовно </w:t>
      </w:r>
      <w:r w:rsidRPr="00BB1289">
        <w:rPr>
          <w:spacing w:val="4"/>
        </w:rPr>
        <w:t>розділяють</w:t>
      </w:r>
      <w:r w:rsidRPr="00BB1289">
        <w:rPr>
          <w:color w:val="000000"/>
          <w:spacing w:val="4"/>
        </w:rPr>
        <w:t xml:space="preserve"> на</w:t>
      </w:r>
      <w:r w:rsidRPr="00BB1289">
        <w:rPr>
          <w:spacing w:val="4"/>
        </w:rPr>
        <w:t xml:space="preserve"> внутрішні (прорізування зубів, гіповітамінози, загальносоматичні захворювання тощо) та зовнішні (погана гігієна порожнини рота, відсутність санації тощо). Однак навіть усунувши або зменшивши вплив цих патогенних чинників, без стимуляції природних факторів захисту ротової порожнини стійкого позитивного ефекту, що полягає в нормалізації мікробного балансу в порожнині рота, досягти складно. </w:t>
      </w:r>
      <w:r w:rsidRPr="00BB1289">
        <w:rPr>
          <w:color w:val="000000"/>
          <w:spacing w:val="4"/>
        </w:rPr>
        <w:t xml:space="preserve">Одним з основних регуляторів і факторів неспецифічного захисту </w:t>
      </w:r>
      <w:r w:rsidRPr="00BB1289">
        <w:rPr>
          <w:spacing w:val="4"/>
        </w:rPr>
        <w:t>порожнини</w:t>
      </w:r>
      <w:r w:rsidRPr="00BB1289">
        <w:rPr>
          <w:color w:val="000000"/>
          <w:spacing w:val="4"/>
        </w:rPr>
        <w:t xml:space="preserve"> рота,</w:t>
      </w:r>
      <w:r w:rsidRPr="00BB1289">
        <w:rPr>
          <w:spacing w:val="4"/>
        </w:rPr>
        <w:t xml:space="preserve"> який</w:t>
      </w:r>
      <w:r w:rsidRPr="00BB1289">
        <w:rPr>
          <w:color w:val="000000"/>
          <w:spacing w:val="4"/>
        </w:rPr>
        <w:t xml:space="preserve"> забезпечує підтримку мікробіоценозу, </w:t>
      </w:r>
      <w:r w:rsidRPr="00BB1289">
        <w:rPr>
          <w:spacing w:val="4"/>
        </w:rPr>
        <w:t>є</w:t>
      </w:r>
      <w:r w:rsidRPr="00BB1289">
        <w:rPr>
          <w:color w:val="000000"/>
          <w:spacing w:val="4"/>
        </w:rPr>
        <w:t xml:space="preserve"> фермент лізоцим,</w:t>
      </w:r>
      <w:r w:rsidRPr="00BB1289">
        <w:rPr>
          <w:spacing w:val="4"/>
        </w:rPr>
        <w:t xml:space="preserve"> що</w:t>
      </w:r>
      <w:r w:rsidRPr="00BB1289">
        <w:rPr>
          <w:color w:val="000000"/>
          <w:spacing w:val="4"/>
        </w:rPr>
        <w:t xml:space="preserve"> </w:t>
      </w:r>
      <w:r w:rsidRPr="00BB1289">
        <w:rPr>
          <w:spacing w:val="4"/>
        </w:rPr>
        <w:t>має</w:t>
      </w:r>
      <w:r w:rsidRPr="00BB1289">
        <w:rPr>
          <w:color w:val="000000"/>
          <w:spacing w:val="4"/>
        </w:rPr>
        <w:t xml:space="preserve"> антимікробну й </w:t>
      </w:r>
      <w:r w:rsidRPr="00BB1289">
        <w:rPr>
          <w:spacing w:val="4"/>
        </w:rPr>
        <w:t>імуномоделюючу</w:t>
      </w:r>
      <w:r w:rsidRPr="00BB1289">
        <w:rPr>
          <w:color w:val="000000"/>
          <w:spacing w:val="4"/>
        </w:rPr>
        <w:t xml:space="preserve"> дію. </w:t>
      </w:r>
      <w:r w:rsidRPr="00BB1289">
        <w:rPr>
          <w:spacing w:val="4"/>
        </w:rPr>
        <w:t>В нашому дослідженні ми використали</w:t>
      </w:r>
      <w:r w:rsidRPr="00BB1289">
        <w:rPr>
          <w:color w:val="000000"/>
          <w:spacing w:val="4"/>
        </w:rPr>
        <w:t xml:space="preserve"> зубний еліксир, який, крім лізоциму, </w:t>
      </w:r>
      <w:r w:rsidRPr="00BB1289">
        <w:rPr>
          <w:spacing w:val="4"/>
        </w:rPr>
        <w:t>містить</w:t>
      </w:r>
      <w:r w:rsidRPr="00BB1289">
        <w:rPr>
          <w:color w:val="000000"/>
          <w:spacing w:val="4"/>
        </w:rPr>
        <w:t xml:space="preserve"> катіонний детергент </w:t>
      </w:r>
      <w:r w:rsidRPr="00BB1289">
        <w:rPr>
          <w:spacing w:val="4"/>
        </w:rPr>
        <w:t>цетавлон</w:t>
      </w:r>
      <w:r w:rsidRPr="00BB1289">
        <w:rPr>
          <w:color w:val="000000"/>
          <w:spacing w:val="4"/>
        </w:rPr>
        <w:t xml:space="preserve"> (активатор лізоциму) і </w:t>
      </w:r>
      <w:r w:rsidRPr="00BB1289">
        <w:rPr>
          <w:spacing w:val="4"/>
        </w:rPr>
        <w:t>овомукоїд</w:t>
      </w:r>
      <w:r w:rsidRPr="00BB1289">
        <w:rPr>
          <w:color w:val="000000"/>
          <w:spacing w:val="4"/>
        </w:rPr>
        <w:t xml:space="preserve"> (стабілізатор лізоциму). </w:t>
      </w:r>
      <w:r w:rsidRPr="00BB1289">
        <w:rPr>
          <w:spacing w:val="4"/>
        </w:rPr>
        <w:t>Останній</w:t>
      </w:r>
      <w:r w:rsidRPr="00BB1289">
        <w:rPr>
          <w:color w:val="000000"/>
          <w:spacing w:val="4"/>
        </w:rPr>
        <w:t xml:space="preserve"> є інгібітором </w:t>
      </w:r>
      <w:r w:rsidRPr="00BB1289">
        <w:rPr>
          <w:spacing w:val="4"/>
        </w:rPr>
        <w:t>протеаз</w:t>
      </w:r>
      <w:r w:rsidRPr="00BB1289">
        <w:rPr>
          <w:color w:val="000000"/>
          <w:spacing w:val="4"/>
        </w:rPr>
        <w:t xml:space="preserve"> із яєчного білка.</w:t>
      </w:r>
    </w:p>
    <w:p w:rsidR="005A44D7" w:rsidRPr="00BB1289" w:rsidRDefault="005A44D7" w:rsidP="005A44D7">
      <w:pPr>
        <w:ind w:firstLine="567"/>
        <w:rPr>
          <w:spacing w:val="4"/>
        </w:rPr>
      </w:pPr>
      <w:r w:rsidRPr="00BB1289">
        <w:rPr>
          <w:spacing w:val="4"/>
        </w:rPr>
        <w:t>З метою оцінки ефективності запропонованого лікувально-</w:t>
      </w:r>
      <w:r w:rsidRPr="00BB1289">
        <w:rPr>
          <w:spacing w:val="4"/>
        </w:rPr>
        <w:lastRenderedPageBreak/>
        <w:t>профілактичного комплексу  діти основної та контрольної груп за віком були поділені на три групи: 7-8 років, 11-12 років, та 14-15 років.</w:t>
      </w:r>
      <w:r w:rsidRPr="00BB1289">
        <w:rPr>
          <w:rFonts w:eastAsia="ArialMT"/>
          <w:b/>
          <w:color w:val="FF0000"/>
          <w:spacing w:val="4"/>
          <w:lang w:eastAsia="uk-UA"/>
        </w:rPr>
        <w:t xml:space="preserve"> </w:t>
      </w:r>
      <w:r w:rsidRPr="00BB1289">
        <w:rPr>
          <w:spacing w:val="4"/>
        </w:rPr>
        <w:t>Дітям контрольної групи лікувально-профілактичні заходи не проводилися. Діти основної групи були поділені на дві підгр</w:t>
      </w:r>
      <w:r w:rsidR="00B04040">
        <w:rPr>
          <w:spacing w:val="4"/>
        </w:rPr>
        <w:t>упи: «А» та «Б». Дітям підгрупи </w:t>
      </w:r>
      <w:r w:rsidRPr="00BB1289">
        <w:rPr>
          <w:spacing w:val="4"/>
        </w:rPr>
        <w:t>«А» проводили традиційну схему лікування та профілактики. Дітям підгрупи «Б» проводили запропоновану схему лікувально-профілактичних заходів.</w:t>
      </w:r>
    </w:p>
    <w:p w:rsidR="00526914" w:rsidRPr="00BB1289" w:rsidRDefault="005A44D7" w:rsidP="00526914">
      <w:pPr>
        <w:ind w:firstLine="709"/>
        <w:contextualSpacing/>
        <w:rPr>
          <w:spacing w:val="4"/>
        </w:rPr>
      </w:pPr>
      <w:r w:rsidRPr="00BB1289">
        <w:rPr>
          <w:spacing w:val="4"/>
        </w:rPr>
        <w:t>С</w:t>
      </w:r>
      <w:r w:rsidR="00526914" w:rsidRPr="00BB1289">
        <w:rPr>
          <w:spacing w:val="4"/>
        </w:rPr>
        <w:t>хема лікувально-профілактичних заходів у обраного контингенту дітей полягала в наступному. Під час першого відвідування проводили н</w:t>
      </w:r>
      <w:r w:rsidR="00526914" w:rsidRPr="00BB1289">
        <w:rPr>
          <w:spacing w:val="4"/>
          <w:lang w:eastAsia="uk-UA"/>
        </w:rPr>
        <w:t>авчання правил раціональної гігієни порожнини рота з контролем якості засвоєння навичок.</w:t>
      </w:r>
      <w:r w:rsidR="00526914" w:rsidRPr="00BB1289">
        <w:rPr>
          <w:spacing w:val="4"/>
        </w:rPr>
        <w:t xml:space="preserve"> На д</w:t>
      </w:r>
      <w:r w:rsidR="00526914" w:rsidRPr="00BB1289">
        <w:rPr>
          <w:spacing w:val="4"/>
          <w:lang w:eastAsia="uk-UA"/>
        </w:rPr>
        <w:t>ругому відвідуванні проводили професійну гігієну порожнини рота (</w:t>
      </w:r>
      <w:r w:rsidR="00526914" w:rsidRPr="00BB1289">
        <w:rPr>
          <w:spacing w:val="4"/>
        </w:rPr>
        <w:t xml:space="preserve">видалення зубного каменю ручним та п’єзоелектричним способом після попередньої візуалізації зубних нашарувань шляхом їх забарвлення та з наступним </w:t>
      </w:r>
      <w:r w:rsidR="00526914" w:rsidRPr="00BB1289">
        <w:rPr>
          <w:rStyle w:val="a9"/>
          <w:i w:val="0"/>
          <w:color w:val="000000"/>
          <w:spacing w:val="4"/>
        </w:rPr>
        <w:t>поліруванням поверхонь зубів і пломб загальноприйнятими методами,</w:t>
      </w:r>
      <w:r w:rsidR="00526914" w:rsidRPr="00BB1289">
        <w:rPr>
          <w:rStyle w:val="a9"/>
          <w:color w:val="000000"/>
          <w:spacing w:val="4"/>
        </w:rPr>
        <w:t xml:space="preserve"> </w:t>
      </w:r>
      <w:r w:rsidR="00526914" w:rsidRPr="00BB1289">
        <w:rPr>
          <w:spacing w:val="4"/>
        </w:rPr>
        <w:t>покриттям зубів одн</w:t>
      </w:r>
      <w:r w:rsidR="00B04040">
        <w:rPr>
          <w:spacing w:val="4"/>
        </w:rPr>
        <w:t>окомпонентним фторвмісним лаком (ТУ У </w:t>
      </w:r>
      <w:r w:rsidR="00526914" w:rsidRPr="00BB1289">
        <w:rPr>
          <w:spacing w:val="4"/>
        </w:rPr>
        <w:t>24.4-24274506-015:2007; Свідоцтво про державну реєстрацію № 14663/2015). Т</w:t>
      </w:r>
      <w:r w:rsidR="00526914" w:rsidRPr="00BB1289">
        <w:rPr>
          <w:spacing w:val="4"/>
          <w:lang w:eastAsia="uk-UA"/>
        </w:rPr>
        <w:t>ретє та всі наступні відвідування були присвячені санації порожнини рота й герметизації інтактних фісур постійних молярів та премолярів стоматологічним герметиком хімічного затвердіння</w:t>
      </w:r>
      <w:r w:rsidR="00B04040">
        <w:rPr>
          <w:spacing w:val="4"/>
          <w:lang w:eastAsia="uk-UA"/>
        </w:rPr>
        <w:t> </w:t>
      </w:r>
      <w:r w:rsidR="00B04040">
        <w:rPr>
          <w:spacing w:val="4"/>
        </w:rPr>
        <w:t>(ТУ У </w:t>
      </w:r>
      <w:r w:rsidR="00526914" w:rsidRPr="00BB1289">
        <w:rPr>
          <w:spacing w:val="4"/>
        </w:rPr>
        <w:t xml:space="preserve">24.4-24274506-011-2004; Свідоцтво про державну реєстрацію № 14663/2015). </w:t>
      </w:r>
    </w:p>
    <w:p w:rsidR="00526914" w:rsidRPr="00BB1289" w:rsidRDefault="00526914" w:rsidP="0091771E">
      <w:pPr>
        <w:ind w:firstLine="567"/>
        <w:rPr>
          <w:spacing w:val="4"/>
        </w:rPr>
      </w:pPr>
      <w:r w:rsidRPr="00BB1289">
        <w:rPr>
          <w:spacing w:val="4"/>
          <w:lang w:eastAsia="uk-UA"/>
        </w:rPr>
        <w:t>Далі дітям груп ОГ1а, ОГ2а, ОГ3а було призначено</w:t>
      </w:r>
      <w:r w:rsidR="0091771E" w:rsidRPr="00BB1289">
        <w:rPr>
          <w:spacing w:val="4"/>
          <w:lang w:eastAsia="uk-UA"/>
        </w:rPr>
        <w:t xml:space="preserve"> альтернативну схему із доведеною ефективністю </w:t>
      </w:r>
      <w:r w:rsidRPr="00BB1289">
        <w:rPr>
          <w:spacing w:val="4"/>
          <w:lang w:eastAsia="uk-UA"/>
        </w:rPr>
        <w:t xml:space="preserve"> </w:t>
      </w:r>
      <w:r w:rsidRPr="00BB1289">
        <w:rPr>
          <w:spacing w:val="4"/>
        </w:rPr>
        <w:t>(протягом 30-ти днів)</w:t>
      </w:r>
      <w:r w:rsidRPr="00BB1289">
        <w:rPr>
          <w:spacing w:val="4"/>
          <w:lang w:eastAsia="uk-UA"/>
        </w:rPr>
        <w:t>, яка включала</w:t>
      </w:r>
      <w:r w:rsidR="00D70F1A">
        <w:rPr>
          <w:spacing w:val="4"/>
          <w:lang w:eastAsia="uk-UA"/>
        </w:rPr>
        <w:t xml:space="preserve"> наступне.</w:t>
      </w:r>
    </w:p>
    <w:p w:rsidR="00526914" w:rsidRPr="00BB1289" w:rsidRDefault="00526914" w:rsidP="00BB1289">
      <w:pPr>
        <w:numPr>
          <w:ilvl w:val="0"/>
          <w:numId w:val="10"/>
        </w:numPr>
        <w:ind w:left="0" w:firstLine="0"/>
        <w:contextualSpacing/>
        <w:rPr>
          <w:spacing w:val="4"/>
          <w:lang w:eastAsia="uk-UA"/>
        </w:rPr>
      </w:pPr>
      <w:r w:rsidRPr="00BB1289">
        <w:rPr>
          <w:bCs/>
          <w:spacing w:val="4"/>
          <w:lang w:eastAsia="uk-UA"/>
        </w:rPr>
        <w:t>Щоденний догляд за зубами</w:t>
      </w:r>
      <w:r w:rsidRPr="00BB1289">
        <w:rPr>
          <w:spacing w:val="4"/>
          <w:lang w:eastAsia="uk-UA"/>
        </w:rPr>
        <w:t xml:space="preserve">, дворазове чищення зубів за допомогою мануальної зубної щітки (розмір добирався відповідно до віку) та дитячої зубної пасти з амінофторидом (вміст іонів фтору 500 млн−1) для дітей від 4-х до 8-ми років та дитячої зубної пасти з амінофторидом та фторидом натрію (вміст іонів фтору 1400 млн−1) для дітей від 8-ми років. </w:t>
      </w:r>
    </w:p>
    <w:p w:rsidR="00526914" w:rsidRPr="00BB1289" w:rsidRDefault="00526914" w:rsidP="00BB1289">
      <w:pPr>
        <w:numPr>
          <w:ilvl w:val="0"/>
          <w:numId w:val="10"/>
        </w:numPr>
        <w:ind w:left="0" w:firstLine="0"/>
        <w:contextualSpacing/>
        <w:rPr>
          <w:spacing w:val="4"/>
          <w:lang w:eastAsia="uk-UA"/>
        </w:rPr>
      </w:pPr>
      <w:r w:rsidRPr="00BB1289">
        <w:rPr>
          <w:bCs/>
          <w:spacing w:val="4"/>
          <w:lang w:eastAsia="uk-UA"/>
        </w:rPr>
        <w:lastRenderedPageBreak/>
        <w:t>Ополіскування порожнини рота</w:t>
      </w:r>
      <w:r w:rsidRPr="00BB1289">
        <w:rPr>
          <w:spacing w:val="4"/>
          <w:lang w:eastAsia="uk-UA"/>
        </w:rPr>
        <w:t xml:space="preserve"> після чищення зубів дитячим ополіскувачем для порожнини рота з екстрактом алое вера (без вмісту етилового спирту) для дітей від 3-х років та дитячим ополіскувачем для порожнини рота з амінофторидом та фторидом натрію для дітей від 8-ми років. </w:t>
      </w:r>
    </w:p>
    <w:p w:rsidR="00526914" w:rsidRPr="00BB1289" w:rsidRDefault="00526914" w:rsidP="00BB1289">
      <w:pPr>
        <w:numPr>
          <w:ilvl w:val="0"/>
          <w:numId w:val="10"/>
        </w:numPr>
        <w:ind w:left="0" w:firstLine="0"/>
        <w:contextualSpacing/>
        <w:rPr>
          <w:spacing w:val="4"/>
          <w:lang w:eastAsia="uk-UA"/>
        </w:rPr>
      </w:pPr>
      <w:r w:rsidRPr="00BB1289">
        <w:rPr>
          <w:bCs/>
          <w:spacing w:val="4"/>
          <w:lang w:eastAsia="uk-UA"/>
        </w:rPr>
        <w:t>Розжовування</w:t>
      </w:r>
      <w:r w:rsidRPr="00BB1289">
        <w:rPr>
          <w:b/>
          <w:bCs/>
          <w:spacing w:val="4"/>
          <w:lang w:eastAsia="uk-UA"/>
        </w:rPr>
        <w:t xml:space="preserve"> </w:t>
      </w:r>
      <w:r w:rsidRPr="00BB1289">
        <w:rPr>
          <w:spacing w:val="4"/>
          <w:lang w:eastAsia="uk-UA"/>
        </w:rPr>
        <w:t>по 1-й таблетці препарату, до складу якого входять вітаміни (С, B</w:t>
      </w:r>
      <w:r w:rsidRPr="00BB1289">
        <w:rPr>
          <w:spacing w:val="4"/>
          <w:vertAlign w:val="subscript"/>
          <w:lang w:eastAsia="uk-UA"/>
        </w:rPr>
        <w:t xml:space="preserve">6, </w:t>
      </w:r>
      <w:r w:rsidRPr="00BB1289">
        <w:rPr>
          <w:spacing w:val="4"/>
          <w:lang w:eastAsia="uk-UA"/>
        </w:rPr>
        <w:t>А, D</w:t>
      </w:r>
      <w:r w:rsidRPr="00BB1289">
        <w:rPr>
          <w:spacing w:val="4"/>
          <w:vertAlign w:val="subscript"/>
          <w:lang w:eastAsia="uk-UA"/>
        </w:rPr>
        <w:t>3</w:t>
      </w:r>
      <w:r w:rsidRPr="00BB1289">
        <w:rPr>
          <w:spacing w:val="4"/>
          <w:lang w:eastAsia="uk-UA"/>
        </w:rPr>
        <w:t xml:space="preserve">) в комбінації з мікроелементами (кальцій, фосфор) два рази на день після їди. </w:t>
      </w:r>
    </w:p>
    <w:p w:rsidR="00526914" w:rsidRPr="00C1156D" w:rsidRDefault="00526914" w:rsidP="00526914">
      <w:pPr>
        <w:ind w:firstLine="567"/>
      </w:pPr>
      <w:r w:rsidRPr="00C1156D">
        <w:t xml:space="preserve">Дітям із вродженою глухотою </w:t>
      </w:r>
      <w:r w:rsidRPr="00C1156D">
        <w:rPr>
          <w:lang w:eastAsia="uk-UA"/>
        </w:rPr>
        <w:t xml:space="preserve">ОГ1б, ОГ2б, ОГ3б </w:t>
      </w:r>
      <w:r w:rsidRPr="00C1156D">
        <w:t xml:space="preserve">з метою підвищення ефективності профілактики та лікування карієсу зубів і захворювань тканин пародонта призначено запропонований комплекс </w:t>
      </w:r>
      <w:r w:rsidRPr="00C1156D">
        <w:rPr>
          <w:bCs/>
          <w:color w:val="221122"/>
          <w:kern w:val="36"/>
          <w:lang w:eastAsia="uk-UA"/>
        </w:rPr>
        <w:t xml:space="preserve"> (патент на корисну </w:t>
      </w:r>
      <w:r w:rsidR="00F41074" w:rsidRPr="00C1156D">
        <w:rPr>
          <w:bCs/>
          <w:color w:val="221122"/>
          <w:kern w:val="36"/>
          <w:lang w:eastAsia="uk-UA"/>
        </w:rPr>
        <w:t xml:space="preserve">   </w:t>
      </w:r>
      <w:r w:rsidRPr="00C1156D">
        <w:rPr>
          <w:bCs/>
          <w:color w:val="221122"/>
          <w:kern w:val="36"/>
          <w:lang w:eastAsia="uk-UA"/>
        </w:rPr>
        <w:t>м</w:t>
      </w:r>
      <w:r w:rsidR="005A44D7" w:rsidRPr="00C1156D">
        <w:rPr>
          <w:bCs/>
          <w:color w:val="221122"/>
          <w:kern w:val="36"/>
          <w:lang w:eastAsia="uk-UA"/>
        </w:rPr>
        <w:t>одель</w:t>
      </w:r>
      <w:r w:rsidRPr="00C1156D">
        <w:rPr>
          <w:bCs/>
          <w:color w:val="221122"/>
          <w:kern w:val="36"/>
          <w:lang w:eastAsia="uk-UA"/>
        </w:rPr>
        <w:t xml:space="preserve"> </w:t>
      </w:r>
      <w:r w:rsidR="00D43CD6" w:rsidRPr="00C1156D">
        <w:rPr>
          <w:bCs/>
          <w:color w:val="221122"/>
          <w:kern w:val="36"/>
          <w:lang w:val="en-US" w:eastAsia="uk-UA"/>
        </w:rPr>
        <w:t>UA</w:t>
      </w:r>
      <w:r w:rsidR="00D43CD6" w:rsidRPr="00C1156D">
        <w:rPr>
          <w:bCs/>
          <w:color w:val="221122"/>
          <w:kern w:val="36"/>
          <w:lang w:eastAsia="uk-UA"/>
        </w:rPr>
        <w:t xml:space="preserve"> </w:t>
      </w:r>
      <w:r w:rsidRPr="00C1156D">
        <w:rPr>
          <w:bCs/>
          <w:color w:val="221122"/>
          <w:kern w:val="36"/>
          <w:lang w:eastAsia="uk-UA"/>
        </w:rPr>
        <w:t>№ </w:t>
      </w:r>
      <w:r w:rsidRPr="00C1156D">
        <w:t>90217</w:t>
      </w:r>
      <w:r w:rsidR="00D43CD6" w:rsidRPr="00C1156D">
        <w:t xml:space="preserve"> від 12.05.2014</w:t>
      </w:r>
      <w:r w:rsidRPr="00C1156D">
        <w:rPr>
          <w:bCs/>
          <w:color w:val="221122"/>
          <w:kern w:val="36"/>
          <w:lang w:eastAsia="uk-UA"/>
        </w:rPr>
        <w:t>)</w:t>
      </w:r>
      <w:r w:rsidRPr="00C1156D">
        <w:t xml:space="preserve">  (протягом 30-ти днів</w:t>
      </w:r>
      <w:r w:rsidR="005A44D7" w:rsidRPr="00C1156D">
        <w:t>)</w:t>
      </w:r>
      <w:r w:rsidRPr="00C1156D">
        <w:t>, що включав</w:t>
      </w:r>
      <w:r w:rsidR="00D70F1A">
        <w:t xml:space="preserve"> перелічене нижче.</w:t>
      </w:r>
    </w:p>
    <w:p w:rsidR="00526914" w:rsidRPr="00BB1289" w:rsidRDefault="00526914" w:rsidP="0091771E">
      <w:pPr>
        <w:numPr>
          <w:ilvl w:val="0"/>
          <w:numId w:val="11"/>
        </w:numPr>
        <w:ind w:left="0" w:firstLine="0"/>
        <w:rPr>
          <w:spacing w:val="4"/>
        </w:rPr>
      </w:pPr>
      <w:r w:rsidRPr="00BB1289">
        <w:rPr>
          <w:spacing w:val="4"/>
          <w:lang w:eastAsia="uk-UA"/>
        </w:rPr>
        <w:t>Дворазове чищення зубів за допомогою мануальної зубної щітки (розмір добирався відповідно до віку),</w:t>
      </w:r>
      <w:r w:rsidRPr="00BB1289">
        <w:rPr>
          <w:spacing w:val="4"/>
        </w:rPr>
        <w:t xml:space="preserve"> </w:t>
      </w:r>
      <w:r w:rsidRPr="00BB1289">
        <w:rPr>
          <w:spacing w:val="4"/>
          <w:lang w:eastAsia="uk-UA"/>
        </w:rPr>
        <w:t xml:space="preserve">щоденне використання </w:t>
      </w:r>
      <w:r w:rsidRPr="00BB1289">
        <w:rPr>
          <w:spacing w:val="4"/>
        </w:rPr>
        <w:t>дитячої зубної пасти з амінофторидом (уміст іонів фтору  50</w:t>
      </w:r>
      <w:r w:rsidR="00B04040">
        <w:rPr>
          <w:spacing w:val="4"/>
        </w:rPr>
        <w:t xml:space="preserve">0 млн−1) для дітей від 4-х до </w:t>
      </w:r>
      <w:r w:rsidRPr="00BB1289">
        <w:rPr>
          <w:spacing w:val="4"/>
        </w:rPr>
        <w:t>8-ми років та дитячої зубної пасти з амінофторидом та фторидом натрію (вміст іонів фтору 1400 млн−1) для дітей від 8-ми років.</w:t>
      </w:r>
    </w:p>
    <w:p w:rsidR="00526914" w:rsidRPr="00BB1289" w:rsidRDefault="00526914" w:rsidP="0091771E">
      <w:pPr>
        <w:numPr>
          <w:ilvl w:val="0"/>
          <w:numId w:val="11"/>
        </w:numPr>
        <w:ind w:left="0" w:firstLine="0"/>
        <w:rPr>
          <w:spacing w:val="4"/>
        </w:rPr>
      </w:pPr>
      <w:r w:rsidRPr="00BB1289">
        <w:rPr>
          <w:spacing w:val="4"/>
          <w:lang w:eastAsia="uk-UA"/>
        </w:rPr>
        <w:t xml:space="preserve">Розсмоктування по 1-й таблетці 3 рази на добу після їжі комплексного препарату, до складу якого входить біоадаптоген біотрит, аскорбінова кислота, лецитин, натрій фтористий, </w:t>
      </w:r>
      <w:r w:rsidRPr="00BB1289">
        <w:rPr>
          <w:spacing w:val="4"/>
        </w:rPr>
        <w:t>солі кальцію, цитрат, цетавлон, цукрозамінник (</w:t>
      </w:r>
      <w:r w:rsidRPr="00BB1289">
        <w:rPr>
          <w:bCs/>
          <w:spacing w:val="4"/>
          <w:shd w:val="clear" w:color="auto" w:fill="FFFFFF"/>
        </w:rPr>
        <w:t xml:space="preserve">Санітарно-епідеміологічний висновок </w:t>
      </w:r>
      <w:r w:rsidR="00E33F8C">
        <w:rPr>
          <w:rStyle w:val="aff"/>
          <w:b w:val="0"/>
          <w:spacing w:val="4"/>
        </w:rPr>
        <w:t>№ </w:t>
      </w:r>
      <w:r w:rsidRPr="00BB1289">
        <w:rPr>
          <w:rStyle w:val="aff"/>
          <w:b w:val="0"/>
          <w:spacing w:val="4"/>
        </w:rPr>
        <w:t xml:space="preserve">05.03.02-06/29307 від 30.04.2010 р., </w:t>
      </w:r>
      <w:r w:rsidRPr="00BB1289">
        <w:rPr>
          <w:spacing w:val="4"/>
        </w:rPr>
        <w:t>ТУ</w:t>
      </w:r>
      <w:r w:rsidR="00E33F8C">
        <w:rPr>
          <w:spacing w:val="4"/>
        </w:rPr>
        <w:t xml:space="preserve"> </w:t>
      </w:r>
      <w:r w:rsidRPr="00BB1289">
        <w:rPr>
          <w:spacing w:val="4"/>
        </w:rPr>
        <w:t>У 013903778-45-97).</w:t>
      </w:r>
    </w:p>
    <w:p w:rsidR="00526914" w:rsidRPr="00BB1289" w:rsidRDefault="00526914" w:rsidP="0091771E">
      <w:pPr>
        <w:numPr>
          <w:ilvl w:val="0"/>
          <w:numId w:val="11"/>
        </w:numPr>
        <w:ind w:left="0" w:firstLine="0"/>
        <w:rPr>
          <w:spacing w:val="4"/>
        </w:rPr>
      </w:pPr>
      <w:r w:rsidRPr="00BB1289">
        <w:rPr>
          <w:spacing w:val="4"/>
          <w:lang w:eastAsia="uk-UA"/>
        </w:rPr>
        <w:t>Ополіскування порожнини рота лікувально-профілактичним зубним еліксиром, до складу якого входять лізоцим, детергент цетавлон та інгібітор протеаз овомукоїд (</w:t>
      </w:r>
      <w:r w:rsidRPr="00BB1289">
        <w:rPr>
          <w:spacing w:val="4"/>
        </w:rPr>
        <w:t>Дозвіл МОЗ України № 05.03</w:t>
      </w:r>
      <w:r w:rsidR="00E33F8C">
        <w:rPr>
          <w:spacing w:val="4"/>
        </w:rPr>
        <w:t>.02-04/29065 від 04.07.2005 р., ТУУ </w:t>
      </w:r>
      <w:r w:rsidRPr="00BB1289">
        <w:rPr>
          <w:spacing w:val="4"/>
        </w:rPr>
        <w:t>24.5-13903778-37-2005</w:t>
      </w:r>
      <w:r w:rsidRPr="00BB1289">
        <w:rPr>
          <w:spacing w:val="4"/>
          <w:lang w:eastAsia="uk-UA"/>
        </w:rPr>
        <w:t>)</w:t>
      </w:r>
      <w:r w:rsidRPr="00BB1289">
        <w:rPr>
          <w:spacing w:val="4"/>
        </w:rPr>
        <w:t xml:space="preserve">. Еліксир розводили водопровідною водою із розрахунку 1 чайна ложка еліксиру на ¼ склянки води (1:10) з частотою ополіскування протягом 60-ти секунд 3 рази на </w:t>
      </w:r>
      <w:r w:rsidRPr="00BB1289">
        <w:rPr>
          <w:spacing w:val="4"/>
        </w:rPr>
        <w:lastRenderedPageBreak/>
        <w:t xml:space="preserve">добу. </w:t>
      </w:r>
    </w:p>
    <w:p w:rsidR="00BB1289" w:rsidRPr="00BB1289" w:rsidRDefault="00534FB5" w:rsidP="0091771E">
      <w:pPr>
        <w:ind w:firstLine="567"/>
        <w:rPr>
          <w:color w:val="000000"/>
          <w:spacing w:val="4"/>
        </w:rPr>
      </w:pPr>
      <w:r w:rsidRPr="00BB1289">
        <w:rPr>
          <w:spacing w:val="4"/>
        </w:rPr>
        <w:t>Дітям із вродженою глухотою проведено оцінку динаміки зміни стану твердих тканин зубів під дією лікувально-профілактичних заходів.</w:t>
      </w:r>
      <w:r w:rsidRPr="00BB1289">
        <w:rPr>
          <w:color w:val="000000"/>
          <w:spacing w:val="4"/>
        </w:rPr>
        <w:t xml:space="preserve"> </w:t>
      </w:r>
    </w:p>
    <w:p w:rsidR="00534FB5" w:rsidRPr="00BB1289" w:rsidRDefault="00534FB5" w:rsidP="0091771E">
      <w:pPr>
        <w:ind w:firstLine="567"/>
        <w:rPr>
          <w:spacing w:val="4"/>
        </w:rPr>
      </w:pPr>
      <w:r w:rsidRPr="00BB1289">
        <w:rPr>
          <w:spacing w:val="4"/>
        </w:rPr>
        <w:t>Діти 7-8 та 11-12 років з вродженою глухотою мали карієс ІІ ступеня активності (субкомпенсована форма), що відповідає ІІ диспансерній групі. Діти третьої вікової групи (14-15 років) мали ІІІ ступінь активності каріозного процесу (декомпенсована форма) і належали до третьої диспансерної групи. Таким чином, враховуючи диспансерні групи ДВГ, за рекомендаціями Т. Ф. Виноградової, кратність оглядів і лікувально-профілактичних заходів для дітей першої та другої вікової групи становить 2 рази, а для дітей третьої вікової групи – 3 рази на рік.</w:t>
      </w:r>
      <w:r w:rsidR="0091771E" w:rsidRPr="00BB1289">
        <w:rPr>
          <w:spacing w:val="4"/>
        </w:rPr>
        <w:t xml:space="preserve"> На основі отриманих даних, було вирішено</w:t>
      </w:r>
      <w:r w:rsidR="005A44D7" w:rsidRPr="00BB1289">
        <w:rPr>
          <w:spacing w:val="4"/>
        </w:rPr>
        <w:t xml:space="preserve"> проводити</w:t>
      </w:r>
      <w:r w:rsidR="0091771E" w:rsidRPr="00BB1289">
        <w:rPr>
          <w:spacing w:val="4"/>
        </w:rPr>
        <w:t xml:space="preserve"> лікувально-профілактичні заходи для всіх ДВГ три рази на рік</w:t>
      </w:r>
      <w:r w:rsidR="00E33F8C">
        <w:rPr>
          <w:spacing w:val="4"/>
        </w:rPr>
        <w:t xml:space="preserve"> (на початку виконання науково-дослідної роботи, через 5 та 11 місяців)</w:t>
      </w:r>
      <w:r w:rsidR="0091771E" w:rsidRPr="00BB1289">
        <w:rPr>
          <w:spacing w:val="4"/>
        </w:rPr>
        <w:t xml:space="preserve">. </w:t>
      </w:r>
      <w:r w:rsidRPr="00BB1289">
        <w:rPr>
          <w:spacing w:val="4"/>
        </w:rPr>
        <w:t xml:space="preserve">Протягом 12 місяців спостереження дітям всіх вікових груп проводилися огляди </w:t>
      </w:r>
      <w:r w:rsidR="00E0772A" w:rsidRPr="00BB1289">
        <w:rPr>
          <w:spacing w:val="4"/>
        </w:rPr>
        <w:t xml:space="preserve">та оцінювали ефективність лікувально-профілактичних заходів </w:t>
      </w:r>
      <w:r w:rsidR="005A44D7" w:rsidRPr="00BB1289">
        <w:rPr>
          <w:spacing w:val="4"/>
        </w:rPr>
        <w:t>через 1, 6 та 12 місяців</w:t>
      </w:r>
      <w:r w:rsidR="00E0772A" w:rsidRPr="00BB1289">
        <w:rPr>
          <w:spacing w:val="4"/>
        </w:rPr>
        <w:t xml:space="preserve">. </w:t>
      </w:r>
    </w:p>
    <w:p w:rsidR="00534FB5" w:rsidRPr="00BB1289" w:rsidRDefault="00534FB5" w:rsidP="00534FB5">
      <w:pPr>
        <w:ind w:firstLine="567"/>
        <w:rPr>
          <w:spacing w:val="4"/>
        </w:rPr>
      </w:pPr>
      <w:r w:rsidRPr="00BB1289">
        <w:rPr>
          <w:spacing w:val="4"/>
        </w:rPr>
        <w:t xml:space="preserve">Протягом </w:t>
      </w:r>
      <w:r w:rsidR="005A44D7" w:rsidRPr="00BB1289">
        <w:rPr>
          <w:spacing w:val="4"/>
        </w:rPr>
        <w:t xml:space="preserve">року </w:t>
      </w:r>
      <w:r w:rsidRPr="00BB1289">
        <w:rPr>
          <w:spacing w:val="4"/>
        </w:rPr>
        <w:t xml:space="preserve"> спостереження поширеність карієсу зубів у дітей </w:t>
      </w:r>
      <w:r w:rsidR="006C493E" w:rsidRPr="00BB1289">
        <w:rPr>
          <w:spacing w:val="4"/>
        </w:rPr>
        <w:t>із вродженою</w:t>
      </w:r>
      <w:r w:rsidRPr="00BB1289">
        <w:rPr>
          <w:spacing w:val="4"/>
        </w:rPr>
        <w:t xml:space="preserve"> глухотою всіх трьох вікових груп, які отримували запропонований комплекс лікувально-пр</w:t>
      </w:r>
      <w:r w:rsidR="00E33F8C">
        <w:rPr>
          <w:spacing w:val="4"/>
        </w:rPr>
        <w:t>офілактичних заходів, не зросла,</w:t>
      </w:r>
      <w:r w:rsidRPr="00BB1289">
        <w:rPr>
          <w:spacing w:val="4"/>
        </w:rPr>
        <w:t xml:space="preserve"> а в групі дітей 11-12 років навіть знизилася</w:t>
      </w:r>
      <w:r w:rsidR="0091771E" w:rsidRPr="00BB1289">
        <w:rPr>
          <w:spacing w:val="4"/>
        </w:rPr>
        <w:t>, за рахунок</w:t>
      </w:r>
      <w:r w:rsidR="00E0772A" w:rsidRPr="00BB1289">
        <w:rPr>
          <w:spacing w:val="4"/>
        </w:rPr>
        <w:t xml:space="preserve"> фізіологічної зміни зубів та </w:t>
      </w:r>
      <w:r w:rsidR="0091771E" w:rsidRPr="00BB1289">
        <w:rPr>
          <w:spacing w:val="4"/>
        </w:rPr>
        <w:t xml:space="preserve"> ремінералізації осередків початкового карієсу. </w:t>
      </w:r>
      <w:r w:rsidRPr="00BB1289">
        <w:rPr>
          <w:spacing w:val="4"/>
        </w:rPr>
        <w:t xml:space="preserve"> </w:t>
      </w:r>
    </w:p>
    <w:p w:rsidR="00534FB5" w:rsidRPr="00BB1289" w:rsidRDefault="00534FB5" w:rsidP="00534FB5">
      <w:pPr>
        <w:ind w:firstLine="567"/>
        <w:rPr>
          <w:spacing w:val="4"/>
        </w:rPr>
      </w:pPr>
      <w:r w:rsidRPr="00BB1289">
        <w:rPr>
          <w:spacing w:val="4"/>
        </w:rPr>
        <w:t>Інтенсивність карієсу зубів у всіх вікових групах ДВГ, які отримували запропонований комплекс заходів, протягом всього часу спостереження достовірно знижувалася (Р&lt;0,05), водночас у групі ДВГ, що отримували стандартні заходи лікування та профілактики, відзначено зростання цього показника.</w:t>
      </w:r>
      <w:r w:rsidRPr="00BB1289">
        <w:rPr>
          <w:color w:val="000000"/>
          <w:spacing w:val="4"/>
        </w:rPr>
        <w:t xml:space="preserve"> </w:t>
      </w:r>
      <w:r w:rsidRPr="00BB1289">
        <w:rPr>
          <w:spacing w:val="4"/>
        </w:rPr>
        <w:t xml:space="preserve">Інтенсивність карієсу зубів у першій, другій та третій вікових групах дітей </w:t>
      </w:r>
      <w:r w:rsidR="006C493E" w:rsidRPr="00BB1289">
        <w:rPr>
          <w:spacing w:val="4"/>
        </w:rPr>
        <w:t>із вродженою</w:t>
      </w:r>
      <w:r w:rsidRPr="00BB1289">
        <w:rPr>
          <w:spacing w:val="4"/>
        </w:rPr>
        <w:t xml:space="preserve"> глухотою, що отримували запропоновані заходи лікування та профілактики через 12 місяців була на 27 %, 26 % та 33 % достовірно (Р&lt;0,05) нижчою, порівняно з інтенсивністю карієсу в групах </w:t>
      </w:r>
      <w:r w:rsidRPr="00BB1289">
        <w:rPr>
          <w:spacing w:val="4"/>
        </w:rPr>
        <w:lastRenderedPageBreak/>
        <w:t>дітей, які отримували традиційні заходи лікування та профілактики. Приріст інтенсивності враження карієсом зубів</w:t>
      </w:r>
      <w:r w:rsidRPr="00BB1289">
        <w:rPr>
          <w:rFonts w:eastAsia="Batang"/>
          <w:spacing w:val="4"/>
        </w:rPr>
        <w:t xml:space="preserve"> через 12 місяців після проведення лікувально-профілактичних заходів у всіх трьох вікових групах дітей </w:t>
      </w:r>
      <w:r w:rsidR="006C493E" w:rsidRPr="00BB1289">
        <w:rPr>
          <w:rFonts w:eastAsia="Batang"/>
          <w:spacing w:val="4"/>
        </w:rPr>
        <w:t>із вродженою</w:t>
      </w:r>
      <w:r w:rsidRPr="00BB1289">
        <w:rPr>
          <w:rFonts w:eastAsia="Batang"/>
          <w:spacing w:val="4"/>
        </w:rPr>
        <w:t xml:space="preserve"> глухотою, яким проводили запропоновані лікувально-профілактичні заходи, </w:t>
      </w:r>
      <w:r w:rsidRPr="00BB1289">
        <w:rPr>
          <w:spacing w:val="4"/>
        </w:rPr>
        <w:t xml:space="preserve">був </w:t>
      </w:r>
      <w:r w:rsidR="00E33F8C">
        <w:rPr>
          <w:spacing w:val="4"/>
        </w:rPr>
        <w:t>на 83 %</w:t>
      </w:r>
      <w:r w:rsidRPr="00BB1289">
        <w:rPr>
          <w:spacing w:val="4"/>
        </w:rPr>
        <w:t xml:space="preserve"> нижчий у порівнянні з дітьми, які отримували традиційну схему лікування та профілактики.</w:t>
      </w:r>
      <w:r w:rsidRPr="00BB1289">
        <w:rPr>
          <w:color w:val="000000"/>
          <w:spacing w:val="4"/>
        </w:rPr>
        <w:t xml:space="preserve"> </w:t>
      </w:r>
      <w:r w:rsidRPr="00BB1289">
        <w:rPr>
          <w:spacing w:val="4"/>
        </w:rPr>
        <w:t>Редукція приросту карієсу зубів у ДВГ, які отримували запропоновану схему лікування та профілактики, становил</w:t>
      </w:r>
      <w:r w:rsidR="00DA6D76">
        <w:rPr>
          <w:spacing w:val="4"/>
        </w:rPr>
        <w:t>а 91 % (7-8 років), 77 % (11-12 </w:t>
      </w:r>
      <w:r w:rsidRPr="00BB1289">
        <w:rPr>
          <w:spacing w:val="4"/>
        </w:rPr>
        <w:t>років) та 79 %</w:t>
      </w:r>
      <w:r w:rsidR="00F41074" w:rsidRPr="00BB1289">
        <w:rPr>
          <w:spacing w:val="4"/>
        </w:rPr>
        <w:t xml:space="preserve"> </w:t>
      </w:r>
      <w:r w:rsidRPr="00BB1289">
        <w:rPr>
          <w:spacing w:val="4"/>
        </w:rPr>
        <w:t>(14-15 років).</w:t>
      </w:r>
      <w:r w:rsidR="00F41074" w:rsidRPr="00BB1289">
        <w:rPr>
          <w:color w:val="000000"/>
          <w:spacing w:val="4"/>
        </w:rPr>
        <w:t xml:space="preserve"> </w:t>
      </w:r>
      <w:r w:rsidRPr="00BB1289">
        <w:rPr>
          <w:bCs/>
          <w:spacing w:val="4"/>
        </w:rPr>
        <w:t xml:space="preserve">Карієспрофілактична ефективність запропонованого лікувально-профілактичного комплексу у дітей </w:t>
      </w:r>
      <w:r w:rsidR="006C493E" w:rsidRPr="00BB1289">
        <w:rPr>
          <w:bCs/>
          <w:spacing w:val="4"/>
        </w:rPr>
        <w:t>із вродженою</w:t>
      </w:r>
      <w:r w:rsidRPr="00BB1289">
        <w:rPr>
          <w:bCs/>
          <w:spacing w:val="4"/>
        </w:rPr>
        <w:t xml:space="preserve"> глухотою становила 21 % у</w:t>
      </w:r>
      <w:r w:rsidR="00E33F8C">
        <w:rPr>
          <w:bCs/>
          <w:spacing w:val="4"/>
        </w:rPr>
        <w:t xml:space="preserve"> першій віковій групі, 20 % – у </w:t>
      </w:r>
      <w:r w:rsidRPr="00BB1289">
        <w:rPr>
          <w:bCs/>
          <w:spacing w:val="4"/>
        </w:rPr>
        <w:t>другій віковій групі та 25 % – у третій віковій групі.</w:t>
      </w:r>
    </w:p>
    <w:p w:rsidR="00534FB5" w:rsidRPr="00BB1289" w:rsidRDefault="00534FB5" w:rsidP="00534FB5">
      <w:pPr>
        <w:ind w:firstLine="567"/>
        <w:rPr>
          <w:spacing w:val="4"/>
        </w:rPr>
      </w:pPr>
      <w:r w:rsidRPr="00BB1289">
        <w:rPr>
          <w:spacing w:val="4"/>
        </w:rPr>
        <w:t xml:space="preserve">Оцінка динаміки зміни стану гігієни порожнини рота у дітей </w:t>
      </w:r>
      <w:r w:rsidR="006C493E" w:rsidRPr="00BB1289">
        <w:rPr>
          <w:spacing w:val="4"/>
        </w:rPr>
        <w:t>із вродженою</w:t>
      </w:r>
      <w:r w:rsidRPr="00BB1289">
        <w:rPr>
          <w:spacing w:val="4"/>
        </w:rPr>
        <w:t xml:space="preserve"> глухотою під дією як традиційних, так і запропонованих лікувально-профілактичних заходів у всіх вікових групах дітей виявила суттєве поліпшення гігієни порожнини рота. Обидва лікувально-профілактичні методи протягом 12 місяців забезпечили нормалізацію гігієни порожнини рота дітей </w:t>
      </w:r>
      <w:r w:rsidR="006C493E" w:rsidRPr="00BB1289">
        <w:rPr>
          <w:spacing w:val="4"/>
        </w:rPr>
        <w:t>із вродженою</w:t>
      </w:r>
      <w:r w:rsidRPr="00BB1289">
        <w:rPr>
          <w:spacing w:val="4"/>
        </w:rPr>
        <w:t xml:space="preserve"> глухотою. Про це свідчить динаміка зміни всіх гігієнічних індексів. Проте використання запропонованого лікувально-профілактичного комплексу дозволило досягти більш ефективного поліпшення стану гігієни порожнини рота у ДВГ. Через 1, 6 та 12 місяців від початку проведення лікуваль</w:t>
      </w:r>
      <w:r w:rsidR="00FA1570">
        <w:rPr>
          <w:spacing w:val="4"/>
        </w:rPr>
        <w:t>но-профілактичних заходів у</w:t>
      </w:r>
      <w:r w:rsidR="00F41074" w:rsidRPr="00BB1289">
        <w:rPr>
          <w:spacing w:val="4"/>
        </w:rPr>
        <w:t xml:space="preserve"> </w:t>
      </w:r>
      <w:r w:rsidRPr="00BB1289">
        <w:rPr>
          <w:spacing w:val="4"/>
        </w:rPr>
        <w:t>підгрупі</w:t>
      </w:r>
      <w:r w:rsidR="00D70F1A">
        <w:rPr>
          <w:spacing w:val="4"/>
        </w:rPr>
        <w:t xml:space="preserve"> </w:t>
      </w:r>
      <w:r w:rsidR="00D70F1A" w:rsidRPr="00BB1289">
        <w:rPr>
          <w:spacing w:val="4"/>
        </w:rPr>
        <w:t xml:space="preserve">«Б» </w:t>
      </w:r>
      <w:r w:rsidRPr="00BB1289">
        <w:rPr>
          <w:spacing w:val="4"/>
        </w:rPr>
        <w:t>7-8-річних дітей, порівняно з підгрупою</w:t>
      </w:r>
      <w:r w:rsidR="00D70F1A">
        <w:rPr>
          <w:spacing w:val="4"/>
        </w:rPr>
        <w:t xml:space="preserve"> </w:t>
      </w:r>
      <w:r w:rsidR="00D70F1A" w:rsidRPr="00BB1289">
        <w:rPr>
          <w:spacing w:val="4"/>
        </w:rPr>
        <w:t>«А»</w:t>
      </w:r>
      <w:r w:rsidR="00D70F1A">
        <w:rPr>
          <w:spacing w:val="4"/>
        </w:rPr>
        <w:t> </w:t>
      </w:r>
      <w:r w:rsidRPr="00BB1289">
        <w:rPr>
          <w:spacing w:val="4"/>
        </w:rPr>
        <w:t xml:space="preserve">, </w:t>
      </w:r>
      <w:r w:rsidR="00FA1570">
        <w:rPr>
          <w:spacing w:val="4"/>
        </w:rPr>
        <w:t>ГІ за Федоровим</w:t>
      </w:r>
      <w:r w:rsidR="00D70F1A">
        <w:rPr>
          <w:spacing w:val="4"/>
        </w:rPr>
        <w:t>–</w:t>
      </w:r>
      <w:r w:rsidR="00FA1570">
        <w:rPr>
          <w:spacing w:val="4"/>
        </w:rPr>
        <w:t>Володкіною</w:t>
      </w:r>
      <w:r w:rsidRPr="00BB1289">
        <w:rPr>
          <w:spacing w:val="4"/>
        </w:rPr>
        <w:t xml:space="preserve"> (1971) був на 13 %, 23 % та 17 % кращий, </w:t>
      </w:r>
      <w:r w:rsidR="00FA1570">
        <w:rPr>
          <w:spacing w:val="4"/>
        </w:rPr>
        <w:t>ГІ</w:t>
      </w:r>
      <w:r w:rsidRPr="00BB1289">
        <w:rPr>
          <w:spacing w:val="4"/>
        </w:rPr>
        <w:t xml:space="preserve"> Stallard (1969) – на 22 %, 58 % та 90 % нижчий, а </w:t>
      </w:r>
      <w:r w:rsidR="00692980">
        <w:rPr>
          <w:spacing w:val="4"/>
        </w:rPr>
        <w:t>ГІ</w:t>
      </w:r>
      <w:r w:rsidRPr="00BB1289">
        <w:rPr>
          <w:spacing w:val="4"/>
        </w:rPr>
        <w:t xml:space="preserve"> J. Silness (1964) і H. Loe (1967) – на 16 %, 55 % та 86 % нижчий. Схожа картина спостерігалася в групі 11-12-річних дітей </w:t>
      </w:r>
      <w:r w:rsidR="006C493E" w:rsidRPr="00BB1289">
        <w:rPr>
          <w:spacing w:val="4"/>
        </w:rPr>
        <w:t>із вродженою</w:t>
      </w:r>
      <w:r w:rsidRPr="00BB1289">
        <w:rPr>
          <w:spacing w:val="4"/>
        </w:rPr>
        <w:t xml:space="preserve"> глухотою. Через 1, 6 та 12 місяців від початку проведення лікувально-профілактичних заходів у підгрупі</w:t>
      </w:r>
      <w:r w:rsidR="00D70F1A">
        <w:rPr>
          <w:spacing w:val="4"/>
        </w:rPr>
        <w:t xml:space="preserve"> </w:t>
      </w:r>
      <w:r w:rsidR="00D70F1A" w:rsidRPr="00BB1289">
        <w:rPr>
          <w:spacing w:val="4"/>
        </w:rPr>
        <w:t>«Б»</w:t>
      </w:r>
      <w:r w:rsidRPr="00BB1289">
        <w:rPr>
          <w:spacing w:val="4"/>
        </w:rPr>
        <w:t>, порівняно з підгрупою</w:t>
      </w:r>
      <w:r w:rsidR="00D70F1A">
        <w:rPr>
          <w:spacing w:val="4"/>
        </w:rPr>
        <w:t xml:space="preserve"> </w:t>
      </w:r>
      <w:r w:rsidR="00D70F1A" w:rsidRPr="00BB1289">
        <w:rPr>
          <w:spacing w:val="4"/>
        </w:rPr>
        <w:t>«А»</w:t>
      </w:r>
      <w:r w:rsidRPr="00BB1289">
        <w:rPr>
          <w:spacing w:val="4"/>
        </w:rPr>
        <w:t xml:space="preserve">, </w:t>
      </w:r>
      <w:r w:rsidR="00FA1570">
        <w:rPr>
          <w:spacing w:val="4"/>
        </w:rPr>
        <w:t xml:space="preserve">ГІ за </w:t>
      </w:r>
      <w:r w:rsidR="00FA1570">
        <w:rPr>
          <w:spacing w:val="4"/>
        </w:rPr>
        <w:lastRenderedPageBreak/>
        <w:t>Федоровим</w:t>
      </w:r>
      <w:r w:rsidR="00D70F1A">
        <w:rPr>
          <w:spacing w:val="4"/>
        </w:rPr>
        <w:t>–</w:t>
      </w:r>
      <w:r w:rsidR="00FA1570">
        <w:rPr>
          <w:spacing w:val="4"/>
        </w:rPr>
        <w:t>Володкіною</w:t>
      </w:r>
      <w:r w:rsidR="00FA1570" w:rsidRPr="00BB1289">
        <w:rPr>
          <w:spacing w:val="4"/>
        </w:rPr>
        <w:t xml:space="preserve"> (1971) </w:t>
      </w:r>
      <w:r w:rsidRPr="00BB1289">
        <w:rPr>
          <w:spacing w:val="4"/>
        </w:rPr>
        <w:t xml:space="preserve">був на 22 %, 8 % та 30 % кращий, </w:t>
      </w:r>
      <w:r w:rsidR="00692980">
        <w:rPr>
          <w:spacing w:val="4"/>
        </w:rPr>
        <w:t>ГІ </w:t>
      </w:r>
      <w:r w:rsidRPr="00BB1289">
        <w:rPr>
          <w:spacing w:val="4"/>
        </w:rPr>
        <w:t xml:space="preserve">Stallard (1969) – на 32 %, 17 % та 50 % нижчий, а </w:t>
      </w:r>
      <w:r w:rsidR="00692980">
        <w:rPr>
          <w:spacing w:val="4"/>
        </w:rPr>
        <w:t>ГІ</w:t>
      </w:r>
      <w:r w:rsidRPr="00BB1289">
        <w:rPr>
          <w:spacing w:val="4"/>
        </w:rPr>
        <w:t xml:space="preserve"> J. Silness (1964) і H. Loe (1967) – на 30 %, 16 % та 71 % також нижчий. У групі 14-15-річних ДВГ запропонований комплекс так само виявив більшу ефективність, порівняно з традиційним комплексом. Через 1, 6 та 12 місяців від початку проведення лікувально-профілактичних заходів у </w:t>
      </w:r>
      <w:r w:rsidR="00481016" w:rsidRPr="00BB1289">
        <w:rPr>
          <w:spacing w:val="4"/>
        </w:rPr>
        <w:t xml:space="preserve">підгрупі </w:t>
      </w:r>
      <w:r w:rsidR="005840BB" w:rsidRPr="00BB1289">
        <w:rPr>
          <w:spacing w:val="4"/>
        </w:rPr>
        <w:t>«Б»</w:t>
      </w:r>
      <w:r w:rsidRPr="00BB1289">
        <w:rPr>
          <w:spacing w:val="4"/>
        </w:rPr>
        <w:t xml:space="preserve">, порівняно з </w:t>
      </w:r>
      <w:r w:rsidR="00481016" w:rsidRPr="00BB1289">
        <w:rPr>
          <w:spacing w:val="4"/>
        </w:rPr>
        <w:t xml:space="preserve">підгрупою </w:t>
      </w:r>
      <w:r w:rsidR="005840BB" w:rsidRPr="00BB1289">
        <w:rPr>
          <w:spacing w:val="4"/>
        </w:rPr>
        <w:t>«А»</w:t>
      </w:r>
      <w:r w:rsidRPr="00BB1289">
        <w:rPr>
          <w:spacing w:val="4"/>
        </w:rPr>
        <w:t xml:space="preserve">, </w:t>
      </w:r>
      <w:r w:rsidR="00FA1570">
        <w:rPr>
          <w:spacing w:val="4"/>
        </w:rPr>
        <w:t>ГІ за Федоровим</w:t>
      </w:r>
      <w:r w:rsidR="00481016">
        <w:rPr>
          <w:spacing w:val="4"/>
        </w:rPr>
        <w:t>–</w:t>
      </w:r>
      <w:r w:rsidR="00FA1570">
        <w:rPr>
          <w:spacing w:val="4"/>
        </w:rPr>
        <w:t>Володкіною</w:t>
      </w:r>
      <w:r w:rsidR="00FA1570" w:rsidRPr="00BB1289">
        <w:rPr>
          <w:spacing w:val="4"/>
        </w:rPr>
        <w:t xml:space="preserve"> (1971) </w:t>
      </w:r>
      <w:r w:rsidRPr="00BB1289">
        <w:rPr>
          <w:spacing w:val="4"/>
        </w:rPr>
        <w:t xml:space="preserve">був на 23 %, 52 % та 33 % кращий, </w:t>
      </w:r>
      <w:r w:rsidR="00692980">
        <w:rPr>
          <w:spacing w:val="4"/>
        </w:rPr>
        <w:t>ГІ</w:t>
      </w:r>
      <w:r w:rsidRPr="00BB1289">
        <w:rPr>
          <w:spacing w:val="4"/>
        </w:rPr>
        <w:t xml:space="preserve"> Stallard (1969) – в 1,5 раза, 3,5 раза та 4,2 раза нижчий, </w:t>
      </w:r>
      <w:r w:rsidR="00692980">
        <w:rPr>
          <w:spacing w:val="4"/>
        </w:rPr>
        <w:t>ГІ</w:t>
      </w:r>
      <w:r w:rsidRPr="00BB1289">
        <w:rPr>
          <w:spacing w:val="4"/>
        </w:rPr>
        <w:t xml:space="preserve"> J. Silness (1964) і H. Loe (1967) – в 1,5 раза, 3,2 раза та 4,2 раза нижчий.</w:t>
      </w:r>
    </w:p>
    <w:p w:rsidR="00534FB5" w:rsidRPr="00BB1289" w:rsidRDefault="00534FB5" w:rsidP="00534FB5">
      <w:pPr>
        <w:ind w:firstLine="567"/>
        <w:rPr>
          <w:spacing w:val="4"/>
        </w:rPr>
      </w:pPr>
      <w:r w:rsidRPr="00BB1289">
        <w:rPr>
          <w:spacing w:val="4"/>
        </w:rPr>
        <w:t xml:space="preserve">Аналіз динаміки зміни стану тканин пародонта у дітей </w:t>
      </w:r>
      <w:r w:rsidR="006C493E" w:rsidRPr="00BB1289">
        <w:rPr>
          <w:spacing w:val="4"/>
        </w:rPr>
        <w:t>із вродженою</w:t>
      </w:r>
      <w:r w:rsidRPr="00BB1289">
        <w:rPr>
          <w:spacing w:val="4"/>
        </w:rPr>
        <w:t xml:space="preserve"> глухотою під дією лікувально-профілактичних заходів виявив, що </w:t>
      </w:r>
      <w:r w:rsidRPr="00BB1289">
        <w:rPr>
          <w:spacing w:val="4"/>
          <w:shd w:val="clear" w:color="auto" w:fill="FFFFFF"/>
        </w:rPr>
        <w:t xml:space="preserve">проведення як традиційних, так і запропонованих лікувально-профілактичних заходів позитивним чином позначилося на стані тканин пародонта у дітей </w:t>
      </w:r>
      <w:r w:rsidR="006C493E" w:rsidRPr="00BB1289">
        <w:rPr>
          <w:spacing w:val="4"/>
          <w:shd w:val="clear" w:color="auto" w:fill="FFFFFF"/>
        </w:rPr>
        <w:t>із вродженою</w:t>
      </w:r>
      <w:r w:rsidRPr="00BB1289">
        <w:rPr>
          <w:spacing w:val="4"/>
          <w:shd w:val="clear" w:color="auto" w:fill="FFFFFF"/>
        </w:rPr>
        <w:t xml:space="preserve"> глухотою.</w:t>
      </w:r>
      <w:r w:rsidRPr="00BB1289">
        <w:rPr>
          <w:spacing w:val="4"/>
        </w:rPr>
        <w:t xml:space="preserve"> Через 12 місяців від початку проведення лікувально-профілактичних заходів у </w:t>
      </w:r>
      <w:r w:rsidR="00481016" w:rsidRPr="00BB1289">
        <w:rPr>
          <w:spacing w:val="4"/>
        </w:rPr>
        <w:t xml:space="preserve">підгрупі </w:t>
      </w:r>
      <w:r w:rsidR="005840BB" w:rsidRPr="00BB1289">
        <w:rPr>
          <w:spacing w:val="4"/>
        </w:rPr>
        <w:t>«Б»</w:t>
      </w:r>
      <w:r w:rsidRPr="00BB1289">
        <w:rPr>
          <w:spacing w:val="4"/>
        </w:rPr>
        <w:t xml:space="preserve"> 7-8-річних дітей індекси РМА та </w:t>
      </w:r>
      <w:r w:rsidRPr="00BB1289">
        <w:rPr>
          <w:color w:val="000000"/>
          <w:spacing w:val="4"/>
          <w:shd w:val="clear" w:color="auto" w:fill="FFFFFF"/>
        </w:rPr>
        <w:t>CPITN</w:t>
      </w:r>
      <w:r w:rsidRPr="00BB1289">
        <w:rPr>
          <w:spacing w:val="4"/>
        </w:rPr>
        <w:t xml:space="preserve"> знизилися в 8,9 раза та 3 рази, натомість в </w:t>
      </w:r>
      <w:r w:rsidR="00481016" w:rsidRPr="00BB1289">
        <w:rPr>
          <w:spacing w:val="4"/>
        </w:rPr>
        <w:t xml:space="preserve">підгрупі </w:t>
      </w:r>
      <w:r w:rsidR="005840BB" w:rsidRPr="00BB1289">
        <w:rPr>
          <w:spacing w:val="4"/>
        </w:rPr>
        <w:t>«А»</w:t>
      </w:r>
      <w:r w:rsidRPr="00BB1289">
        <w:rPr>
          <w:spacing w:val="4"/>
        </w:rPr>
        <w:t xml:space="preserve"> відбулося зниження цього показника у 3,4 раза та 1,6 раза. У </w:t>
      </w:r>
      <w:r w:rsidR="00481016" w:rsidRPr="00BB1289">
        <w:rPr>
          <w:spacing w:val="4"/>
        </w:rPr>
        <w:t xml:space="preserve">підгрупі </w:t>
      </w:r>
      <w:r w:rsidR="005840BB" w:rsidRPr="00BB1289">
        <w:rPr>
          <w:spacing w:val="4"/>
        </w:rPr>
        <w:t>«Б»</w:t>
      </w:r>
      <w:r w:rsidRPr="00BB1289">
        <w:rPr>
          <w:spacing w:val="4"/>
        </w:rPr>
        <w:t xml:space="preserve"> 11-12-річних дітей індекси РМА та </w:t>
      </w:r>
      <w:r w:rsidRPr="00BB1289">
        <w:rPr>
          <w:color w:val="000000"/>
          <w:spacing w:val="4"/>
          <w:shd w:val="clear" w:color="auto" w:fill="FFFFFF"/>
        </w:rPr>
        <w:t>CPITN</w:t>
      </w:r>
      <w:r w:rsidRPr="00BB1289">
        <w:rPr>
          <w:spacing w:val="4"/>
        </w:rPr>
        <w:t xml:space="preserve"> знизилися в 8,1 раза та в 2,7 раза, тоді як в </w:t>
      </w:r>
      <w:r w:rsidR="00481016" w:rsidRPr="00BB1289">
        <w:rPr>
          <w:spacing w:val="4"/>
        </w:rPr>
        <w:t xml:space="preserve">підгрупі </w:t>
      </w:r>
      <w:r w:rsidR="005840BB" w:rsidRPr="00BB1289">
        <w:rPr>
          <w:spacing w:val="4"/>
        </w:rPr>
        <w:t>«А»</w:t>
      </w:r>
      <w:r w:rsidRPr="00BB1289">
        <w:rPr>
          <w:spacing w:val="4"/>
        </w:rPr>
        <w:t xml:space="preserve"> зниження індексу РМА та </w:t>
      </w:r>
      <w:r w:rsidRPr="00BB1289">
        <w:rPr>
          <w:color w:val="000000"/>
          <w:spacing w:val="4"/>
          <w:shd w:val="clear" w:color="auto" w:fill="FFFFFF"/>
        </w:rPr>
        <w:t>CPITN</w:t>
      </w:r>
      <w:r w:rsidRPr="00BB1289">
        <w:rPr>
          <w:spacing w:val="4"/>
        </w:rPr>
        <w:t xml:space="preserve"> відбулося в 2,7 раза та 1,4 раза. Подібна картина спостерігалася і в старшій віковій групі. В </w:t>
      </w:r>
      <w:r w:rsidR="00481016" w:rsidRPr="00BB1289">
        <w:rPr>
          <w:spacing w:val="4"/>
        </w:rPr>
        <w:t xml:space="preserve">підгрупі </w:t>
      </w:r>
      <w:r w:rsidR="005840BB" w:rsidRPr="00BB1289">
        <w:rPr>
          <w:spacing w:val="4"/>
        </w:rPr>
        <w:t>«А»</w:t>
      </w:r>
      <w:r w:rsidRPr="00BB1289">
        <w:rPr>
          <w:spacing w:val="4"/>
        </w:rPr>
        <w:t xml:space="preserve"> індекси РМА та </w:t>
      </w:r>
      <w:r w:rsidRPr="00BB1289">
        <w:rPr>
          <w:color w:val="000000"/>
          <w:spacing w:val="4"/>
          <w:shd w:val="clear" w:color="auto" w:fill="FFFFFF"/>
        </w:rPr>
        <w:t>CPITN</w:t>
      </w:r>
      <w:r w:rsidRPr="00BB1289">
        <w:rPr>
          <w:spacing w:val="4"/>
        </w:rPr>
        <w:t xml:space="preserve"> знизилися в 2,1 раза та в 1,5 раза, а в </w:t>
      </w:r>
      <w:r w:rsidR="00481016" w:rsidRPr="00BB1289">
        <w:rPr>
          <w:spacing w:val="4"/>
        </w:rPr>
        <w:t xml:space="preserve">підгрупі </w:t>
      </w:r>
      <w:r w:rsidR="005840BB" w:rsidRPr="00BB1289">
        <w:rPr>
          <w:spacing w:val="4"/>
        </w:rPr>
        <w:t>«Б»</w:t>
      </w:r>
      <w:r w:rsidRPr="00BB1289">
        <w:rPr>
          <w:spacing w:val="4"/>
        </w:rPr>
        <w:t>– в 6,6 раза та 4,1 раза.</w:t>
      </w:r>
    </w:p>
    <w:p w:rsidR="00253E9B" w:rsidRPr="00BB1289" w:rsidRDefault="00534FB5" w:rsidP="00534FB5">
      <w:pPr>
        <w:ind w:firstLine="567"/>
        <w:rPr>
          <w:spacing w:val="4"/>
        </w:rPr>
      </w:pPr>
      <w:r w:rsidRPr="00BB1289">
        <w:rPr>
          <w:spacing w:val="4"/>
        </w:rPr>
        <w:t xml:space="preserve">Вивчення змін функціональних властивостей ротової рідини у дітей </w:t>
      </w:r>
      <w:r w:rsidR="006C493E" w:rsidRPr="00BB1289">
        <w:rPr>
          <w:spacing w:val="4"/>
        </w:rPr>
        <w:t>із вродженою</w:t>
      </w:r>
      <w:r w:rsidRPr="00BB1289">
        <w:rPr>
          <w:spacing w:val="4"/>
        </w:rPr>
        <w:t xml:space="preserve"> глухотою під дією лікувально-профілактичних заходів дозволило зробити висновок, що визначення рН в динаміці сприяло більш ефективному оцінюванню результатів цих лікувально-профілактичних заходів. Спираючись на отримані дані, можна зауважити, що у всіх вікових групах в обох підгрупах спостерігалася тенденція до зниження показника ΔрН, але тільки під дією запропонованої схеми лікування та профілактики </w:t>
      </w:r>
      <w:r w:rsidRPr="00BB1289">
        <w:rPr>
          <w:spacing w:val="4"/>
        </w:rPr>
        <w:lastRenderedPageBreak/>
        <w:t>відбулося достовірне зниження показника ΔрН (Р</w:t>
      </w:r>
      <w:r w:rsidR="0091771E" w:rsidRPr="00BB1289">
        <w:rPr>
          <w:spacing w:val="4"/>
        </w:rPr>
        <w:t>&lt;</w:t>
      </w:r>
      <w:r w:rsidRPr="00BB1289">
        <w:rPr>
          <w:spacing w:val="4"/>
        </w:rPr>
        <w:t>0,05) до значень, що відповідали низькому рівню карієсогенності</w:t>
      </w:r>
      <w:r w:rsidR="00B33964">
        <w:rPr>
          <w:spacing w:val="4"/>
        </w:rPr>
        <w:t xml:space="preserve"> (0,11 </w:t>
      </w:r>
      <w:r w:rsidR="00B33964" w:rsidRPr="00BB1289">
        <w:rPr>
          <w:spacing w:val="4"/>
        </w:rPr>
        <w:t>(Р&lt;</w:t>
      </w:r>
      <w:r w:rsidR="00B33964">
        <w:rPr>
          <w:spacing w:val="4"/>
        </w:rPr>
        <w:t>0,01))</w:t>
      </w:r>
      <w:r w:rsidRPr="00BB1289">
        <w:rPr>
          <w:spacing w:val="4"/>
        </w:rPr>
        <w:t xml:space="preserve">. Проведення як традиційних, так і запропонованих лікувально-профілактичних заходів позитивно позначилося на швидкості слиновиділення дітей основної групи. Обидві схеми призвели до підвищення швидкості слиновиділення. </w:t>
      </w:r>
    </w:p>
    <w:p w:rsidR="005832B3" w:rsidRPr="00BB1289" w:rsidRDefault="00534FB5" w:rsidP="00534FB5">
      <w:pPr>
        <w:ind w:firstLine="567"/>
        <w:rPr>
          <w:spacing w:val="4"/>
        </w:rPr>
      </w:pPr>
      <w:r w:rsidRPr="00BB1289">
        <w:rPr>
          <w:spacing w:val="4"/>
        </w:rPr>
        <w:t>Діти, які отримували запропонований лікувально-профілактичний комплекс, порівняно з дітьми, яким проводилися традиційні лікувально-профілактичні заходи, мали рівень ТБК-АП менший у 1,13 раза (р&lt;0,05), рівень антиоксидантного захисту (активність СОД і каталази) вищий у 1,1 раза й</w:t>
      </w:r>
      <w:r w:rsidR="00B33964">
        <w:rPr>
          <w:spacing w:val="4"/>
        </w:rPr>
        <w:t xml:space="preserve"> 1,15 раза (р&lt;0,05) відповідно. </w:t>
      </w:r>
      <w:r w:rsidR="005832B3" w:rsidRPr="00BB1289">
        <w:rPr>
          <w:spacing w:val="4"/>
        </w:rPr>
        <w:t xml:space="preserve">Таким чином, клінічні дослідження виявили та довели можливість та необхідність використання таких показників ротової рідини як ТБК-активні продукти, каталаза та СОД для оцінки ефективності лікувальних та профілактичних заходів при карієсі твердих тканин зубів та захворюваннях пародонта у дітей з вродженою глухотою (патент на корисну модель </w:t>
      </w:r>
      <w:r w:rsidR="00D43CD6">
        <w:rPr>
          <w:bCs/>
          <w:color w:val="221122"/>
          <w:kern w:val="36"/>
          <w:lang w:val="en-US" w:eastAsia="uk-UA"/>
        </w:rPr>
        <w:t>UA</w:t>
      </w:r>
      <w:r w:rsidR="00D43CD6" w:rsidRPr="00BB1289">
        <w:rPr>
          <w:spacing w:val="4"/>
        </w:rPr>
        <w:t xml:space="preserve"> </w:t>
      </w:r>
      <w:r w:rsidR="005832B3" w:rsidRPr="00BB1289">
        <w:rPr>
          <w:spacing w:val="4"/>
        </w:rPr>
        <w:t>№ 90216</w:t>
      </w:r>
      <w:r w:rsidR="00D43CD6">
        <w:rPr>
          <w:spacing w:val="4"/>
        </w:rPr>
        <w:t xml:space="preserve"> </w:t>
      </w:r>
      <w:r w:rsidR="00D43CD6">
        <w:t>від 12.05.2014</w:t>
      </w:r>
      <w:r w:rsidR="005832B3" w:rsidRPr="00BB1289">
        <w:rPr>
          <w:spacing w:val="4"/>
        </w:rPr>
        <w:t xml:space="preserve">). </w:t>
      </w:r>
    </w:p>
    <w:p w:rsidR="00534FB5" w:rsidRPr="00B33964" w:rsidRDefault="00534FB5" w:rsidP="00B33964">
      <w:pPr>
        <w:ind w:firstLine="709"/>
      </w:pPr>
      <w:r w:rsidRPr="00BB1289">
        <w:rPr>
          <w:spacing w:val="4"/>
        </w:rPr>
        <w:t>Встановлено, що через рік після проведення процедур із застосуванням запропонованого лікувально-профілактичного комплексу захисні сили тканин ротової порожнини повністю відновилися</w:t>
      </w:r>
      <w:r w:rsidR="00253E9B" w:rsidRPr="00BB1289">
        <w:rPr>
          <w:spacing w:val="4"/>
        </w:rPr>
        <w:t>,</w:t>
      </w:r>
      <w:r w:rsidRPr="00BB1289">
        <w:rPr>
          <w:spacing w:val="4"/>
        </w:rPr>
        <w:t xml:space="preserve"> стан місцевого імунітету досягав рівня показників здорових дітей. При застосуванні традиційних лікувально-профілактичних заходів стан місцевого імунітету повільно відновлювався, однак не досягав рівня показників дітей без патології слуху.</w:t>
      </w:r>
      <w:r w:rsidR="00B33964">
        <w:rPr>
          <w:spacing w:val="4"/>
        </w:rPr>
        <w:t xml:space="preserve"> </w:t>
      </w:r>
      <w:r w:rsidR="00B33964">
        <w:t>Через 12 місяців д</w:t>
      </w:r>
      <w:r w:rsidR="00B33964" w:rsidRPr="00AE5DF0">
        <w:t>іти, які отримували запропонований лікувально-профілактичний комплекс</w:t>
      </w:r>
      <w:r w:rsidR="00B33964">
        <w:t xml:space="preserve">, </w:t>
      </w:r>
      <w:r w:rsidR="00B33964" w:rsidRPr="00AE5DF0">
        <w:t>порівняно з дітьми, яким проводились традиційні лікувально-профілак</w:t>
      </w:r>
      <w:r w:rsidR="00B33964">
        <w:t xml:space="preserve">тичні заходи, мали в середньому вищій на 11 % </w:t>
      </w:r>
      <w:r w:rsidR="00B33964" w:rsidRPr="00506704">
        <w:t>(p</w:t>
      </w:r>
      <w:r w:rsidR="00B33964">
        <w:t> </w:t>
      </w:r>
      <w:r w:rsidR="00B33964" w:rsidRPr="00506704">
        <w:t>&lt;</w:t>
      </w:r>
      <w:r w:rsidR="00B33964">
        <w:t> </w:t>
      </w:r>
      <w:r w:rsidR="00B33964" w:rsidRPr="00506704">
        <w:t>0,05)</w:t>
      </w:r>
      <w:r w:rsidR="00B33964">
        <w:t xml:space="preserve"> вміст </w:t>
      </w:r>
      <w:r w:rsidR="00B33964" w:rsidRPr="00B33964">
        <w:rPr>
          <w:rStyle w:val="a9"/>
          <w:bCs/>
          <w:i w:val="0"/>
          <w:color w:val="000000"/>
        </w:rPr>
        <w:t>sIgA</w:t>
      </w:r>
      <w:r w:rsidR="00B33964" w:rsidRPr="00B33964">
        <w:rPr>
          <w:i/>
        </w:rPr>
        <w:t>,</w:t>
      </w:r>
      <w:r w:rsidR="00B33964">
        <w:t xml:space="preserve"> на 30 % </w:t>
      </w:r>
      <w:r w:rsidR="00B33964" w:rsidRPr="00506704">
        <w:t>(p</w:t>
      </w:r>
      <w:r w:rsidR="00B33964">
        <w:t> </w:t>
      </w:r>
      <w:r w:rsidR="00B33964" w:rsidRPr="00506704">
        <w:t>&lt;</w:t>
      </w:r>
      <w:r w:rsidR="00B33964">
        <w:t> </w:t>
      </w:r>
      <w:r w:rsidR="00B33964" w:rsidRPr="00506704">
        <w:t>0,05)</w:t>
      </w:r>
      <w:r w:rsidR="00B33964">
        <w:t xml:space="preserve"> більшу</w:t>
      </w:r>
      <w:r w:rsidR="00B33964" w:rsidRPr="00506704">
        <w:t xml:space="preserve"> активн</w:t>
      </w:r>
      <w:r w:rsidR="00B33964">
        <w:t>ість</w:t>
      </w:r>
      <w:r w:rsidR="00B33964" w:rsidRPr="00506704">
        <w:t xml:space="preserve"> лізоциму</w:t>
      </w:r>
      <w:r w:rsidR="00B33964">
        <w:t xml:space="preserve">, на 17 % </w:t>
      </w:r>
      <w:r w:rsidR="00B33964" w:rsidRPr="00506704">
        <w:t>(p&lt;</w:t>
      </w:r>
      <w:r w:rsidR="00B33964">
        <w:t> </w:t>
      </w:r>
      <w:r w:rsidR="00B33964" w:rsidRPr="00506704">
        <w:t>0,05)</w:t>
      </w:r>
      <w:r w:rsidR="00B33964">
        <w:t xml:space="preserve"> нижчий </w:t>
      </w:r>
      <w:r w:rsidR="00B33964" w:rsidRPr="00506704">
        <w:t>рівень активності уреази</w:t>
      </w:r>
      <w:r w:rsidR="00B33964">
        <w:t xml:space="preserve">, на 38 % </w:t>
      </w:r>
      <w:r w:rsidR="00B33964" w:rsidRPr="00506704">
        <w:t>(p</w:t>
      </w:r>
      <w:r w:rsidR="00B33964">
        <w:t> </w:t>
      </w:r>
      <w:r w:rsidR="00B33964" w:rsidRPr="00506704">
        <w:t>&lt;</w:t>
      </w:r>
      <w:r w:rsidR="00B33964">
        <w:t> </w:t>
      </w:r>
      <w:r w:rsidR="00B33964" w:rsidRPr="00506704">
        <w:t>0,05)</w:t>
      </w:r>
      <w:r w:rsidR="00B33964">
        <w:t xml:space="preserve"> нижчий ступінь </w:t>
      </w:r>
      <w:r w:rsidR="00B33964" w:rsidRPr="00506704">
        <w:t>дисбіозу</w:t>
      </w:r>
      <w:r w:rsidR="00B33964">
        <w:t>.</w:t>
      </w:r>
    </w:p>
    <w:p w:rsidR="00534FB5" w:rsidRPr="00AC01A6" w:rsidRDefault="00534FB5" w:rsidP="00AC01A6">
      <w:pPr>
        <w:ind w:firstLine="709"/>
      </w:pPr>
      <w:r w:rsidRPr="00BB1289">
        <w:rPr>
          <w:spacing w:val="4"/>
        </w:rPr>
        <w:t xml:space="preserve">У дітей, які отримували запропоновану схему лікування та </w:t>
      </w:r>
      <w:r w:rsidRPr="00BB1289">
        <w:rPr>
          <w:spacing w:val="4"/>
        </w:rPr>
        <w:lastRenderedPageBreak/>
        <w:t xml:space="preserve">профілактики, виявлено достовірне зниження популяційного рівня </w:t>
      </w:r>
      <w:r w:rsidRPr="00BB1289">
        <w:rPr>
          <w:i/>
          <w:spacing w:val="4"/>
        </w:rPr>
        <w:t xml:space="preserve">S. mutans, Haemophillus spp, Prevotella spp, Fusobacterium spp </w:t>
      </w:r>
      <w:r w:rsidRPr="00BB1289">
        <w:rPr>
          <w:spacing w:val="4"/>
        </w:rPr>
        <w:t>(р&lt;0,05)</w:t>
      </w:r>
      <w:r w:rsidRPr="00BB1289">
        <w:rPr>
          <w:i/>
          <w:spacing w:val="4"/>
        </w:rPr>
        <w:t xml:space="preserve">. </w:t>
      </w:r>
      <w:r w:rsidRPr="00BB1289">
        <w:rPr>
          <w:spacing w:val="4"/>
        </w:rPr>
        <w:t xml:space="preserve">Вже через місяць у жодному випадку не виявлено персистенцію гнієрідних коків – </w:t>
      </w:r>
      <w:r w:rsidRPr="00BB1289">
        <w:rPr>
          <w:i/>
          <w:spacing w:val="4"/>
        </w:rPr>
        <w:t xml:space="preserve">S. pyogеnеs </w:t>
      </w:r>
      <w:r w:rsidRPr="00BB1289">
        <w:rPr>
          <w:spacing w:val="4"/>
        </w:rPr>
        <w:t xml:space="preserve">та </w:t>
      </w:r>
      <w:r w:rsidRPr="00BB1289">
        <w:rPr>
          <w:i/>
          <w:spacing w:val="4"/>
        </w:rPr>
        <w:t>S. aureus</w:t>
      </w:r>
      <w:r w:rsidRPr="00BB1289">
        <w:rPr>
          <w:spacing w:val="4"/>
        </w:rPr>
        <w:t>, деяких видів ентеробактерій. Натомість частота вилучення представників аутохтонної мікрофлори – некарієсогенних стрептококів (</w:t>
      </w:r>
      <w:r w:rsidRPr="00BB1289">
        <w:rPr>
          <w:i/>
          <w:spacing w:val="4"/>
        </w:rPr>
        <w:t>S. mitis, S. oralis, S. sаlivarius</w:t>
      </w:r>
      <w:r w:rsidR="00D569F4">
        <w:rPr>
          <w:spacing w:val="4"/>
        </w:rPr>
        <w:t>) зростала у     2-4 </w:t>
      </w:r>
      <w:r w:rsidRPr="00BB1289">
        <w:rPr>
          <w:spacing w:val="4"/>
        </w:rPr>
        <w:t>рази (р&lt;0,05)</w:t>
      </w:r>
      <w:r w:rsidRPr="00BB1289">
        <w:rPr>
          <w:i/>
          <w:spacing w:val="4"/>
        </w:rPr>
        <w:t>.</w:t>
      </w:r>
      <w:r w:rsidRPr="00BB1289">
        <w:rPr>
          <w:spacing w:val="4"/>
        </w:rPr>
        <w:t xml:space="preserve"> </w:t>
      </w:r>
      <w:r w:rsidRPr="00BB1289">
        <w:rPr>
          <w:color w:val="000000"/>
          <w:spacing w:val="4"/>
        </w:rPr>
        <w:t xml:space="preserve">Запропонована схема за показниками </w:t>
      </w:r>
      <w:r w:rsidRPr="00BB1289">
        <w:rPr>
          <w:spacing w:val="4"/>
        </w:rPr>
        <w:t>елімінації карієсогенних стрептококів, пародонтопатогенних бактерій, ентеробактерій та неферментуючих грамнегативних бактерій виявилася більш ефективною у порівнянні з традиційною лікувально-профілактичною схемою, яка застосовується у дитячій практиці.</w:t>
      </w:r>
      <w:r w:rsidR="00AC01A6">
        <w:rPr>
          <w:spacing w:val="4"/>
        </w:rPr>
        <w:t xml:space="preserve"> На основі отриманих даних видано </w:t>
      </w:r>
      <w:r w:rsidR="00AC01A6">
        <w:t xml:space="preserve">інформаційний лист </w:t>
      </w:r>
      <w:r w:rsidR="00AC01A6" w:rsidRPr="00F478A9">
        <w:t>№121-2014</w:t>
      </w:r>
      <w:r w:rsidR="00AC01A6">
        <w:t xml:space="preserve"> «</w:t>
      </w:r>
      <w:r w:rsidR="00AC01A6" w:rsidRPr="00F478A9">
        <w:t>Спосіб оцінки ефективності лікування та профілактики карієсу твердих тканин зубів та захворювань пародонту за станом мікробіоценозу зубної бляшки у дітей з вродженою глухотою</w:t>
      </w:r>
      <w:r w:rsidR="00AC01A6">
        <w:t>»</w:t>
      </w:r>
      <w:r w:rsidR="00AC01A6" w:rsidRPr="00E57335">
        <w:t>.</w:t>
      </w:r>
    </w:p>
    <w:p w:rsidR="00534FB5" w:rsidRPr="00BB1289" w:rsidRDefault="00534FB5" w:rsidP="00534FB5">
      <w:pPr>
        <w:rPr>
          <w:spacing w:val="4"/>
        </w:rPr>
      </w:pPr>
      <w:r w:rsidRPr="00BB1289">
        <w:rPr>
          <w:spacing w:val="4"/>
        </w:rPr>
        <w:t xml:space="preserve">      Отже, спираючись на наведене вище, було розроблено новий ефективний спосіб профілактики та лікування карієсу твердих тканин зубів і захворювань тканин пародонта у дітей з вродженою глухотою, пріоритетність цього підтверджена Деклараційним патентом України на корисну модель </w:t>
      </w:r>
      <w:r w:rsidR="00D43CD6">
        <w:rPr>
          <w:bCs/>
          <w:color w:val="221122"/>
          <w:kern w:val="36"/>
          <w:lang w:val="en-US" w:eastAsia="uk-UA"/>
        </w:rPr>
        <w:t>UA</w:t>
      </w:r>
      <w:r w:rsidR="00D43CD6" w:rsidRPr="00BB1289">
        <w:rPr>
          <w:spacing w:val="4"/>
        </w:rPr>
        <w:t xml:space="preserve"> </w:t>
      </w:r>
      <w:r w:rsidRPr="00BB1289">
        <w:rPr>
          <w:spacing w:val="4"/>
        </w:rPr>
        <w:t xml:space="preserve">№ 90217 від 12.05.2014. Зазначена схема заходів враховує етіологічні та патогенетичні особливості розвитку основних стоматологічних захворювань у дітей </w:t>
      </w:r>
      <w:r w:rsidR="006C493E" w:rsidRPr="00BB1289">
        <w:rPr>
          <w:spacing w:val="4"/>
        </w:rPr>
        <w:t>із вродженою</w:t>
      </w:r>
      <w:r w:rsidRPr="00BB1289">
        <w:rPr>
          <w:spacing w:val="4"/>
        </w:rPr>
        <w:t xml:space="preserve"> глухотою. </w:t>
      </w:r>
    </w:p>
    <w:p w:rsidR="00534FB5" w:rsidRDefault="00534FB5" w:rsidP="00534FB5">
      <w:pPr>
        <w:jc w:val="center"/>
        <w:rPr>
          <w:b/>
        </w:rPr>
      </w:pPr>
      <w:r>
        <w:br w:type="page"/>
      </w:r>
      <w:r w:rsidRPr="00F63351">
        <w:rPr>
          <w:b/>
        </w:rPr>
        <w:lastRenderedPageBreak/>
        <w:t>ВИСНОВКИ</w:t>
      </w:r>
    </w:p>
    <w:p w:rsidR="00781ED2" w:rsidRPr="00620493" w:rsidRDefault="00781ED2" w:rsidP="00781ED2">
      <w:pPr>
        <w:pStyle w:val="af8"/>
        <w:numPr>
          <w:ilvl w:val="0"/>
          <w:numId w:val="3"/>
        </w:numPr>
        <w:spacing w:after="0" w:line="360" w:lineRule="auto"/>
        <w:ind w:left="0" w:firstLine="567"/>
        <w:jc w:val="both"/>
        <w:rPr>
          <w:rFonts w:ascii="Times New Roman" w:hAnsi="Times New Roman"/>
          <w:sz w:val="28"/>
          <w:szCs w:val="28"/>
        </w:rPr>
      </w:pPr>
      <w:r w:rsidRPr="00620493">
        <w:rPr>
          <w:rFonts w:ascii="Times New Roman" w:hAnsi="Times New Roman"/>
          <w:color w:val="000000" w:themeColor="text1"/>
          <w:sz w:val="28"/>
          <w:szCs w:val="28"/>
        </w:rPr>
        <w:t xml:space="preserve">В </w:t>
      </w:r>
      <w:r w:rsidRPr="00620493">
        <w:rPr>
          <w:rFonts w:ascii="Times New Roman" w:hAnsi="Times New Roman"/>
          <w:color w:val="000000" w:themeColor="text1"/>
          <w:sz w:val="28"/>
          <w:szCs w:val="28"/>
          <w:shd w:val="clear" w:color="auto" w:fill="FFFFFF"/>
        </w:rPr>
        <w:t xml:space="preserve">Україні налічується близько 300 тисяч дітей з порушенням слуху, 11 тисяч з яких глухі. </w:t>
      </w:r>
      <w:r>
        <w:rPr>
          <w:rFonts w:ascii="Times New Roman" w:hAnsi="Times New Roman"/>
          <w:sz w:val="28"/>
          <w:szCs w:val="28"/>
        </w:rPr>
        <w:t>У наш час немає сумнівів у</w:t>
      </w:r>
      <w:r w:rsidRPr="00620493">
        <w:rPr>
          <w:rFonts w:ascii="Times New Roman" w:hAnsi="Times New Roman"/>
          <w:sz w:val="28"/>
          <w:szCs w:val="28"/>
        </w:rPr>
        <w:t xml:space="preserve"> правомірності розгляду питань психологічного та соматичного здоров’я в сенсі їх взаємного впливу. </w:t>
      </w:r>
      <w:r w:rsidRPr="00620493">
        <w:rPr>
          <w:rFonts w:ascii="Times New Roman" w:hAnsi="Times New Roman"/>
          <w:color w:val="000000"/>
          <w:sz w:val="28"/>
          <w:szCs w:val="28"/>
        </w:rPr>
        <w:t xml:space="preserve">Дані вивчення стоматологічного статусу дітей з вадами слуху носили неоднозначний  характер. </w:t>
      </w:r>
      <w:r w:rsidRPr="00620493">
        <w:rPr>
          <w:rStyle w:val="apple-style-span"/>
          <w:rFonts w:ascii="Times New Roman" w:hAnsi="Times New Roman"/>
          <w:color w:val="000000"/>
          <w:sz w:val="28"/>
          <w:szCs w:val="28"/>
        </w:rPr>
        <w:t>В</w:t>
      </w:r>
      <w:r>
        <w:rPr>
          <w:rStyle w:val="apple-style-span"/>
          <w:rFonts w:ascii="Times New Roman" w:hAnsi="Times New Roman"/>
          <w:color w:val="000000"/>
          <w:sz w:val="28"/>
          <w:szCs w:val="28"/>
        </w:rPr>
        <w:t xml:space="preserve"> Україні стоматологічний статус</w:t>
      </w:r>
      <w:r w:rsidRPr="00620493">
        <w:rPr>
          <w:rStyle w:val="apple-style-span"/>
          <w:rFonts w:ascii="Times New Roman" w:hAnsi="Times New Roman"/>
          <w:color w:val="000000"/>
          <w:sz w:val="28"/>
          <w:szCs w:val="28"/>
        </w:rPr>
        <w:t xml:space="preserve"> та проблеми надання стоматологічної допомоги  дітям з</w:t>
      </w:r>
      <w:r>
        <w:rPr>
          <w:rStyle w:val="apple-style-span"/>
          <w:rFonts w:ascii="Times New Roman" w:hAnsi="Times New Roman"/>
          <w:color w:val="000000"/>
          <w:sz w:val="28"/>
          <w:szCs w:val="28"/>
        </w:rPr>
        <w:t xml:space="preserve">і зниженням </w:t>
      </w:r>
      <w:r w:rsidRPr="00620493">
        <w:rPr>
          <w:rStyle w:val="apple-style-span"/>
          <w:rFonts w:ascii="Times New Roman" w:hAnsi="Times New Roman"/>
          <w:color w:val="000000"/>
          <w:sz w:val="28"/>
          <w:szCs w:val="28"/>
        </w:rPr>
        <w:t xml:space="preserve"> слуху, зокрема </w:t>
      </w:r>
      <w:r>
        <w:rPr>
          <w:rStyle w:val="apple-style-span"/>
          <w:rFonts w:ascii="Times New Roman" w:hAnsi="Times New Roman"/>
          <w:color w:val="000000"/>
          <w:sz w:val="28"/>
          <w:szCs w:val="28"/>
        </w:rPr>
        <w:t xml:space="preserve">з </w:t>
      </w:r>
      <w:r w:rsidRPr="00620493">
        <w:rPr>
          <w:rStyle w:val="apple-style-span"/>
          <w:rFonts w:ascii="Times New Roman" w:hAnsi="Times New Roman"/>
          <w:color w:val="000000"/>
          <w:sz w:val="28"/>
          <w:szCs w:val="28"/>
        </w:rPr>
        <w:t>вродженою глухотою</w:t>
      </w:r>
      <w:r>
        <w:rPr>
          <w:rStyle w:val="apple-style-span"/>
          <w:rFonts w:ascii="Times New Roman" w:hAnsi="Times New Roman"/>
          <w:color w:val="000000"/>
          <w:sz w:val="28"/>
          <w:szCs w:val="28"/>
        </w:rPr>
        <w:t>,</w:t>
      </w:r>
      <w:r w:rsidRPr="00620493">
        <w:rPr>
          <w:rStyle w:val="apple-style-span"/>
          <w:rFonts w:ascii="Times New Roman" w:hAnsi="Times New Roman"/>
          <w:color w:val="000000"/>
          <w:sz w:val="28"/>
          <w:szCs w:val="28"/>
        </w:rPr>
        <w:t xml:space="preserve"> є  мало вивчені і</w:t>
      </w:r>
      <w:r>
        <w:rPr>
          <w:rFonts w:ascii="Times New Roman" w:hAnsi="Times New Roman"/>
          <w:sz w:val="28"/>
          <w:szCs w:val="28"/>
        </w:rPr>
        <w:t xml:space="preserve"> дотепер не були виявлені</w:t>
      </w:r>
      <w:r w:rsidRPr="00620493">
        <w:rPr>
          <w:rFonts w:ascii="Times New Roman" w:hAnsi="Times New Roman"/>
          <w:sz w:val="28"/>
          <w:szCs w:val="28"/>
        </w:rPr>
        <w:t xml:space="preserve"> особливості стоматологічного</w:t>
      </w:r>
      <w:r>
        <w:rPr>
          <w:rFonts w:ascii="Times New Roman" w:hAnsi="Times New Roman"/>
          <w:sz w:val="28"/>
          <w:szCs w:val="28"/>
        </w:rPr>
        <w:t xml:space="preserve"> статусу, </w:t>
      </w:r>
      <w:r w:rsidR="00E66209">
        <w:rPr>
          <w:rFonts w:ascii="Times New Roman" w:hAnsi="Times New Roman"/>
          <w:sz w:val="28"/>
          <w:szCs w:val="28"/>
        </w:rPr>
        <w:t xml:space="preserve">не </w:t>
      </w:r>
      <w:r>
        <w:rPr>
          <w:rFonts w:ascii="Times New Roman" w:hAnsi="Times New Roman"/>
          <w:sz w:val="28"/>
          <w:szCs w:val="28"/>
        </w:rPr>
        <w:t xml:space="preserve">розроблені та </w:t>
      </w:r>
      <w:r w:rsidR="00E66209">
        <w:rPr>
          <w:rFonts w:ascii="Times New Roman" w:hAnsi="Times New Roman"/>
          <w:sz w:val="28"/>
          <w:szCs w:val="28"/>
        </w:rPr>
        <w:t xml:space="preserve">не </w:t>
      </w:r>
      <w:r>
        <w:rPr>
          <w:rFonts w:ascii="Times New Roman" w:hAnsi="Times New Roman"/>
          <w:sz w:val="28"/>
          <w:szCs w:val="28"/>
        </w:rPr>
        <w:t>обґрунтова</w:t>
      </w:r>
      <w:r w:rsidRPr="00620493">
        <w:rPr>
          <w:rFonts w:ascii="Times New Roman" w:hAnsi="Times New Roman"/>
          <w:sz w:val="28"/>
          <w:szCs w:val="28"/>
        </w:rPr>
        <w:t xml:space="preserve">ні  принципи профілактики та лікування карієсу зубів та захворювань тканин пародонта  у дітей з вродженою глухотою. У дисертаційній роботі представлено рішення актуальної проблеми стоматології </w:t>
      </w:r>
      <w:r w:rsidR="00E66209">
        <w:rPr>
          <w:rFonts w:ascii="Times New Roman" w:hAnsi="Times New Roman"/>
          <w:sz w:val="28"/>
          <w:szCs w:val="28"/>
        </w:rPr>
        <w:t>–</w:t>
      </w:r>
      <w:r w:rsidR="00E66209" w:rsidRPr="00620493">
        <w:rPr>
          <w:rFonts w:ascii="Times New Roman" w:hAnsi="Times New Roman"/>
          <w:sz w:val="28"/>
          <w:szCs w:val="28"/>
        </w:rPr>
        <w:t xml:space="preserve"> </w:t>
      </w:r>
      <w:r w:rsidRPr="00620493">
        <w:rPr>
          <w:rFonts w:ascii="Times New Roman" w:hAnsi="Times New Roman"/>
          <w:sz w:val="28"/>
          <w:szCs w:val="28"/>
        </w:rPr>
        <w:t xml:space="preserve">підвищення ефективності лікування та профілактики </w:t>
      </w:r>
      <w:r w:rsidRPr="00620493">
        <w:rPr>
          <w:rFonts w:ascii="Times New Roman" w:hAnsi="Times New Roman"/>
          <w:bCs/>
          <w:sz w:val="28"/>
          <w:szCs w:val="28"/>
        </w:rPr>
        <w:t>карієсу зубів та захворювань тканин пародонт</w:t>
      </w:r>
      <w:r>
        <w:rPr>
          <w:rFonts w:ascii="Times New Roman" w:hAnsi="Times New Roman"/>
          <w:bCs/>
          <w:sz w:val="28"/>
          <w:szCs w:val="28"/>
        </w:rPr>
        <w:t>а  у дітей з уродженою глухотою</w:t>
      </w:r>
      <w:r w:rsidRPr="00620493">
        <w:rPr>
          <w:rFonts w:ascii="Times New Roman" w:hAnsi="Times New Roman"/>
          <w:sz w:val="28"/>
          <w:szCs w:val="28"/>
        </w:rPr>
        <w:t xml:space="preserve"> шляхом клініко-лабораторного обґрунтування комплексу лікувально-профілактичних заходів.</w:t>
      </w:r>
    </w:p>
    <w:p w:rsidR="00781ED2" w:rsidRPr="006B1D26" w:rsidRDefault="00781ED2" w:rsidP="00781ED2">
      <w:pPr>
        <w:pStyle w:val="af8"/>
        <w:numPr>
          <w:ilvl w:val="0"/>
          <w:numId w:val="3"/>
        </w:numPr>
        <w:spacing w:line="360" w:lineRule="auto"/>
        <w:ind w:left="0" w:firstLine="709"/>
        <w:jc w:val="both"/>
        <w:rPr>
          <w:rFonts w:ascii="Times New Roman" w:hAnsi="Times New Roman"/>
          <w:sz w:val="28"/>
          <w:shd w:val="clear" w:color="auto" w:fill="FFFFFF"/>
        </w:rPr>
      </w:pPr>
      <w:r>
        <w:rPr>
          <w:rFonts w:ascii="Times New Roman" w:hAnsi="Times New Roman"/>
          <w:sz w:val="28"/>
          <w:szCs w:val="28"/>
        </w:rPr>
        <w:t>В</w:t>
      </w:r>
      <w:r w:rsidRPr="00333AD3">
        <w:rPr>
          <w:rFonts w:ascii="Times New Roman" w:hAnsi="Times New Roman"/>
          <w:sz w:val="28"/>
        </w:rPr>
        <w:t>ивчен</w:t>
      </w:r>
      <w:r>
        <w:rPr>
          <w:rFonts w:ascii="Times New Roman" w:hAnsi="Times New Roman"/>
          <w:sz w:val="28"/>
        </w:rPr>
        <w:t>о стан</w:t>
      </w:r>
      <w:r w:rsidRPr="00333AD3">
        <w:rPr>
          <w:rFonts w:ascii="Times New Roman" w:hAnsi="Times New Roman"/>
          <w:sz w:val="28"/>
        </w:rPr>
        <w:t xml:space="preserve"> твердих тканин зубів у </w:t>
      </w:r>
      <w:r>
        <w:rPr>
          <w:rFonts w:ascii="Times New Roman" w:hAnsi="Times New Roman"/>
          <w:sz w:val="28"/>
        </w:rPr>
        <w:t>дітей з у</w:t>
      </w:r>
      <w:r w:rsidRPr="00333AD3">
        <w:rPr>
          <w:rFonts w:ascii="Times New Roman" w:hAnsi="Times New Roman"/>
          <w:sz w:val="28"/>
        </w:rPr>
        <w:t>родженою глухотою</w:t>
      </w:r>
      <w:r>
        <w:rPr>
          <w:rFonts w:ascii="Times New Roman" w:hAnsi="Times New Roman"/>
          <w:sz w:val="28"/>
        </w:rPr>
        <w:t>. Встановлено</w:t>
      </w:r>
      <w:r w:rsidRPr="00333AD3">
        <w:rPr>
          <w:rFonts w:ascii="Times New Roman" w:hAnsi="Times New Roman"/>
          <w:sz w:val="28"/>
        </w:rPr>
        <w:t xml:space="preserve"> високу розповсюдженість</w:t>
      </w:r>
      <w:r>
        <w:rPr>
          <w:rFonts w:ascii="Times New Roman" w:hAnsi="Times New Roman"/>
          <w:sz w:val="28"/>
        </w:rPr>
        <w:t xml:space="preserve"> (83 %)</w:t>
      </w:r>
      <w:r w:rsidRPr="00333AD3">
        <w:rPr>
          <w:rFonts w:ascii="Times New Roman" w:hAnsi="Times New Roman"/>
          <w:sz w:val="28"/>
        </w:rPr>
        <w:t xml:space="preserve"> та інтенсивність</w:t>
      </w:r>
      <w:r>
        <w:rPr>
          <w:rFonts w:ascii="Times New Roman" w:hAnsi="Times New Roman"/>
          <w:sz w:val="28"/>
        </w:rPr>
        <w:t xml:space="preserve"> (4,64 ± 0,14)</w:t>
      </w:r>
      <w:r w:rsidRPr="00333AD3">
        <w:rPr>
          <w:rFonts w:ascii="Times New Roman" w:hAnsi="Times New Roman"/>
          <w:sz w:val="28"/>
        </w:rPr>
        <w:t xml:space="preserve"> каріоз</w:t>
      </w:r>
      <w:r>
        <w:rPr>
          <w:rFonts w:ascii="Times New Roman" w:hAnsi="Times New Roman"/>
          <w:sz w:val="28"/>
        </w:rPr>
        <w:t>ного процесу. У73 </w:t>
      </w:r>
      <w:r w:rsidRPr="00333AD3">
        <w:rPr>
          <w:rFonts w:ascii="Times New Roman" w:hAnsi="Times New Roman"/>
          <w:sz w:val="28"/>
        </w:rPr>
        <w:t xml:space="preserve">% дітей </w:t>
      </w:r>
      <w:r>
        <w:rPr>
          <w:rFonts w:ascii="Times New Roman" w:hAnsi="Times New Roman"/>
          <w:sz w:val="28"/>
        </w:rPr>
        <w:t>було виявлено</w:t>
      </w:r>
      <w:r w:rsidRPr="00333AD3">
        <w:rPr>
          <w:rFonts w:ascii="Times New Roman" w:hAnsi="Times New Roman"/>
          <w:sz w:val="28"/>
        </w:rPr>
        <w:t xml:space="preserve"> гострий</w:t>
      </w:r>
      <w:r>
        <w:rPr>
          <w:rFonts w:ascii="Times New Roman" w:hAnsi="Times New Roman"/>
          <w:sz w:val="28"/>
        </w:rPr>
        <w:t xml:space="preserve"> плин каріозного ураження, 27 %  мали ускладнені форми карієсу. У 91 % дітей було діагностовано різні ступені важкості гінгівіту.</w:t>
      </w:r>
    </w:p>
    <w:p w:rsidR="00781ED2" w:rsidRPr="00D21C44" w:rsidRDefault="00781ED2" w:rsidP="00781ED2">
      <w:pPr>
        <w:pStyle w:val="af8"/>
        <w:numPr>
          <w:ilvl w:val="0"/>
          <w:numId w:val="3"/>
        </w:numPr>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rPr>
        <w:t>Отримано</w:t>
      </w:r>
      <w:r w:rsidRPr="00D21C44">
        <w:rPr>
          <w:rFonts w:ascii="Times New Roman" w:hAnsi="Times New Roman"/>
          <w:sz w:val="28"/>
          <w:szCs w:val="28"/>
        </w:rPr>
        <w:t xml:space="preserve"> дані щодо </w:t>
      </w:r>
      <w:r w:rsidRPr="00D21C44">
        <w:rPr>
          <w:rFonts w:ascii="Times New Roman" w:hAnsi="Times New Roman"/>
          <w:color w:val="000000"/>
          <w:sz w:val="28"/>
          <w:szCs w:val="28"/>
        </w:rPr>
        <w:t>біохімічних та імунологічних властивостей ротової рідини</w:t>
      </w:r>
      <w:r>
        <w:rPr>
          <w:rFonts w:ascii="Times New Roman" w:hAnsi="Times New Roman"/>
          <w:color w:val="000000"/>
          <w:sz w:val="28"/>
          <w:szCs w:val="28"/>
        </w:rPr>
        <w:t xml:space="preserve">. </w:t>
      </w:r>
      <w:r>
        <w:rPr>
          <w:rFonts w:ascii="Times New Roman" w:hAnsi="Times New Roman"/>
          <w:sz w:val="28"/>
          <w:szCs w:val="28"/>
        </w:rPr>
        <w:t>У</w:t>
      </w:r>
      <w:r w:rsidRPr="00D21C44">
        <w:rPr>
          <w:rFonts w:ascii="Times New Roman" w:hAnsi="Times New Roman"/>
          <w:sz w:val="28"/>
          <w:szCs w:val="28"/>
        </w:rPr>
        <w:t xml:space="preserve"> дітей з особливими потребами</w:t>
      </w:r>
      <w:r>
        <w:rPr>
          <w:rFonts w:ascii="Times New Roman" w:hAnsi="Times New Roman"/>
          <w:sz w:val="28"/>
          <w:szCs w:val="28"/>
        </w:rPr>
        <w:t xml:space="preserve"> у 100 % </w:t>
      </w:r>
      <w:r w:rsidRPr="00D21C44">
        <w:rPr>
          <w:rFonts w:ascii="Times New Roman" w:hAnsi="Times New Roman"/>
          <w:sz w:val="28"/>
          <w:szCs w:val="28"/>
        </w:rPr>
        <w:t>(</w:t>
      </w:r>
      <w:r>
        <w:rPr>
          <w:rFonts w:ascii="Times New Roman" w:hAnsi="Times New Roman"/>
          <w:sz w:val="28"/>
          <w:szCs w:val="28"/>
        </w:rPr>
        <w:t>р &lt; 0,05</w:t>
      </w:r>
      <w:r w:rsidRPr="00D21C44">
        <w:rPr>
          <w:rFonts w:ascii="Times New Roman" w:hAnsi="Times New Roman"/>
          <w:sz w:val="28"/>
          <w:szCs w:val="28"/>
        </w:rPr>
        <w:t>)</w:t>
      </w:r>
      <w:r>
        <w:rPr>
          <w:rFonts w:ascii="Times New Roman" w:hAnsi="Times New Roman"/>
          <w:sz w:val="28"/>
          <w:szCs w:val="28"/>
        </w:rPr>
        <w:t xml:space="preserve"> випадків  було  підвищено </w:t>
      </w:r>
      <w:r w:rsidRPr="00D21C44">
        <w:rPr>
          <w:rFonts w:ascii="Times New Roman" w:hAnsi="Times New Roman"/>
          <w:sz w:val="28"/>
          <w:szCs w:val="28"/>
        </w:rPr>
        <w:t xml:space="preserve">показники  ΔpH, </w:t>
      </w:r>
      <w:r>
        <w:rPr>
          <w:rFonts w:ascii="Times New Roman" w:hAnsi="Times New Roman"/>
          <w:sz w:val="28"/>
          <w:szCs w:val="28"/>
        </w:rPr>
        <w:t xml:space="preserve">знижено </w:t>
      </w:r>
      <w:r w:rsidRPr="00D21C44">
        <w:rPr>
          <w:rFonts w:ascii="Times New Roman" w:hAnsi="Times New Roman"/>
          <w:sz w:val="28"/>
          <w:szCs w:val="28"/>
        </w:rPr>
        <w:t>показники швидкості слиновиділення</w:t>
      </w:r>
      <w:r w:rsidRPr="00D21C44">
        <w:rPr>
          <w:rFonts w:ascii="Times New Roman" w:hAnsi="Times New Roman"/>
          <w:sz w:val="28"/>
        </w:rPr>
        <w:t xml:space="preserve">, </w:t>
      </w:r>
      <w:r>
        <w:rPr>
          <w:rFonts w:ascii="Times New Roman" w:hAnsi="Times New Roman"/>
          <w:sz w:val="28"/>
        </w:rPr>
        <w:t xml:space="preserve">збільшено </w:t>
      </w:r>
      <w:r w:rsidRPr="00D21C44">
        <w:rPr>
          <w:rFonts w:ascii="Times New Roman" w:hAnsi="Times New Roman"/>
          <w:sz w:val="28"/>
        </w:rPr>
        <w:t xml:space="preserve">кількість ТБК-активних продуктів, </w:t>
      </w:r>
      <w:r>
        <w:rPr>
          <w:rFonts w:ascii="Times New Roman" w:hAnsi="Times New Roman"/>
          <w:sz w:val="28"/>
        </w:rPr>
        <w:t xml:space="preserve">зменшено </w:t>
      </w:r>
      <w:r w:rsidRPr="00D21C44">
        <w:rPr>
          <w:rFonts w:ascii="Times New Roman" w:hAnsi="Times New Roman"/>
          <w:sz w:val="28"/>
        </w:rPr>
        <w:t>активність ферментів антиоксидантної системи, АПІ</w:t>
      </w:r>
      <w:r w:rsidRPr="00D21C44">
        <w:rPr>
          <w:rFonts w:ascii="Times New Roman" w:hAnsi="Times New Roman"/>
          <w:sz w:val="28"/>
          <w:szCs w:val="28"/>
        </w:rPr>
        <w:t>, кількість секреторного імуноглобуліну А, активність лізоциму,</w:t>
      </w:r>
      <w:r>
        <w:rPr>
          <w:rFonts w:ascii="Times New Roman" w:hAnsi="Times New Roman"/>
          <w:sz w:val="28"/>
          <w:szCs w:val="28"/>
        </w:rPr>
        <w:t xml:space="preserve"> підвищено активність уреази </w:t>
      </w:r>
      <w:r w:rsidRPr="00D21C44">
        <w:rPr>
          <w:rFonts w:ascii="Times New Roman" w:hAnsi="Times New Roman"/>
          <w:sz w:val="28"/>
          <w:szCs w:val="28"/>
        </w:rPr>
        <w:t>та співвідношення відносних уреази і лізоциму</w:t>
      </w:r>
      <w:r w:rsidR="00E66209">
        <w:rPr>
          <w:rFonts w:ascii="Times New Roman" w:hAnsi="Times New Roman"/>
          <w:sz w:val="28"/>
          <w:szCs w:val="28"/>
        </w:rPr>
        <w:t>,</w:t>
      </w:r>
      <w:r w:rsidRPr="00D21C44">
        <w:rPr>
          <w:rFonts w:ascii="Times New Roman" w:hAnsi="Times New Roman"/>
          <w:sz w:val="28"/>
          <w:szCs w:val="28"/>
        </w:rPr>
        <w:t xml:space="preserve"> порівняно з показниками здорових однолітків.</w:t>
      </w:r>
    </w:p>
    <w:p w:rsidR="00781ED2" w:rsidRPr="00C73572" w:rsidRDefault="00781ED2" w:rsidP="00781ED2">
      <w:pPr>
        <w:pStyle w:val="af8"/>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Проведено мікробіологічне дослідження зубної бляшки у дітей, яке свідчи</w:t>
      </w:r>
      <w:r w:rsidRPr="00D21C44">
        <w:rPr>
          <w:rFonts w:ascii="Times New Roman" w:hAnsi="Times New Roman"/>
          <w:sz w:val="28"/>
          <w:szCs w:val="28"/>
        </w:rPr>
        <w:t>ть про значні відмінності якісного та кількісного складу мікробіоценозу зубної бляшки у дітей з вродженою глухотою та у</w:t>
      </w:r>
      <w:r>
        <w:rPr>
          <w:rFonts w:ascii="Times New Roman" w:hAnsi="Times New Roman"/>
          <w:sz w:val="28"/>
          <w:szCs w:val="28"/>
        </w:rPr>
        <w:t xml:space="preserve"> здорових</w:t>
      </w:r>
      <w:r w:rsidRPr="00D21C44">
        <w:rPr>
          <w:rFonts w:ascii="Times New Roman" w:hAnsi="Times New Roman"/>
          <w:sz w:val="28"/>
          <w:szCs w:val="28"/>
        </w:rPr>
        <w:t xml:space="preserve"> дітей</w:t>
      </w:r>
      <w:r>
        <w:rPr>
          <w:rFonts w:ascii="Times New Roman" w:hAnsi="Times New Roman"/>
          <w:sz w:val="28"/>
          <w:szCs w:val="28"/>
        </w:rPr>
        <w:t xml:space="preserve"> відповідних вікових груп</w:t>
      </w:r>
      <w:r w:rsidRPr="00D21C44">
        <w:rPr>
          <w:rFonts w:ascii="Times New Roman" w:hAnsi="Times New Roman"/>
          <w:sz w:val="28"/>
          <w:szCs w:val="28"/>
        </w:rPr>
        <w:t xml:space="preserve">. </w:t>
      </w:r>
      <w:r w:rsidRPr="00D21C44">
        <w:rPr>
          <w:rFonts w:ascii="Times New Roman" w:hAnsi="Times New Roman"/>
          <w:sz w:val="28"/>
          <w:szCs w:val="28"/>
        </w:rPr>
        <w:t xml:space="preserve">Співставлення </w:t>
      </w:r>
      <w:r w:rsidRPr="00D21C44">
        <w:rPr>
          <w:rFonts w:ascii="Times New Roman" w:hAnsi="Times New Roman"/>
          <w:sz w:val="28"/>
          <w:szCs w:val="28"/>
        </w:rPr>
        <w:t>частоти вилучення та щільності мікробної колонізації окремих представників мікробіоценозів показало істотне збільшення персистенції у вказаному біотопі як представників резидентної мікрофлори порожнини рота</w:t>
      </w:r>
      <w:r>
        <w:rPr>
          <w:rFonts w:ascii="Times New Roman" w:hAnsi="Times New Roman"/>
          <w:sz w:val="28"/>
          <w:szCs w:val="28"/>
        </w:rPr>
        <w:t>,</w:t>
      </w:r>
      <w:r w:rsidRPr="00D21C44">
        <w:rPr>
          <w:rFonts w:ascii="Times New Roman" w:hAnsi="Times New Roman"/>
          <w:sz w:val="28"/>
          <w:szCs w:val="28"/>
        </w:rPr>
        <w:t xml:space="preserve"> так і облігатних анаеробних бактерій </w:t>
      </w:r>
      <w:r w:rsidRPr="00C73572">
        <w:rPr>
          <w:rFonts w:ascii="Times New Roman" w:hAnsi="Times New Roman"/>
          <w:sz w:val="28"/>
          <w:szCs w:val="28"/>
        </w:rPr>
        <w:t>(</w:t>
      </w:r>
      <w:r w:rsidRPr="00C73572">
        <w:rPr>
          <w:rFonts w:ascii="Times New Roman" w:hAnsi="Times New Roman"/>
          <w:sz w:val="28"/>
          <w:szCs w:val="28"/>
          <w:lang w:val="en-US"/>
        </w:rPr>
        <w:t>Fusobacterium</w:t>
      </w:r>
      <w:r>
        <w:rPr>
          <w:rFonts w:ascii="Times New Roman" w:hAnsi="Times New Roman"/>
          <w:sz w:val="28"/>
          <w:szCs w:val="28"/>
        </w:rPr>
        <w:t xml:space="preserve"> </w:t>
      </w:r>
      <w:r w:rsidRPr="00C73572">
        <w:rPr>
          <w:rFonts w:ascii="Times New Roman" w:hAnsi="Times New Roman"/>
          <w:sz w:val="28"/>
          <w:szCs w:val="28"/>
          <w:lang w:val="en-US"/>
        </w:rPr>
        <w:t>spp</w:t>
      </w:r>
      <w:r w:rsidRPr="00C73572">
        <w:rPr>
          <w:rFonts w:ascii="Times New Roman" w:hAnsi="Times New Roman"/>
          <w:sz w:val="28"/>
          <w:szCs w:val="28"/>
        </w:rPr>
        <w:t xml:space="preserve">, </w:t>
      </w:r>
      <w:r w:rsidRPr="00C73572">
        <w:rPr>
          <w:rFonts w:ascii="Times New Roman" w:hAnsi="Times New Roman"/>
          <w:sz w:val="28"/>
          <w:szCs w:val="28"/>
          <w:lang w:val="en-US"/>
        </w:rPr>
        <w:t>Bacteroides</w:t>
      </w:r>
      <w:r>
        <w:rPr>
          <w:rFonts w:ascii="Times New Roman" w:hAnsi="Times New Roman"/>
          <w:sz w:val="28"/>
          <w:szCs w:val="28"/>
        </w:rPr>
        <w:t xml:space="preserve"> </w:t>
      </w:r>
      <w:r w:rsidRPr="00C73572">
        <w:rPr>
          <w:rFonts w:ascii="Times New Roman" w:hAnsi="Times New Roman"/>
          <w:sz w:val="28"/>
          <w:szCs w:val="28"/>
          <w:lang w:val="en-US"/>
        </w:rPr>
        <w:t>spp</w:t>
      </w:r>
      <w:r w:rsidRPr="00C73572">
        <w:rPr>
          <w:rFonts w:ascii="Times New Roman" w:hAnsi="Times New Roman"/>
          <w:sz w:val="28"/>
          <w:szCs w:val="28"/>
        </w:rPr>
        <w:t xml:space="preserve">, </w:t>
      </w:r>
      <w:r w:rsidRPr="00C73572">
        <w:rPr>
          <w:rFonts w:ascii="Times New Roman" w:hAnsi="Times New Roman"/>
          <w:sz w:val="28"/>
          <w:szCs w:val="28"/>
          <w:lang w:val="en-US"/>
        </w:rPr>
        <w:t>Prevotella</w:t>
      </w:r>
      <w:r>
        <w:rPr>
          <w:rFonts w:ascii="Times New Roman" w:hAnsi="Times New Roman"/>
          <w:sz w:val="28"/>
          <w:szCs w:val="28"/>
        </w:rPr>
        <w:t xml:space="preserve"> </w:t>
      </w:r>
      <w:r w:rsidRPr="00C73572">
        <w:rPr>
          <w:rFonts w:ascii="Times New Roman" w:hAnsi="Times New Roman"/>
          <w:sz w:val="28"/>
          <w:szCs w:val="28"/>
          <w:lang w:val="en-US"/>
        </w:rPr>
        <w:t>spp</w:t>
      </w:r>
      <w:r w:rsidRPr="00C73572">
        <w:rPr>
          <w:rFonts w:ascii="Times New Roman" w:hAnsi="Times New Roman"/>
          <w:sz w:val="28"/>
          <w:szCs w:val="28"/>
        </w:rPr>
        <w:t xml:space="preserve">, </w:t>
      </w:r>
      <w:r w:rsidRPr="00C73572">
        <w:rPr>
          <w:rFonts w:ascii="Times New Roman" w:hAnsi="Times New Roman"/>
          <w:sz w:val="28"/>
          <w:szCs w:val="28"/>
          <w:lang w:val="en-US"/>
        </w:rPr>
        <w:t>Porphyromonas</w:t>
      </w:r>
      <w:r>
        <w:rPr>
          <w:rFonts w:ascii="Times New Roman" w:hAnsi="Times New Roman"/>
          <w:sz w:val="28"/>
          <w:szCs w:val="28"/>
        </w:rPr>
        <w:t xml:space="preserve"> </w:t>
      </w:r>
      <w:r w:rsidRPr="00C73572">
        <w:rPr>
          <w:rFonts w:ascii="Times New Roman" w:hAnsi="Times New Roman"/>
          <w:sz w:val="28"/>
          <w:szCs w:val="28"/>
          <w:lang w:val="en-US"/>
        </w:rPr>
        <w:t>spp</w:t>
      </w:r>
      <w:r w:rsidRPr="00C73572">
        <w:rPr>
          <w:rFonts w:ascii="Times New Roman" w:hAnsi="Times New Roman"/>
          <w:sz w:val="28"/>
          <w:szCs w:val="28"/>
        </w:rPr>
        <w:t>),</w:t>
      </w:r>
      <w:r>
        <w:rPr>
          <w:rFonts w:ascii="Times New Roman" w:hAnsi="Times New Roman"/>
          <w:sz w:val="28"/>
          <w:szCs w:val="28"/>
        </w:rPr>
        <w:t xml:space="preserve"> </w:t>
      </w:r>
      <w:r w:rsidRPr="00D21C44">
        <w:rPr>
          <w:rFonts w:ascii="Times New Roman" w:hAnsi="Times New Roman"/>
          <w:sz w:val="28"/>
          <w:szCs w:val="28"/>
        </w:rPr>
        <w:t>ентеробактерій, неферментуючих</w:t>
      </w:r>
      <w:r>
        <w:rPr>
          <w:rFonts w:ascii="Times New Roman" w:hAnsi="Times New Roman"/>
          <w:sz w:val="28"/>
          <w:szCs w:val="28"/>
        </w:rPr>
        <w:t xml:space="preserve"> </w:t>
      </w:r>
      <w:r w:rsidRPr="00D21C44">
        <w:rPr>
          <w:rFonts w:ascii="Times New Roman" w:hAnsi="Times New Roman"/>
          <w:sz w:val="28"/>
          <w:szCs w:val="28"/>
        </w:rPr>
        <w:t xml:space="preserve">грамнегативних бактерій </w:t>
      </w:r>
      <w:r w:rsidRPr="00C73572">
        <w:rPr>
          <w:rFonts w:ascii="Times New Roman" w:hAnsi="Times New Roman"/>
          <w:sz w:val="28"/>
          <w:szCs w:val="28"/>
        </w:rPr>
        <w:t>(</w:t>
      </w:r>
      <w:r w:rsidRPr="00C73572">
        <w:rPr>
          <w:rFonts w:ascii="Times New Roman" w:hAnsi="Times New Roman"/>
          <w:sz w:val="28"/>
          <w:szCs w:val="28"/>
          <w:lang w:val="en-US"/>
        </w:rPr>
        <w:t>Acinetobacter</w:t>
      </w:r>
      <w:r>
        <w:rPr>
          <w:rFonts w:ascii="Times New Roman" w:hAnsi="Times New Roman"/>
          <w:sz w:val="28"/>
          <w:szCs w:val="28"/>
        </w:rPr>
        <w:t xml:space="preserve"> </w:t>
      </w:r>
      <w:r w:rsidRPr="00C73572">
        <w:rPr>
          <w:rFonts w:ascii="Times New Roman" w:hAnsi="Times New Roman"/>
          <w:sz w:val="28"/>
          <w:szCs w:val="28"/>
          <w:lang w:val="en-US"/>
        </w:rPr>
        <w:t>spp</w:t>
      </w:r>
      <w:r w:rsidRPr="00C73572">
        <w:rPr>
          <w:rFonts w:ascii="Times New Roman" w:hAnsi="Times New Roman"/>
          <w:sz w:val="28"/>
          <w:szCs w:val="28"/>
        </w:rPr>
        <w:t xml:space="preserve">, </w:t>
      </w:r>
      <w:r w:rsidRPr="00C73572">
        <w:rPr>
          <w:rFonts w:ascii="Times New Roman" w:hAnsi="Times New Roman"/>
          <w:sz w:val="28"/>
          <w:szCs w:val="28"/>
          <w:lang w:val="en-US"/>
        </w:rPr>
        <w:t>P</w:t>
      </w:r>
      <w:r w:rsidRPr="00C73572">
        <w:rPr>
          <w:rFonts w:ascii="Times New Roman" w:hAnsi="Times New Roman"/>
          <w:sz w:val="28"/>
          <w:szCs w:val="28"/>
        </w:rPr>
        <w:t>. а</w:t>
      </w:r>
      <w:r w:rsidRPr="00C73572">
        <w:rPr>
          <w:rFonts w:ascii="Times New Roman" w:hAnsi="Times New Roman"/>
          <w:sz w:val="28"/>
          <w:szCs w:val="28"/>
          <w:lang w:val="en-US"/>
        </w:rPr>
        <w:t>eruginosa</w:t>
      </w:r>
      <w:r w:rsidRPr="00C73572">
        <w:rPr>
          <w:rFonts w:ascii="Times New Roman" w:hAnsi="Times New Roman"/>
          <w:sz w:val="28"/>
          <w:szCs w:val="28"/>
        </w:rPr>
        <w:t>),</w:t>
      </w:r>
      <w:r w:rsidR="00E66209">
        <w:rPr>
          <w:rFonts w:ascii="Times New Roman" w:hAnsi="Times New Roman"/>
          <w:sz w:val="28"/>
          <w:szCs w:val="28"/>
        </w:rPr>
        <w:t xml:space="preserve"> </w:t>
      </w:r>
      <w:r w:rsidRPr="00C73572">
        <w:rPr>
          <w:rFonts w:ascii="Times New Roman" w:hAnsi="Times New Roman"/>
          <w:sz w:val="28"/>
          <w:szCs w:val="28"/>
          <w:lang w:val="en-US"/>
        </w:rPr>
        <w:t>S</w:t>
      </w:r>
      <w:r w:rsidRPr="00C73572">
        <w:rPr>
          <w:rFonts w:ascii="Times New Roman" w:hAnsi="Times New Roman"/>
          <w:sz w:val="28"/>
          <w:szCs w:val="28"/>
        </w:rPr>
        <w:t>. </w:t>
      </w:r>
      <w:r w:rsidRPr="00C73572">
        <w:rPr>
          <w:rFonts w:ascii="Times New Roman" w:hAnsi="Times New Roman"/>
          <w:sz w:val="28"/>
          <w:szCs w:val="28"/>
          <w:lang w:val="en-US"/>
        </w:rPr>
        <w:t>aureus</w:t>
      </w:r>
      <w:r w:rsidRPr="00C73572">
        <w:rPr>
          <w:rFonts w:ascii="Times New Roman" w:hAnsi="Times New Roman"/>
          <w:sz w:val="28"/>
          <w:szCs w:val="28"/>
        </w:rPr>
        <w:t xml:space="preserve"> та </w:t>
      </w:r>
      <w:r w:rsidRPr="00C73572">
        <w:rPr>
          <w:rFonts w:ascii="Times New Roman" w:hAnsi="Times New Roman"/>
          <w:sz w:val="28"/>
          <w:szCs w:val="28"/>
          <w:lang w:val="en-US"/>
        </w:rPr>
        <w:t>S</w:t>
      </w:r>
      <w:r w:rsidRPr="00C73572">
        <w:rPr>
          <w:rFonts w:ascii="Times New Roman" w:hAnsi="Times New Roman"/>
          <w:sz w:val="28"/>
          <w:szCs w:val="28"/>
        </w:rPr>
        <w:t>. р</w:t>
      </w:r>
      <w:r w:rsidRPr="00C73572">
        <w:rPr>
          <w:rFonts w:ascii="Times New Roman" w:hAnsi="Times New Roman"/>
          <w:sz w:val="28"/>
          <w:szCs w:val="28"/>
          <w:lang w:val="en-US"/>
        </w:rPr>
        <w:t>yog</w:t>
      </w:r>
      <w:r w:rsidRPr="00C73572">
        <w:rPr>
          <w:rFonts w:ascii="Times New Roman" w:hAnsi="Times New Roman"/>
          <w:sz w:val="28"/>
          <w:szCs w:val="28"/>
        </w:rPr>
        <w:t>е</w:t>
      </w:r>
      <w:r w:rsidRPr="00C73572">
        <w:rPr>
          <w:rFonts w:ascii="Times New Roman" w:hAnsi="Times New Roman"/>
          <w:sz w:val="28"/>
          <w:szCs w:val="28"/>
          <w:lang w:val="en-US"/>
        </w:rPr>
        <w:t>n</w:t>
      </w:r>
      <w:r w:rsidRPr="00C73572">
        <w:rPr>
          <w:rFonts w:ascii="Times New Roman" w:hAnsi="Times New Roman"/>
          <w:sz w:val="28"/>
          <w:szCs w:val="28"/>
        </w:rPr>
        <w:t>е</w:t>
      </w:r>
      <w:r w:rsidRPr="00C73572">
        <w:rPr>
          <w:rFonts w:ascii="Times New Roman" w:hAnsi="Times New Roman"/>
          <w:sz w:val="28"/>
          <w:szCs w:val="28"/>
          <w:lang w:val="en-US"/>
        </w:rPr>
        <w:t>s</w:t>
      </w:r>
      <w:r w:rsidRPr="00D21C44">
        <w:rPr>
          <w:rFonts w:ascii="Times New Roman" w:hAnsi="Times New Roman"/>
          <w:i/>
          <w:sz w:val="28"/>
          <w:szCs w:val="28"/>
        </w:rPr>
        <w:t>.</w:t>
      </w:r>
      <w:r w:rsidRPr="00D21C44">
        <w:rPr>
          <w:rFonts w:ascii="Times New Roman" w:hAnsi="Times New Roman"/>
          <w:sz w:val="28"/>
          <w:szCs w:val="28"/>
        </w:rPr>
        <w:t xml:space="preserve"> Вилучення карієсогенних штамів </w:t>
      </w:r>
      <w:r w:rsidRPr="00C73572">
        <w:rPr>
          <w:rFonts w:ascii="Times New Roman" w:hAnsi="Times New Roman"/>
          <w:sz w:val="28"/>
          <w:szCs w:val="28"/>
        </w:rPr>
        <w:t>S. mutans</w:t>
      </w:r>
      <w:r w:rsidRPr="00D21C44">
        <w:rPr>
          <w:rFonts w:ascii="Times New Roman" w:hAnsi="Times New Roman"/>
          <w:sz w:val="28"/>
          <w:szCs w:val="28"/>
        </w:rPr>
        <w:t xml:space="preserve"> були</w:t>
      </w:r>
      <w:r>
        <w:rPr>
          <w:rFonts w:ascii="Times New Roman" w:hAnsi="Times New Roman"/>
          <w:sz w:val="28"/>
          <w:szCs w:val="28"/>
        </w:rPr>
        <w:t xml:space="preserve"> на 100 % </w:t>
      </w:r>
      <w:r w:rsidRPr="00D21C44">
        <w:rPr>
          <w:rFonts w:ascii="Times New Roman" w:hAnsi="Times New Roman"/>
          <w:sz w:val="28"/>
          <w:szCs w:val="28"/>
        </w:rPr>
        <w:t>(р</w:t>
      </w:r>
      <w:r>
        <w:rPr>
          <w:rFonts w:ascii="Times New Roman" w:hAnsi="Times New Roman"/>
          <w:sz w:val="28"/>
          <w:szCs w:val="28"/>
        </w:rPr>
        <w:t> </w:t>
      </w:r>
      <w:r w:rsidRPr="00D21C44">
        <w:rPr>
          <w:rFonts w:ascii="Times New Roman" w:hAnsi="Times New Roman"/>
          <w:sz w:val="28"/>
          <w:szCs w:val="28"/>
        </w:rPr>
        <w:t>&lt;</w:t>
      </w:r>
      <w:r>
        <w:rPr>
          <w:rFonts w:ascii="Times New Roman" w:hAnsi="Times New Roman"/>
          <w:sz w:val="28"/>
          <w:szCs w:val="28"/>
        </w:rPr>
        <w:t> </w:t>
      </w:r>
      <w:r w:rsidRPr="00D21C44">
        <w:rPr>
          <w:rFonts w:ascii="Times New Roman" w:hAnsi="Times New Roman"/>
          <w:sz w:val="28"/>
          <w:szCs w:val="28"/>
        </w:rPr>
        <w:t>0,01)</w:t>
      </w:r>
      <w:r>
        <w:rPr>
          <w:rFonts w:ascii="Times New Roman" w:hAnsi="Times New Roman"/>
          <w:sz w:val="28"/>
          <w:szCs w:val="28"/>
        </w:rPr>
        <w:t xml:space="preserve"> </w:t>
      </w:r>
      <w:r w:rsidRPr="00D21C44">
        <w:rPr>
          <w:rFonts w:ascii="Times New Roman" w:hAnsi="Times New Roman"/>
          <w:sz w:val="28"/>
          <w:szCs w:val="28"/>
        </w:rPr>
        <w:t>частіше у концентрації, яка статистично перевищували значення, одержані при обстеженні дітей групи порівняння.</w:t>
      </w:r>
    </w:p>
    <w:p w:rsidR="00781ED2" w:rsidRPr="00C73572" w:rsidRDefault="00781ED2" w:rsidP="00781ED2">
      <w:pPr>
        <w:pStyle w:val="af8"/>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А</w:t>
      </w:r>
      <w:r>
        <w:rPr>
          <w:rFonts w:ascii="Times New Roman" w:hAnsi="Times New Roman"/>
          <w:color w:val="000000"/>
          <w:sz w:val="28"/>
          <w:szCs w:val="28"/>
        </w:rPr>
        <w:t xml:space="preserve">наліз </w:t>
      </w:r>
      <w:r w:rsidRPr="000D6338">
        <w:rPr>
          <w:rFonts w:ascii="Times New Roman" w:hAnsi="Times New Roman"/>
          <w:sz w:val="28"/>
          <w:szCs w:val="28"/>
        </w:rPr>
        <w:t>протоколів обстежень та індивідуальних карток психоемоційного статус</w:t>
      </w:r>
      <w:r>
        <w:rPr>
          <w:rFonts w:ascii="Times New Roman" w:hAnsi="Times New Roman"/>
          <w:sz w:val="28"/>
          <w:szCs w:val="28"/>
        </w:rPr>
        <w:t>у дітей з вродженою глухотою дозволив встановити</w:t>
      </w:r>
      <w:r>
        <w:rPr>
          <w:rFonts w:ascii="Times New Roman" w:hAnsi="Times New Roman"/>
          <w:bCs/>
          <w:sz w:val="28"/>
          <w:szCs w:val="28"/>
          <w:shd w:val="clear" w:color="auto" w:fill="FFFFFF"/>
        </w:rPr>
        <w:t xml:space="preserve"> значну</w:t>
      </w:r>
      <w:r w:rsidRPr="00C73572">
        <w:rPr>
          <w:rFonts w:ascii="Times New Roman" w:hAnsi="Times New Roman"/>
          <w:bCs/>
          <w:sz w:val="28"/>
          <w:szCs w:val="28"/>
          <w:shd w:val="clear" w:color="auto" w:fill="FFFFFF"/>
        </w:rPr>
        <w:t xml:space="preserve"> розповсюдженість (84,1 %) порушень психічного та емоційного здоров’я</w:t>
      </w:r>
      <w:r>
        <w:rPr>
          <w:rFonts w:ascii="Times New Roman" w:hAnsi="Times New Roman"/>
          <w:bCs/>
          <w:sz w:val="28"/>
          <w:szCs w:val="28"/>
          <w:shd w:val="clear" w:color="auto" w:fill="FFFFFF"/>
        </w:rPr>
        <w:t xml:space="preserve"> </w:t>
      </w:r>
      <w:r w:rsidRPr="00C73572">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w:t>
      </w:r>
      <w:r w:rsidRPr="00C73572">
        <w:rPr>
          <w:rFonts w:ascii="Times New Roman" w:hAnsi="Times New Roman"/>
          <w:sz w:val="28"/>
          <w:szCs w:val="28"/>
        </w:rPr>
        <w:t>астеноневротичні розлади (27,2 %)</w:t>
      </w:r>
      <w:r w:rsidRPr="00C73572">
        <w:rPr>
          <w:rFonts w:ascii="Times New Roman" w:hAnsi="Times New Roman"/>
          <w:snapToGrid w:val="0"/>
          <w:sz w:val="28"/>
          <w:szCs w:val="28"/>
        </w:rPr>
        <w:t>,</w:t>
      </w:r>
      <w:r w:rsidRPr="00C73572">
        <w:rPr>
          <w:rFonts w:ascii="Times New Roman" w:hAnsi="Times New Roman"/>
          <w:sz w:val="28"/>
          <w:szCs w:val="28"/>
        </w:rPr>
        <w:t xml:space="preserve"> невротичні та стресобумовлені розлади</w:t>
      </w:r>
      <w:r w:rsidRPr="00C73572">
        <w:rPr>
          <w:rFonts w:ascii="Times New Roman" w:hAnsi="Times New Roman"/>
          <w:snapToGrid w:val="0"/>
          <w:sz w:val="28"/>
          <w:szCs w:val="28"/>
        </w:rPr>
        <w:t xml:space="preserve"> (13,2 %)</w:t>
      </w:r>
      <w:r w:rsidRPr="00C73572">
        <w:rPr>
          <w:rFonts w:ascii="Times New Roman" w:hAnsi="Times New Roman"/>
          <w:sz w:val="28"/>
          <w:szCs w:val="28"/>
        </w:rPr>
        <w:t xml:space="preserve">, розлади особистості і поведінки </w:t>
      </w:r>
      <w:r>
        <w:rPr>
          <w:rFonts w:ascii="Times New Roman" w:hAnsi="Times New Roman"/>
          <w:snapToGrid w:val="0"/>
          <w:sz w:val="28"/>
          <w:szCs w:val="28"/>
        </w:rPr>
        <w:t>(16,7 %), порушення емоційної сфери (</w:t>
      </w:r>
      <w:r w:rsidRPr="00C73572">
        <w:rPr>
          <w:rFonts w:ascii="Times New Roman" w:hAnsi="Times New Roman"/>
          <w:snapToGrid w:val="0"/>
          <w:sz w:val="28"/>
          <w:szCs w:val="28"/>
        </w:rPr>
        <w:t>27 %</w:t>
      </w:r>
      <w:r>
        <w:rPr>
          <w:rFonts w:ascii="Times New Roman" w:hAnsi="Times New Roman"/>
          <w:snapToGrid w:val="0"/>
          <w:sz w:val="28"/>
          <w:szCs w:val="28"/>
        </w:rPr>
        <w:t>)).</w:t>
      </w:r>
      <w:r w:rsidRPr="00C73572">
        <w:rPr>
          <w:rFonts w:ascii="Times New Roman" w:hAnsi="Times New Roman"/>
          <w:snapToGrid w:val="0"/>
          <w:sz w:val="28"/>
          <w:szCs w:val="28"/>
        </w:rPr>
        <w:t xml:space="preserve"> У дітей з вродженою глухотою </w:t>
      </w:r>
      <w:r>
        <w:rPr>
          <w:rFonts w:ascii="Times New Roman" w:hAnsi="Times New Roman"/>
          <w:snapToGrid w:val="0"/>
          <w:sz w:val="28"/>
          <w:szCs w:val="28"/>
        </w:rPr>
        <w:t>виявлено</w:t>
      </w:r>
      <w:r w:rsidRPr="00C73572">
        <w:rPr>
          <w:rFonts w:ascii="Times New Roman" w:hAnsi="Times New Roman"/>
          <w:snapToGrid w:val="0"/>
          <w:sz w:val="28"/>
          <w:szCs w:val="28"/>
        </w:rPr>
        <w:t xml:space="preserve"> прямий кореляційний зв'язок між інтенсивністю карієсу, важкі</w:t>
      </w:r>
      <w:r w:rsidR="00253E9B">
        <w:rPr>
          <w:rFonts w:ascii="Times New Roman" w:hAnsi="Times New Roman"/>
          <w:snapToGrid w:val="0"/>
          <w:sz w:val="28"/>
          <w:szCs w:val="28"/>
        </w:rPr>
        <w:t>стю захворювань тканин пародонта</w:t>
      </w:r>
      <w:r w:rsidRPr="00C73572">
        <w:rPr>
          <w:rFonts w:ascii="Times New Roman" w:hAnsi="Times New Roman"/>
          <w:snapToGrid w:val="0"/>
          <w:sz w:val="28"/>
          <w:szCs w:val="28"/>
        </w:rPr>
        <w:t xml:space="preserve"> (за індексом PMA) і порушенням пс</w:t>
      </w:r>
      <w:r>
        <w:rPr>
          <w:rFonts w:ascii="Times New Roman" w:hAnsi="Times New Roman"/>
          <w:snapToGrid w:val="0"/>
          <w:sz w:val="28"/>
          <w:szCs w:val="28"/>
        </w:rPr>
        <w:t>ихічного та емоційного здоров’я, щ</w:t>
      </w:r>
      <w:r w:rsidRPr="00C73572">
        <w:rPr>
          <w:rFonts w:ascii="Times New Roman" w:hAnsi="Times New Roman"/>
          <w:snapToGrid w:val="0"/>
          <w:sz w:val="28"/>
          <w:szCs w:val="28"/>
        </w:rPr>
        <w:t xml:space="preserve">о підтверджує </w:t>
      </w:r>
      <w:r>
        <w:rPr>
          <w:rFonts w:ascii="Times New Roman" w:hAnsi="Times New Roman"/>
          <w:snapToGrid w:val="0"/>
          <w:sz w:val="28"/>
          <w:szCs w:val="28"/>
        </w:rPr>
        <w:t>наявність тісного зв</w:t>
      </w:r>
      <w:r w:rsidR="00E66209">
        <w:rPr>
          <w:rFonts w:ascii="Times New Roman" w:hAnsi="Times New Roman"/>
          <w:snapToGrid w:val="0"/>
          <w:sz w:val="28"/>
          <w:szCs w:val="28"/>
        </w:rPr>
        <w:t>ʼ</w:t>
      </w:r>
      <w:r>
        <w:rPr>
          <w:rFonts w:ascii="Times New Roman" w:hAnsi="Times New Roman"/>
          <w:snapToGrid w:val="0"/>
          <w:sz w:val="28"/>
          <w:szCs w:val="28"/>
        </w:rPr>
        <w:t>яз</w:t>
      </w:r>
      <w:r w:rsidRPr="00C73572">
        <w:rPr>
          <w:rFonts w:ascii="Times New Roman" w:hAnsi="Times New Roman"/>
          <w:snapToGrid w:val="0"/>
          <w:sz w:val="28"/>
          <w:szCs w:val="28"/>
        </w:rPr>
        <w:t xml:space="preserve">ку між </w:t>
      </w:r>
      <w:r w:rsidRPr="00C73572">
        <w:rPr>
          <w:rFonts w:ascii="Times New Roman" w:hAnsi="Times New Roman"/>
          <w:bCs/>
          <w:sz w:val="28"/>
          <w:szCs w:val="28"/>
          <w:shd w:val="clear" w:color="auto" w:fill="FFFFFF"/>
        </w:rPr>
        <w:t xml:space="preserve">психічним, емоційним і </w:t>
      </w:r>
      <w:r w:rsidR="00E66209" w:rsidRPr="00C73572">
        <w:rPr>
          <w:rFonts w:ascii="Times New Roman" w:hAnsi="Times New Roman"/>
          <w:bCs/>
          <w:sz w:val="28"/>
          <w:szCs w:val="28"/>
          <w:shd w:val="clear" w:color="auto" w:fill="FFFFFF"/>
        </w:rPr>
        <w:t>соматичн</w:t>
      </w:r>
      <w:r w:rsidR="00E66209">
        <w:rPr>
          <w:rFonts w:ascii="Times New Roman" w:hAnsi="Times New Roman"/>
          <w:bCs/>
          <w:sz w:val="28"/>
          <w:szCs w:val="28"/>
          <w:shd w:val="clear" w:color="auto" w:fill="FFFFFF"/>
        </w:rPr>
        <w:t>им</w:t>
      </w:r>
      <w:r w:rsidR="00E66209" w:rsidRPr="00C73572">
        <w:rPr>
          <w:rFonts w:ascii="Times New Roman" w:hAnsi="Times New Roman"/>
          <w:bCs/>
          <w:sz w:val="28"/>
          <w:szCs w:val="28"/>
          <w:shd w:val="clear" w:color="auto" w:fill="FFFFFF"/>
        </w:rPr>
        <w:t xml:space="preserve"> </w:t>
      </w:r>
      <w:r w:rsidRPr="00C73572">
        <w:rPr>
          <w:rFonts w:ascii="Times New Roman" w:hAnsi="Times New Roman"/>
          <w:bCs/>
          <w:sz w:val="28"/>
          <w:szCs w:val="28"/>
          <w:shd w:val="clear" w:color="auto" w:fill="FFFFFF"/>
        </w:rPr>
        <w:t>здоров’я</w:t>
      </w:r>
      <w:r w:rsidR="00E66209">
        <w:rPr>
          <w:rFonts w:ascii="Times New Roman" w:hAnsi="Times New Roman"/>
          <w:bCs/>
          <w:sz w:val="28"/>
          <w:szCs w:val="28"/>
          <w:shd w:val="clear" w:color="auto" w:fill="FFFFFF"/>
        </w:rPr>
        <w:t>м</w:t>
      </w:r>
      <w:r w:rsidRPr="00C73572">
        <w:rPr>
          <w:rFonts w:ascii="Times New Roman" w:hAnsi="Times New Roman"/>
          <w:bCs/>
          <w:sz w:val="28"/>
          <w:szCs w:val="28"/>
          <w:shd w:val="clear" w:color="auto" w:fill="FFFFFF"/>
        </w:rPr>
        <w:t xml:space="preserve"> дітей з вродженою глухотою.</w:t>
      </w:r>
    </w:p>
    <w:p w:rsidR="00781ED2" w:rsidRPr="009F526B" w:rsidRDefault="00781ED2" w:rsidP="00781ED2">
      <w:pPr>
        <w:pStyle w:val="af8"/>
        <w:numPr>
          <w:ilvl w:val="0"/>
          <w:numId w:val="3"/>
        </w:numPr>
        <w:spacing w:line="360" w:lineRule="auto"/>
        <w:ind w:left="0" w:firstLine="709"/>
        <w:jc w:val="both"/>
        <w:rPr>
          <w:rFonts w:ascii="Times New Roman" w:hAnsi="Times New Roman"/>
          <w:color w:val="000000"/>
          <w:sz w:val="20"/>
          <w:szCs w:val="20"/>
        </w:rPr>
      </w:pPr>
      <w:r>
        <w:rPr>
          <w:rFonts w:ascii="Times New Roman" w:hAnsi="Times New Roman"/>
          <w:sz w:val="28"/>
          <w:szCs w:val="28"/>
        </w:rPr>
        <w:t xml:space="preserve">Розроблено </w:t>
      </w:r>
      <w:r>
        <w:rPr>
          <w:rFonts w:ascii="Times New Roman" w:hAnsi="Times New Roman"/>
          <w:sz w:val="28"/>
        </w:rPr>
        <w:t>комплекс</w:t>
      </w:r>
      <w:r w:rsidRPr="009F526B">
        <w:rPr>
          <w:rFonts w:ascii="Times New Roman" w:hAnsi="Times New Roman"/>
          <w:sz w:val="28"/>
        </w:rPr>
        <w:t xml:space="preserve"> лікувально-профілактичних заходів</w:t>
      </w:r>
      <w:r w:rsidRPr="009F526B">
        <w:rPr>
          <w:rFonts w:ascii="Times New Roman" w:hAnsi="Times New Roman"/>
          <w:sz w:val="28"/>
          <w:szCs w:val="28"/>
        </w:rPr>
        <w:t>, використання</w:t>
      </w:r>
      <w:r>
        <w:rPr>
          <w:rFonts w:ascii="Times New Roman" w:hAnsi="Times New Roman"/>
          <w:sz w:val="28"/>
          <w:szCs w:val="28"/>
        </w:rPr>
        <w:t xml:space="preserve"> якого </w:t>
      </w:r>
      <w:r w:rsidRPr="009F526B">
        <w:rPr>
          <w:rFonts w:ascii="Times New Roman" w:hAnsi="Times New Roman"/>
          <w:sz w:val="28"/>
          <w:szCs w:val="28"/>
        </w:rPr>
        <w:t xml:space="preserve">в групі дітей з вродженою глухотою дозволило нормалізувати гігієну </w:t>
      </w:r>
      <w:r>
        <w:rPr>
          <w:rFonts w:ascii="Times New Roman" w:hAnsi="Times New Roman"/>
          <w:sz w:val="28"/>
          <w:szCs w:val="28"/>
        </w:rPr>
        <w:t>порожнини рота, досягти редукції</w:t>
      </w:r>
      <w:r w:rsidRPr="009F526B">
        <w:rPr>
          <w:rFonts w:ascii="Times New Roman" w:hAnsi="Times New Roman"/>
          <w:sz w:val="28"/>
          <w:szCs w:val="28"/>
        </w:rPr>
        <w:t xml:space="preserve"> приросту карієсу зубів на 82 %, отримати 22 % </w:t>
      </w:r>
      <w:r w:rsidRPr="009F526B">
        <w:rPr>
          <w:rFonts w:ascii="Times New Roman" w:hAnsi="Times New Roman"/>
          <w:bCs/>
          <w:sz w:val="28"/>
          <w:szCs w:val="28"/>
        </w:rPr>
        <w:t>карієспрофілактичної ефективності, знизити розповсюдженість захворювань пародонта до 17 %,</w:t>
      </w:r>
      <w:r w:rsidRPr="009F526B">
        <w:rPr>
          <w:rFonts w:ascii="Times New Roman" w:hAnsi="Times New Roman"/>
          <w:sz w:val="28"/>
          <w:szCs w:val="28"/>
        </w:rPr>
        <w:t xml:space="preserve">покращити індекси  РМА та </w:t>
      </w:r>
      <w:r w:rsidRPr="009F526B">
        <w:rPr>
          <w:rFonts w:ascii="Times New Roman" w:hAnsi="Times New Roman"/>
          <w:sz w:val="28"/>
          <w:szCs w:val="28"/>
          <w:lang w:val="en-US"/>
        </w:rPr>
        <w:t>CPITN</w:t>
      </w:r>
      <w:r w:rsidRPr="009F526B">
        <w:rPr>
          <w:rFonts w:ascii="Times New Roman" w:hAnsi="Times New Roman"/>
          <w:sz w:val="28"/>
          <w:szCs w:val="28"/>
        </w:rPr>
        <w:t xml:space="preserve"> на 88 % та 69 % відповідно. </w:t>
      </w:r>
    </w:p>
    <w:p w:rsidR="00781ED2" w:rsidRPr="00023CF4" w:rsidRDefault="00781ED2" w:rsidP="00781ED2">
      <w:pPr>
        <w:pStyle w:val="af8"/>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Ч</w:t>
      </w:r>
      <w:r w:rsidRPr="00C73082">
        <w:rPr>
          <w:rFonts w:ascii="Times New Roman" w:hAnsi="Times New Roman"/>
          <w:sz w:val="28"/>
          <w:szCs w:val="28"/>
        </w:rPr>
        <w:t xml:space="preserve">ерез рік після проведення процедур </w:t>
      </w:r>
      <w:r>
        <w:rPr>
          <w:rFonts w:ascii="Times New Roman" w:hAnsi="Times New Roman"/>
          <w:sz w:val="28"/>
          <w:szCs w:val="28"/>
        </w:rPr>
        <w:t>і</w:t>
      </w:r>
      <w:r w:rsidRPr="00C73082">
        <w:rPr>
          <w:rFonts w:ascii="Times New Roman" w:hAnsi="Times New Roman"/>
          <w:sz w:val="28"/>
          <w:szCs w:val="28"/>
        </w:rPr>
        <w:t>з застосуванням запропонованого лікув</w:t>
      </w:r>
      <w:r>
        <w:rPr>
          <w:rFonts w:ascii="Times New Roman" w:hAnsi="Times New Roman"/>
          <w:sz w:val="28"/>
          <w:szCs w:val="28"/>
        </w:rPr>
        <w:t xml:space="preserve">ально-профілактичного комплексу інтенсивність процесів </w:t>
      </w:r>
      <w:r w:rsidR="00CB78C0">
        <w:rPr>
          <w:rFonts w:ascii="Times New Roman" w:hAnsi="Times New Roman"/>
          <w:sz w:val="28"/>
          <w:szCs w:val="28"/>
        </w:rPr>
        <w:t>перекисн</w:t>
      </w:r>
      <w:r>
        <w:rPr>
          <w:rFonts w:ascii="Times New Roman" w:hAnsi="Times New Roman"/>
          <w:sz w:val="28"/>
          <w:szCs w:val="28"/>
        </w:rPr>
        <w:t xml:space="preserve">ого окислення ліпідів знизилась на 28,5 %,  стан </w:t>
      </w:r>
      <w:r w:rsidRPr="00397AED">
        <w:rPr>
          <w:rFonts w:ascii="Times New Roman" w:hAnsi="Times New Roman"/>
          <w:sz w:val="28"/>
          <w:szCs w:val="28"/>
        </w:rPr>
        <w:t>антиоксидантної системи</w:t>
      </w:r>
      <w:r>
        <w:rPr>
          <w:rFonts w:ascii="Times New Roman" w:hAnsi="Times New Roman"/>
          <w:sz w:val="28"/>
          <w:szCs w:val="28"/>
        </w:rPr>
        <w:t xml:space="preserve"> </w:t>
      </w:r>
      <w:r w:rsidRPr="00397AED">
        <w:rPr>
          <w:rFonts w:ascii="Times New Roman" w:hAnsi="Times New Roman"/>
          <w:sz w:val="28"/>
          <w:szCs w:val="28"/>
        </w:rPr>
        <w:t>покращився</w:t>
      </w:r>
      <w:r>
        <w:rPr>
          <w:rFonts w:ascii="Times New Roman" w:hAnsi="Times New Roman"/>
          <w:sz w:val="28"/>
          <w:szCs w:val="28"/>
        </w:rPr>
        <w:t xml:space="preserve"> за рахунок підвищення рівня активності СОД на 43,0 % та каталази на 44,6 %, </w:t>
      </w:r>
      <w:r w:rsidRPr="00397AED">
        <w:rPr>
          <w:rFonts w:ascii="Times New Roman" w:hAnsi="Times New Roman"/>
          <w:sz w:val="28"/>
          <w:szCs w:val="28"/>
        </w:rPr>
        <w:t>захисні сили тканин ротової порожнини та стан місцевого і</w:t>
      </w:r>
      <w:r>
        <w:rPr>
          <w:rFonts w:ascii="Times New Roman" w:hAnsi="Times New Roman"/>
          <w:sz w:val="28"/>
          <w:szCs w:val="28"/>
        </w:rPr>
        <w:t>мунітету практично відновилися (АПІ збільшився на 121,5</w:t>
      </w:r>
      <w:r>
        <w:t> </w:t>
      </w:r>
      <w:r>
        <w:rPr>
          <w:rFonts w:ascii="Times New Roman" w:hAnsi="Times New Roman"/>
          <w:sz w:val="28"/>
          <w:szCs w:val="28"/>
        </w:rPr>
        <w:t>%, активність лізоциму ротов</w:t>
      </w:r>
      <w:r w:rsidRPr="00023CF4">
        <w:rPr>
          <w:rFonts w:ascii="Times New Roman" w:hAnsi="Times New Roman"/>
          <w:sz w:val="28"/>
          <w:szCs w:val="28"/>
        </w:rPr>
        <w:t xml:space="preserve">ої рідини </w:t>
      </w:r>
      <w:r w:rsidR="00E66209" w:rsidRPr="00023CF4">
        <w:rPr>
          <w:rFonts w:ascii="Times New Roman" w:hAnsi="Times New Roman"/>
          <w:sz w:val="28"/>
          <w:szCs w:val="28"/>
        </w:rPr>
        <w:t>підвищилас</w:t>
      </w:r>
      <w:r w:rsidR="00E66209">
        <w:rPr>
          <w:rFonts w:ascii="Times New Roman" w:hAnsi="Times New Roman"/>
          <w:sz w:val="28"/>
          <w:szCs w:val="28"/>
        </w:rPr>
        <w:t>я</w:t>
      </w:r>
      <w:r w:rsidR="00E66209" w:rsidRPr="00023CF4">
        <w:rPr>
          <w:rFonts w:ascii="Times New Roman" w:hAnsi="Times New Roman"/>
          <w:sz w:val="28"/>
          <w:szCs w:val="28"/>
        </w:rPr>
        <w:t xml:space="preserve"> </w:t>
      </w:r>
      <w:r w:rsidRPr="00023CF4">
        <w:rPr>
          <w:rFonts w:ascii="Times New Roman" w:hAnsi="Times New Roman"/>
          <w:sz w:val="28"/>
          <w:szCs w:val="28"/>
        </w:rPr>
        <w:t xml:space="preserve">на 58,1 %, </w:t>
      </w:r>
      <w:r>
        <w:rPr>
          <w:rFonts w:ascii="Times New Roman" w:hAnsi="Times New Roman"/>
          <w:sz w:val="28"/>
          <w:szCs w:val="28"/>
          <w:shd w:val="clear" w:color="auto" w:fill="FFFFFF"/>
        </w:rPr>
        <w:t xml:space="preserve">вміст </w:t>
      </w:r>
      <w:r w:rsidRPr="00023CF4">
        <w:rPr>
          <w:rFonts w:ascii="Times New Roman" w:hAnsi="Times New Roman"/>
          <w:sz w:val="28"/>
          <w:szCs w:val="28"/>
          <w:lang w:eastAsia="uk-UA"/>
        </w:rPr>
        <w:t>секреторного імуногл</w:t>
      </w:r>
      <w:r>
        <w:rPr>
          <w:rFonts w:ascii="Times New Roman" w:hAnsi="Times New Roman"/>
          <w:sz w:val="28"/>
          <w:szCs w:val="28"/>
          <w:lang w:eastAsia="uk-UA"/>
        </w:rPr>
        <w:t>обуліну </w:t>
      </w:r>
      <w:r w:rsidRPr="00023CF4">
        <w:rPr>
          <w:rFonts w:ascii="Times New Roman" w:hAnsi="Times New Roman"/>
          <w:sz w:val="28"/>
          <w:szCs w:val="28"/>
          <w:lang w:eastAsia="uk-UA"/>
        </w:rPr>
        <w:t>А</w:t>
      </w:r>
      <w:r>
        <w:rPr>
          <w:rFonts w:ascii="Times New Roman" w:hAnsi="Times New Roman"/>
          <w:sz w:val="28"/>
          <w:szCs w:val="28"/>
          <w:lang w:eastAsia="uk-UA"/>
        </w:rPr>
        <w:t xml:space="preserve"> збільшився на 30,7 %, активність уреази </w:t>
      </w:r>
      <w:r w:rsidR="00E66209">
        <w:rPr>
          <w:rFonts w:ascii="Times New Roman" w:hAnsi="Times New Roman"/>
          <w:sz w:val="28"/>
          <w:szCs w:val="28"/>
          <w:lang w:eastAsia="uk-UA"/>
        </w:rPr>
        <w:t xml:space="preserve">знизилася </w:t>
      </w:r>
      <w:r>
        <w:rPr>
          <w:rFonts w:ascii="Times New Roman" w:hAnsi="Times New Roman"/>
          <w:sz w:val="28"/>
          <w:szCs w:val="28"/>
          <w:lang w:eastAsia="uk-UA"/>
        </w:rPr>
        <w:t xml:space="preserve">на 52,6 %, ступінь дисбіозу знизився на 71,7 %). </w:t>
      </w:r>
      <w:r w:rsidRPr="00023CF4">
        <w:rPr>
          <w:rFonts w:ascii="Times New Roman" w:hAnsi="Times New Roman"/>
          <w:color w:val="000000"/>
          <w:sz w:val="28"/>
          <w:szCs w:val="28"/>
        </w:rPr>
        <w:t xml:space="preserve">Запропонована схема за показниками </w:t>
      </w:r>
      <w:r w:rsidRPr="00023CF4">
        <w:rPr>
          <w:rFonts w:ascii="Times New Roman" w:hAnsi="Times New Roman"/>
          <w:sz w:val="28"/>
          <w:szCs w:val="28"/>
        </w:rPr>
        <w:t>елімінації карієсогенних стрептококів, пародонтопатогенних бактерій, ентеробактерій та неферментуючих</w:t>
      </w:r>
      <w:r>
        <w:rPr>
          <w:rFonts w:ascii="Times New Roman" w:hAnsi="Times New Roman"/>
          <w:sz w:val="28"/>
          <w:szCs w:val="28"/>
        </w:rPr>
        <w:t xml:space="preserve"> </w:t>
      </w:r>
      <w:r w:rsidRPr="00023CF4">
        <w:rPr>
          <w:rFonts w:ascii="Times New Roman" w:hAnsi="Times New Roman"/>
          <w:sz w:val="28"/>
          <w:szCs w:val="28"/>
        </w:rPr>
        <w:t xml:space="preserve">грамнегативних бактерій, </w:t>
      </w:r>
      <w:r w:rsidR="00E66209" w:rsidRPr="00023CF4">
        <w:rPr>
          <w:rFonts w:ascii="Times New Roman" w:hAnsi="Times New Roman"/>
          <w:sz w:val="28"/>
          <w:szCs w:val="28"/>
        </w:rPr>
        <w:t>виявил</w:t>
      </w:r>
      <w:r w:rsidR="00E66209">
        <w:rPr>
          <w:rFonts w:ascii="Times New Roman" w:hAnsi="Times New Roman"/>
          <w:sz w:val="28"/>
          <w:szCs w:val="28"/>
        </w:rPr>
        <w:t>ася</w:t>
      </w:r>
      <w:r w:rsidR="00E66209" w:rsidRPr="00023CF4">
        <w:rPr>
          <w:rFonts w:ascii="Times New Roman" w:hAnsi="Times New Roman"/>
          <w:sz w:val="28"/>
          <w:szCs w:val="28"/>
        </w:rPr>
        <w:t xml:space="preserve"> </w:t>
      </w:r>
      <w:r w:rsidRPr="00023CF4">
        <w:rPr>
          <w:rFonts w:ascii="Times New Roman" w:hAnsi="Times New Roman"/>
          <w:sz w:val="28"/>
          <w:szCs w:val="28"/>
        </w:rPr>
        <w:t>більш ефективною у порівнянні з традиційною лікувально-профілактична схемою</w:t>
      </w:r>
      <w:r>
        <w:rPr>
          <w:rFonts w:ascii="Times New Roman" w:hAnsi="Times New Roman"/>
          <w:sz w:val="28"/>
          <w:szCs w:val="28"/>
        </w:rPr>
        <w:t>.</w:t>
      </w: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rPr>
          <w:color w:val="000000"/>
          <w:sz w:val="20"/>
          <w:szCs w:val="20"/>
        </w:rPr>
      </w:pPr>
    </w:p>
    <w:p w:rsidR="00781ED2" w:rsidRDefault="00781ED2" w:rsidP="00781ED2">
      <w:pPr>
        <w:ind w:firstLine="709"/>
        <w:contextualSpacing/>
        <w:jc w:val="center"/>
        <w:rPr>
          <w:b/>
          <w:color w:val="000000"/>
          <w:szCs w:val="20"/>
        </w:rPr>
      </w:pPr>
      <w:r>
        <w:rPr>
          <w:b/>
          <w:color w:val="000000"/>
          <w:szCs w:val="20"/>
        </w:rPr>
        <w:t>ПРАКТИЧНІ РЕКОМЕНДАЦІЇ</w:t>
      </w:r>
    </w:p>
    <w:p w:rsidR="00781ED2" w:rsidRPr="00C44D0C" w:rsidRDefault="00781ED2" w:rsidP="00781ED2">
      <w:pPr>
        <w:pStyle w:val="af8"/>
        <w:numPr>
          <w:ilvl w:val="0"/>
          <w:numId w:val="4"/>
        </w:numPr>
        <w:spacing w:after="0" w:line="360" w:lineRule="auto"/>
        <w:ind w:left="0" w:firstLine="709"/>
        <w:jc w:val="both"/>
        <w:rPr>
          <w:rFonts w:ascii="Times New Roman" w:hAnsi="Times New Roman"/>
          <w:color w:val="000000"/>
          <w:sz w:val="28"/>
          <w:szCs w:val="20"/>
        </w:rPr>
      </w:pPr>
      <w:r>
        <w:rPr>
          <w:rFonts w:ascii="Times New Roman" w:hAnsi="Times New Roman"/>
          <w:color w:val="000000"/>
          <w:sz w:val="28"/>
          <w:szCs w:val="20"/>
        </w:rPr>
        <w:t>Для</w:t>
      </w:r>
      <w:r w:rsidRPr="005C038D">
        <w:rPr>
          <w:rFonts w:ascii="Times New Roman" w:hAnsi="Times New Roman"/>
          <w:color w:val="000000"/>
          <w:sz w:val="28"/>
          <w:szCs w:val="20"/>
        </w:rPr>
        <w:t xml:space="preserve"> профілактики та лікування карієсу зубів та захворювань тканин пародонта у дітей з вродженою глухотою рекомендовано</w:t>
      </w:r>
      <w:r>
        <w:rPr>
          <w:rFonts w:ascii="Times New Roman" w:hAnsi="Times New Roman"/>
          <w:color w:val="000000"/>
          <w:sz w:val="28"/>
          <w:szCs w:val="20"/>
        </w:rPr>
        <w:t xml:space="preserve"> </w:t>
      </w:r>
      <w:r w:rsidRPr="00C44D0C">
        <w:rPr>
          <w:rFonts w:ascii="Times New Roman" w:hAnsi="Times New Roman"/>
          <w:color w:val="000000"/>
          <w:sz w:val="28"/>
          <w:szCs w:val="20"/>
        </w:rPr>
        <w:t xml:space="preserve">застосування </w:t>
      </w:r>
      <w:r w:rsidRPr="00C44D0C">
        <w:rPr>
          <w:rFonts w:ascii="Times New Roman" w:hAnsi="Times New Roman"/>
          <w:sz w:val="28"/>
          <w:szCs w:val="28"/>
          <w:lang w:eastAsia="uk-UA"/>
        </w:rPr>
        <w:t>комплексного препарату</w:t>
      </w:r>
      <w:r>
        <w:rPr>
          <w:rFonts w:ascii="Times New Roman" w:hAnsi="Times New Roman"/>
          <w:sz w:val="28"/>
          <w:szCs w:val="28"/>
          <w:lang w:eastAsia="uk-UA"/>
        </w:rPr>
        <w:t>,</w:t>
      </w:r>
      <w:r w:rsidRPr="00C44D0C">
        <w:rPr>
          <w:rFonts w:ascii="Times New Roman" w:hAnsi="Times New Roman"/>
          <w:sz w:val="28"/>
          <w:szCs w:val="28"/>
          <w:lang w:eastAsia="uk-UA"/>
        </w:rPr>
        <w:t xml:space="preserve"> до складу якого входить біоадаптоген</w:t>
      </w:r>
      <w:r>
        <w:rPr>
          <w:rFonts w:ascii="Times New Roman" w:hAnsi="Times New Roman"/>
          <w:sz w:val="28"/>
          <w:szCs w:val="28"/>
          <w:lang w:eastAsia="uk-UA"/>
        </w:rPr>
        <w:t xml:space="preserve"> </w:t>
      </w:r>
      <w:r w:rsidRPr="00C44D0C">
        <w:rPr>
          <w:rFonts w:ascii="Times New Roman" w:hAnsi="Times New Roman"/>
          <w:sz w:val="28"/>
          <w:szCs w:val="28"/>
          <w:lang w:eastAsia="uk-UA"/>
        </w:rPr>
        <w:t xml:space="preserve">біотрит, аскорбінова кислота, лецитин, натрій фтористий, </w:t>
      </w:r>
      <w:r w:rsidRPr="00C44D0C">
        <w:rPr>
          <w:rFonts w:ascii="Times New Roman" w:hAnsi="Times New Roman"/>
          <w:sz w:val="28"/>
          <w:szCs w:val="28"/>
        </w:rPr>
        <w:t xml:space="preserve">солі кальцію, цитрат, цетавлон, </w:t>
      </w:r>
      <w:r w:rsidRPr="00C44D0C">
        <w:rPr>
          <w:rFonts w:ascii="Times New Roman" w:hAnsi="Times New Roman"/>
          <w:sz w:val="28"/>
          <w:szCs w:val="28"/>
        </w:rPr>
        <w:t>сахарозамінник</w:t>
      </w:r>
      <w:r>
        <w:rPr>
          <w:rFonts w:ascii="Times New Roman" w:hAnsi="Times New Roman"/>
          <w:sz w:val="28"/>
          <w:szCs w:val="28"/>
        </w:rPr>
        <w:t xml:space="preserve"> </w:t>
      </w:r>
      <w:r w:rsidRPr="00C44D0C">
        <w:rPr>
          <w:rFonts w:ascii="Times New Roman" w:hAnsi="Times New Roman"/>
          <w:sz w:val="28"/>
          <w:szCs w:val="28"/>
          <w:lang w:eastAsia="uk-UA"/>
        </w:rPr>
        <w:t>по одній таблетці три рази на добу після їжі протягом 30 днів.</w:t>
      </w:r>
    </w:p>
    <w:p w:rsidR="00781ED2" w:rsidRPr="007E590C" w:rsidRDefault="00781ED2" w:rsidP="00781ED2">
      <w:pPr>
        <w:pStyle w:val="af8"/>
        <w:numPr>
          <w:ilvl w:val="0"/>
          <w:numId w:val="4"/>
        </w:numPr>
        <w:spacing w:after="0" w:line="360" w:lineRule="auto"/>
        <w:ind w:left="0" w:firstLine="709"/>
        <w:jc w:val="both"/>
        <w:rPr>
          <w:rFonts w:ascii="Times New Roman" w:hAnsi="Times New Roman"/>
          <w:color w:val="000000"/>
          <w:sz w:val="28"/>
          <w:szCs w:val="20"/>
        </w:rPr>
      </w:pPr>
      <w:r>
        <w:rPr>
          <w:rFonts w:ascii="Times New Roman" w:hAnsi="Times New Roman"/>
          <w:sz w:val="28"/>
          <w:szCs w:val="28"/>
        </w:rPr>
        <w:t xml:space="preserve">Дітям з вродженою глухотою рекомендовано </w:t>
      </w:r>
      <w:r>
        <w:rPr>
          <w:rFonts w:ascii="Times New Roman" w:hAnsi="Times New Roman"/>
          <w:sz w:val="28"/>
          <w:szCs w:val="28"/>
          <w:lang w:eastAsia="uk-UA"/>
        </w:rPr>
        <w:t>щоденний догляд за зубами, а саме дво</w:t>
      </w:r>
      <w:r w:rsidRPr="007E590C">
        <w:rPr>
          <w:rFonts w:ascii="Times New Roman" w:hAnsi="Times New Roman"/>
          <w:sz w:val="28"/>
          <w:szCs w:val="28"/>
          <w:lang w:eastAsia="uk-UA"/>
        </w:rPr>
        <w:t>разова чистка зубів</w:t>
      </w:r>
      <w:r>
        <w:rPr>
          <w:rFonts w:ascii="Times New Roman" w:hAnsi="Times New Roman"/>
          <w:sz w:val="28"/>
          <w:szCs w:val="28"/>
          <w:lang w:eastAsia="uk-UA"/>
        </w:rPr>
        <w:t xml:space="preserve">, використання </w:t>
      </w:r>
      <w:r w:rsidRPr="007E590C">
        <w:rPr>
          <w:rFonts w:ascii="Times New Roman" w:hAnsi="Times New Roman"/>
          <w:sz w:val="28"/>
          <w:szCs w:val="28"/>
          <w:lang w:eastAsia="uk-UA"/>
        </w:rPr>
        <w:t xml:space="preserve">мануальної зубної щітки (розмір </w:t>
      </w:r>
      <w:r>
        <w:rPr>
          <w:rFonts w:ascii="Times New Roman" w:hAnsi="Times New Roman"/>
          <w:sz w:val="28"/>
          <w:szCs w:val="28"/>
          <w:lang w:eastAsia="uk-UA"/>
        </w:rPr>
        <w:t>добирається відповідно до</w:t>
      </w:r>
      <w:r w:rsidRPr="007E590C">
        <w:rPr>
          <w:rFonts w:ascii="Times New Roman" w:hAnsi="Times New Roman"/>
          <w:sz w:val="28"/>
          <w:szCs w:val="28"/>
          <w:lang w:eastAsia="uk-UA"/>
        </w:rPr>
        <w:t xml:space="preserve"> вік</w:t>
      </w:r>
      <w:r>
        <w:rPr>
          <w:rFonts w:ascii="Times New Roman" w:hAnsi="Times New Roman"/>
          <w:sz w:val="28"/>
          <w:szCs w:val="28"/>
          <w:lang w:eastAsia="uk-UA"/>
        </w:rPr>
        <w:t>у</w:t>
      </w:r>
      <w:r w:rsidRPr="007E590C">
        <w:rPr>
          <w:rFonts w:ascii="Times New Roman" w:hAnsi="Times New Roman"/>
          <w:sz w:val="28"/>
          <w:szCs w:val="28"/>
          <w:lang w:eastAsia="uk-UA"/>
        </w:rPr>
        <w:t>)</w:t>
      </w:r>
      <w:r>
        <w:rPr>
          <w:rFonts w:ascii="Times New Roman" w:hAnsi="Times New Roman"/>
          <w:sz w:val="28"/>
          <w:szCs w:val="28"/>
          <w:lang w:eastAsia="uk-UA"/>
        </w:rPr>
        <w:t xml:space="preserve">, </w:t>
      </w:r>
      <w:r>
        <w:rPr>
          <w:rFonts w:ascii="Times New Roman" w:hAnsi="Times New Roman"/>
          <w:sz w:val="28"/>
          <w:szCs w:val="28"/>
        </w:rPr>
        <w:t>дитячої зубної пасти</w:t>
      </w:r>
      <w:r w:rsidRPr="007E590C">
        <w:rPr>
          <w:rFonts w:ascii="Times New Roman" w:hAnsi="Times New Roman"/>
          <w:sz w:val="28"/>
          <w:szCs w:val="28"/>
        </w:rPr>
        <w:t xml:space="preserve"> з амінофторидом (вміст іонів фтору 500 млн−1) для дітей від 4 до 8 років</w:t>
      </w:r>
      <w:r>
        <w:rPr>
          <w:rFonts w:ascii="Times New Roman" w:hAnsi="Times New Roman"/>
          <w:sz w:val="28"/>
          <w:szCs w:val="28"/>
        </w:rPr>
        <w:t>, дитячої зубної пасти</w:t>
      </w:r>
      <w:r w:rsidRPr="007E590C">
        <w:rPr>
          <w:rFonts w:ascii="Times New Roman" w:hAnsi="Times New Roman"/>
          <w:sz w:val="28"/>
          <w:szCs w:val="28"/>
        </w:rPr>
        <w:t xml:space="preserve"> з амінофторидом та фторидом натрію (вміст іонів фтору 14</w:t>
      </w:r>
      <w:r>
        <w:rPr>
          <w:rFonts w:ascii="Times New Roman" w:hAnsi="Times New Roman"/>
          <w:sz w:val="28"/>
          <w:szCs w:val="28"/>
        </w:rPr>
        <w:t xml:space="preserve">00 млн−1) для дітей від 8 років, </w:t>
      </w:r>
      <w:r w:rsidRPr="005C038D">
        <w:rPr>
          <w:rFonts w:ascii="Times New Roman" w:hAnsi="Times New Roman"/>
          <w:sz w:val="28"/>
          <w:szCs w:val="28"/>
          <w:lang w:eastAsia="uk-UA"/>
        </w:rPr>
        <w:t>ополіскування порожнини рота лікувально-профілактичним зубним еліксиром, до складу якого входять лізоцим, детергент цитавлон  та інгібітор протеаз</w:t>
      </w:r>
      <w:r w:rsidR="00253E9B">
        <w:rPr>
          <w:rFonts w:ascii="Times New Roman" w:hAnsi="Times New Roman"/>
          <w:sz w:val="28"/>
          <w:szCs w:val="28"/>
          <w:lang w:eastAsia="uk-UA"/>
        </w:rPr>
        <w:t xml:space="preserve"> </w:t>
      </w:r>
      <w:r w:rsidRPr="005C038D">
        <w:rPr>
          <w:rFonts w:ascii="Times New Roman" w:hAnsi="Times New Roman"/>
          <w:sz w:val="28"/>
          <w:szCs w:val="28"/>
          <w:lang w:eastAsia="uk-UA"/>
        </w:rPr>
        <w:t>овомукоїд</w:t>
      </w:r>
      <w:r>
        <w:rPr>
          <w:rFonts w:ascii="Times New Roman" w:hAnsi="Times New Roman"/>
          <w:sz w:val="28"/>
          <w:szCs w:val="28"/>
        </w:rPr>
        <w:t xml:space="preserve"> (п</w:t>
      </w:r>
      <w:r w:rsidRPr="005C038D">
        <w:rPr>
          <w:rFonts w:ascii="Times New Roman" w:hAnsi="Times New Roman"/>
          <w:sz w:val="28"/>
          <w:szCs w:val="28"/>
        </w:rPr>
        <w:t>еред ополіскуванням</w:t>
      </w:r>
      <w:r>
        <w:rPr>
          <w:rFonts w:ascii="Times New Roman" w:hAnsi="Times New Roman"/>
          <w:sz w:val="28"/>
          <w:szCs w:val="28"/>
        </w:rPr>
        <w:t xml:space="preserve"> еліксир необхідно</w:t>
      </w:r>
      <w:r w:rsidRPr="005C038D">
        <w:rPr>
          <w:rFonts w:ascii="Times New Roman" w:hAnsi="Times New Roman"/>
          <w:sz w:val="28"/>
          <w:szCs w:val="28"/>
        </w:rPr>
        <w:t xml:space="preserve"> розводити водопровідною водою із розрахунку 1 чайна ложка еліксиру на ¼ склянки води (1:10)</w:t>
      </w:r>
      <w:r>
        <w:rPr>
          <w:rFonts w:ascii="Times New Roman" w:hAnsi="Times New Roman"/>
          <w:sz w:val="28"/>
          <w:szCs w:val="28"/>
        </w:rPr>
        <w:t>)</w:t>
      </w:r>
      <w:r w:rsidRPr="005C038D">
        <w:rPr>
          <w:rFonts w:ascii="Times New Roman" w:hAnsi="Times New Roman"/>
          <w:sz w:val="28"/>
          <w:szCs w:val="28"/>
        </w:rPr>
        <w:t xml:space="preserve">. </w:t>
      </w:r>
      <w:r>
        <w:rPr>
          <w:rFonts w:ascii="Times New Roman" w:hAnsi="Times New Roman"/>
          <w:sz w:val="28"/>
          <w:szCs w:val="28"/>
        </w:rPr>
        <w:t>Ополіскування необхідно п</w:t>
      </w:r>
      <w:r w:rsidRPr="005C038D">
        <w:rPr>
          <w:rFonts w:ascii="Times New Roman" w:hAnsi="Times New Roman"/>
          <w:sz w:val="28"/>
          <w:szCs w:val="28"/>
        </w:rPr>
        <w:t xml:space="preserve">роводити </w:t>
      </w:r>
      <w:r>
        <w:rPr>
          <w:rFonts w:ascii="Times New Roman" w:hAnsi="Times New Roman"/>
          <w:sz w:val="28"/>
          <w:szCs w:val="28"/>
        </w:rPr>
        <w:t>після їжі впродовж</w:t>
      </w:r>
      <w:r w:rsidRPr="005C038D">
        <w:rPr>
          <w:rFonts w:ascii="Times New Roman" w:hAnsi="Times New Roman"/>
          <w:sz w:val="28"/>
          <w:szCs w:val="28"/>
        </w:rPr>
        <w:t xml:space="preserve"> 60 секунд 3 рази на добу 30 днів.</w:t>
      </w:r>
    </w:p>
    <w:p w:rsidR="00781ED2" w:rsidRPr="007E590C" w:rsidRDefault="00781ED2" w:rsidP="00781ED2">
      <w:pPr>
        <w:pStyle w:val="af8"/>
        <w:numPr>
          <w:ilvl w:val="0"/>
          <w:numId w:val="4"/>
        </w:numPr>
        <w:spacing w:after="0" w:line="360" w:lineRule="auto"/>
        <w:ind w:left="0" w:firstLine="709"/>
        <w:jc w:val="both"/>
        <w:rPr>
          <w:rFonts w:ascii="Times New Roman" w:hAnsi="Times New Roman"/>
          <w:color w:val="000000"/>
          <w:sz w:val="28"/>
          <w:szCs w:val="20"/>
        </w:rPr>
      </w:pPr>
      <w:r w:rsidRPr="007E590C">
        <w:rPr>
          <w:rFonts w:ascii="Times New Roman" w:hAnsi="Times New Roman"/>
          <w:sz w:val="28"/>
          <w:szCs w:val="28"/>
        </w:rPr>
        <w:t xml:space="preserve">Рекомендовано оцінювати </w:t>
      </w:r>
      <w:r w:rsidR="00C619CF" w:rsidRPr="007E590C">
        <w:rPr>
          <w:rFonts w:ascii="Times New Roman" w:hAnsi="Times New Roman"/>
          <w:sz w:val="28"/>
          <w:szCs w:val="28"/>
        </w:rPr>
        <w:t>ефективн</w:t>
      </w:r>
      <w:r w:rsidR="00C619CF">
        <w:rPr>
          <w:rFonts w:ascii="Times New Roman" w:hAnsi="Times New Roman"/>
          <w:sz w:val="28"/>
          <w:szCs w:val="28"/>
        </w:rPr>
        <w:t>ість</w:t>
      </w:r>
      <w:r w:rsidR="00C619CF" w:rsidRPr="007E590C">
        <w:rPr>
          <w:rFonts w:ascii="Times New Roman" w:hAnsi="Times New Roman"/>
          <w:sz w:val="28"/>
          <w:szCs w:val="28"/>
        </w:rPr>
        <w:t xml:space="preserve"> </w:t>
      </w:r>
      <w:r w:rsidRPr="007E590C">
        <w:rPr>
          <w:rFonts w:ascii="Times New Roman" w:hAnsi="Times New Roman"/>
          <w:sz w:val="28"/>
          <w:szCs w:val="28"/>
        </w:rPr>
        <w:t>лікування та профілактики карієсу твердих тканин зубів та захворювань тканин пародонта у дітей  з вродженою глухотою шляхом вивчення біохімічних показн</w:t>
      </w:r>
      <w:r>
        <w:rPr>
          <w:rFonts w:ascii="Times New Roman" w:hAnsi="Times New Roman"/>
          <w:sz w:val="28"/>
          <w:szCs w:val="28"/>
        </w:rPr>
        <w:t>иків ротової рідини (рівень ТБК-</w:t>
      </w:r>
      <w:r w:rsidRPr="007E590C">
        <w:rPr>
          <w:rFonts w:ascii="Times New Roman" w:hAnsi="Times New Roman"/>
          <w:sz w:val="28"/>
          <w:szCs w:val="28"/>
        </w:rPr>
        <w:t>активних продуктів, каталази, супероксиддисмутази та антиоксидантно-прооксидантного індексу).</w:t>
      </w:r>
    </w:p>
    <w:p w:rsidR="00781ED2" w:rsidRPr="005C038D" w:rsidRDefault="00781ED2" w:rsidP="00781ED2">
      <w:pPr>
        <w:ind w:firstLine="709"/>
        <w:contextualSpacing/>
        <w:rPr>
          <w:color w:val="000000"/>
          <w:szCs w:val="20"/>
        </w:rPr>
      </w:pPr>
    </w:p>
    <w:p w:rsidR="00534FB5" w:rsidRDefault="00534FB5" w:rsidP="00534FB5">
      <w:pPr>
        <w:pStyle w:val="af8"/>
        <w:widowControl w:val="0"/>
        <w:tabs>
          <w:tab w:val="left" w:pos="0"/>
        </w:tabs>
        <w:autoSpaceDE w:val="0"/>
        <w:autoSpaceDN w:val="0"/>
        <w:adjustRightInd w:val="0"/>
        <w:spacing w:after="0" w:line="360" w:lineRule="auto"/>
        <w:ind w:left="567"/>
        <w:jc w:val="both"/>
      </w:pP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color w:val="000000"/>
          <w:sz w:val="26"/>
          <w:szCs w:val="26"/>
          <w:shd w:val="clear" w:color="auto" w:fill="EEEEEE"/>
          <w:lang w:eastAsia="ru-RU"/>
        </w:rPr>
      </w:pP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color w:val="000000"/>
          <w:sz w:val="26"/>
          <w:szCs w:val="26"/>
          <w:shd w:val="clear" w:color="auto" w:fill="EEEEEE"/>
          <w:lang w:eastAsia="ru-RU"/>
        </w:rPr>
      </w:pP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color w:val="000000"/>
          <w:sz w:val="26"/>
          <w:szCs w:val="26"/>
          <w:shd w:val="clear" w:color="auto" w:fill="EEEEEE"/>
          <w:lang w:eastAsia="ru-RU"/>
        </w:rPr>
      </w:pPr>
    </w:p>
    <w:p w:rsidR="00534FB5" w:rsidRPr="001524F7" w:rsidRDefault="00534FB5" w:rsidP="00534FB5">
      <w:pPr>
        <w:jc w:val="center"/>
      </w:pPr>
      <w:r w:rsidRPr="001524F7">
        <w:rPr>
          <w:rFonts w:ascii="Arial" w:hAnsi="Arial" w:cs="Arial"/>
          <w:sz w:val="26"/>
          <w:szCs w:val="26"/>
          <w:shd w:val="clear" w:color="auto" w:fill="EEEEEE"/>
        </w:rPr>
        <w:br w:type="page"/>
      </w:r>
      <w:r w:rsidRPr="001524F7">
        <w:lastRenderedPageBreak/>
        <w:t>ДОДАТКИ</w:t>
      </w:r>
    </w:p>
    <w:p w:rsidR="00534FB5" w:rsidRPr="001524F7" w:rsidRDefault="00534FB5" w:rsidP="00534FB5">
      <w:pPr>
        <w:spacing w:line="240" w:lineRule="auto"/>
        <w:contextualSpacing/>
        <w:jc w:val="center"/>
      </w:pPr>
      <w:r w:rsidRPr="001524F7">
        <w:t>Додаток А</w:t>
      </w:r>
    </w:p>
    <w:p w:rsidR="00534FB5" w:rsidRPr="001524F7" w:rsidRDefault="00534FB5" w:rsidP="00534FB5">
      <w:pPr>
        <w:spacing w:line="240" w:lineRule="auto"/>
        <w:contextualSpacing/>
        <w:jc w:val="center"/>
        <w:rPr>
          <w:bCs/>
        </w:rPr>
      </w:pPr>
      <w:r w:rsidRPr="001524F7">
        <w:t xml:space="preserve">Характеристика мікробіоценозу, </w:t>
      </w:r>
      <w:r w:rsidRPr="001524F7">
        <w:rPr>
          <w:bCs/>
        </w:rPr>
        <w:t xml:space="preserve">ізольованого з зубної бляшки дітей </w:t>
      </w:r>
      <w:r w:rsidR="006C493E">
        <w:rPr>
          <w:bCs/>
        </w:rPr>
        <w:t>із вродженою</w:t>
      </w:r>
      <w:r w:rsidRPr="001524F7">
        <w:rPr>
          <w:bCs/>
        </w:rPr>
        <w:t xml:space="preserve"> глухотою та дітей контрольної групи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417"/>
        <w:gridCol w:w="2977"/>
        <w:gridCol w:w="1418"/>
      </w:tblGrid>
      <w:tr w:rsidR="00534FB5" w:rsidRPr="001524F7" w:rsidTr="00534FB5">
        <w:trPr>
          <w:trHeight w:val="810"/>
        </w:trPr>
        <w:tc>
          <w:tcPr>
            <w:tcW w:w="1384" w:type="dxa"/>
            <w:vMerge w:val="restart"/>
            <w:shd w:val="clear" w:color="auto" w:fill="auto"/>
            <w:vAlign w:val="center"/>
          </w:tcPr>
          <w:p w:rsidR="00534FB5" w:rsidRPr="001524F7" w:rsidRDefault="00534FB5" w:rsidP="00534FB5">
            <w:pPr>
              <w:spacing w:line="240" w:lineRule="auto"/>
              <w:ind w:left="142"/>
              <w:contextualSpacing/>
              <w:jc w:val="left"/>
              <w:rPr>
                <w:spacing w:val="-12"/>
              </w:rPr>
            </w:pPr>
            <w:r w:rsidRPr="001524F7">
              <w:rPr>
                <w:spacing w:val="-12"/>
              </w:rPr>
              <w:t>Частота вилу</w:t>
            </w:r>
            <w:r>
              <w:rPr>
                <w:spacing w:val="-12"/>
              </w:rPr>
              <w:t>-</w:t>
            </w:r>
            <w:r w:rsidRPr="001524F7">
              <w:rPr>
                <w:spacing w:val="-12"/>
              </w:rPr>
              <w:t>чення мікроор</w:t>
            </w:r>
            <w:r>
              <w:rPr>
                <w:spacing w:val="-12"/>
              </w:rPr>
              <w:t>-</w:t>
            </w:r>
            <w:r w:rsidRPr="001524F7">
              <w:rPr>
                <w:spacing w:val="-12"/>
              </w:rPr>
              <w:t>ганізмів</w:t>
            </w:r>
          </w:p>
          <w:p w:rsidR="00534FB5" w:rsidRPr="001524F7" w:rsidRDefault="00534FB5" w:rsidP="00534FB5">
            <w:pPr>
              <w:spacing w:line="240" w:lineRule="auto"/>
              <w:ind w:left="142"/>
              <w:contextualSpacing/>
              <w:jc w:val="left"/>
              <w:rPr>
                <w:spacing w:val="-12"/>
              </w:rPr>
            </w:pPr>
            <w:r w:rsidRPr="001524F7">
              <w:rPr>
                <w:spacing w:val="-12"/>
              </w:rPr>
              <w:t>(%)</w:t>
            </w:r>
          </w:p>
        </w:tc>
        <w:tc>
          <w:tcPr>
            <w:tcW w:w="3827" w:type="dxa"/>
            <w:gridSpan w:val="2"/>
            <w:shd w:val="clear" w:color="auto" w:fill="auto"/>
            <w:vAlign w:val="center"/>
          </w:tcPr>
          <w:p w:rsidR="00534FB5" w:rsidRPr="001524F7" w:rsidRDefault="00534FB5" w:rsidP="00534FB5">
            <w:pPr>
              <w:spacing w:line="240" w:lineRule="auto"/>
              <w:ind w:left="-108" w:right="-108"/>
              <w:contextualSpacing/>
              <w:jc w:val="center"/>
              <w:rPr>
                <w:spacing w:val="-12"/>
              </w:rPr>
            </w:pPr>
            <w:r w:rsidRPr="001524F7">
              <w:rPr>
                <w:bCs/>
                <w:spacing w:val="-12"/>
              </w:rPr>
              <w:t>Діти з вродженою глухотою (</w:t>
            </w:r>
            <w:r w:rsidRPr="001524F7">
              <w:rPr>
                <w:bCs/>
                <w:spacing w:val="-12"/>
                <w:lang w:val="en-US"/>
              </w:rPr>
              <w:t>n</w:t>
            </w:r>
            <w:r w:rsidRPr="001524F7">
              <w:rPr>
                <w:bCs/>
                <w:spacing w:val="-12"/>
              </w:rPr>
              <w:t>=99)</w:t>
            </w:r>
          </w:p>
        </w:tc>
        <w:tc>
          <w:tcPr>
            <w:tcW w:w="4395" w:type="dxa"/>
            <w:gridSpan w:val="2"/>
            <w:shd w:val="clear" w:color="auto" w:fill="auto"/>
            <w:vAlign w:val="center"/>
          </w:tcPr>
          <w:p w:rsidR="00534FB5" w:rsidRPr="001524F7" w:rsidRDefault="00534FB5" w:rsidP="00534FB5">
            <w:pPr>
              <w:spacing w:line="240" w:lineRule="auto"/>
              <w:contextualSpacing/>
              <w:jc w:val="center"/>
              <w:rPr>
                <w:bCs/>
                <w:spacing w:val="-12"/>
                <w:lang w:val="en-US"/>
              </w:rPr>
            </w:pPr>
            <w:r w:rsidRPr="001524F7">
              <w:rPr>
                <w:bCs/>
                <w:spacing w:val="-12"/>
              </w:rPr>
              <w:t>Діти контрольної групи</w:t>
            </w:r>
          </w:p>
          <w:p w:rsidR="00534FB5" w:rsidRPr="001524F7" w:rsidRDefault="00534FB5" w:rsidP="00534FB5">
            <w:pPr>
              <w:spacing w:line="240" w:lineRule="auto"/>
              <w:contextualSpacing/>
              <w:jc w:val="center"/>
              <w:rPr>
                <w:spacing w:val="-12"/>
              </w:rPr>
            </w:pPr>
            <w:r w:rsidRPr="001524F7">
              <w:rPr>
                <w:bCs/>
                <w:spacing w:val="-12"/>
              </w:rPr>
              <w:t>(</w:t>
            </w:r>
            <w:r w:rsidR="00AC1EF3">
              <w:rPr>
                <w:bCs/>
                <w:spacing w:val="-12"/>
                <w:lang w:val="en-US"/>
              </w:rPr>
              <w:t>n=4</w:t>
            </w:r>
            <w:r w:rsidR="00AC1EF3">
              <w:rPr>
                <w:bCs/>
                <w:spacing w:val="-12"/>
              </w:rPr>
              <w:t>3</w:t>
            </w:r>
            <w:r w:rsidRPr="001524F7">
              <w:rPr>
                <w:bCs/>
                <w:spacing w:val="-12"/>
              </w:rPr>
              <w:t>)</w:t>
            </w:r>
          </w:p>
        </w:tc>
      </w:tr>
      <w:tr w:rsidR="00534FB5" w:rsidRPr="001524F7" w:rsidTr="00534FB5">
        <w:trPr>
          <w:cantSplit/>
          <w:trHeight w:val="1275"/>
        </w:trPr>
        <w:tc>
          <w:tcPr>
            <w:tcW w:w="1384" w:type="dxa"/>
            <w:vMerge/>
            <w:shd w:val="clear" w:color="auto" w:fill="auto"/>
            <w:vAlign w:val="center"/>
          </w:tcPr>
          <w:p w:rsidR="00534FB5" w:rsidRPr="001524F7" w:rsidRDefault="00534FB5" w:rsidP="00534FB5">
            <w:pPr>
              <w:spacing w:line="240" w:lineRule="auto"/>
              <w:contextualSpacing/>
              <w:jc w:val="center"/>
              <w:rPr>
                <w:spacing w:val="-12"/>
              </w:rPr>
            </w:pPr>
          </w:p>
        </w:tc>
        <w:tc>
          <w:tcPr>
            <w:tcW w:w="2410" w:type="dxa"/>
            <w:shd w:val="clear" w:color="auto" w:fill="auto"/>
            <w:vAlign w:val="center"/>
          </w:tcPr>
          <w:p w:rsidR="00534FB5" w:rsidRPr="001524F7" w:rsidRDefault="00534FB5" w:rsidP="00534FB5">
            <w:pPr>
              <w:spacing w:line="240" w:lineRule="auto"/>
              <w:contextualSpacing/>
              <w:jc w:val="center"/>
              <w:rPr>
                <w:spacing w:val="-12"/>
              </w:rPr>
            </w:pPr>
            <w:r w:rsidRPr="001524F7">
              <w:rPr>
                <w:spacing w:val="-12"/>
              </w:rPr>
              <w:t>Представники родів та видів мікроорганізмів</w:t>
            </w:r>
          </w:p>
        </w:tc>
        <w:tc>
          <w:tcPr>
            <w:tcW w:w="1417" w:type="dxa"/>
            <w:shd w:val="clear" w:color="auto" w:fill="auto"/>
            <w:vAlign w:val="center"/>
          </w:tcPr>
          <w:p w:rsidR="00534FB5" w:rsidRPr="001524F7" w:rsidRDefault="00534FB5" w:rsidP="00534FB5">
            <w:pPr>
              <w:spacing w:line="240" w:lineRule="auto"/>
              <w:contextualSpacing/>
              <w:jc w:val="center"/>
              <w:rPr>
                <w:spacing w:val="-12"/>
              </w:rPr>
            </w:pPr>
            <w:r w:rsidRPr="001524F7">
              <w:rPr>
                <w:spacing w:val="-12"/>
              </w:rPr>
              <w:t>Кількість вилучених штамів (абс)</w:t>
            </w:r>
          </w:p>
        </w:tc>
        <w:tc>
          <w:tcPr>
            <w:tcW w:w="2977" w:type="dxa"/>
            <w:shd w:val="clear" w:color="auto" w:fill="auto"/>
            <w:vAlign w:val="center"/>
          </w:tcPr>
          <w:p w:rsidR="00534FB5" w:rsidRPr="001524F7" w:rsidRDefault="00534FB5" w:rsidP="00534FB5">
            <w:pPr>
              <w:spacing w:line="240" w:lineRule="auto"/>
              <w:contextualSpacing/>
              <w:jc w:val="center"/>
              <w:rPr>
                <w:spacing w:val="-12"/>
              </w:rPr>
            </w:pPr>
            <w:r w:rsidRPr="001524F7">
              <w:rPr>
                <w:spacing w:val="-12"/>
              </w:rPr>
              <w:t>Представники родів та видів мікроорганізмів</w:t>
            </w:r>
          </w:p>
        </w:tc>
        <w:tc>
          <w:tcPr>
            <w:tcW w:w="1418" w:type="dxa"/>
            <w:shd w:val="clear" w:color="auto" w:fill="auto"/>
            <w:vAlign w:val="center"/>
          </w:tcPr>
          <w:p w:rsidR="00534FB5" w:rsidRPr="001524F7" w:rsidRDefault="00534FB5" w:rsidP="00534FB5">
            <w:pPr>
              <w:spacing w:line="240" w:lineRule="auto"/>
              <w:contextualSpacing/>
              <w:jc w:val="center"/>
              <w:rPr>
                <w:spacing w:val="-12"/>
              </w:rPr>
            </w:pPr>
            <w:r w:rsidRPr="001524F7">
              <w:rPr>
                <w:spacing w:val="-12"/>
              </w:rPr>
              <w:t>Кількість вилучених штамів (абс)</w:t>
            </w:r>
          </w:p>
        </w:tc>
      </w:tr>
      <w:tr w:rsidR="00534FB5" w:rsidRPr="001524F7" w:rsidTr="00534FB5">
        <w:tc>
          <w:tcPr>
            <w:tcW w:w="1384" w:type="dxa"/>
            <w:shd w:val="clear" w:color="auto" w:fill="auto"/>
            <w:vAlign w:val="center"/>
          </w:tcPr>
          <w:p w:rsidR="00534FB5" w:rsidRPr="001524F7" w:rsidRDefault="00534FB5" w:rsidP="00534FB5">
            <w:pPr>
              <w:spacing w:line="240" w:lineRule="auto"/>
              <w:contextualSpacing/>
              <w:jc w:val="center"/>
            </w:pPr>
            <w:r w:rsidRPr="001524F7">
              <w:t>1</w:t>
            </w:r>
          </w:p>
        </w:tc>
        <w:tc>
          <w:tcPr>
            <w:tcW w:w="2410" w:type="dxa"/>
            <w:shd w:val="clear" w:color="auto" w:fill="auto"/>
            <w:vAlign w:val="center"/>
          </w:tcPr>
          <w:p w:rsidR="00534FB5" w:rsidRPr="001524F7" w:rsidRDefault="00534FB5" w:rsidP="00534FB5">
            <w:pPr>
              <w:spacing w:line="240" w:lineRule="auto"/>
              <w:contextualSpacing/>
              <w:jc w:val="center"/>
            </w:pPr>
            <w:r w:rsidRPr="001524F7">
              <w:t>2</w:t>
            </w:r>
          </w:p>
        </w:tc>
        <w:tc>
          <w:tcPr>
            <w:tcW w:w="1417" w:type="dxa"/>
            <w:shd w:val="clear" w:color="auto" w:fill="auto"/>
            <w:vAlign w:val="center"/>
          </w:tcPr>
          <w:p w:rsidR="00534FB5" w:rsidRPr="001524F7" w:rsidRDefault="00534FB5" w:rsidP="00534FB5">
            <w:pPr>
              <w:spacing w:line="240" w:lineRule="auto"/>
              <w:contextualSpacing/>
              <w:jc w:val="center"/>
            </w:pPr>
            <w:r w:rsidRPr="001524F7">
              <w:t>3</w:t>
            </w:r>
          </w:p>
        </w:tc>
        <w:tc>
          <w:tcPr>
            <w:tcW w:w="2977" w:type="dxa"/>
            <w:shd w:val="clear" w:color="auto" w:fill="auto"/>
            <w:vAlign w:val="center"/>
          </w:tcPr>
          <w:p w:rsidR="00534FB5" w:rsidRPr="001524F7" w:rsidRDefault="00534FB5" w:rsidP="00534FB5">
            <w:pPr>
              <w:spacing w:line="240" w:lineRule="auto"/>
              <w:contextualSpacing/>
              <w:jc w:val="center"/>
            </w:pPr>
            <w:r w:rsidRPr="001524F7">
              <w:t>4</w:t>
            </w:r>
          </w:p>
        </w:tc>
        <w:tc>
          <w:tcPr>
            <w:tcW w:w="1418" w:type="dxa"/>
            <w:shd w:val="clear" w:color="auto" w:fill="auto"/>
            <w:vAlign w:val="center"/>
          </w:tcPr>
          <w:p w:rsidR="00534FB5" w:rsidRPr="001524F7" w:rsidRDefault="00534FB5" w:rsidP="00534FB5">
            <w:pPr>
              <w:spacing w:line="240" w:lineRule="auto"/>
              <w:contextualSpacing/>
              <w:jc w:val="center"/>
            </w:pPr>
            <w:r w:rsidRPr="001524F7">
              <w:t>5</w:t>
            </w:r>
          </w:p>
        </w:tc>
      </w:tr>
      <w:tr w:rsidR="00534FB5" w:rsidRPr="001524F7" w:rsidTr="00534FB5">
        <w:tc>
          <w:tcPr>
            <w:tcW w:w="1384" w:type="dxa"/>
            <w:vMerge w:val="restart"/>
            <w:shd w:val="clear" w:color="auto" w:fill="auto"/>
          </w:tcPr>
          <w:p w:rsidR="00534FB5" w:rsidRPr="001524F7" w:rsidRDefault="00534FB5" w:rsidP="00534FB5">
            <w:pPr>
              <w:spacing w:line="240" w:lineRule="auto"/>
              <w:contextualSpacing/>
              <w:jc w:val="center"/>
            </w:pPr>
            <w:r w:rsidRPr="001524F7">
              <w:t xml:space="preserve">&lt; 10,0 </w:t>
            </w:r>
          </w:p>
        </w:tc>
        <w:tc>
          <w:tcPr>
            <w:tcW w:w="2410" w:type="dxa"/>
            <w:shd w:val="clear" w:color="auto" w:fill="auto"/>
          </w:tcPr>
          <w:p w:rsidR="00534FB5" w:rsidRPr="001524F7" w:rsidRDefault="00534FB5" w:rsidP="00534FB5">
            <w:pPr>
              <w:spacing w:line="240" w:lineRule="auto"/>
              <w:contextualSpacing/>
              <w:rPr>
                <w:i/>
              </w:rPr>
            </w:pPr>
            <w:r w:rsidRPr="001524F7">
              <w:rPr>
                <w:i/>
                <w:lang w:val="en-US"/>
              </w:rPr>
              <w:t>Acinetobacter spp</w:t>
            </w:r>
          </w:p>
        </w:tc>
        <w:tc>
          <w:tcPr>
            <w:tcW w:w="1417" w:type="dxa"/>
            <w:shd w:val="clear" w:color="auto" w:fill="auto"/>
          </w:tcPr>
          <w:p w:rsidR="00534FB5" w:rsidRPr="001524F7" w:rsidRDefault="00534FB5" w:rsidP="00534FB5">
            <w:pPr>
              <w:spacing w:line="240" w:lineRule="auto"/>
              <w:contextualSpacing/>
              <w:jc w:val="center"/>
            </w:pPr>
            <w:r w:rsidRPr="001524F7">
              <w:t>8</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Corynebacterium spp</w:t>
            </w:r>
          </w:p>
        </w:tc>
        <w:tc>
          <w:tcPr>
            <w:tcW w:w="1418" w:type="dxa"/>
            <w:shd w:val="clear" w:color="auto" w:fill="auto"/>
          </w:tcPr>
          <w:p w:rsidR="00534FB5" w:rsidRPr="001524F7" w:rsidRDefault="00534FB5" w:rsidP="00534FB5">
            <w:pPr>
              <w:spacing w:line="240" w:lineRule="auto"/>
              <w:contextualSpacing/>
              <w:jc w:val="center"/>
            </w:pPr>
            <w:r w:rsidRPr="001524F7">
              <w:t>3</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Veillonella spp</w:t>
            </w:r>
          </w:p>
        </w:tc>
        <w:tc>
          <w:tcPr>
            <w:tcW w:w="1417" w:type="dxa"/>
            <w:shd w:val="clear" w:color="auto" w:fill="auto"/>
          </w:tcPr>
          <w:p w:rsidR="00534FB5" w:rsidRPr="001524F7" w:rsidRDefault="00534FB5" w:rsidP="00534FB5">
            <w:pPr>
              <w:spacing w:line="240" w:lineRule="auto"/>
              <w:contextualSpacing/>
              <w:jc w:val="center"/>
            </w:pPr>
            <w:r w:rsidRPr="001524F7">
              <w:t>8</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Haemophillus spp</w:t>
            </w:r>
          </w:p>
        </w:tc>
        <w:tc>
          <w:tcPr>
            <w:tcW w:w="1418" w:type="dxa"/>
            <w:shd w:val="clear" w:color="auto" w:fill="auto"/>
          </w:tcPr>
          <w:p w:rsidR="00534FB5" w:rsidRPr="001524F7" w:rsidRDefault="00534FB5" w:rsidP="00534FB5">
            <w:pPr>
              <w:spacing w:line="240" w:lineRule="auto"/>
              <w:contextualSpacing/>
              <w:jc w:val="center"/>
            </w:pPr>
            <w:r w:rsidRPr="001524F7">
              <w:t>3</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Peptostreptococcus spp</w:t>
            </w:r>
          </w:p>
        </w:tc>
        <w:tc>
          <w:tcPr>
            <w:tcW w:w="1417" w:type="dxa"/>
            <w:shd w:val="clear" w:color="auto" w:fill="auto"/>
          </w:tcPr>
          <w:p w:rsidR="00534FB5" w:rsidRPr="001524F7" w:rsidRDefault="00534FB5" w:rsidP="00534FB5">
            <w:pPr>
              <w:spacing w:line="240" w:lineRule="auto"/>
              <w:contextualSpacing/>
              <w:jc w:val="center"/>
            </w:pPr>
            <w:r w:rsidRPr="001524F7">
              <w:t>7</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Stomatococcus spp</w:t>
            </w:r>
          </w:p>
        </w:tc>
        <w:tc>
          <w:tcPr>
            <w:tcW w:w="1418" w:type="dxa"/>
            <w:shd w:val="clear" w:color="auto" w:fill="auto"/>
          </w:tcPr>
          <w:p w:rsidR="00534FB5" w:rsidRPr="001524F7" w:rsidRDefault="00534FB5" w:rsidP="00534FB5">
            <w:pPr>
              <w:spacing w:line="240" w:lineRule="auto"/>
              <w:contextualSpacing/>
              <w:jc w:val="center"/>
            </w:pPr>
            <w:r w:rsidRPr="001524F7">
              <w:t>3</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S. pyog</w:t>
            </w:r>
            <w:r w:rsidRPr="001524F7">
              <w:rPr>
                <w:i/>
              </w:rPr>
              <w:t>е</w:t>
            </w:r>
            <w:r w:rsidRPr="001524F7">
              <w:rPr>
                <w:i/>
                <w:lang w:val="en-US"/>
              </w:rPr>
              <w:t>n</w:t>
            </w:r>
            <w:r w:rsidRPr="001524F7">
              <w:rPr>
                <w:i/>
              </w:rPr>
              <w:t>е</w:t>
            </w:r>
            <w:r w:rsidRPr="001524F7">
              <w:rPr>
                <w:i/>
                <w:lang w:val="en-US"/>
              </w:rPr>
              <w:t>s</w:t>
            </w:r>
          </w:p>
        </w:tc>
        <w:tc>
          <w:tcPr>
            <w:tcW w:w="1417" w:type="dxa"/>
            <w:shd w:val="clear" w:color="auto" w:fill="auto"/>
          </w:tcPr>
          <w:p w:rsidR="00534FB5" w:rsidRPr="001524F7" w:rsidRDefault="00534FB5" w:rsidP="00534FB5">
            <w:pPr>
              <w:spacing w:line="240" w:lineRule="auto"/>
              <w:contextualSpacing/>
              <w:jc w:val="center"/>
            </w:pPr>
            <w:r w:rsidRPr="001524F7">
              <w:t>7</w:t>
            </w:r>
          </w:p>
        </w:tc>
        <w:tc>
          <w:tcPr>
            <w:tcW w:w="2977" w:type="dxa"/>
            <w:shd w:val="clear" w:color="auto" w:fill="auto"/>
          </w:tcPr>
          <w:p w:rsidR="00534FB5" w:rsidRPr="001524F7" w:rsidRDefault="00534FB5" w:rsidP="00534FB5">
            <w:pPr>
              <w:spacing w:line="240" w:lineRule="auto"/>
              <w:contextualSpacing/>
              <w:rPr>
                <w:i/>
                <w:lang w:val="en-US"/>
              </w:rPr>
            </w:pPr>
            <w:r w:rsidRPr="001524F7">
              <w:rPr>
                <w:i/>
                <w:lang w:val="en-US"/>
              </w:rPr>
              <w:t>Staphylococcus spp</w:t>
            </w:r>
          </w:p>
        </w:tc>
        <w:tc>
          <w:tcPr>
            <w:tcW w:w="1418" w:type="dxa"/>
            <w:shd w:val="clear" w:color="auto" w:fill="auto"/>
          </w:tcPr>
          <w:p w:rsidR="00534FB5" w:rsidRPr="001524F7" w:rsidRDefault="00534FB5" w:rsidP="00534FB5">
            <w:pPr>
              <w:spacing w:line="240" w:lineRule="auto"/>
              <w:contextualSpacing/>
              <w:jc w:val="center"/>
            </w:pPr>
            <w:r w:rsidRPr="001524F7">
              <w:t>2</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Lactobacillus spp</w:t>
            </w:r>
          </w:p>
        </w:tc>
        <w:tc>
          <w:tcPr>
            <w:tcW w:w="1417" w:type="dxa"/>
            <w:shd w:val="clear" w:color="auto" w:fill="auto"/>
          </w:tcPr>
          <w:p w:rsidR="00534FB5" w:rsidRPr="001524F7" w:rsidRDefault="00534FB5" w:rsidP="00534FB5">
            <w:pPr>
              <w:spacing w:line="240" w:lineRule="auto"/>
              <w:contextualSpacing/>
              <w:jc w:val="center"/>
            </w:pPr>
            <w:r w:rsidRPr="001524F7">
              <w:t>5</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Candida spp</w:t>
            </w:r>
          </w:p>
        </w:tc>
        <w:tc>
          <w:tcPr>
            <w:tcW w:w="1418" w:type="dxa"/>
            <w:shd w:val="clear" w:color="auto" w:fill="auto"/>
          </w:tcPr>
          <w:p w:rsidR="00534FB5" w:rsidRPr="001524F7" w:rsidRDefault="00534FB5" w:rsidP="00534FB5">
            <w:pPr>
              <w:spacing w:line="240" w:lineRule="auto"/>
              <w:contextualSpacing/>
              <w:jc w:val="center"/>
            </w:pPr>
            <w:r w:rsidRPr="001524F7">
              <w:t>2</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Moraxella</w:t>
            </w:r>
            <w:r w:rsidRPr="001524F7">
              <w:rPr>
                <w:i/>
              </w:rPr>
              <w:t xml:space="preserve"> </w:t>
            </w:r>
            <w:r w:rsidRPr="001524F7">
              <w:rPr>
                <w:i/>
                <w:lang w:val="en-US"/>
              </w:rPr>
              <w:t>spp</w:t>
            </w:r>
          </w:p>
        </w:tc>
        <w:tc>
          <w:tcPr>
            <w:tcW w:w="1417" w:type="dxa"/>
            <w:shd w:val="clear" w:color="auto" w:fill="auto"/>
          </w:tcPr>
          <w:p w:rsidR="00534FB5" w:rsidRPr="001524F7" w:rsidRDefault="00534FB5" w:rsidP="00534FB5">
            <w:pPr>
              <w:spacing w:line="240" w:lineRule="auto"/>
              <w:contextualSpacing/>
              <w:jc w:val="center"/>
            </w:pPr>
            <w:r w:rsidRPr="001524F7">
              <w:t>4</w:t>
            </w:r>
          </w:p>
        </w:tc>
        <w:tc>
          <w:tcPr>
            <w:tcW w:w="2977" w:type="dxa"/>
            <w:shd w:val="clear" w:color="auto" w:fill="auto"/>
          </w:tcPr>
          <w:p w:rsidR="00534FB5" w:rsidRPr="001524F7" w:rsidRDefault="00534FB5" w:rsidP="00534FB5">
            <w:pPr>
              <w:spacing w:line="240" w:lineRule="auto"/>
              <w:contextualSpacing/>
              <w:rPr>
                <w:i/>
                <w:lang w:val="en-US"/>
              </w:rPr>
            </w:pPr>
            <w:r w:rsidRPr="001524F7">
              <w:rPr>
                <w:i/>
                <w:lang w:val="en-US"/>
              </w:rPr>
              <w:t>Gemella sp</w:t>
            </w:r>
          </w:p>
        </w:tc>
        <w:tc>
          <w:tcPr>
            <w:tcW w:w="1418" w:type="dxa"/>
            <w:shd w:val="clear" w:color="auto" w:fill="auto"/>
          </w:tcPr>
          <w:p w:rsidR="00534FB5" w:rsidRPr="001524F7" w:rsidRDefault="00534FB5" w:rsidP="00534FB5">
            <w:pPr>
              <w:spacing w:line="240" w:lineRule="auto"/>
              <w:contextualSpacing/>
              <w:jc w:val="center"/>
            </w:pPr>
            <w:r w:rsidRPr="001524F7">
              <w:t>1</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P</w:t>
            </w:r>
            <w:r w:rsidRPr="001524F7">
              <w:rPr>
                <w:i/>
              </w:rPr>
              <w:t xml:space="preserve">. </w:t>
            </w:r>
            <w:r w:rsidRPr="001524F7">
              <w:rPr>
                <w:i/>
                <w:lang w:val="en-US"/>
              </w:rPr>
              <w:t>aeruginosa</w:t>
            </w:r>
          </w:p>
        </w:tc>
        <w:tc>
          <w:tcPr>
            <w:tcW w:w="1417" w:type="dxa"/>
            <w:shd w:val="clear" w:color="auto" w:fill="auto"/>
          </w:tcPr>
          <w:p w:rsidR="00534FB5" w:rsidRPr="001524F7" w:rsidRDefault="00534FB5" w:rsidP="00534FB5">
            <w:pPr>
              <w:spacing w:line="240" w:lineRule="auto"/>
              <w:contextualSpacing/>
              <w:jc w:val="center"/>
            </w:pPr>
            <w:r w:rsidRPr="001524F7">
              <w:t>3</w:t>
            </w:r>
          </w:p>
        </w:tc>
        <w:tc>
          <w:tcPr>
            <w:tcW w:w="2977" w:type="dxa"/>
            <w:shd w:val="clear" w:color="auto" w:fill="auto"/>
          </w:tcPr>
          <w:p w:rsidR="00534FB5" w:rsidRPr="001524F7" w:rsidRDefault="00534FB5" w:rsidP="00534FB5">
            <w:pPr>
              <w:spacing w:line="240" w:lineRule="auto"/>
              <w:contextualSpacing/>
              <w:rPr>
                <w:i/>
                <w:lang w:val="en-US"/>
              </w:rPr>
            </w:pPr>
            <w:r w:rsidRPr="001524F7">
              <w:rPr>
                <w:i/>
                <w:lang w:val="en-US"/>
              </w:rPr>
              <w:t>L</w:t>
            </w:r>
            <w:r w:rsidRPr="001524F7">
              <w:rPr>
                <w:i/>
              </w:rPr>
              <w:t xml:space="preserve">. </w:t>
            </w:r>
            <w:r w:rsidRPr="001524F7">
              <w:rPr>
                <w:i/>
                <w:lang w:val="en-US"/>
              </w:rPr>
              <w:t>buccalis</w:t>
            </w:r>
          </w:p>
        </w:tc>
        <w:tc>
          <w:tcPr>
            <w:tcW w:w="1418" w:type="dxa"/>
            <w:shd w:val="clear" w:color="auto" w:fill="auto"/>
          </w:tcPr>
          <w:p w:rsidR="00534FB5" w:rsidRPr="001524F7" w:rsidRDefault="00534FB5" w:rsidP="00534FB5">
            <w:pPr>
              <w:spacing w:line="240" w:lineRule="auto"/>
              <w:contextualSpacing/>
              <w:jc w:val="center"/>
            </w:pPr>
            <w:r w:rsidRPr="001524F7">
              <w:t>1</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Aspergillus spp</w:t>
            </w:r>
          </w:p>
        </w:tc>
        <w:tc>
          <w:tcPr>
            <w:tcW w:w="1417" w:type="dxa"/>
            <w:shd w:val="clear" w:color="auto" w:fill="auto"/>
          </w:tcPr>
          <w:p w:rsidR="00534FB5" w:rsidRPr="001524F7" w:rsidRDefault="00534FB5" w:rsidP="00534FB5">
            <w:pPr>
              <w:spacing w:line="240" w:lineRule="auto"/>
              <w:contextualSpacing/>
              <w:jc w:val="center"/>
            </w:pPr>
            <w:r w:rsidRPr="001524F7">
              <w:t>2</w:t>
            </w:r>
          </w:p>
        </w:tc>
        <w:tc>
          <w:tcPr>
            <w:tcW w:w="2977" w:type="dxa"/>
            <w:shd w:val="clear" w:color="auto" w:fill="auto"/>
          </w:tcPr>
          <w:p w:rsidR="00534FB5" w:rsidRPr="001524F7" w:rsidRDefault="00534FB5" w:rsidP="00534FB5">
            <w:pPr>
              <w:spacing w:line="240" w:lineRule="auto"/>
              <w:contextualSpacing/>
              <w:rPr>
                <w:i/>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Bacillus</w:t>
            </w:r>
            <w:r w:rsidRPr="001524F7">
              <w:rPr>
                <w:i/>
              </w:rPr>
              <w:t xml:space="preserve"> </w:t>
            </w:r>
            <w:r w:rsidRPr="001524F7">
              <w:rPr>
                <w:i/>
                <w:lang w:val="en-US"/>
              </w:rPr>
              <w:t>spp</w:t>
            </w:r>
          </w:p>
        </w:tc>
        <w:tc>
          <w:tcPr>
            <w:tcW w:w="1417" w:type="dxa"/>
            <w:shd w:val="clear" w:color="auto" w:fill="auto"/>
          </w:tcPr>
          <w:p w:rsidR="00534FB5" w:rsidRPr="001524F7" w:rsidRDefault="00534FB5" w:rsidP="00534FB5">
            <w:pPr>
              <w:spacing w:line="240" w:lineRule="auto"/>
              <w:contextualSpacing/>
              <w:jc w:val="center"/>
            </w:pPr>
            <w:r w:rsidRPr="001524F7">
              <w:t>2</w:t>
            </w:r>
          </w:p>
        </w:tc>
        <w:tc>
          <w:tcPr>
            <w:tcW w:w="2977" w:type="dxa"/>
            <w:shd w:val="clear" w:color="auto" w:fill="auto"/>
          </w:tcPr>
          <w:p w:rsidR="00534FB5" w:rsidRPr="001524F7" w:rsidRDefault="00534FB5" w:rsidP="00534FB5">
            <w:pPr>
              <w:spacing w:line="240" w:lineRule="auto"/>
              <w:contextualSpacing/>
              <w:rPr>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Gemella sp</w:t>
            </w:r>
          </w:p>
        </w:tc>
        <w:tc>
          <w:tcPr>
            <w:tcW w:w="1417" w:type="dxa"/>
            <w:shd w:val="clear" w:color="auto" w:fill="auto"/>
          </w:tcPr>
          <w:p w:rsidR="00534FB5" w:rsidRPr="001524F7" w:rsidRDefault="00534FB5" w:rsidP="00534FB5">
            <w:pPr>
              <w:spacing w:line="240" w:lineRule="auto"/>
              <w:contextualSpacing/>
              <w:jc w:val="center"/>
            </w:pPr>
            <w:r w:rsidRPr="001524F7">
              <w:t>1</w:t>
            </w:r>
          </w:p>
        </w:tc>
        <w:tc>
          <w:tcPr>
            <w:tcW w:w="2977" w:type="dxa"/>
            <w:shd w:val="clear" w:color="auto" w:fill="auto"/>
          </w:tcPr>
          <w:p w:rsidR="00534FB5" w:rsidRPr="001524F7" w:rsidRDefault="00534FB5" w:rsidP="00534FB5">
            <w:pPr>
              <w:spacing w:line="240" w:lineRule="auto"/>
              <w:contextualSpacing/>
              <w:rPr>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Micrococcus sp</w:t>
            </w:r>
          </w:p>
        </w:tc>
        <w:tc>
          <w:tcPr>
            <w:tcW w:w="1417" w:type="dxa"/>
            <w:shd w:val="clear" w:color="auto" w:fill="auto"/>
          </w:tcPr>
          <w:p w:rsidR="00534FB5" w:rsidRPr="001524F7" w:rsidRDefault="00534FB5" w:rsidP="00534FB5">
            <w:pPr>
              <w:spacing w:line="240" w:lineRule="auto"/>
              <w:contextualSpacing/>
              <w:jc w:val="center"/>
            </w:pPr>
            <w:r w:rsidRPr="001524F7">
              <w:t>1</w:t>
            </w:r>
          </w:p>
        </w:tc>
        <w:tc>
          <w:tcPr>
            <w:tcW w:w="2977" w:type="dxa"/>
            <w:shd w:val="clear" w:color="auto" w:fill="auto"/>
          </w:tcPr>
          <w:p w:rsidR="00534FB5" w:rsidRPr="001524F7" w:rsidRDefault="00534FB5" w:rsidP="00534FB5">
            <w:pPr>
              <w:spacing w:line="240" w:lineRule="auto"/>
              <w:contextualSpacing/>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M. morganii</w:t>
            </w:r>
          </w:p>
        </w:tc>
        <w:tc>
          <w:tcPr>
            <w:tcW w:w="1417" w:type="dxa"/>
            <w:shd w:val="clear" w:color="auto" w:fill="auto"/>
          </w:tcPr>
          <w:p w:rsidR="00534FB5" w:rsidRPr="001524F7" w:rsidRDefault="00534FB5" w:rsidP="00534FB5">
            <w:pPr>
              <w:spacing w:line="240" w:lineRule="auto"/>
              <w:contextualSpacing/>
              <w:jc w:val="center"/>
            </w:pPr>
            <w:r w:rsidRPr="001524F7">
              <w:t>1</w:t>
            </w:r>
          </w:p>
        </w:tc>
        <w:tc>
          <w:tcPr>
            <w:tcW w:w="2977" w:type="dxa"/>
            <w:shd w:val="clear" w:color="auto" w:fill="auto"/>
          </w:tcPr>
          <w:p w:rsidR="00534FB5" w:rsidRPr="001524F7" w:rsidRDefault="00534FB5" w:rsidP="00534FB5">
            <w:pPr>
              <w:spacing w:line="240" w:lineRule="auto"/>
              <w:contextualSpacing/>
              <w:rPr>
                <w:i/>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Peptococcus sp</w:t>
            </w:r>
          </w:p>
        </w:tc>
        <w:tc>
          <w:tcPr>
            <w:tcW w:w="1417" w:type="dxa"/>
            <w:shd w:val="clear" w:color="auto" w:fill="auto"/>
          </w:tcPr>
          <w:p w:rsidR="00534FB5" w:rsidRPr="001524F7" w:rsidRDefault="00534FB5" w:rsidP="00534FB5">
            <w:pPr>
              <w:spacing w:line="240" w:lineRule="auto"/>
              <w:contextualSpacing/>
              <w:jc w:val="center"/>
            </w:pPr>
            <w:r w:rsidRPr="001524F7">
              <w:t>1</w:t>
            </w:r>
          </w:p>
        </w:tc>
        <w:tc>
          <w:tcPr>
            <w:tcW w:w="2977" w:type="dxa"/>
            <w:shd w:val="clear" w:color="auto" w:fill="auto"/>
          </w:tcPr>
          <w:p w:rsidR="00534FB5" w:rsidRPr="001524F7" w:rsidRDefault="00534FB5" w:rsidP="00534FB5">
            <w:pPr>
              <w:spacing w:line="240" w:lineRule="auto"/>
              <w:contextualSpacing/>
              <w:rPr>
                <w:i/>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val="restart"/>
            <w:shd w:val="clear" w:color="auto" w:fill="auto"/>
            <w:vAlign w:val="center"/>
          </w:tcPr>
          <w:p w:rsidR="00534FB5" w:rsidRPr="001524F7" w:rsidRDefault="00534FB5" w:rsidP="00534FB5">
            <w:pPr>
              <w:spacing w:line="240" w:lineRule="auto"/>
              <w:contextualSpacing/>
              <w:jc w:val="center"/>
              <w:rPr>
                <w:i/>
              </w:rPr>
            </w:pPr>
            <w:r w:rsidRPr="001524F7">
              <w:t xml:space="preserve">10,1-20,0 </w:t>
            </w: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L</w:t>
            </w:r>
            <w:r w:rsidRPr="001524F7">
              <w:rPr>
                <w:i/>
              </w:rPr>
              <w:t xml:space="preserve">. </w:t>
            </w:r>
            <w:r w:rsidRPr="001524F7">
              <w:rPr>
                <w:i/>
                <w:lang w:val="en-US"/>
              </w:rPr>
              <w:t>buccalis</w:t>
            </w:r>
          </w:p>
        </w:tc>
        <w:tc>
          <w:tcPr>
            <w:tcW w:w="1417" w:type="dxa"/>
            <w:shd w:val="clear" w:color="auto" w:fill="auto"/>
          </w:tcPr>
          <w:p w:rsidR="00534FB5" w:rsidRPr="001524F7" w:rsidRDefault="00534FB5" w:rsidP="00534FB5">
            <w:pPr>
              <w:spacing w:line="240" w:lineRule="auto"/>
              <w:contextualSpacing/>
              <w:jc w:val="center"/>
            </w:pPr>
            <w:r w:rsidRPr="001524F7">
              <w:t>19</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Lactobacillus spp</w:t>
            </w:r>
          </w:p>
        </w:tc>
        <w:tc>
          <w:tcPr>
            <w:tcW w:w="1418" w:type="dxa"/>
            <w:shd w:val="clear" w:color="auto" w:fill="auto"/>
          </w:tcPr>
          <w:p w:rsidR="00534FB5" w:rsidRPr="001524F7" w:rsidRDefault="00534FB5" w:rsidP="00534FB5">
            <w:pPr>
              <w:spacing w:line="240" w:lineRule="auto"/>
              <w:contextualSpacing/>
              <w:jc w:val="center"/>
            </w:pPr>
            <w:r w:rsidRPr="001524F7">
              <w:t>7</w:t>
            </w: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Actinomycetes spp</w:t>
            </w:r>
          </w:p>
        </w:tc>
        <w:tc>
          <w:tcPr>
            <w:tcW w:w="1417" w:type="dxa"/>
            <w:shd w:val="clear" w:color="auto" w:fill="auto"/>
          </w:tcPr>
          <w:p w:rsidR="00534FB5" w:rsidRPr="001524F7" w:rsidRDefault="00534FB5" w:rsidP="00534FB5">
            <w:pPr>
              <w:spacing w:line="240" w:lineRule="auto"/>
              <w:contextualSpacing/>
              <w:jc w:val="center"/>
            </w:pPr>
            <w:r w:rsidRPr="001524F7">
              <w:t>16</w:t>
            </w:r>
          </w:p>
        </w:tc>
        <w:tc>
          <w:tcPr>
            <w:tcW w:w="2977" w:type="dxa"/>
            <w:shd w:val="clear" w:color="auto" w:fill="auto"/>
          </w:tcPr>
          <w:p w:rsidR="00534FB5" w:rsidRPr="001524F7" w:rsidRDefault="00534FB5" w:rsidP="00534FB5">
            <w:pPr>
              <w:spacing w:line="240" w:lineRule="auto"/>
              <w:ind w:right="-108"/>
              <w:contextualSpacing/>
              <w:rPr>
                <w:i/>
              </w:rPr>
            </w:pPr>
            <w:r w:rsidRPr="001524F7">
              <w:rPr>
                <w:i/>
                <w:lang w:val="en-US"/>
              </w:rPr>
              <w:t>Peptostreptococcus spp</w:t>
            </w:r>
          </w:p>
        </w:tc>
        <w:tc>
          <w:tcPr>
            <w:tcW w:w="1418" w:type="dxa"/>
            <w:shd w:val="clear" w:color="auto" w:fill="auto"/>
          </w:tcPr>
          <w:p w:rsidR="00534FB5" w:rsidRPr="001524F7" w:rsidRDefault="00534FB5" w:rsidP="00534FB5">
            <w:pPr>
              <w:spacing w:line="240" w:lineRule="auto"/>
              <w:contextualSpacing/>
              <w:jc w:val="center"/>
            </w:pPr>
            <w:r w:rsidRPr="001524F7">
              <w:t>7</w:t>
            </w: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Porphyromonas spp</w:t>
            </w:r>
          </w:p>
        </w:tc>
        <w:tc>
          <w:tcPr>
            <w:tcW w:w="1417" w:type="dxa"/>
            <w:shd w:val="clear" w:color="auto" w:fill="auto"/>
          </w:tcPr>
          <w:p w:rsidR="00534FB5" w:rsidRPr="001524F7" w:rsidRDefault="00534FB5" w:rsidP="00534FB5">
            <w:pPr>
              <w:spacing w:line="240" w:lineRule="auto"/>
              <w:contextualSpacing/>
              <w:jc w:val="center"/>
            </w:pPr>
            <w:r w:rsidRPr="001524F7">
              <w:t>15</w:t>
            </w:r>
          </w:p>
        </w:tc>
        <w:tc>
          <w:tcPr>
            <w:tcW w:w="2977" w:type="dxa"/>
            <w:shd w:val="clear" w:color="auto" w:fill="auto"/>
          </w:tcPr>
          <w:p w:rsidR="00534FB5" w:rsidRPr="001524F7" w:rsidRDefault="00534FB5" w:rsidP="00534FB5">
            <w:pPr>
              <w:spacing w:line="240" w:lineRule="auto"/>
              <w:contextualSpacing/>
              <w:rPr>
                <w:i/>
                <w:lang w:val="en-US"/>
              </w:rPr>
            </w:pPr>
            <w:r w:rsidRPr="001524F7">
              <w:rPr>
                <w:i/>
                <w:lang w:val="en-US"/>
              </w:rPr>
              <w:t>Veillonella spp</w:t>
            </w:r>
          </w:p>
        </w:tc>
        <w:tc>
          <w:tcPr>
            <w:tcW w:w="1418" w:type="dxa"/>
            <w:shd w:val="clear" w:color="auto" w:fill="auto"/>
          </w:tcPr>
          <w:p w:rsidR="00534FB5" w:rsidRPr="001524F7" w:rsidRDefault="00534FB5" w:rsidP="00534FB5">
            <w:pPr>
              <w:spacing w:line="240" w:lineRule="auto"/>
              <w:contextualSpacing/>
              <w:jc w:val="center"/>
            </w:pPr>
            <w:r w:rsidRPr="001524F7">
              <w:t>7</w:t>
            </w: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Bacteroides spp</w:t>
            </w:r>
          </w:p>
        </w:tc>
        <w:tc>
          <w:tcPr>
            <w:tcW w:w="1417" w:type="dxa"/>
            <w:shd w:val="clear" w:color="auto" w:fill="auto"/>
          </w:tcPr>
          <w:p w:rsidR="00534FB5" w:rsidRPr="001524F7" w:rsidRDefault="00534FB5" w:rsidP="00534FB5">
            <w:pPr>
              <w:spacing w:line="240" w:lineRule="auto"/>
              <w:contextualSpacing/>
              <w:jc w:val="center"/>
            </w:pPr>
            <w:r w:rsidRPr="001524F7">
              <w:t>14</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Enterococcus spp</w:t>
            </w:r>
          </w:p>
        </w:tc>
        <w:tc>
          <w:tcPr>
            <w:tcW w:w="1418" w:type="dxa"/>
            <w:shd w:val="clear" w:color="auto" w:fill="auto"/>
          </w:tcPr>
          <w:p w:rsidR="00534FB5" w:rsidRPr="001524F7" w:rsidRDefault="00534FB5" w:rsidP="00534FB5">
            <w:pPr>
              <w:spacing w:line="240" w:lineRule="auto"/>
              <w:contextualSpacing/>
              <w:jc w:val="center"/>
            </w:pPr>
            <w:r w:rsidRPr="001524F7">
              <w:t>6</w:t>
            </w: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E. coli</w:t>
            </w:r>
          </w:p>
        </w:tc>
        <w:tc>
          <w:tcPr>
            <w:tcW w:w="1417" w:type="dxa"/>
            <w:shd w:val="clear" w:color="auto" w:fill="auto"/>
          </w:tcPr>
          <w:p w:rsidR="00534FB5" w:rsidRPr="001524F7" w:rsidRDefault="00534FB5" w:rsidP="00534FB5">
            <w:pPr>
              <w:spacing w:line="240" w:lineRule="auto"/>
              <w:contextualSpacing/>
              <w:jc w:val="center"/>
            </w:pPr>
            <w:r w:rsidRPr="001524F7">
              <w:t>14</w:t>
            </w:r>
          </w:p>
        </w:tc>
        <w:tc>
          <w:tcPr>
            <w:tcW w:w="2977" w:type="dxa"/>
            <w:shd w:val="clear" w:color="auto" w:fill="auto"/>
          </w:tcPr>
          <w:p w:rsidR="00534FB5" w:rsidRPr="001524F7" w:rsidRDefault="00534FB5" w:rsidP="00534FB5">
            <w:pPr>
              <w:spacing w:line="240" w:lineRule="auto"/>
              <w:contextualSpacing/>
              <w:rPr>
                <w:i/>
              </w:rPr>
            </w:pPr>
            <w:r w:rsidRPr="001524F7">
              <w:rPr>
                <w:i/>
                <w:lang w:val="en-US"/>
              </w:rPr>
              <w:t>A.</w:t>
            </w:r>
            <w:r w:rsidRPr="001524F7">
              <w:rPr>
                <w:i/>
              </w:rPr>
              <w:t xml:space="preserve"> </w:t>
            </w:r>
            <w:r w:rsidRPr="001524F7">
              <w:rPr>
                <w:i/>
                <w:lang w:val="en-US"/>
              </w:rPr>
              <w:t>viridians</w:t>
            </w:r>
          </w:p>
        </w:tc>
        <w:tc>
          <w:tcPr>
            <w:tcW w:w="1418" w:type="dxa"/>
            <w:shd w:val="clear" w:color="auto" w:fill="auto"/>
          </w:tcPr>
          <w:p w:rsidR="00534FB5" w:rsidRPr="001524F7" w:rsidRDefault="00534FB5" w:rsidP="00534FB5">
            <w:pPr>
              <w:spacing w:line="240" w:lineRule="auto"/>
              <w:contextualSpacing/>
              <w:jc w:val="center"/>
            </w:pPr>
            <w:r w:rsidRPr="001524F7">
              <w:t>5</w:t>
            </w: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Prevotella spp</w:t>
            </w:r>
          </w:p>
        </w:tc>
        <w:tc>
          <w:tcPr>
            <w:tcW w:w="1417" w:type="dxa"/>
            <w:shd w:val="clear" w:color="auto" w:fill="auto"/>
          </w:tcPr>
          <w:p w:rsidR="00534FB5" w:rsidRPr="001524F7" w:rsidRDefault="00534FB5" w:rsidP="00534FB5">
            <w:pPr>
              <w:spacing w:line="240" w:lineRule="auto"/>
              <w:contextualSpacing/>
              <w:jc w:val="center"/>
            </w:pPr>
            <w:r w:rsidRPr="001524F7">
              <w:t>14</w:t>
            </w:r>
          </w:p>
        </w:tc>
        <w:tc>
          <w:tcPr>
            <w:tcW w:w="2977" w:type="dxa"/>
            <w:shd w:val="clear" w:color="auto" w:fill="auto"/>
          </w:tcPr>
          <w:p w:rsidR="00534FB5" w:rsidRPr="001524F7" w:rsidRDefault="00534FB5" w:rsidP="00534FB5">
            <w:pPr>
              <w:spacing w:line="240" w:lineRule="auto"/>
              <w:contextualSpacing/>
              <w:rPr>
                <w:i/>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Candida spp</w:t>
            </w:r>
          </w:p>
        </w:tc>
        <w:tc>
          <w:tcPr>
            <w:tcW w:w="1417" w:type="dxa"/>
            <w:shd w:val="clear" w:color="auto" w:fill="auto"/>
          </w:tcPr>
          <w:p w:rsidR="00534FB5" w:rsidRPr="001524F7" w:rsidRDefault="00534FB5" w:rsidP="00534FB5">
            <w:pPr>
              <w:spacing w:line="240" w:lineRule="auto"/>
              <w:contextualSpacing/>
              <w:jc w:val="center"/>
            </w:pPr>
            <w:r w:rsidRPr="001524F7">
              <w:t>14</w:t>
            </w:r>
          </w:p>
        </w:tc>
        <w:tc>
          <w:tcPr>
            <w:tcW w:w="2977" w:type="dxa"/>
            <w:shd w:val="clear" w:color="auto" w:fill="auto"/>
          </w:tcPr>
          <w:p w:rsidR="00534FB5" w:rsidRPr="001524F7" w:rsidRDefault="00534FB5" w:rsidP="00534FB5">
            <w:pPr>
              <w:spacing w:line="240" w:lineRule="auto"/>
              <w:contextualSpacing/>
              <w:rPr>
                <w:i/>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Corynebacterium spp</w:t>
            </w:r>
          </w:p>
        </w:tc>
        <w:tc>
          <w:tcPr>
            <w:tcW w:w="1417" w:type="dxa"/>
            <w:shd w:val="clear" w:color="auto" w:fill="auto"/>
          </w:tcPr>
          <w:p w:rsidR="00534FB5" w:rsidRPr="001524F7" w:rsidRDefault="00534FB5" w:rsidP="00534FB5">
            <w:pPr>
              <w:spacing w:line="240" w:lineRule="auto"/>
              <w:contextualSpacing/>
              <w:jc w:val="center"/>
            </w:pPr>
            <w:r w:rsidRPr="001524F7">
              <w:t>13</w:t>
            </w:r>
          </w:p>
        </w:tc>
        <w:tc>
          <w:tcPr>
            <w:tcW w:w="2977" w:type="dxa"/>
            <w:shd w:val="clear" w:color="auto" w:fill="auto"/>
          </w:tcPr>
          <w:p w:rsidR="00534FB5" w:rsidRPr="001524F7" w:rsidRDefault="00534FB5" w:rsidP="00534FB5">
            <w:pPr>
              <w:spacing w:line="240" w:lineRule="auto"/>
              <w:contextualSpacing/>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Haemophillus spp</w:t>
            </w:r>
          </w:p>
        </w:tc>
        <w:tc>
          <w:tcPr>
            <w:tcW w:w="1417" w:type="dxa"/>
            <w:shd w:val="clear" w:color="auto" w:fill="auto"/>
          </w:tcPr>
          <w:p w:rsidR="00534FB5" w:rsidRPr="001524F7" w:rsidRDefault="00534FB5" w:rsidP="00534FB5">
            <w:pPr>
              <w:spacing w:line="240" w:lineRule="auto"/>
              <w:contextualSpacing/>
              <w:jc w:val="center"/>
            </w:pPr>
            <w:r w:rsidRPr="001524F7">
              <w:t>12</w:t>
            </w:r>
          </w:p>
        </w:tc>
        <w:tc>
          <w:tcPr>
            <w:tcW w:w="2977" w:type="dxa"/>
            <w:shd w:val="clear" w:color="auto" w:fill="auto"/>
          </w:tcPr>
          <w:p w:rsidR="00534FB5" w:rsidRPr="001524F7" w:rsidRDefault="00534FB5" w:rsidP="00534FB5">
            <w:pPr>
              <w:spacing w:line="240" w:lineRule="auto"/>
              <w:contextualSpacing/>
              <w:rPr>
                <w:i/>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Klebsiella spp</w:t>
            </w:r>
          </w:p>
        </w:tc>
        <w:tc>
          <w:tcPr>
            <w:tcW w:w="1417" w:type="dxa"/>
            <w:shd w:val="clear" w:color="auto" w:fill="auto"/>
          </w:tcPr>
          <w:p w:rsidR="00534FB5" w:rsidRPr="001524F7" w:rsidRDefault="00534FB5" w:rsidP="00534FB5">
            <w:pPr>
              <w:spacing w:line="240" w:lineRule="auto"/>
              <w:contextualSpacing/>
              <w:jc w:val="center"/>
            </w:pPr>
            <w:r w:rsidRPr="001524F7">
              <w:t>10</w:t>
            </w:r>
          </w:p>
        </w:tc>
        <w:tc>
          <w:tcPr>
            <w:tcW w:w="2977" w:type="dxa"/>
            <w:shd w:val="clear" w:color="auto" w:fill="auto"/>
          </w:tcPr>
          <w:p w:rsidR="00534FB5" w:rsidRPr="001524F7" w:rsidRDefault="00534FB5" w:rsidP="00534FB5">
            <w:pPr>
              <w:spacing w:line="240" w:lineRule="auto"/>
              <w:contextualSpacing/>
              <w:rPr>
                <w:i/>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vAlign w:val="center"/>
          </w:tcPr>
          <w:p w:rsidR="00534FB5" w:rsidRPr="001524F7" w:rsidRDefault="00534FB5" w:rsidP="00534FB5">
            <w:pPr>
              <w:spacing w:line="240" w:lineRule="auto"/>
              <w:contextualSpacing/>
              <w:jc w:val="center"/>
              <w:rPr>
                <w:i/>
              </w:rPr>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Stomatococcus spp</w:t>
            </w:r>
          </w:p>
        </w:tc>
        <w:tc>
          <w:tcPr>
            <w:tcW w:w="1417" w:type="dxa"/>
            <w:shd w:val="clear" w:color="auto" w:fill="auto"/>
          </w:tcPr>
          <w:p w:rsidR="00534FB5" w:rsidRPr="001524F7" w:rsidRDefault="00534FB5" w:rsidP="00534FB5">
            <w:pPr>
              <w:spacing w:line="240" w:lineRule="auto"/>
              <w:contextualSpacing/>
              <w:jc w:val="center"/>
            </w:pPr>
            <w:r w:rsidRPr="001524F7">
              <w:t>10</w:t>
            </w:r>
          </w:p>
        </w:tc>
        <w:tc>
          <w:tcPr>
            <w:tcW w:w="2977" w:type="dxa"/>
            <w:shd w:val="clear" w:color="auto" w:fill="auto"/>
          </w:tcPr>
          <w:p w:rsidR="00534FB5" w:rsidRPr="001524F7" w:rsidRDefault="00534FB5" w:rsidP="00534FB5">
            <w:pPr>
              <w:spacing w:line="240" w:lineRule="auto"/>
              <w:contextualSpacing/>
              <w:rPr>
                <w:i/>
                <w:lang w:val="en-US"/>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val="restart"/>
            <w:shd w:val="clear" w:color="auto" w:fill="auto"/>
          </w:tcPr>
          <w:p w:rsidR="00534FB5" w:rsidRPr="001524F7" w:rsidRDefault="00534FB5" w:rsidP="00534FB5">
            <w:pPr>
              <w:spacing w:line="240" w:lineRule="auto"/>
              <w:contextualSpacing/>
            </w:pPr>
            <w:r w:rsidRPr="001524F7">
              <w:t xml:space="preserve">20,1-30,0 </w:t>
            </w:r>
          </w:p>
        </w:tc>
        <w:tc>
          <w:tcPr>
            <w:tcW w:w="2410" w:type="dxa"/>
            <w:shd w:val="clear" w:color="auto" w:fill="auto"/>
          </w:tcPr>
          <w:p w:rsidR="00534FB5" w:rsidRPr="001524F7" w:rsidRDefault="00534FB5" w:rsidP="00534FB5">
            <w:pPr>
              <w:spacing w:line="240" w:lineRule="auto"/>
              <w:contextualSpacing/>
              <w:rPr>
                <w:i/>
                <w:lang w:val="en-US"/>
              </w:rPr>
            </w:pPr>
            <w:r w:rsidRPr="001524F7">
              <w:rPr>
                <w:i/>
                <w:lang w:val="en-US"/>
              </w:rPr>
              <w:t>Staphylococcus spp</w:t>
            </w:r>
          </w:p>
        </w:tc>
        <w:tc>
          <w:tcPr>
            <w:tcW w:w="1417" w:type="dxa"/>
            <w:shd w:val="clear" w:color="auto" w:fill="auto"/>
          </w:tcPr>
          <w:p w:rsidR="00534FB5" w:rsidRPr="001524F7" w:rsidRDefault="00534FB5" w:rsidP="00534FB5">
            <w:pPr>
              <w:spacing w:line="240" w:lineRule="auto"/>
              <w:contextualSpacing/>
              <w:jc w:val="center"/>
            </w:pPr>
            <w:r w:rsidRPr="001524F7">
              <w:t>29</w:t>
            </w:r>
          </w:p>
        </w:tc>
        <w:tc>
          <w:tcPr>
            <w:tcW w:w="2977" w:type="dxa"/>
            <w:shd w:val="clear" w:color="auto" w:fill="auto"/>
          </w:tcPr>
          <w:p w:rsidR="00534FB5" w:rsidRPr="001524F7" w:rsidRDefault="00534FB5" w:rsidP="00534FB5">
            <w:pPr>
              <w:spacing w:line="240" w:lineRule="auto"/>
              <w:contextualSpacing/>
              <w:rPr>
                <w:i/>
              </w:rPr>
            </w:pPr>
          </w:p>
        </w:tc>
        <w:tc>
          <w:tcPr>
            <w:tcW w:w="141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410" w:type="dxa"/>
            <w:shd w:val="clear" w:color="auto" w:fill="auto"/>
          </w:tcPr>
          <w:p w:rsidR="00534FB5" w:rsidRPr="001524F7" w:rsidRDefault="00534FB5" w:rsidP="00534FB5">
            <w:pPr>
              <w:spacing w:line="240" w:lineRule="auto"/>
              <w:contextualSpacing/>
              <w:rPr>
                <w:i/>
              </w:rPr>
            </w:pPr>
            <w:r w:rsidRPr="001524F7">
              <w:rPr>
                <w:i/>
                <w:lang w:val="en-US"/>
              </w:rPr>
              <w:t>Enterococcus spp</w:t>
            </w:r>
          </w:p>
        </w:tc>
        <w:tc>
          <w:tcPr>
            <w:tcW w:w="1417" w:type="dxa"/>
            <w:shd w:val="clear" w:color="auto" w:fill="auto"/>
          </w:tcPr>
          <w:p w:rsidR="00534FB5" w:rsidRPr="001524F7" w:rsidRDefault="00534FB5" w:rsidP="00534FB5">
            <w:pPr>
              <w:spacing w:line="240" w:lineRule="auto"/>
              <w:contextualSpacing/>
              <w:jc w:val="center"/>
            </w:pPr>
            <w:r w:rsidRPr="001524F7">
              <w:t>26</w:t>
            </w:r>
          </w:p>
        </w:tc>
        <w:tc>
          <w:tcPr>
            <w:tcW w:w="2977" w:type="dxa"/>
            <w:shd w:val="clear" w:color="auto" w:fill="auto"/>
          </w:tcPr>
          <w:p w:rsidR="00534FB5" w:rsidRPr="001524F7" w:rsidRDefault="00534FB5" w:rsidP="00534FB5">
            <w:pPr>
              <w:spacing w:line="240" w:lineRule="auto"/>
              <w:contextualSpacing/>
            </w:pPr>
          </w:p>
        </w:tc>
        <w:tc>
          <w:tcPr>
            <w:tcW w:w="1418" w:type="dxa"/>
            <w:shd w:val="clear" w:color="auto" w:fill="auto"/>
          </w:tcPr>
          <w:p w:rsidR="00534FB5" w:rsidRPr="001524F7" w:rsidRDefault="00534FB5" w:rsidP="00534FB5">
            <w:pPr>
              <w:spacing w:line="240" w:lineRule="auto"/>
              <w:contextualSpacing/>
              <w:jc w:val="center"/>
            </w:pPr>
          </w:p>
        </w:tc>
      </w:tr>
    </w:tbl>
    <w:p w:rsidR="00534FB5" w:rsidRPr="001524F7" w:rsidRDefault="00534FB5" w:rsidP="00534FB5">
      <w:pPr>
        <w:jc w:val="right"/>
        <w:rPr>
          <w:i/>
        </w:rPr>
      </w:pPr>
      <w:r w:rsidRPr="001524F7">
        <w:rPr>
          <w:i/>
        </w:rPr>
        <w:lastRenderedPageBreak/>
        <w:t>Продовження додатк</w:t>
      </w:r>
      <w:r>
        <w:rPr>
          <w:i/>
        </w:rPr>
        <w:t>а</w:t>
      </w:r>
      <w:r w:rsidRPr="001524F7">
        <w:rPr>
          <w:i/>
        </w:rPr>
        <w:t xml:space="preserve"> 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324"/>
        <w:gridCol w:w="1503"/>
        <w:gridCol w:w="2817"/>
        <w:gridCol w:w="1578"/>
      </w:tblGrid>
      <w:tr w:rsidR="00534FB5" w:rsidRPr="001524F7" w:rsidTr="00534FB5">
        <w:trPr>
          <w:trHeight w:val="349"/>
        </w:trPr>
        <w:tc>
          <w:tcPr>
            <w:tcW w:w="1384" w:type="dxa"/>
            <w:shd w:val="clear" w:color="auto" w:fill="auto"/>
          </w:tcPr>
          <w:p w:rsidR="00534FB5" w:rsidRPr="001524F7" w:rsidRDefault="00534FB5" w:rsidP="00534FB5">
            <w:pPr>
              <w:spacing w:line="240" w:lineRule="auto"/>
              <w:contextualSpacing/>
              <w:jc w:val="center"/>
            </w:pPr>
            <w:r w:rsidRPr="001524F7">
              <w:t>1</w:t>
            </w:r>
          </w:p>
        </w:tc>
        <w:tc>
          <w:tcPr>
            <w:tcW w:w="2324" w:type="dxa"/>
            <w:shd w:val="clear" w:color="auto" w:fill="auto"/>
          </w:tcPr>
          <w:p w:rsidR="00534FB5" w:rsidRPr="001524F7" w:rsidRDefault="00534FB5" w:rsidP="00534FB5">
            <w:pPr>
              <w:spacing w:line="240" w:lineRule="auto"/>
              <w:contextualSpacing/>
              <w:jc w:val="center"/>
            </w:pPr>
            <w:r w:rsidRPr="001524F7">
              <w:t>2</w:t>
            </w:r>
          </w:p>
        </w:tc>
        <w:tc>
          <w:tcPr>
            <w:tcW w:w="1503" w:type="dxa"/>
            <w:shd w:val="clear" w:color="auto" w:fill="auto"/>
          </w:tcPr>
          <w:p w:rsidR="00534FB5" w:rsidRPr="001524F7" w:rsidRDefault="00534FB5" w:rsidP="00534FB5">
            <w:pPr>
              <w:spacing w:line="240" w:lineRule="auto"/>
              <w:contextualSpacing/>
              <w:jc w:val="center"/>
            </w:pPr>
            <w:r w:rsidRPr="001524F7">
              <w:t>3</w:t>
            </w:r>
          </w:p>
        </w:tc>
        <w:tc>
          <w:tcPr>
            <w:tcW w:w="2817" w:type="dxa"/>
            <w:shd w:val="clear" w:color="auto" w:fill="auto"/>
          </w:tcPr>
          <w:p w:rsidR="00534FB5" w:rsidRPr="001524F7" w:rsidRDefault="00534FB5" w:rsidP="00534FB5">
            <w:pPr>
              <w:spacing w:line="240" w:lineRule="auto"/>
              <w:contextualSpacing/>
              <w:jc w:val="center"/>
            </w:pPr>
            <w:r w:rsidRPr="001524F7">
              <w:t>4</w:t>
            </w:r>
          </w:p>
        </w:tc>
        <w:tc>
          <w:tcPr>
            <w:tcW w:w="1578" w:type="dxa"/>
            <w:shd w:val="clear" w:color="auto" w:fill="auto"/>
          </w:tcPr>
          <w:p w:rsidR="00534FB5" w:rsidRPr="001524F7" w:rsidRDefault="00534FB5" w:rsidP="00534FB5">
            <w:pPr>
              <w:spacing w:line="240" w:lineRule="auto"/>
              <w:contextualSpacing/>
              <w:jc w:val="center"/>
            </w:pPr>
            <w:r w:rsidRPr="001524F7">
              <w:t>5</w:t>
            </w:r>
          </w:p>
        </w:tc>
      </w:tr>
      <w:tr w:rsidR="00534FB5" w:rsidRPr="001524F7" w:rsidTr="00534FB5">
        <w:trPr>
          <w:trHeight w:val="524"/>
        </w:trPr>
        <w:tc>
          <w:tcPr>
            <w:tcW w:w="1384" w:type="dxa"/>
            <w:vMerge w:val="restart"/>
            <w:shd w:val="clear" w:color="auto" w:fill="auto"/>
          </w:tcPr>
          <w:p w:rsidR="00534FB5" w:rsidRPr="001524F7" w:rsidRDefault="00534FB5" w:rsidP="00534FB5">
            <w:pPr>
              <w:spacing w:line="240" w:lineRule="auto"/>
              <w:contextualSpacing/>
            </w:pPr>
            <w:r w:rsidRPr="001524F7">
              <w:t xml:space="preserve"> 30,1-50,0 </w:t>
            </w:r>
          </w:p>
        </w:tc>
        <w:tc>
          <w:tcPr>
            <w:tcW w:w="2324" w:type="dxa"/>
            <w:shd w:val="clear" w:color="auto" w:fill="auto"/>
          </w:tcPr>
          <w:p w:rsidR="00534FB5" w:rsidRPr="001524F7" w:rsidRDefault="00534FB5" w:rsidP="00534FB5">
            <w:pPr>
              <w:spacing w:line="240" w:lineRule="auto"/>
              <w:contextualSpacing/>
              <w:rPr>
                <w:i/>
              </w:rPr>
            </w:pPr>
            <w:r w:rsidRPr="001524F7">
              <w:rPr>
                <w:i/>
                <w:lang w:val="en-US"/>
              </w:rPr>
              <w:t>Neisseria spp</w:t>
            </w:r>
          </w:p>
        </w:tc>
        <w:tc>
          <w:tcPr>
            <w:tcW w:w="1503" w:type="dxa"/>
            <w:shd w:val="clear" w:color="auto" w:fill="auto"/>
          </w:tcPr>
          <w:p w:rsidR="00534FB5" w:rsidRPr="001524F7" w:rsidRDefault="00534FB5" w:rsidP="00534FB5">
            <w:pPr>
              <w:spacing w:line="240" w:lineRule="auto"/>
              <w:contextualSpacing/>
              <w:jc w:val="center"/>
            </w:pPr>
            <w:r w:rsidRPr="001524F7">
              <w:t>31</w:t>
            </w:r>
          </w:p>
        </w:tc>
        <w:tc>
          <w:tcPr>
            <w:tcW w:w="2817" w:type="dxa"/>
            <w:shd w:val="clear" w:color="auto" w:fill="auto"/>
          </w:tcPr>
          <w:p w:rsidR="00534FB5" w:rsidRPr="001524F7" w:rsidRDefault="00534FB5" w:rsidP="00534FB5">
            <w:pPr>
              <w:spacing w:line="240" w:lineRule="auto"/>
              <w:contextualSpacing/>
              <w:rPr>
                <w:i/>
              </w:rPr>
            </w:pPr>
            <w:r w:rsidRPr="001524F7">
              <w:rPr>
                <w:i/>
                <w:lang w:val="en-US"/>
              </w:rPr>
              <w:t>Neisseria spp</w:t>
            </w:r>
          </w:p>
        </w:tc>
        <w:tc>
          <w:tcPr>
            <w:tcW w:w="1578" w:type="dxa"/>
            <w:shd w:val="clear" w:color="auto" w:fill="auto"/>
          </w:tcPr>
          <w:p w:rsidR="00534FB5" w:rsidRPr="001524F7" w:rsidRDefault="00534FB5" w:rsidP="00534FB5">
            <w:pPr>
              <w:spacing w:line="240" w:lineRule="auto"/>
              <w:contextualSpacing/>
              <w:jc w:val="center"/>
            </w:pPr>
            <w:r w:rsidRPr="001524F7">
              <w:t>15</w:t>
            </w:r>
          </w:p>
        </w:tc>
      </w:tr>
      <w:tr w:rsidR="00534FB5" w:rsidRPr="001524F7" w:rsidTr="00534FB5">
        <w:tc>
          <w:tcPr>
            <w:tcW w:w="1384" w:type="dxa"/>
            <w:vMerge/>
            <w:shd w:val="clear" w:color="auto" w:fill="auto"/>
          </w:tcPr>
          <w:p w:rsidR="00534FB5" w:rsidRPr="001524F7" w:rsidRDefault="00534FB5" w:rsidP="00534FB5">
            <w:pPr>
              <w:spacing w:line="240" w:lineRule="auto"/>
              <w:contextualSpacing/>
            </w:pPr>
          </w:p>
        </w:tc>
        <w:tc>
          <w:tcPr>
            <w:tcW w:w="2324" w:type="dxa"/>
            <w:shd w:val="clear" w:color="auto" w:fill="auto"/>
          </w:tcPr>
          <w:p w:rsidR="00534FB5" w:rsidRPr="001524F7" w:rsidRDefault="00534FB5" w:rsidP="00534FB5">
            <w:pPr>
              <w:spacing w:line="240" w:lineRule="auto"/>
              <w:contextualSpacing/>
              <w:rPr>
                <w:i/>
              </w:rPr>
            </w:pPr>
            <w:r w:rsidRPr="001524F7">
              <w:rPr>
                <w:i/>
                <w:lang w:val="en-US"/>
              </w:rPr>
              <w:t>Fusobacterium spp</w:t>
            </w:r>
          </w:p>
        </w:tc>
        <w:tc>
          <w:tcPr>
            <w:tcW w:w="1503" w:type="dxa"/>
            <w:shd w:val="clear" w:color="auto" w:fill="auto"/>
          </w:tcPr>
          <w:p w:rsidR="00534FB5" w:rsidRPr="001524F7" w:rsidRDefault="00534FB5" w:rsidP="00534FB5">
            <w:pPr>
              <w:spacing w:line="240" w:lineRule="auto"/>
              <w:contextualSpacing/>
              <w:jc w:val="center"/>
            </w:pPr>
            <w:r w:rsidRPr="001524F7">
              <w:t>31</w:t>
            </w:r>
          </w:p>
        </w:tc>
        <w:tc>
          <w:tcPr>
            <w:tcW w:w="2817" w:type="dxa"/>
            <w:shd w:val="clear" w:color="auto" w:fill="auto"/>
          </w:tcPr>
          <w:p w:rsidR="00534FB5" w:rsidRPr="001524F7" w:rsidRDefault="00534FB5" w:rsidP="00534FB5">
            <w:pPr>
              <w:spacing w:line="240" w:lineRule="auto"/>
              <w:contextualSpacing/>
            </w:pPr>
          </w:p>
        </w:tc>
        <w:tc>
          <w:tcPr>
            <w:tcW w:w="1578" w:type="dxa"/>
            <w:shd w:val="clear" w:color="auto" w:fill="auto"/>
          </w:tcPr>
          <w:p w:rsidR="00534FB5" w:rsidRPr="001524F7" w:rsidRDefault="00534FB5" w:rsidP="00534FB5">
            <w:pPr>
              <w:spacing w:line="240" w:lineRule="auto"/>
              <w:contextualSpacing/>
              <w:jc w:val="center"/>
            </w:pPr>
          </w:p>
        </w:tc>
      </w:tr>
      <w:tr w:rsidR="00534FB5" w:rsidRPr="001524F7" w:rsidTr="00534FB5">
        <w:tc>
          <w:tcPr>
            <w:tcW w:w="1384" w:type="dxa"/>
            <w:shd w:val="clear" w:color="auto" w:fill="auto"/>
          </w:tcPr>
          <w:p w:rsidR="00534FB5" w:rsidRPr="001524F7" w:rsidRDefault="00534FB5" w:rsidP="00534FB5">
            <w:pPr>
              <w:spacing w:line="240" w:lineRule="auto"/>
              <w:contextualSpacing/>
            </w:pPr>
            <w:r w:rsidRPr="001524F7">
              <w:t xml:space="preserve">&gt; 50,0 </w:t>
            </w:r>
          </w:p>
        </w:tc>
        <w:tc>
          <w:tcPr>
            <w:tcW w:w="2324" w:type="dxa"/>
            <w:shd w:val="clear" w:color="auto" w:fill="auto"/>
          </w:tcPr>
          <w:p w:rsidR="00534FB5" w:rsidRPr="00E12E05" w:rsidRDefault="00534FB5" w:rsidP="00534FB5">
            <w:pPr>
              <w:spacing w:line="240" w:lineRule="auto"/>
              <w:contextualSpacing/>
              <w:rPr>
                <w:spacing w:val="-20"/>
              </w:rPr>
            </w:pPr>
            <w:r w:rsidRPr="00E12E05">
              <w:rPr>
                <w:i/>
                <w:spacing w:val="-20"/>
                <w:lang w:val="en-US"/>
              </w:rPr>
              <w:t>Streptococcus</w:t>
            </w:r>
            <w:r w:rsidRPr="00E12E05">
              <w:rPr>
                <w:i/>
                <w:spacing w:val="-20"/>
              </w:rPr>
              <w:t xml:space="preserve"> </w:t>
            </w:r>
            <w:r w:rsidRPr="00E12E05">
              <w:rPr>
                <w:i/>
                <w:spacing w:val="-20"/>
                <w:lang w:val="en-US"/>
              </w:rPr>
              <w:t>s</w:t>
            </w:r>
            <w:r w:rsidRPr="00E12E05">
              <w:rPr>
                <w:i/>
                <w:spacing w:val="-20"/>
              </w:rPr>
              <w:t>рр</w:t>
            </w:r>
            <w:r w:rsidRPr="00E12E05">
              <w:rPr>
                <w:spacing w:val="-20"/>
              </w:rPr>
              <w:t xml:space="preserve"> з </w:t>
            </w:r>
          </w:p>
          <w:p w:rsidR="00534FB5" w:rsidRPr="001524F7" w:rsidRDefault="00534FB5" w:rsidP="00534FB5">
            <w:pPr>
              <w:spacing w:line="240" w:lineRule="auto"/>
              <w:contextualSpacing/>
            </w:pPr>
            <w:r w:rsidRPr="001524F7">
              <w:t>ά-гемолітичними властивостями</w:t>
            </w:r>
          </w:p>
        </w:tc>
        <w:tc>
          <w:tcPr>
            <w:tcW w:w="1503" w:type="dxa"/>
            <w:shd w:val="clear" w:color="auto" w:fill="auto"/>
          </w:tcPr>
          <w:p w:rsidR="00534FB5" w:rsidRPr="001524F7" w:rsidRDefault="00534FB5" w:rsidP="00534FB5">
            <w:pPr>
              <w:spacing w:line="240" w:lineRule="auto"/>
              <w:contextualSpacing/>
              <w:jc w:val="center"/>
            </w:pPr>
            <w:r w:rsidRPr="001524F7">
              <w:t>85</w:t>
            </w:r>
          </w:p>
        </w:tc>
        <w:tc>
          <w:tcPr>
            <w:tcW w:w="2817" w:type="dxa"/>
            <w:shd w:val="clear" w:color="auto" w:fill="auto"/>
          </w:tcPr>
          <w:p w:rsidR="00E12E05" w:rsidRDefault="00534FB5" w:rsidP="00534FB5">
            <w:pPr>
              <w:spacing w:line="240" w:lineRule="auto"/>
              <w:contextualSpacing/>
            </w:pPr>
            <w:r w:rsidRPr="001524F7">
              <w:rPr>
                <w:i/>
                <w:lang w:val="en-US"/>
              </w:rPr>
              <w:t>Streptococcus</w:t>
            </w:r>
            <w:r w:rsidRPr="001524F7">
              <w:rPr>
                <w:i/>
              </w:rPr>
              <w:t xml:space="preserve"> </w:t>
            </w:r>
            <w:r w:rsidRPr="001524F7">
              <w:rPr>
                <w:i/>
                <w:lang w:val="en-US"/>
              </w:rPr>
              <w:t>s</w:t>
            </w:r>
            <w:r w:rsidRPr="001524F7">
              <w:rPr>
                <w:i/>
              </w:rPr>
              <w:t>рр</w:t>
            </w:r>
            <w:r w:rsidRPr="001524F7">
              <w:t xml:space="preserve"> з</w:t>
            </w:r>
          </w:p>
          <w:p w:rsidR="00534FB5" w:rsidRPr="001524F7" w:rsidRDefault="00534FB5" w:rsidP="00534FB5">
            <w:pPr>
              <w:spacing w:line="240" w:lineRule="auto"/>
              <w:contextualSpacing/>
            </w:pPr>
            <w:r w:rsidRPr="001524F7">
              <w:t>ά-гемолітичними властивостями</w:t>
            </w:r>
          </w:p>
        </w:tc>
        <w:tc>
          <w:tcPr>
            <w:tcW w:w="1578" w:type="dxa"/>
            <w:shd w:val="clear" w:color="auto" w:fill="auto"/>
          </w:tcPr>
          <w:p w:rsidR="00534FB5" w:rsidRPr="001524F7" w:rsidRDefault="00534FB5" w:rsidP="00534FB5">
            <w:pPr>
              <w:spacing w:line="240" w:lineRule="auto"/>
              <w:contextualSpacing/>
              <w:jc w:val="center"/>
            </w:pPr>
            <w:r w:rsidRPr="001524F7">
              <w:t>69</w:t>
            </w:r>
          </w:p>
        </w:tc>
      </w:tr>
    </w:tbl>
    <w:p w:rsidR="00534FB5" w:rsidRPr="001524F7" w:rsidRDefault="00534FB5" w:rsidP="00534FB5">
      <w:pPr>
        <w:shd w:val="clear" w:color="auto" w:fill="FFFFFF"/>
        <w:spacing w:line="240" w:lineRule="auto"/>
        <w:ind w:hanging="142"/>
        <w:contextualSpacing/>
        <w:jc w:val="left"/>
        <w:rPr>
          <w:sz w:val="24"/>
        </w:rPr>
        <w:sectPr w:rsidR="00534FB5" w:rsidRPr="001524F7" w:rsidSect="00534FB5">
          <w:headerReference w:type="default" r:id="rId75"/>
          <w:pgSz w:w="11906" w:h="16838"/>
          <w:pgMar w:top="-1560" w:right="851" w:bottom="1134" w:left="1701" w:header="1134" w:footer="709" w:gutter="0"/>
          <w:cols w:space="708"/>
          <w:docGrid w:linePitch="381"/>
        </w:sectPr>
      </w:pPr>
      <w:r w:rsidRPr="001524F7">
        <w:rPr>
          <w:spacing w:val="-1"/>
          <w:sz w:val="24"/>
        </w:rPr>
        <w:t xml:space="preserve">Примітка: * </w:t>
      </w:r>
      <w:r>
        <w:rPr>
          <w:spacing w:val="-1"/>
          <w:sz w:val="24"/>
        </w:rPr>
        <w:t xml:space="preserve">– </w:t>
      </w:r>
      <w:r w:rsidRPr="001524F7">
        <w:rPr>
          <w:spacing w:val="-1"/>
          <w:sz w:val="24"/>
        </w:rPr>
        <w:t xml:space="preserve">достовірна різниця між показниками </w:t>
      </w:r>
      <w:r>
        <w:rPr>
          <w:sz w:val="24"/>
        </w:rPr>
        <w:t>(р&lt;0,05).</w:t>
      </w:r>
    </w:p>
    <w:p w:rsidR="00534FB5" w:rsidRDefault="00534FB5" w:rsidP="00534FB5">
      <w:pPr>
        <w:jc w:val="center"/>
      </w:pPr>
      <w:r w:rsidRPr="001524F7">
        <w:lastRenderedPageBreak/>
        <w:t>Додаток Б</w:t>
      </w:r>
    </w:p>
    <w:p w:rsidR="00534FB5" w:rsidRPr="001524F7" w:rsidRDefault="00534FB5" w:rsidP="00534FB5">
      <w:pPr>
        <w:jc w:val="center"/>
      </w:pPr>
      <w:r w:rsidRPr="001524F7">
        <w:t xml:space="preserve">Щільність мікробної колонізації </w:t>
      </w:r>
      <w:r w:rsidRPr="001524F7">
        <w:rPr>
          <w:bCs/>
        </w:rPr>
        <w:t xml:space="preserve">зубної бляшки дітей </w:t>
      </w:r>
      <w:r w:rsidR="006C493E">
        <w:rPr>
          <w:bCs/>
        </w:rPr>
        <w:t>із вродженою</w:t>
      </w:r>
      <w:r w:rsidRPr="001524F7">
        <w:rPr>
          <w:bCs/>
        </w:rPr>
        <w:t xml:space="preserve"> глухотою та дітей контрольної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60"/>
        <w:gridCol w:w="2159"/>
        <w:gridCol w:w="2768"/>
        <w:gridCol w:w="1965"/>
        <w:gridCol w:w="2066"/>
      </w:tblGrid>
      <w:tr w:rsidR="00534FB5" w:rsidRPr="001524F7" w:rsidTr="00534FB5">
        <w:tc>
          <w:tcPr>
            <w:tcW w:w="552" w:type="dxa"/>
            <w:shd w:val="clear" w:color="auto" w:fill="auto"/>
            <w:vAlign w:val="center"/>
          </w:tcPr>
          <w:p w:rsidR="00534FB5" w:rsidRPr="001524F7" w:rsidRDefault="00534FB5" w:rsidP="00534FB5">
            <w:pPr>
              <w:spacing w:line="240" w:lineRule="auto"/>
              <w:contextualSpacing/>
              <w:jc w:val="center"/>
              <w:rPr>
                <w:spacing w:val="-14"/>
              </w:rPr>
            </w:pPr>
            <w:r w:rsidRPr="001524F7">
              <w:rPr>
                <w:spacing w:val="-14"/>
              </w:rPr>
              <w:t>№ п/п</w:t>
            </w:r>
          </w:p>
        </w:tc>
        <w:tc>
          <w:tcPr>
            <w:tcW w:w="4949" w:type="dxa"/>
            <w:gridSpan w:val="3"/>
            <w:shd w:val="clear" w:color="auto" w:fill="auto"/>
            <w:vAlign w:val="center"/>
          </w:tcPr>
          <w:p w:rsidR="00534FB5" w:rsidRPr="001524F7" w:rsidRDefault="00534FB5" w:rsidP="00534FB5">
            <w:pPr>
              <w:spacing w:line="240" w:lineRule="auto"/>
              <w:contextualSpacing/>
              <w:jc w:val="center"/>
              <w:rPr>
                <w:spacing w:val="-14"/>
              </w:rPr>
            </w:pPr>
            <w:r w:rsidRPr="001524F7">
              <w:rPr>
                <w:spacing w:val="-14"/>
              </w:rPr>
              <w:t>Представники родів та видів мікроорганізмів</w:t>
            </w:r>
          </w:p>
        </w:tc>
        <w:tc>
          <w:tcPr>
            <w:tcW w:w="1983" w:type="dxa"/>
            <w:shd w:val="clear" w:color="auto" w:fill="auto"/>
            <w:vAlign w:val="center"/>
          </w:tcPr>
          <w:p w:rsidR="00534FB5" w:rsidRPr="001524F7" w:rsidRDefault="00534FB5" w:rsidP="00534FB5">
            <w:pPr>
              <w:spacing w:line="240" w:lineRule="auto"/>
              <w:contextualSpacing/>
              <w:jc w:val="center"/>
              <w:rPr>
                <w:bCs/>
                <w:spacing w:val="-14"/>
              </w:rPr>
            </w:pPr>
            <w:r w:rsidRPr="001524F7">
              <w:rPr>
                <w:bCs/>
                <w:spacing w:val="-14"/>
              </w:rPr>
              <w:t>Діти з вродженою глухотою</w:t>
            </w:r>
          </w:p>
          <w:p w:rsidR="00534FB5" w:rsidRPr="001524F7" w:rsidRDefault="00534FB5" w:rsidP="00534FB5">
            <w:pPr>
              <w:spacing w:line="240" w:lineRule="auto"/>
              <w:contextualSpacing/>
              <w:jc w:val="center"/>
              <w:rPr>
                <w:spacing w:val="-14"/>
              </w:rPr>
            </w:pPr>
            <w:r w:rsidRPr="001524F7">
              <w:rPr>
                <w:spacing w:val="-14"/>
              </w:rPr>
              <w:t>(</w:t>
            </w:r>
            <w:r w:rsidRPr="001524F7">
              <w:rPr>
                <w:spacing w:val="-14"/>
                <w:lang w:val="en-US"/>
              </w:rPr>
              <w:t>lg</w:t>
            </w:r>
            <w:r w:rsidRPr="001524F7">
              <w:rPr>
                <w:spacing w:val="-14"/>
              </w:rPr>
              <w:t xml:space="preserve"> КУО/г)</w:t>
            </w:r>
          </w:p>
          <w:p w:rsidR="00534FB5" w:rsidRPr="001524F7" w:rsidRDefault="00534FB5" w:rsidP="00534FB5">
            <w:pPr>
              <w:spacing w:line="240" w:lineRule="auto"/>
              <w:contextualSpacing/>
              <w:jc w:val="center"/>
              <w:rPr>
                <w:spacing w:val="-14"/>
              </w:rPr>
            </w:pPr>
            <w:r w:rsidRPr="001524F7">
              <w:rPr>
                <w:rFonts w:eastAsia="TimesNewRomanPSMT"/>
                <w:spacing w:val="-14"/>
              </w:rPr>
              <w:t>(М±m)</w:t>
            </w:r>
          </w:p>
        </w:tc>
        <w:tc>
          <w:tcPr>
            <w:tcW w:w="2086" w:type="dxa"/>
            <w:shd w:val="clear" w:color="auto" w:fill="auto"/>
            <w:vAlign w:val="center"/>
          </w:tcPr>
          <w:p w:rsidR="00534FB5" w:rsidRPr="001524F7" w:rsidRDefault="00534FB5" w:rsidP="00534FB5">
            <w:pPr>
              <w:spacing w:line="240" w:lineRule="auto"/>
              <w:contextualSpacing/>
              <w:jc w:val="center"/>
              <w:rPr>
                <w:bCs/>
                <w:spacing w:val="-14"/>
              </w:rPr>
            </w:pPr>
            <w:r w:rsidRPr="001524F7">
              <w:rPr>
                <w:bCs/>
                <w:spacing w:val="-14"/>
              </w:rPr>
              <w:t>Діти контрольної групи</w:t>
            </w:r>
          </w:p>
          <w:p w:rsidR="00534FB5" w:rsidRPr="001524F7" w:rsidRDefault="00534FB5" w:rsidP="00534FB5">
            <w:pPr>
              <w:spacing w:line="240" w:lineRule="auto"/>
              <w:contextualSpacing/>
              <w:jc w:val="center"/>
              <w:rPr>
                <w:spacing w:val="-14"/>
              </w:rPr>
            </w:pPr>
            <w:r w:rsidRPr="001524F7">
              <w:rPr>
                <w:spacing w:val="-14"/>
              </w:rPr>
              <w:t>(</w:t>
            </w:r>
            <w:r w:rsidRPr="001524F7">
              <w:rPr>
                <w:spacing w:val="-14"/>
                <w:lang w:val="en-US"/>
              </w:rPr>
              <w:t>lg</w:t>
            </w:r>
            <w:r w:rsidRPr="001524F7">
              <w:rPr>
                <w:spacing w:val="-14"/>
              </w:rPr>
              <w:t xml:space="preserve"> КУО/г)</w:t>
            </w:r>
          </w:p>
          <w:p w:rsidR="00534FB5" w:rsidRPr="001524F7" w:rsidRDefault="00534FB5" w:rsidP="00534FB5">
            <w:pPr>
              <w:spacing w:line="240" w:lineRule="auto"/>
              <w:contextualSpacing/>
              <w:jc w:val="center"/>
              <w:rPr>
                <w:spacing w:val="-14"/>
              </w:rPr>
            </w:pPr>
            <w:r w:rsidRPr="001524F7">
              <w:rPr>
                <w:rFonts w:eastAsia="TimesNewRomanPSMT"/>
                <w:spacing w:val="-14"/>
              </w:rPr>
              <w:t>(М±m)</w:t>
            </w:r>
          </w:p>
        </w:tc>
      </w:tr>
      <w:tr w:rsidR="00534FB5" w:rsidRPr="001524F7" w:rsidTr="00534FB5">
        <w:tc>
          <w:tcPr>
            <w:tcW w:w="552" w:type="dxa"/>
            <w:shd w:val="clear" w:color="auto" w:fill="auto"/>
            <w:vAlign w:val="center"/>
          </w:tcPr>
          <w:p w:rsidR="00534FB5" w:rsidRPr="001524F7" w:rsidRDefault="00534FB5" w:rsidP="00534FB5">
            <w:pPr>
              <w:spacing w:line="240" w:lineRule="auto"/>
              <w:contextualSpacing/>
              <w:jc w:val="center"/>
              <w:rPr>
                <w:spacing w:val="-14"/>
              </w:rPr>
            </w:pPr>
            <w:r w:rsidRPr="001524F7">
              <w:rPr>
                <w:spacing w:val="-14"/>
              </w:rPr>
              <w:t>1</w:t>
            </w:r>
          </w:p>
        </w:tc>
        <w:tc>
          <w:tcPr>
            <w:tcW w:w="4949" w:type="dxa"/>
            <w:gridSpan w:val="3"/>
            <w:shd w:val="clear" w:color="auto" w:fill="auto"/>
            <w:vAlign w:val="center"/>
          </w:tcPr>
          <w:p w:rsidR="00534FB5" w:rsidRPr="001524F7" w:rsidRDefault="00534FB5" w:rsidP="00534FB5">
            <w:pPr>
              <w:spacing w:line="240" w:lineRule="auto"/>
              <w:contextualSpacing/>
              <w:jc w:val="center"/>
              <w:rPr>
                <w:spacing w:val="-14"/>
              </w:rPr>
            </w:pPr>
            <w:r w:rsidRPr="001524F7">
              <w:rPr>
                <w:spacing w:val="-14"/>
              </w:rPr>
              <w:t>2</w:t>
            </w:r>
          </w:p>
        </w:tc>
        <w:tc>
          <w:tcPr>
            <w:tcW w:w="1983" w:type="dxa"/>
            <w:shd w:val="clear" w:color="auto" w:fill="auto"/>
            <w:vAlign w:val="center"/>
          </w:tcPr>
          <w:p w:rsidR="00534FB5" w:rsidRPr="001524F7" w:rsidRDefault="00534FB5" w:rsidP="00534FB5">
            <w:pPr>
              <w:spacing w:line="240" w:lineRule="auto"/>
              <w:contextualSpacing/>
              <w:jc w:val="center"/>
              <w:rPr>
                <w:bCs/>
                <w:spacing w:val="-14"/>
              </w:rPr>
            </w:pPr>
            <w:r w:rsidRPr="001524F7">
              <w:rPr>
                <w:bCs/>
                <w:spacing w:val="-14"/>
              </w:rPr>
              <w:t>3</w:t>
            </w:r>
          </w:p>
        </w:tc>
        <w:tc>
          <w:tcPr>
            <w:tcW w:w="2086" w:type="dxa"/>
            <w:shd w:val="clear" w:color="auto" w:fill="auto"/>
            <w:vAlign w:val="center"/>
          </w:tcPr>
          <w:p w:rsidR="00534FB5" w:rsidRPr="001524F7" w:rsidRDefault="00534FB5" w:rsidP="00534FB5">
            <w:pPr>
              <w:spacing w:line="240" w:lineRule="auto"/>
              <w:contextualSpacing/>
              <w:jc w:val="center"/>
              <w:rPr>
                <w:bCs/>
                <w:spacing w:val="-14"/>
              </w:rPr>
            </w:pPr>
            <w:r w:rsidRPr="001524F7">
              <w:rPr>
                <w:bCs/>
                <w:spacing w:val="-14"/>
              </w:rPr>
              <w:t>4</w:t>
            </w:r>
          </w:p>
        </w:tc>
      </w:tr>
      <w:tr w:rsidR="00534FB5" w:rsidRPr="001524F7" w:rsidTr="00534FB5">
        <w:trPr>
          <w:trHeight w:val="1456"/>
        </w:trPr>
        <w:tc>
          <w:tcPr>
            <w:tcW w:w="552" w:type="dxa"/>
            <w:shd w:val="clear" w:color="auto" w:fill="auto"/>
          </w:tcPr>
          <w:p w:rsidR="00534FB5" w:rsidRPr="001524F7" w:rsidRDefault="00534FB5" w:rsidP="00534FB5">
            <w:pPr>
              <w:contextualSpacing/>
            </w:pPr>
            <w:r w:rsidRPr="001524F7">
              <w:t>1</w:t>
            </w:r>
          </w:p>
        </w:tc>
        <w:tc>
          <w:tcPr>
            <w:tcW w:w="2159" w:type="dxa"/>
            <w:gridSpan w:val="2"/>
            <w:vMerge w:val="restart"/>
            <w:shd w:val="clear" w:color="auto" w:fill="auto"/>
          </w:tcPr>
          <w:p w:rsidR="00534FB5" w:rsidRPr="001524F7" w:rsidRDefault="00534FB5" w:rsidP="00534FB5">
            <w:pPr>
              <w:contextualSpacing/>
            </w:pPr>
            <w:r w:rsidRPr="001524F7">
              <w:t>Аероби та факультативні</w:t>
            </w:r>
          </w:p>
          <w:p w:rsidR="00534FB5" w:rsidRPr="001524F7" w:rsidRDefault="00534FB5" w:rsidP="00534FB5">
            <w:pPr>
              <w:contextualSpacing/>
            </w:pPr>
            <w:r w:rsidRPr="001524F7">
              <w:t>анаероби</w:t>
            </w:r>
          </w:p>
        </w:tc>
        <w:tc>
          <w:tcPr>
            <w:tcW w:w="2790" w:type="dxa"/>
            <w:shd w:val="clear" w:color="auto" w:fill="auto"/>
          </w:tcPr>
          <w:p w:rsidR="00534FB5" w:rsidRPr="001524F7" w:rsidRDefault="00534FB5" w:rsidP="00534FB5">
            <w:pPr>
              <w:contextualSpacing/>
            </w:pPr>
            <w:r w:rsidRPr="001524F7">
              <w:rPr>
                <w:i/>
                <w:lang w:val="en-US"/>
              </w:rPr>
              <w:t>Streptococcus</w:t>
            </w:r>
            <w:r w:rsidRPr="001524F7">
              <w:rPr>
                <w:i/>
              </w:rPr>
              <w:t xml:space="preserve"> </w:t>
            </w:r>
            <w:r w:rsidRPr="001524F7">
              <w:rPr>
                <w:i/>
                <w:lang w:val="en-US"/>
              </w:rPr>
              <w:t>s</w:t>
            </w:r>
            <w:r w:rsidRPr="001524F7">
              <w:rPr>
                <w:i/>
              </w:rPr>
              <w:t>рр</w:t>
            </w:r>
            <w:r w:rsidRPr="001524F7">
              <w:t xml:space="preserve"> з </w:t>
            </w:r>
          </w:p>
          <w:p w:rsidR="00534FB5" w:rsidRPr="001524F7" w:rsidRDefault="00534FB5" w:rsidP="00534FB5">
            <w:pPr>
              <w:contextualSpacing/>
            </w:pPr>
            <w:r w:rsidRPr="001524F7">
              <w:t>ά-гемолітичними властивостями</w:t>
            </w:r>
          </w:p>
        </w:tc>
        <w:tc>
          <w:tcPr>
            <w:tcW w:w="1983" w:type="dxa"/>
            <w:shd w:val="clear" w:color="auto" w:fill="auto"/>
          </w:tcPr>
          <w:p w:rsidR="00534FB5" w:rsidRPr="001524F7" w:rsidRDefault="00534FB5" w:rsidP="00534FB5">
            <w:pPr>
              <w:contextualSpacing/>
              <w:jc w:val="center"/>
            </w:pPr>
            <w:r w:rsidRPr="001524F7">
              <w:t>5,8</w:t>
            </w:r>
            <w:r w:rsidRPr="001524F7">
              <w:rPr>
                <w:rFonts w:eastAsia="TimesNewRomanPSMT"/>
              </w:rPr>
              <w:t>±0,19</w:t>
            </w:r>
          </w:p>
        </w:tc>
        <w:tc>
          <w:tcPr>
            <w:tcW w:w="2086" w:type="dxa"/>
            <w:shd w:val="clear" w:color="auto" w:fill="auto"/>
          </w:tcPr>
          <w:p w:rsidR="00534FB5" w:rsidRPr="001524F7" w:rsidRDefault="00534FB5" w:rsidP="00534FB5">
            <w:pPr>
              <w:contextualSpacing/>
              <w:jc w:val="center"/>
            </w:pPr>
            <w:r w:rsidRPr="001524F7">
              <w:t>4,1</w:t>
            </w:r>
            <w:r w:rsidRPr="001524F7">
              <w:rPr>
                <w:rFonts w:eastAsia="TimesNewRomanPSMT"/>
              </w:rPr>
              <w:t>±0,15*</w:t>
            </w:r>
          </w:p>
        </w:tc>
      </w:tr>
      <w:tr w:rsidR="00534FB5" w:rsidRPr="001524F7" w:rsidTr="00534FB5">
        <w:tc>
          <w:tcPr>
            <w:tcW w:w="552" w:type="dxa"/>
            <w:shd w:val="clear" w:color="auto" w:fill="auto"/>
          </w:tcPr>
          <w:p w:rsidR="00534FB5" w:rsidRPr="001524F7" w:rsidRDefault="00534FB5" w:rsidP="00534FB5">
            <w:pPr>
              <w:contextualSpacing/>
            </w:pPr>
            <w:r w:rsidRPr="001524F7">
              <w:t>2</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Enterococcus spp</w:t>
            </w:r>
          </w:p>
        </w:tc>
        <w:tc>
          <w:tcPr>
            <w:tcW w:w="1983" w:type="dxa"/>
            <w:shd w:val="clear" w:color="auto" w:fill="auto"/>
          </w:tcPr>
          <w:p w:rsidR="00534FB5" w:rsidRPr="001524F7" w:rsidRDefault="00534FB5" w:rsidP="00534FB5">
            <w:pPr>
              <w:contextualSpacing/>
              <w:jc w:val="center"/>
            </w:pPr>
            <w:r w:rsidRPr="001524F7">
              <w:t>5,5</w:t>
            </w:r>
            <w:r w:rsidRPr="001524F7">
              <w:rPr>
                <w:rFonts w:eastAsia="TimesNewRomanPSMT"/>
              </w:rPr>
              <w:t>±0,19</w:t>
            </w:r>
          </w:p>
        </w:tc>
        <w:tc>
          <w:tcPr>
            <w:tcW w:w="2086" w:type="dxa"/>
            <w:shd w:val="clear" w:color="auto" w:fill="auto"/>
          </w:tcPr>
          <w:p w:rsidR="00534FB5" w:rsidRPr="001524F7" w:rsidRDefault="00534FB5" w:rsidP="00534FB5">
            <w:pPr>
              <w:contextualSpacing/>
              <w:jc w:val="center"/>
            </w:pPr>
            <w:r w:rsidRPr="001524F7">
              <w:t>4,0</w:t>
            </w:r>
            <w:r w:rsidRPr="001524F7">
              <w:rPr>
                <w:rFonts w:eastAsia="TimesNewRomanPSMT"/>
              </w:rPr>
              <w:t>±0,1*</w:t>
            </w:r>
          </w:p>
        </w:tc>
      </w:tr>
      <w:tr w:rsidR="00534FB5" w:rsidRPr="001524F7" w:rsidTr="00534FB5">
        <w:tc>
          <w:tcPr>
            <w:tcW w:w="552" w:type="dxa"/>
            <w:shd w:val="clear" w:color="auto" w:fill="auto"/>
          </w:tcPr>
          <w:p w:rsidR="00534FB5" w:rsidRPr="001524F7" w:rsidRDefault="00534FB5" w:rsidP="00534FB5">
            <w:pPr>
              <w:contextualSpacing/>
            </w:pPr>
            <w:r w:rsidRPr="001524F7">
              <w:t>3</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Stomatococcus spp</w:t>
            </w:r>
          </w:p>
        </w:tc>
        <w:tc>
          <w:tcPr>
            <w:tcW w:w="1983" w:type="dxa"/>
            <w:shd w:val="clear" w:color="auto" w:fill="auto"/>
          </w:tcPr>
          <w:p w:rsidR="00534FB5" w:rsidRPr="001524F7" w:rsidRDefault="00534FB5" w:rsidP="00534FB5">
            <w:pPr>
              <w:contextualSpacing/>
              <w:jc w:val="center"/>
            </w:pPr>
            <w:r w:rsidRPr="001524F7">
              <w:t>4,1</w:t>
            </w:r>
            <w:r w:rsidRPr="001524F7">
              <w:rPr>
                <w:rFonts w:eastAsia="TimesNewRomanPSMT"/>
              </w:rPr>
              <w:t>±0,23</w:t>
            </w:r>
          </w:p>
        </w:tc>
        <w:tc>
          <w:tcPr>
            <w:tcW w:w="2086" w:type="dxa"/>
            <w:shd w:val="clear" w:color="auto" w:fill="auto"/>
          </w:tcPr>
          <w:p w:rsidR="00534FB5" w:rsidRPr="001524F7" w:rsidRDefault="00534FB5" w:rsidP="00534FB5">
            <w:pPr>
              <w:contextualSpacing/>
              <w:jc w:val="center"/>
            </w:pPr>
            <w:r w:rsidRPr="001524F7">
              <w:t>3,5</w:t>
            </w:r>
            <w:r w:rsidRPr="001524F7">
              <w:rPr>
                <w:rFonts w:eastAsia="TimesNewRomanPSMT"/>
              </w:rPr>
              <w:t>±0,09</w:t>
            </w:r>
          </w:p>
        </w:tc>
      </w:tr>
      <w:tr w:rsidR="00534FB5" w:rsidRPr="001524F7" w:rsidTr="00534FB5">
        <w:tc>
          <w:tcPr>
            <w:tcW w:w="552" w:type="dxa"/>
            <w:shd w:val="clear" w:color="auto" w:fill="auto"/>
          </w:tcPr>
          <w:p w:rsidR="00534FB5" w:rsidRPr="001524F7" w:rsidRDefault="00534FB5" w:rsidP="00534FB5">
            <w:pPr>
              <w:contextualSpacing/>
            </w:pPr>
            <w:r w:rsidRPr="001524F7">
              <w:t>4</w:t>
            </w:r>
          </w:p>
        </w:tc>
        <w:tc>
          <w:tcPr>
            <w:tcW w:w="2159" w:type="dxa"/>
            <w:gridSpan w:val="2"/>
            <w:vMerge/>
            <w:shd w:val="clear" w:color="auto" w:fill="auto"/>
          </w:tcPr>
          <w:p w:rsidR="00534FB5" w:rsidRPr="001524F7" w:rsidRDefault="00534FB5" w:rsidP="00534FB5">
            <w:pPr>
              <w:contextualSpacing/>
              <w:rPr>
                <w:lang w:val="en-US"/>
              </w:rPr>
            </w:pPr>
          </w:p>
        </w:tc>
        <w:tc>
          <w:tcPr>
            <w:tcW w:w="2790" w:type="dxa"/>
            <w:shd w:val="clear" w:color="auto" w:fill="auto"/>
          </w:tcPr>
          <w:p w:rsidR="00534FB5" w:rsidRPr="001524F7" w:rsidRDefault="00534FB5" w:rsidP="00534FB5">
            <w:pPr>
              <w:contextualSpacing/>
              <w:rPr>
                <w:i/>
                <w:lang w:val="en-US"/>
              </w:rPr>
            </w:pPr>
            <w:r w:rsidRPr="001524F7">
              <w:rPr>
                <w:i/>
                <w:lang w:val="en-US"/>
              </w:rPr>
              <w:t>Staphylococcus spp</w:t>
            </w:r>
          </w:p>
        </w:tc>
        <w:tc>
          <w:tcPr>
            <w:tcW w:w="1983" w:type="dxa"/>
            <w:shd w:val="clear" w:color="auto" w:fill="auto"/>
          </w:tcPr>
          <w:p w:rsidR="00534FB5" w:rsidRPr="001524F7" w:rsidRDefault="00534FB5" w:rsidP="00534FB5">
            <w:pPr>
              <w:contextualSpacing/>
              <w:jc w:val="center"/>
            </w:pPr>
            <w:r w:rsidRPr="001524F7">
              <w:t>3,3</w:t>
            </w:r>
            <w:r w:rsidRPr="001524F7">
              <w:rPr>
                <w:rFonts w:eastAsia="TimesNewRomanPSMT"/>
              </w:rPr>
              <w:t>±0,06</w:t>
            </w:r>
          </w:p>
        </w:tc>
        <w:tc>
          <w:tcPr>
            <w:tcW w:w="2086" w:type="dxa"/>
            <w:shd w:val="clear" w:color="auto" w:fill="auto"/>
          </w:tcPr>
          <w:p w:rsidR="00534FB5" w:rsidRPr="001524F7" w:rsidRDefault="00534FB5" w:rsidP="00534FB5">
            <w:pPr>
              <w:contextualSpacing/>
              <w:jc w:val="center"/>
            </w:pPr>
            <w:r w:rsidRPr="001524F7">
              <w:t>3,2</w:t>
            </w:r>
            <w:r w:rsidRPr="001524F7">
              <w:rPr>
                <w:rFonts w:eastAsia="TimesNewRomanPSMT"/>
              </w:rPr>
              <w:t>±0,05</w:t>
            </w:r>
          </w:p>
        </w:tc>
      </w:tr>
      <w:tr w:rsidR="00534FB5" w:rsidRPr="001524F7" w:rsidTr="00534FB5">
        <w:tc>
          <w:tcPr>
            <w:tcW w:w="552" w:type="dxa"/>
            <w:shd w:val="clear" w:color="auto" w:fill="auto"/>
          </w:tcPr>
          <w:p w:rsidR="00534FB5" w:rsidRPr="001524F7" w:rsidRDefault="00534FB5" w:rsidP="00534FB5">
            <w:pPr>
              <w:contextualSpacing/>
            </w:pPr>
            <w:r w:rsidRPr="001524F7">
              <w:t>5</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Gemella sp</w:t>
            </w:r>
          </w:p>
        </w:tc>
        <w:tc>
          <w:tcPr>
            <w:tcW w:w="1983" w:type="dxa"/>
            <w:shd w:val="clear" w:color="auto" w:fill="auto"/>
          </w:tcPr>
          <w:p w:rsidR="00534FB5" w:rsidRPr="001524F7" w:rsidRDefault="00534FB5" w:rsidP="00534FB5">
            <w:pPr>
              <w:contextualSpacing/>
              <w:jc w:val="center"/>
            </w:pPr>
            <w:r w:rsidRPr="001524F7">
              <w:t>3,1</w:t>
            </w:r>
          </w:p>
        </w:tc>
        <w:tc>
          <w:tcPr>
            <w:tcW w:w="2086" w:type="dxa"/>
            <w:shd w:val="clear" w:color="auto" w:fill="auto"/>
          </w:tcPr>
          <w:p w:rsidR="00534FB5" w:rsidRPr="001524F7" w:rsidRDefault="00534FB5" w:rsidP="00534FB5">
            <w:pPr>
              <w:contextualSpacing/>
              <w:jc w:val="center"/>
            </w:pPr>
            <w:r w:rsidRPr="001524F7">
              <w:t>3,2</w:t>
            </w:r>
          </w:p>
        </w:tc>
      </w:tr>
      <w:tr w:rsidR="00534FB5" w:rsidRPr="001524F7" w:rsidTr="00534FB5">
        <w:tc>
          <w:tcPr>
            <w:tcW w:w="552" w:type="dxa"/>
            <w:shd w:val="clear" w:color="auto" w:fill="auto"/>
          </w:tcPr>
          <w:p w:rsidR="00534FB5" w:rsidRPr="001524F7" w:rsidRDefault="00534FB5" w:rsidP="00534FB5">
            <w:pPr>
              <w:contextualSpacing/>
            </w:pPr>
            <w:r w:rsidRPr="001524F7">
              <w:t>6</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Corynebacterium spp</w:t>
            </w:r>
          </w:p>
        </w:tc>
        <w:tc>
          <w:tcPr>
            <w:tcW w:w="1983" w:type="dxa"/>
            <w:shd w:val="clear" w:color="auto" w:fill="auto"/>
          </w:tcPr>
          <w:p w:rsidR="00534FB5" w:rsidRPr="001524F7" w:rsidRDefault="00534FB5" w:rsidP="00534FB5">
            <w:pPr>
              <w:contextualSpacing/>
              <w:jc w:val="center"/>
            </w:pPr>
            <w:r w:rsidRPr="001524F7">
              <w:t>4,1</w:t>
            </w:r>
            <w:r w:rsidRPr="001524F7">
              <w:rPr>
                <w:rFonts w:eastAsia="TimesNewRomanPSMT"/>
              </w:rPr>
              <w:t>±0,26</w:t>
            </w:r>
          </w:p>
        </w:tc>
        <w:tc>
          <w:tcPr>
            <w:tcW w:w="2086" w:type="dxa"/>
            <w:shd w:val="clear" w:color="auto" w:fill="auto"/>
          </w:tcPr>
          <w:p w:rsidR="00534FB5" w:rsidRPr="001524F7" w:rsidRDefault="00534FB5" w:rsidP="00534FB5">
            <w:pPr>
              <w:contextualSpacing/>
              <w:jc w:val="center"/>
            </w:pPr>
            <w:r w:rsidRPr="001524F7">
              <w:t>3,3</w:t>
            </w:r>
            <w:r w:rsidRPr="001524F7">
              <w:rPr>
                <w:rFonts w:eastAsia="TimesNewRomanPSMT"/>
              </w:rPr>
              <w:t>±0,18</w:t>
            </w:r>
          </w:p>
        </w:tc>
      </w:tr>
      <w:tr w:rsidR="00534FB5" w:rsidRPr="001524F7" w:rsidTr="00534FB5">
        <w:tc>
          <w:tcPr>
            <w:tcW w:w="552" w:type="dxa"/>
            <w:shd w:val="clear" w:color="auto" w:fill="auto"/>
          </w:tcPr>
          <w:p w:rsidR="00534FB5" w:rsidRPr="001524F7" w:rsidRDefault="00534FB5" w:rsidP="00534FB5">
            <w:pPr>
              <w:contextualSpacing/>
            </w:pPr>
            <w:r w:rsidRPr="001524F7">
              <w:t>7</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Lactobacillus spp</w:t>
            </w:r>
          </w:p>
        </w:tc>
        <w:tc>
          <w:tcPr>
            <w:tcW w:w="1983" w:type="dxa"/>
            <w:shd w:val="clear" w:color="auto" w:fill="auto"/>
          </w:tcPr>
          <w:p w:rsidR="00534FB5" w:rsidRPr="001524F7" w:rsidRDefault="00534FB5" w:rsidP="00534FB5">
            <w:pPr>
              <w:contextualSpacing/>
              <w:jc w:val="center"/>
            </w:pPr>
            <w:r w:rsidRPr="001524F7">
              <w:t>3,4</w:t>
            </w:r>
            <w:r w:rsidRPr="001524F7">
              <w:rPr>
                <w:rFonts w:eastAsia="TimesNewRomanPSMT"/>
              </w:rPr>
              <w:t>±0,17</w:t>
            </w:r>
          </w:p>
        </w:tc>
        <w:tc>
          <w:tcPr>
            <w:tcW w:w="2086" w:type="dxa"/>
            <w:shd w:val="clear" w:color="auto" w:fill="auto"/>
          </w:tcPr>
          <w:p w:rsidR="00534FB5" w:rsidRPr="001524F7" w:rsidRDefault="00534FB5" w:rsidP="00534FB5">
            <w:pPr>
              <w:contextualSpacing/>
              <w:jc w:val="center"/>
            </w:pPr>
            <w:r w:rsidRPr="001524F7">
              <w:t>3,7</w:t>
            </w:r>
            <w:r w:rsidRPr="001524F7">
              <w:rPr>
                <w:rFonts w:eastAsia="TimesNewRomanPSMT"/>
              </w:rPr>
              <w:t>±0,11</w:t>
            </w:r>
          </w:p>
        </w:tc>
      </w:tr>
      <w:tr w:rsidR="00534FB5" w:rsidRPr="001524F7" w:rsidTr="00534FB5">
        <w:tc>
          <w:tcPr>
            <w:tcW w:w="552" w:type="dxa"/>
            <w:shd w:val="clear" w:color="auto" w:fill="auto"/>
          </w:tcPr>
          <w:p w:rsidR="00534FB5" w:rsidRPr="001524F7" w:rsidRDefault="00534FB5" w:rsidP="00534FB5">
            <w:pPr>
              <w:contextualSpacing/>
            </w:pPr>
            <w:r w:rsidRPr="001524F7">
              <w:t>8</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Haemophillus spp</w:t>
            </w:r>
          </w:p>
        </w:tc>
        <w:tc>
          <w:tcPr>
            <w:tcW w:w="1983" w:type="dxa"/>
            <w:shd w:val="clear" w:color="auto" w:fill="auto"/>
          </w:tcPr>
          <w:p w:rsidR="00534FB5" w:rsidRPr="001524F7" w:rsidRDefault="00534FB5" w:rsidP="00534FB5">
            <w:pPr>
              <w:contextualSpacing/>
              <w:jc w:val="center"/>
            </w:pPr>
            <w:r w:rsidRPr="001524F7">
              <w:t>4,8</w:t>
            </w:r>
            <w:r w:rsidRPr="001524F7">
              <w:rPr>
                <w:rFonts w:eastAsia="TimesNewRomanPSMT"/>
              </w:rPr>
              <w:t>±0,19</w:t>
            </w:r>
          </w:p>
        </w:tc>
        <w:tc>
          <w:tcPr>
            <w:tcW w:w="2086" w:type="dxa"/>
            <w:shd w:val="clear" w:color="auto" w:fill="auto"/>
          </w:tcPr>
          <w:p w:rsidR="00534FB5" w:rsidRPr="001524F7" w:rsidRDefault="00534FB5" w:rsidP="00534FB5">
            <w:pPr>
              <w:contextualSpacing/>
              <w:jc w:val="center"/>
            </w:pPr>
            <w:r w:rsidRPr="001524F7">
              <w:t>3,3</w:t>
            </w:r>
            <w:r w:rsidRPr="001524F7">
              <w:rPr>
                <w:rFonts w:eastAsia="TimesNewRomanPSMT"/>
              </w:rPr>
              <w:t>±0,1*</w:t>
            </w:r>
          </w:p>
        </w:tc>
      </w:tr>
      <w:tr w:rsidR="00534FB5" w:rsidRPr="001524F7" w:rsidTr="00534FB5">
        <w:tc>
          <w:tcPr>
            <w:tcW w:w="552" w:type="dxa"/>
            <w:shd w:val="clear" w:color="auto" w:fill="auto"/>
          </w:tcPr>
          <w:p w:rsidR="00534FB5" w:rsidRPr="001524F7" w:rsidRDefault="00534FB5" w:rsidP="00534FB5">
            <w:pPr>
              <w:contextualSpacing/>
            </w:pPr>
            <w:r w:rsidRPr="001524F7">
              <w:t>9</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Neisseria spp</w:t>
            </w:r>
          </w:p>
        </w:tc>
        <w:tc>
          <w:tcPr>
            <w:tcW w:w="1983" w:type="dxa"/>
            <w:shd w:val="clear" w:color="auto" w:fill="auto"/>
          </w:tcPr>
          <w:p w:rsidR="00534FB5" w:rsidRPr="001524F7" w:rsidRDefault="00534FB5" w:rsidP="00534FB5">
            <w:pPr>
              <w:contextualSpacing/>
              <w:jc w:val="center"/>
            </w:pPr>
            <w:r w:rsidRPr="001524F7">
              <w:t>5,2</w:t>
            </w:r>
            <w:r w:rsidRPr="001524F7">
              <w:rPr>
                <w:rFonts w:eastAsia="TimesNewRomanPSMT"/>
              </w:rPr>
              <w:t>±0,22</w:t>
            </w:r>
          </w:p>
        </w:tc>
        <w:tc>
          <w:tcPr>
            <w:tcW w:w="2086" w:type="dxa"/>
            <w:shd w:val="clear" w:color="auto" w:fill="auto"/>
          </w:tcPr>
          <w:p w:rsidR="00534FB5" w:rsidRPr="001524F7" w:rsidRDefault="00534FB5" w:rsidP="00534FB5">
            <w:pPr>
              <w:contextualSpacing/>
              <w:jc w:val="center"/>
            </w:pPr>
            <w:r w:rsidRPr="001524F7">
              <w:t>4,1</w:t>
            </w:r>
            <w:r w:rsidRPr="001524F7">
              <w:rPr>
                <w:rFonts w:eastAsia="TimesNewRomanPSMT"/>
              </w:rPr>
              <w:t>±0,14*</w:t>
            </w:r>
          </w:p>
        </w:tc>
      </w:tr>
      <w:tr w:rsidR="00534FB5" w:rsidRPr="001524F7" w:rsidTr="00534FB5">
        <w:tc>
          <w:tcPr>
            <w:tcW w:w="552" w:type="dxa"/>
            <w:shd w:val="clear" w:color="auto" w:fill="auto"/>
          </w:tcPr>
          <w:p w:rsidR="00534FB5" w:rsidRPr="001524F7" w:rsidRDefault="00534FB5" w:rsidP="00534FB5">
            <w:pPr>
              <w:contextualSpacing/>
            </w:pPr>
            <w:r w:rsidRPr="001524F7">
              <w:t>10</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S</w:t>
            </w:r>
            <w:r w:rsidRPr="001524F7">
              <w:rPr>
                <w:i/>
              </w:rPr>
              <w:t xml:space="preserve">. </w:t>
            </w:r>
            <w:r w:rsidRPr="001524F7">
              <w:rPr>
                <w:i/>
                <w:lang w:val="en-US"/>
              </w:rPr>
              <w:t>pyog</w:t>
            </w:r>
            <w:r w:rsidRPr="001524F7">
              <w:rPr>
                <w:i/>
              </w:rPr>
              <w:t>е</w:t>
            </w:r>
            <w:r w:rsidRPr="001524F7">
              <w:rPr>
                <w:i/>
                <w:lang w:val="en-US"/>
              </w:rPr>
              <w:t>n</w:t>
            </w:r>
            <w:r w:rsidRPr="001524F7">
              <w:rPr>
                <w:i/>
              </w:rPr>
              <w:t>е</w:t>
            </w:r>
            <w:r w:rsidRPr="001524F7">
              <w:rPr>
                <w:i/>
                <w:lang w:val="en-US"/>
              </w:rPr>
              <w:t>s</w:t>
            </w:r>
          </w:p>
        </w:tc>
        <w:tc>
          <w:tcPr>
            <w:tcW w:w="1983" w:type="dxa"/>
            <w:shd w:val="clear" w:color="auto" w:fill="auto"/>
          </w:tcPr>
          <w:p w:rsidR="00534FB5" w:rsidRPr="001524F7" w:rsidRDefault="00534FB5" w:rsidP="00534FB5">
            <w:pPr>
              <w:contextualSpacing/>
              <w:jc w:val="center"/>
            </w:pPr>
            <w:r w:rsidRPr="001524F7">
              <w:t>4,2</w:t>
            </w:r>
            <w:r w:rsidRPr="001524F7">
              <w:rPr>
                <w:rFonts w:eastAsia="TimesNewRomanPSMT"/>
              </w:rPr>
              <w:t>±0,29</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11</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Micrococcus</w:t>
            </w:r>
            <w:r w:rsidRPr="001524F7">
              <w:rPr>
                <w:i/>
              </w:rPr>
              <w:t xml:space="preserve"> </w:t>
            </w:r>
            <w:r w:rsidRPr="001524F7">
              <w:rPr>
                <w:i/>
                <w:lang w:val="en-US"/>
              </w:rPr>
              <w:t>sp</w:t>
            </w:r>
          </w:p>
        </w:tc>
        <w:tc>
          <w:tcPr>
            <w:tcW w:w="1983" w:type="dxa"/>
            <w:shd w:val="clear" w:color="auto" w:fill="auto"/>
          </w:tcPr>
          <w:p w:rsidR="00534FB5" w:rsidRPr="001524F7" w:rsidRDefault="00534FB5" w:rsidP="00534FB5">
            <w:pPr>
              <w:contextualSpacing/>
              <w:jc w:val="center"/>
            </w:pPr>
            <w:r w:rsidRPr="001524F7">
              <w:t>3,4</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12</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Bacillus</w:t>
            </w:r>
            <w:r w:rsidRPr="001524F7">
              <w:rPr>
                <w:i/>
              </w:rPr>
              <w:t xml:space="preserve"> </w:t>
            </w:r>
            <w:r w:rsidRPr="001524F7">
              <w:rPr>
                <w:i/>
                <w:lang w:val="en-US"/>
              </w:rPr>
              <w:t>spp</w:t>
            </w:r>
          </w:p>
        </w:tc>
        <w:tc>
          <w:tcPr>
            <w:tcW w:w="1983" w:type="dxa"/>
            <w:shd w:val="clear" w:color="auto" w:fill="auto"/>
          </w:tcPr>
          <w:p w:rsidR="00534FB5" w:rsidRPr="001524F7" w:rsidRDefault="00534FB5" w:rsidP="00534FB5">
            <w:pPr>
              <w:contextualSpacing/>
              <w:jc w:val="center"/>
            </w:pPr>
            <w:r w:rsidRPr="001524F7">
              <w:t>3,4</w:t>
            </w:r>
            <w:r w:rsidRPr="001524F7">
              <w:rPr>
                <w:rFonts w:eastAsia="TimesNewRomanPSMT"/>
              </w:rPr>
              <w:t>±0,15</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13</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Acinetobacter</w:t>
            </w:r>
            <w:r w:rsidRPr="001524F7">
              <w:rPr>
                <w:i/>
              </w:rPr>
              <w:t xml:space="preserve"> </w:t>
            </w:r>
            <w:r w:rsidRPr="001524F7">
              <w:rPr>
                <w:i/>
                <w:lang w:val="en-US"/>
              </w:rPr>
              <w:t>spp</w:t>
            </w:r>
          </w:p>
        </w:tc>
        <w:tc>
          <w:tcPr>
            <w:tcW w:w="1983" w:type="dxa"/>
            <w:shd w:val="clear" w:color="auto" w:fill="auto"/>
          </w:tcPr>
          <w:p w:rsidR="00534FB5" w:rsidRPr="001524F7" w:rsidRDefault="00534FB5" w:rsidP="00534FB5">
            <w:pPr>
              <w:contextualSpacing/>
              <w:jc w:val="center"/>
            </w:pPr>
            <w:r w:rsidRPr="001524F7">
              <w:t>3,9</w:t>
            </w:r>
            <w:r w:rsidRPr="001524F7">
              <w:rPr>
                <w:rFonts w:eastAsia="TimesNewRomanPSMT"/>
              </w:rPr>
              <w:t>±0,18</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14</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Moraxella</w:t>
            </w:r>
            <w:r w:rsidRPr="001524F7">
              <w:rPr>
                <w:i/>
              </w:rPr>
              <w:t xml:space="preserve"> </w:t>
            </w:r>
            <w:r w:rsidRPr="001524F7">
              <w:rPr>
                <w:i/>
                <w:lang w:val="en-US"/>
              </w:rPr>
              <w:t>spp</w:t>
            </w:r>
          </w:p>
        </w:tc>
        <w:tc>
          <w:tcPr>
            <w:tcW w:w="1983" w:type="dxa"/>
            <w:shd w:val="clear" w:color="auto" w:fill="auto"/>
          </w:tcPr>
          <w:p w:rsidR="00534FB5" w:rsidRPr="001524F7" w:rsidRDefault="00534FB5" w:rsidP="00534FB5">
            <w:pPr>
              <w:contextualSpacing/>
              <w:jc w:val="center"/>
            </w:pPr>
            <w:r w:rsidRPr="001524F7">
              <w:t>4,2</w:t>
            </w:r>
            <w:r w:rsidRPr="001524F7">
              <w:rPr>
                <w:rFonts w:eastAsia="TimesNewRomanPSMT"/>
              </w:rPr>
              <w:t>±0,27</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15</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E. coli</w:t>
            </w:r>
          </w:p>
        </w:tc>
        <w:tc>
          <w:tcPr>
            <w:tcW w:w="1983" w:type="dxa"/>
            <w:shd w:val="clear" w:color="auto" w:fill="auto"/>
          </w:tcPr>
          <w:p w:rsidR="00534FB5" w:rsidRPr="001524F7" w:rsidRDefault="00534FB5" w:rsidP="00534FB5">
            <w:pPr>
              <w:contextualSpacing/>
              <w:jc w:val="center"/>
            </w:pPr>
            <w:r w:rsidRPr="001524F7">
              <w:t>3,4</w:t>
            </w:r>
            <w:r w:rsidRPr="001524F7">
              <w:rPr>
                <w:rFonts w:eastAsia="TimesNewRomanPSMT"/>
              </w:rPr>
              <w:t>±0,09</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16</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Klebsiella spp</w:t>
            </w:r>
          </w:p>
        </w:tc>
        <w:tc>
          <w:tcPr>
            <w:tcW w:w="1983" w:type="dxa"/>
            <w:shd w:val="clear" w:color="auto" w:fill="auto"/>
          </w:tcPr>
          <w:p w:rsidR="00534FB5" w:rsidRPr="001524F7" w:rsidRDefault="00534FB5" w:rsidP="00534FB5">
            <w:pPr>
              <w:contextualSpacing/>
              <w:jc w:val="center"/>
            </w:pPr>
            <w:r w:rsidRPr="001524F7">
              <w:t>3,5</w:t>
            </w:r>
            <w:r w:rsidRPr="001524F7">
              <w:rPr>
                <w:rFonts w:eastAsia="TimesNewRomanPSMT"/>
              </w:rPr>
              <w:t>±0,13</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552" w:type="dxa"/>
            <w:shd w:val="clear" w:color="auto" w:fill="auto"/>
          </w:tcPr>
          <w:p w:rsidR="00534FB5" w:rsidRPr="001524F7" w:rsidRDefault="00534FB5" w:rsidP="00534FB5">
            <w:pPr>
              <w:contextualSpacing/>
            </w:pPr>
            <w:r w:rsidRPr="001524F7">
              <w:t>17</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M. morganii</w:t>
            </w:r>
          </w:p>
        </w:tc>
        <w:tc>
          <w:tcPr>
            <w:tcW w:w="1983" w:type="dxa"/>
            <w:shd w:val="clear" w:color="auto" w:fill="auto"/>
          </w:tcPr>
          <w:p w:rsidR="00534FB5" w:rsidRPr="001524F7" w:rsidRDefault="00534FB5" w:rsidP="00534FB5">
            <w:pPr>
              <w:contextualSpacing/>
              <w:jc w:val="center"/>
            </w:pPr>
            <w:r w:rsidRPr="001524F7">
              <w:t>3,6</w:t>
            </w:r>
          </w:p>
        </w:tc>
        <w:tc>
          <w:tcPr>
            <w:tcW w:w="2086" w:type="dxa"/>
            <w:shd w:val="clear" w:color="auto" w:fill="auto"/>
          </w:tcPr>
          <w:p w:rsidR="00534FB5" w:rsidRPr="001524F7" w:rsidRDefault="00534FB5" w:rsidP="00534FB5">
            <w:pPr>
              <w:contextualSpacing/>
              <w:jc w:val="center"/>
            </w:pPr>
          </w:p>
        </w:tc>
      </w:tr>
      <w:tr w:rsidR="00534FB5" w:rsidRPr="001524F7" w:rsidTr="00534FB5">
        <w:tc>
          <w:tcPr>
            <w:tcW w:w="552" w:type="dxa"/>
            <w:shd w:val="clear" w:color="auto" w:fill="auto"/>
          </w:tcPr>
          <w:p w:rsidR="00534FB5" w:rsidRPr="001524F7" w:rsidRDefault="00534FB5" w:rsidP="00534FB5">
            <w:pPr>
              <w:contextualSpacing/>
            </w:pPr>
            <w:r w:rsidRPr="001524F7">
              <w:t>18</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P</w:t>
            </w:r>
            <w:r w:rsidRPr="001524F7">
              <w:rPr>
                <w:i/>
              </w:rPr>
              <w:t xml:space="preserve">. </w:t>
            </w:r>
            <w:r w:rsidRPr="001524F7">
              <w:rPr>
                <w:i/>
                <w:lang w:val="en-US"/>
              </w:rPr>
              <w:t>aeruginosa</w:t>
            </w:r>
          </w:p>
        </w:tc>
        <w:tc>
          <w:tcPr>
            <w:tcW w:w="1983" w:type="dxa"/>
            <w:shd w:val="clear" w:color="auto" w:fill="auto"/>
          </w:tcPr>
          <w:p w:rsidR="00534FB5" w:rsidRPr="001524F7" w:rsidRDefault="00534FB5" w:rsidP="00534FB5">
            <w:pPr>
              <w:contextualSpacing/>
              <w:jc w:val="center"/>
            </w:pPr>
            <w:r w:rsidRPr="001524F7">
              <w:t>4,5</w:t>
            </w:r>
            <w:r w:rsidRPr="001524F7">
              <w:rPr>
                <w:rFonts w:eastAsia="TimesNewRomanPSMT"/>
              </w:rPr>
              <w:t>±0,61</w:t>
            </w:r>
          </w:p>
        </w:tc>
        <w:tc>
          <w:tcPr>
            <w:tcW w:w="2086" w:type="dxa"/>
            <w:shd w:val="clear" w:color="auto" w:fill="auto"/>
          </w:tcPr>
          <w:p w:rsidR="00534FB5" w:rsidRPr="001524F7" w:rsidRDefault="00534FB5" w:rsidP="00534FB5">
            <w:pPr>
              <w:contextualSpacing/>
              <w:jc w:val="center"/>
            </w:pPr>
          </w:p>
        </w:tc>
      </w:tr>
      <w:tr w:rsidR="00534FB5" w:rsidRPr="001524F7" w:rsidTr="00534FB5">
        <w:trPr>
          <w:trHeight w:val="750"/>
        </w:trPr>
        <w:tc>
          <w:tcPr>
            <w:tcW w:w="552" w:type="dxa"/>
            <w:shd w:val="clear" w:color="auto" w:fill="auto"/>
          </w:tcPr>
          <w:p w:rsidR="00534FB5" w:rsidRPr="001524F7" w:rsidRDefault="00534FB5" w:rsidP="00534FB5">
            <w:pPr>
              <w:contextualSpacing/>
            </w:pPr>
            <w:r w:rsidRPr="001524F7">
              <w:t>19</w:t>
            </w:r>
          </w:p>
        </w:tc>
        <w:tc>
          <w:tcPr>
            <w:tcW w:w="2159" w:type="dxa"/>
            <w:gridSpan w:val="2"/>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A.</w:t>
            </w:r>
            <w:r w:rsidRPr="001524F7">
              <w:rPr>
                <w:i/>
              </w:rPr>
              <w:t xml:space="preserve"> </w:t>
            </w:r>
            <w:r w:rsidRPr="001524F7">
              <w:rPr>
                <w:i/>
                <w:lang w:val="en-US"/>
              </w:rPr>
              <w:t>viridans</w:t>
            </w:r>
          </w:p>
        </w:tc>
        <w:tc>
          <w:tcPr>
            <w:tcW w:w="1983" w:type="dxa"/>
            <w:shd w:val="clear" w:color="auto" w:fill="auto"/>
          </w:tcPr>
          <w:p w:rsidR="00534FB5" w:rsidRPr="001524F7" w:rsidRDefault="00534FB5" w:rsidP="00534FB5">
            <w:pPr>
              <w:contextualSpacing/>
              <w:jc w:val="center"/>
            </w:pPr>
            <w:r w:rsidRPr="001524F7">
              <w:t>-</w:t>
            </w:r>
          </w:p>
        </w:tc>
        <w:tc>
          <w:tcPr>
            <w:tcW w:w="2086" w:type="dxa"/>
            <w:shd w:val="clear" w:color="auto" w:fill="auto"/>
          </w:tcPr>
          <w:p w:rsidR="00534FB5" w:rsidRPr="001524F7" w:rsidRDefault="00534FB5" w:rsidP="00534FB5">
            <w:pPr>
              <w:contextualSpacing/>
              <w:jc w:val="center"/>
            </w:pPr>
            <w:r w:rsidRPr="001524F7">
              <w:t>4,2</w:t>
            </w:r>
            <w:r w:rsidRPr="001524F7">
              <w:rPr>
                <w:rFonts w:eastAsia="TimesNewRomanPSMT"/>
              </w:rPr>
              <w:t>±0,14</w:t>
            </w:r>
          </w:p>
        </w:tc>
      </w:tr>
      <w:tr w:rsidR="00534FB5" w:rsidRPr="001524F7" w:rsidTr="00534FB5">
        <w:trPr>
          <w:trHeight w:val="173"/>
        </w:trPr>
        <w:tc>
          <w:tcPr>
            <w:tcW w:w="9570" w:type="dxa"/>
            <w:gridSpan w:val="6"/>
            <w:tcBorders>
              <w:top w:val="nil"/>
              <w:left w:val="nil"/>
              <w:right w:val="nil"/>
            </w:tcBorders>
            <w:shd w:val="clear" w:color="auto" w:fill="auto"/>
          </w:tcPr>
          <w:p w:rsidR="00534FB5" w:rsidRPr="001524F7" w:rsidRDefault="00534FB5" w:rsidP="00534FB5">
            <w:pPr>
              <w:spacing w:line="240" w:lineRule="auto"/>
              <w:contextualSpacing/>
              <w:jc w:val="right"/>
              <w:rPr>
                <w:i/>
              </w:rPr>
            </w:pPr>
            <w:r w:rsidRPr="001524F7">
              <w:rPr>
                <w:i/>
              </w:rPr>
              <w:lastRenderedPageBreak/>
              <w:t>Продовження додатк</w:t>
            </w:r>
            <w:r>
              <w:rPr>
                <w:i/>
              </w:rPr>
              <w:t>а</w:t>
            </w:r>
            <w:r w:rsidRPr="001524F7">
              <w:rPr>
                <w:i/>
              </w:rPr>
              <w:t xml:space="preserve"> Б</w:t>
            </w:r>
          </w:p>
        </w:tc>
      </w:tr>
      <w:tr w:rsidR="00534FB5" w:rsidRPr="001524F7" w:rsidTr="00534FB5">
        <w:trPr>
          <w:trHeight w:val="386"/>
        </w:trPr>
        <w:tc>
          <w:tcPr>
            <w:tcW w:w="614" w:type="dxa"/>
            <w:gridSpan w:val="2"/>
            <w:shd w:val="clear" w:color="auto" w:fill="auto"/>
          </w:tcPr>
          <w:p w:rsidR="00534FB5" w:rsidRPr="001524F7" w:rsidRDefault="00534FB5" w:rsidP="00534FB5">
            <w:pPr>
              <w:contextualSpacing/>
              <w:jc w:val="center"/>
            </w:pPr>
            <w:r w:rsidRPr="001524F7">
              <w:t>1</w:t>
            </w:r>
          </w:p>
        </w:tc>
        <w:tc>
          <w:tcPr>
            <w:tcW w:w="2097" w:type="dxa"/>
            <w:shd w:val="clear" w:color="auto" w:fill="auto"/>
          </w:tcPr>
          <w:p w:rsidR="00534FB5" w:rsidRPr="001524F7" w:rsidRDefault="00534FB5" w:rsidP="00534FB5">
            <w:pPr>
              <w:contextualSpacing/>
              <w:jc w:val="center"/>
            </w:pPr>
            <w:r w:rsidRPr="001524F7">
              <w:t>2</w:t>
            </w:r>
          </w:p>
        </w:tc>
        <w:tc>
          <w:tcPr>
            <w:tcW w:w="2790" w:type="dxa"/>
            <w:shd w:val="clear" w:color="auto" w:fill="auto"/>
          </w:tcPr>
          <w:p w:rsidR="00534FB5" w:rsidRPr="001524F7" w:rsidRDefault="00534FB5" w:rsidP="00534FB5">
            <w:pPr>
              <w:contextualSpacing/>
              <w:jc w:val="center"/>
            </w:pPr>
            <w:r w:rsidRPr="001524F7">
              <w:t>3</w:t>
            </w:r>
          </w:p>
        </w:tc>
        <w:tc>
          <w:tcPr>
            <w:tcW w:w="1983" w:type="dxa"/>
            <w:shd w:val="clear" w:color="auto" w:fill="auto"/>
          </w:tcPr>
          <w:p w:rsidR="00534FB5" w:rsidRPr="001524F7" w:rsidRDefault="00534FB5" w:rsidP="00534FB5">
            <w:pPr>
              <w:contextualSpacing/>
              <w:jc w:val="center"/>
            </w:pPr>
            <w:r w:rsidRPr="001524F7">
              <w:t>4</w:t>
            </w:r>
          </w:p>
        </w:tc>
        <w:tc>
          <w:tcPr>
            <w:tcW w:w="2086" w:type="dxa"/>
            <w:shd w:val="clear" w:color="auto" w:fill="auto"/>
          </w:tcPr>
          <w:p w:rsidR="00534FB5" w:rsidRPr="001524F7" w:rsidRDefault="00534FB5" w:rsidP="00534FB5">
            <w:pPr>
              <w:contextualSpacing/>
              <w:jc w:val="center"/>
            </w:pPr>
            <w:r w:rsidRPr="001524F7">
              <w:t>5</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20</w:t>
            </w:r>
          </w:p>
        </w:tc>
        <w:tc>
          <w:tcPr>
            <w:tcW w:w="2097" w:type="dxa"/>
            <w:vMerge w:val="restart"/>
            <w:shd w:val="clear" w:color="auto" w:fill="auto"/>
          </w:tcPr>
          <w:p w:rsidR="00534FB5" w:rsidRPr="001524F7" w:rsidRDefault="00534FB5" w:rsidP="00534FB5">
            <w:pPr>
              <w:contextualSpacing/>
            </w:pPr>
            <w:r w:rsidRPr="001524F7">
              <w:t>Анаероби</w:t>
            </w:r>
          </w:p>
        </w:tc>
        <w:tc>
          <w:tcPr>
            <w:tcW w:w="2790" w:type="dxa"/>
            <w:shd w:val="clear" w:color="auto" w:fill="auto"/>
          </w:tcPr>
          <w:p w:rsidR="00534FB5" w:rsidRPr="001524F7" w:rsidRDefault="00534FB5" w:rsidP="00534FB5">
            <w:pPr>
              <w:contextualSpacing/>
              <w:rPr>
                <w:i/>
                <w:lang w:val="en-US"/>
              </w:rPr>
            </w:pPr>
            <w:r w:rsidRPr="001524F7">
              <w:rPr>
                <w:i/>
                <w:lang w:val="en-US"/>
              </w:rPr>
              <w:t>L</w:t>
            </w:r>
            <w:r w:rsidRPr="001524F7">
              <w:rPr>
                <w:i/>
              </w:rPr>
              <w:t xml:space="preserve">. </w:t>
            </w:r>
            <w:r w:rsidRPr="001524F7">
              <w:rPr>
                <w:i/>
                <w:lang w:val="en-US"/>
              </w:rPr>
              <w:t>buccalis</w:t>
            </w:r>
          </w:p>
        </w:tc>
        <w:tc>
          <w:tcPr>
            <w:tcW w:w="1983" w:type="dxa"/>
            <w:shd w:val="clear" w:color="auto" w:fill="auto"/>
          </w:tcPr>
          <w:p w:rsidR="00534FB5" w:rsidRPr="001524F7" w:rsidRDefault="00534FB5" w:rsidP="00534FB5">
            <w:pPr>
              <w:contextualSpacing/>
              <w:jc w:val="center"/>
            </w:pPr>
            <w:r w:rsidRPr="001524F7">
              <w:rPr>
                <w:lang w:val="en-US"/>
              </w:rPr>
              <w:t>3,</w:t>
            </w:r>
            <w:r w:rsidRPr="001524F7">
              <w:t>9</w:t>
            </w:r>
            <w:r w:rsidRPr="001524F7">
              <w:rPr>
                <w:rFonts w:eastAsia="TimesNewRomanPSMT"/>
              </w:rPr>
              <w:t>±0,14</w:t>
            </w:r>
          </w:p>
        </w:tc>
        <w:tc>
          <w:tcPr>
            <w:tcW w:w="2086" w:type="dxa"/>
            <w:shd w:val="clear" w:color="auto" w:fill="auto"/>
          </w:tcPr>
          <w:p w:rsidR="00534FB5" w:rsidRPr="001524F7" w:rsidRDefault="00534FB5" w:rsidP="00534FB5">
            <w:pPr>
              <w:contextualSpacing/>
              <w:jc w:val="center"/>
            </w:pPr>
            <w:r w:rsidRPr="001524F7">
              <w:t>3,0</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21</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455991" w:rsidRDefault="00534FB5" w:rsidP="00534FB5">
            <w:pPr>
              <w:contextualSpacing/>
              <w:rPr>
                <w:i/>
                <w:spacing w:val="-20"/>
              </w:rPr>
            </w:pPr>
            <w:r w:rsidRPr="00455991">
              <w:rPr>
                <w:i/>
                <w:spacing w:val="-20"/>
                <w:lang w:val="en-US"/>
              </w:rPr>
              <w:t>Peptostreptococcus spp</w:t>
            </w:r>
          </w:p>
        </w:tc>
        <w:tc>
          <w:tcPr>
            <w:tcW w:w="1983" w:type="dxa"/>
            <w:shd w:val="clear" w:color="auto" w:fill="auto"/>
          </w:tcPr>
          <w:p w:rsidR="00534FB5" w:rsidRPr="001524F7" w:rsidRDefault="00534FB5" w:rsidP="00534FB5">
            <w:pPr>
              <w:contextualSpacing/>
              <w:jc w:val="center"/>
            </w:pPr>
            <w:r w:rsidRPr="001524F7">
              <w:t>4,4</w:t>
            </w:r>
            <w:r w:rsidRPr="001524F7">
              <w:rPr>
                <w:rFonts w:eastAsia="TimesNewRomanPSMT"/>
              </w:rPr>
              <w:t>±0,38</w:t>
            </w:r>
          </w:p>
        </w:tc>
        <w:tc>
          <w:tcPr>
            <w:tcW w:w="2086" w:type="dxa"/>
            <w:shd w:val="clear" w:color="auto" w:fill="auto"/>
          </w:tcPr>
          <w:p w:rsidR="00534FB5" w:rsidRPr="001524F7" w:rsidRDefault="00534FB5" w:rsidP="00534FB5">
            <w:pPr>
              <w:contextualSpacing/>
              <w:jc w:val="center"/>
            </w:pPr>
            <w:r w:rsidRPr="001524F7">
              <w:t>3,6</w:t>
            </w:r>
            <w:r w:rsidRPr="001524F7">
              <w:rPr>
                <w:rFonts w:eastAsia="TimesNewRomanPSMT"/>
              </w:rPr>
              <w:t>±0,19</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22</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Veillonella spp</w:t>
            </w:r>
          </w:p>
        </w:tc>
        <w:tc>
          <w:tcPr>
            <w:tcW w:w="1983" w:type="dxa"/>
            <w:shd w:val="clear" w:color="auto" w:fill="auto"/>
          </w:tcPr>
          <w:p w:rsidR="00534FB5" w:rsidRPr="001524F7" w:rsidRDefault="00534FB5" w:rsidP="00534FB5">
            <w:pPr>
              <w:contextualSpacing/>
              <w:jc w:val="center"/>
            </w:pPr>
            <w:r w:rsidRPr="001524F7">
              <w:t>4,0</w:t>
            </w:r>
            <w:r w:rsidRPr="001524F7">
              <w:rPr>
                <w:rFonts w:eastAsia="TimesNewRomanPSMT"/>
              </w:rPr>
              <w:t>±0,42</w:t>
            </w:r>
          </w:p>
        </w:tc>
        <w:tc>
          <w:tcPr>
            <w:tcW w:w="2086" w:type="dxa"/>
            <w:shd w:val="clear" w:color="auto" w:fill="auto"/>
          </w:tcPr>
          <w:p w:rsidR="00534FB5" w:rsidRPr="001524F7" w:rsidRDefault="00534FB5" w:rsidP="00534FB5">
            <w:pPr>
              <w:contextualSpacing/>
              <w:jc w:val="center"/>
            </w:pPr>
            <w:r w:rsidRPr="001524F7">
              <w:t>4,0</w:t>
            </w:r>
            <w:r w:rsidRPr="001524F7">
              <w:rPr>
                <w:rFonts w:eastAsia="TimesNewRomanPSMT"/>
              </w:rPr>
              <w:t>±0,22</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23</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Peptococcus sp</w:t>
            </w:r>
          </w:p>
        </w:tc>
        <w:tc>
          <w:tcPr>
            <w:tcW w:w="1983" w:type="dxa"/>
            <w:shd w:val="clear" w:color="auto" w:fill="auto"/>
          </w:tcPr>
          <w:p w:rsidR="00534FB5" w:rsidRPr="001524F7" w:rsidRDefault="00534FB5" w:rsidP="00534FB5">
            <w:pPr>
              <w:contextualSpacing/>
              <w:jc w:val="center"/>
            </w:pPr>
            <w:r w:rsidRPr="001524F7">
              <w:t>4,0</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24</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Actinomycetes spp</w:t>
            </w:r>
          </w:p>
        </w:tc>
        <w:tc>
          <w:tcPr>
            <w:tcW w:w="1983" w:type="dxa"/>
            <w:shd w:val="clear" w:color="auto" w:fill="auto"/>
          </w:tcPr>
          <w:p w:rsidR="00534FB5" w:rsidRPr="001524F7" w:rsidRDefault="00534FB5" w:rsidP="00534FB5">
            <w:pPr>
              <w:contextualSpacing/>
              <w:jc w:val="center"/>
            </w:pPr>
            <w:r w:rsidRPr="001524F7">
              <w:t>4,2</w:t>
            </w:r>
            <w:r w:rsidRPr="001524F7">
              <w:rPr>
                <w:rFonts w:eastAsia="TimesNewRomanPSMT"/>
              </w:rPr>
              <w:t>±0,19</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25</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Bacteroides spp</w:t>
            </w:r>
          </w:p>
        </w:tc>
        <w:tc>
          <w:tcPr>
            <w:tcW w:w="1983" w:type="dxa"/>
            <w:shd w:val="clear" w:color="auto" w:fill="auto"/>
          </w:tcPr>
          <w:p w:rsidR="00534FB5" w:rsidRPr="001524F7" w:rsidRDefault="00534FB5" w:rsidP="00534FB5">
            <w:pPr>
              <w:contextualSpacing/>
              <w:jc w:val="center"/>
            </w:pPr>
            <w:r w:rsidRPr="001524F7">
              <w:t>4,0</w:t>
            </w:r>
            <w:r w:rsidRPr="001524F7">
              <w:rPr>
                <w:rFonts w:eastAsia="TimesNewRomanPSMT"/>
              </w:rPr>
              <w:t>±0,24</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26</w:t>
            </w:r>
          </w:p>
        </w:tc>
        <w:tc>
          <w:tcPr>
            <w:tcW w:w="2097" w:type="dxa"/>
            <w:vMerge/>
            <w:shd w:val="clear" w:color="auto" w:fill="auto"/>
          </w:tcPr>
          <w:p w:rsidR="00534FB5" w:rsidRPr="001524F7" w:rsidRDefault="00534FB5" w:rsidP="00534FB5">
            <w:pPr>
              <w:contextualSpacing/>
            </w:pPr>
          </w:p>
        </w:tc>
        <w:tc>
          <w:tcPr>
            <w:tcW w:w="2790" w:type="dxa"/>
            <w:tcBorders>
              <w:bottom w:val="nil"/>
            </w:tcBorders>
            <w:shd w:val="clear" w:color="auto" w:fill="auto"/>
          </w:tcPr>
          <w:p w:rsidR="00534FB5" w:rsidRPr="001524F7" w:rsidRDefault="00534FB5" w:rsidP="00534FB5">
            <w:pPr>
              <w:contextualSpacing/>
              <w:rPr>
                <w:i/>
              </w:rPr>
            </w:pPr>
            <w:r w:rsidRPr="001524F7">
              <w:rPr>
                <w:i/>
                <w:lang w:val="en-US"/>
              </w:rPr>
              <w:t>Porphyromonas spp</w:t>
            </w:r>
          </w:p>
        </w:tc>
        <w:tc>
          <w:tcPr>
            <w:tcW w:w="1983" w:type="dxa"/>
            <w:tcBorders>
              <w:bottom w:val="nil"/>
            </w:tcBorders>
            <w:shd w:val="clear" w:color="auto" w:fill="auto"/>
          </w:tcPr>
          <w:p w:rsidR="00534FB5" w:rsidRPr="001524F7" w:rsidRDefault="00534FB5" w:rsidP="00534FB5">
            <w:pPr>
              <w:contextualSpacing/>
              <w:jc w:val="center"/>
              <w:rPr>
                <w:lang w:val="en-US"/>
              </w:rPr>
            </w:pPr>
            <w:r w:rsidRPr="001524F7">
              <w:t>4,3</w:t>
            </w:r>
            <w:r w:rsidRPr="001524F7">
              <w:rPr>
                <w:rFonts w:eastAsia="TimesNewRomanPSMT"/>
              </w:rPr>
              <w:t>±0,2</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F67279">
        <w:trPr>
          <w:trHeight w:val="410"/>
        </w:trPr>
        <w:tc>
          <w:tcPr>
            <w:tcW w:w="614" w:type="dxa"/>
            <w:gridSpan w:val="2"/>
            <w:shd w:val="clear" w:color="auto" w:fill="auto"/>
          </w:tcPr>
          <w:p w:rsidR="00534FB5" w:rsidRPr="001524F7" w:rsidRDefault="00534FB5" w:rsidP="00534FB5">
            <w:pPr>
              <w:contextualSpacing/>
            </w:pPr>
            <w:r w:rsidRPr="001524F7">
              <w:t>27</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Prevotella spp</w:t>
            </w:r>
          </w:p>
        </w:tc>
        <w:tc>
          <w:tcPr>
            <w:tcW w:w="1983" w:type="dxa"/>
            <w:shd w:val="clear" w:color="auto" w:fill="auto"/>
          </w:tcPr>
          <w:p w:rsidR="00534FB5" w:rsidRPr="001524F7" w:rsidRDefault="00534FB5" w:rsidP="00534FB5">
            <w:pPr>
              <w:contextualSpacing/>
              <w:jc w:val="center"/>
            </w:pPr>
            <w:r w:rsidRPr="001524F7">
              <w:t>4,4</w:t>
            </w:r>
            <w:r w:rsidRPr="001524F7">
              <w:rPr>
                <w:rFonts w:eastAsia="TimesNewRomanPSMT"/>
              </w:rPr>
              <w:t>±0,25</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28</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rPr>
            </w:pPr>
            <w:r w:rsidRPr="001524F7">
              <w:rPr>
                <w:i/>
                <w:lang w:val="en-US"/>
              </w:rPr>
              <w:t>Fusobacterium spp</w:t>
            </w:r>
          </w:p>
        </w:tc>
        <w:tc>
          <w:tcPr>
            <w:tcW w:w="1983" w:type="dxa"/>
            <w:shd w:val="clear" w:color="auto" w:fill="auto"/>
          </w:tcPr>
          <w:p w:rsidR="00534FB5" w:rsidRPr="001524F7" w:rsidRDefault="00534FB5" w:rsidP="00534FB5">
            <w:pPr>
              <w:contextualSpacing/>
              <w:jc w:val="center"/>
            </w:pPr>
            <w:r w:rsidRPr="001524F7">
              <w:t>4,4</w:t>
            </w:r>
            <w:r w:rsidRPr="001524F7">
              <w:rPr>
                <w:rFonts w:eastAsia="TimesNewRomanPSMT"/>
              </w:rPr>
              <w:t>±0,17</w:t>
            </w:r>
          </w:p>
        </w:tc>
        <w:tc>
          <w:tcPr>
            <w:tcW w:w="2086" w:type="dxa"/>
            <w:shd w:val="clear" w:color="auto" w:fill="auto"/>
          </w:tcPr>
          <w:p w:rsidR="00534FB5" w:rsidRPr="001524F7" w:rsidRDefault="00534FB5" w:rsidP="00534FB5">
            <w:pPr>
              <w:contextualSpacing/>
              <w:jc w:val="center"/>
            </w:pPr>
            <w:r w:rsidRPr="001524F7">
              <w:t>-</w:t>
            </w:r>
          </w:p>
        </w:tc>
      </w:tr>
      <w:tr w:rsidR="00534FB5" w:rsidRPr="001524F7" w:rsidTr="00534FB5">
        <w:tc>
          <w:tcPr>
            <w:tcW w:w="614" w:type="dxa"/>
            <w:gridSpan w:val="2"/>
            <w:shd w:val="clear" w:color="auto" w:fill="auto"/>
          </w:tcPr>
          <w:p w:rsidR="00534FB5" w:rsidRPr="001524F7" w:rsidRDefault="00534FB5" w:rsidP="00534FB5">
            <w:pPr>
              <w:contextualSpacing/>
            </w:pPr>
            <w:r w:rsidRPr="001524F7">
              <w:t>29</w:t>
            </w:r>
          </w:p>
        </w:tc>
        <w:tc>
          <w:tcPr>
            <w:tcW w:w="2097" w:type="dxa"/>
            <w:vMerge w:val="restart"/>
            <w:shd w:val="clear" w:color="auto" w:fill="auto"/>
          </w:tcPr>
          <w:p w:rsidR="00534FB5" w:rsidRPr="001524F7" w:rsidRDefault="00534FB5" w:rsidP="00534FB5">
            <w:pPr>
              <w:contextualSpacing/>
            </w:pPr>
            <w:r w:rsidRPr="001524F7">
              <w:t>Дріжджеподібні та плісняві гриби</w:t>
            </w:r>
          </w:p>
        </w:tc>
        <w:tc>
          <w:tcPr>
            <w:tcW w:w="2790" w:type="dxa"/>
            <w:shd w:val="clear" w:color="auto" w:fill="auto"/>
          </w:tcPr>
          <w:p w:rsidR="00534FB5" w:rsidRPr="001524F7" w:rsidRDefault="00534FB5" w:rsidP="00534FB5">
            <w:pPr>
              <w:contextualSpacing/>
              <w:rPr>
                <w:i/>
              </w:rPr>
            </w:pPr>
            <w:r w:rsidRPr="001524F7">
              <w:rPr>
                <w:i/>
                <w:lang w:val="en-US"/>
              </w:rPr>
              <w:t>Candida spp</w:t>
            </w:r>
          </w:p>
        </w:tc>
        <w:tc>
          <w:tcPr>
            <w:tcW w:w="1983" w:type="dxa"/>
            <w:shd w:val="clear" w:color="auto" w:fill="auto"/>
          </w:tcPr>
          <w:p w:rsidR="00534FB5" w:rsidRPr="001524F7" w:rsidRDefault="00534FB5" w:rsidP="00534FB5">
            <w:pPr>
              <w:contextualSpacing/>
              <w:jc w:val="center"/>
            </w:pPr>
            <w:r w:rsidRPr="001524F7">
              <w:t>3,1</w:t>
            </w:r>
            <w:r w:rsidRPr="001524F7">
              <w:rPr>
                <w:rFonts w:eastAsia="TimesNewRomanPSMT"/>
              </w:rPr>
              <w:t>±0,09</w:t>
            </w:r>
          </w:p>
        </w:tc>
        <w:tc>
          <w:tcPr>
            <w:tcW w:w="2086" w:type="dxa"/>
            <w:shd w:val="clear" w:color="auto" w:fill="auto"/>
          </w:tcPr>
          <w:p w:rsidR="00534FB5" w:rsidRPr="001524F7" w:rsidRDefault="00534FB5" w:rsidP="00534FB5">
            <w:pPr>
              <w:contextualSpacing/>
              <w:jc w:val="center"/>
            </w:pPr>
            <w:r w:rsidRPr="001524F7">
              <w:t>3,2</w:t>
            </w:r>
            <w:r w:rsidRPr="001524F7">
              <w:rPr>
                <w:rFonts w:eastAsia="TimesNewRomanPSMT"/>
              </w:rPr>
              <w:t>±0,1</w:t>
            </w:r>
          </w:p>
        </w:tc>
      </w:tr>
      <w:tr w:rsidR="00534FB5" w:rsidRPr="001524F7" w:rsidTr="00F67279">
        <w:trPr>
          <w:trHeight w:val="630"/>
        </w:trPr>
        <w:tc>
          <w:tcPr>
            <w:tcW w:w="614" w:type="dxa"/>
            <w:gridSpan w:val="2"/>
            <w:shd w:val="clear" w:color="auto" w:fill="auto"/>
          </w:tcPr>
          <w:p w:rsidR="00534FB5" w:rsidRPr="001524F7" w:rsidRDefault="00534FB5" w:rsidP="00534FB5">
            <w:pPr>
              <w:contextualSpacing/>
            </w:pPr>
            <w:r w:rsidRPr="001524F7">
              <w:t>30</w:t>
            </w:r>
          </w:p>
        </w:tc>
        <w:tc>
          <w:tcPr>
            <w:tcW w:w="2097" w:type="dxa"/>
            <w:vMerge/>
            <w:shd w:val="clear" w:color="auto" w:fill="auto"/>
          </w:tcPr>
          <w:p w:rsidR="00534FB5" w:rsidRPr="001524F7" w:rsidRDefault="00534FB5" w:rsidP="00534FB5">
            <w:pPr>
              <w:contextualSpacing/>
            </w:pPr>
          </w:p>
        </w:tc>
        <w:tc>
          <w:tcPr>
            <w:tcW w:w="2790" w:type="dxa"/>
            <w:shd w:val="clear" w:color="auto" w:fill="auto"/>
          </w:tcPr>
          <w:p w:rsidR="00534FB5" w:rsidRPr="001524F7" w:rsidRDefault="00534FB5" w:rsidP="00534FB5">
            <w:pPr>
              <w:contextualSpacing/>
              <w:rPr>
                <w:i/>
                <w:lang w:val="en-US"/>
              </w:rPr>
            </w:pPr>
            <w:r w:rsidRPr="001524F7">
              <w:rPr>
                <w:i/>
                <w:lang w:val="en-US"/>
              </w:rPr>
              <w:t>Aspergillus spp</w:t>
            </w:r>
          </w:p>
        </w:tc>
        <w:tc>
          <w:tcPr>
            <w:tcW w:w="1983" w:type="dxa"/>
            <w:shd w:val="clear" w:color="auto" w:fill="auto"/>
          </w:tcPr>
          <w:p w:rsidR="00534FB5" w:rsidRPr="001524F7" w:rsidRDefault="00534FB5" w:rsidP="00534FB5">
            <w:pPr>
              <w:contextualSpacing/>
              <w:jc w:val="center"/>
            </w:pPr>
            <w:r w:rsidRPr="001524F7">
              <w:t>3,1</w:t>
            </w:r>
            <w:r w:rsidRPr="001524F7">
              <w:rPr>
                <w:rFonts w:eastAsia="TimesNewRomanPSMT"/>
              </w:rPr>
              <w:t>±0,1</w:t>
            </w:r>
          </w:p>
        </w:tc>
        <w:tc>
          <w:tcPr>
            <w:tcW w:w="2086" w:type="dxa"/>
            <w:shd w:val="clear" w:color="auto" w:fill="auto"/>
          </w:tcPr>
          <w:p w:rsidR="00534FB5" w:rsidRPr="001524F7" w:rsidRDefault="00534FB5" w:rsidP="00534FB5">
            <w:pPr>
              <w:contextualSpacing/>
              <w:jc w:val="center"/>
            </w:pPr>
            <w:r w:rsidRPr="001524F7">
              <w:t>-</w:t>
            </w:r>
          </w:p>
        </w:tc>
      </w:tr>
    </w:tbl>
    <w:p w:rsidR="00534FB5" w:rsidRPr="0021062B" w:rsidRDefault="00534FB5" w:rsidP="00534FB5">
      <w:pPr>
        <w:shd w:val="clear" w:color="auto" w:fill="FFFFFF"/>
        <w:spacing w:line="240" w:lineRule="auto"/>
        <w:ind w:hanging="142"/>
        <w:contextualSpacing/>
        <w:rPr>
          <w:sz w:val="24"/>
        </w:rPr>
      </w:pPr>
      <w:r w:rsidRPr="001524F7">
        <w:rPr>
          <w:spacing w:val="-1"/>
          <w:sz w:val="24"/>
          <w:szCs w:val="24"/>
        </w:rPr>
        <w:t xml:space="preserve">Примітка: * </w:t>
      </w:r>
      <w:r>
        <w:rPr>
          <w:spacing w:val="-1"/>
          <w:sz w:val="24"/>
          <w:szCs w:val="24"/>
        </w:rPr>
        <w:t xml:space="preserve">– </w:t>
      </w:r>
      <w:r w:rsidRPr="001524F7">
        <w:rPr>
          <w:spacing w:val="-1"/>
          <w:sz w:val="24"/>
          <w:szCs w:val="24"/>
        </w:rPr>
        <w:t xml:space="preserve">достовірна різниця між показниками </w:t>
      </w:r>
      <w:r>
        <w:rPr>
          <w:sz w:val="24"/>
          <w:szCs w:val="24"/>
        </w:rPr>
        <w:t>(р&lt;0,05).</w:t>
      </w:r>
      <w:r w:rsidRPr="0021062B">
        <w:rPr>
          <w:sz w:val="24"/>
        </w:rPr>
        <w:t xml:space="preserve"> </w:t>
      </w: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sectPr w:rsidR="00534FB5" w:rsidSect="00534FB5">
          <w:pgSz w:w="11906" w:h="16838"/>
          <w:pgMar w:top="-1560" w:right="851" w:bottom="1134" w:left="1701" w:header="1134" w:footer="709" w:gutter="0"/>
          <w:cols w:space="708"/>
          <w:docGrid w:linePitch="381"/>
        </w:sectPr>
      </w:pPr>
    </w:p>
    <w:p w:rsidR="00534FB5" w:rsidRPr="00024A26" w:rsidRDefault="00534FB5" w:rsidP="00534FB5">
      <w:pPr>
        <w:jc w:val="center"/>
      </w:pPr>
      <w:r w:rsidRPr="00024A26">
        <w:lastRenderedPageBreak/>
        <w:t>Додаток В</w:t>
      </w:r>
    </w:p>
    <w:p w:rsidR="00534FB5" w:rsidRPr="00024A26" w:rsidRDefault="00534FB5" w:rsidP="00534FB5">
      <w:pPr>
        <w:jc w:val="center"/>
      </w:pPr>
      <w:r w:rsidRPr="00024A26">
        <w:t xml:space="preserve">Мікробіологічна характеристика біоценозів, ізольованих із зубних бляшок дітей </w:t>
      </w:r>
      <w:r>
        <w:t>і</w:t>
      </w:r>
      <w:r w:rsidRPr="00024A26">
        <w:t>з вродженою глухотою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1931"/>
        <w:gridCol w:w="212"/>
        <w:gridCol w:w="1016"/>
        <w:gridCol w:w="119"/>
        <w:gridCol w:w="1028"/>
        <w:gridCol w:w="107"/>
        <w:gridCol w:w="1133"/>
        <w:gridCol w:w="1279"/>
        <w:gridCol w:w="1085"/>
        <w:gridCol w:w="1143"/>
      </w:tblGrid>
      <w:tr w:rsidR="00534FB5" w:rsidRPr="00024A26" w:rsidTr="00534FB5">
        <w:tc>
          <w:tcPr>
            <w:tcW w:w="270" w:type="pct"/>
            <w:vMerge w:val="restart"/>
            <w:shd w:val="clear" w:color="auto" w:fill="auto"/>
            <w:vAlign w:val="center"/>
          </w:tcPr>
          <w:p w:rsidR="00534FB5" w:rsidRPr="00953114" w:rsidRDefault="00534FB5" w:rsidP="00534FB5">
            <w:pPr>
              <w:contextualSpacing/>
              <w:rPr>
                <w:spacing w:val="-12"/>
              </w:rPr>
            </w:pPr>
            <w:r w:rsidRPr="00953114">
              <w:rPr>
                <w:spacing w:val="-12"/>
              </w:rPr>
              <w:t>№</w:t>
            </w:r>
          </w:p>
          <w:p w:rsidR="00534FB5" w:rsidRPr="00953114" w:rsidRDefault="00534FB5" w:rsidP="00534FB5">
            <w:pPr>
              <w:contextualSpacing/>
              <w:rPr>
                <w:spacing w:val="-12"/>
              </w:rPr>
            </w:pPr>
            <w:r w:rsidRPr="00953114">
              <w:rPr>
                <w:spacing w:val="-12"/>
              </w:rPr>
              <w:t>п/п</w:t>
            </w:r>
          </w:p>
        </w:tc>
        <w:tc>
          <w:tcPr>
            <w:tcW w:w="1120" w:type="pct"/>
            <w:gridSpan w:val="2"/>
            <w:vMerge w:val="restart"/>
            <w:shd w:val="clear" w:color="auto" w:fill="auto"/>
            <w:vAlign w:val="center"/>
          </w:tcPr>
          <w:p w:rsidR="00534FB5" w:rsidRPr="00953114" w:rsidRDefault="00534FB5" w:rsidP="00534FB5">
            <w:pPr>
              <w:ind w:left="-91"/>
              <w:contextualSpacing/>
              <w:jc w:val="center"/>
              <w:rPr>
                <w:spacing w:val="-12"/>
              </w:rPr>
            </w:pPr>
            <w:r w:rsidRPr="00953114">
              <w:rPr>
                <w:spacing w:val="-12"/>
              </w:rPr>
              <w:t>Представники родів та видів мікроорганізмів</w:t>
            </w:r>
          </w:p>
        </w:tc>
        <w:tc>
          <w:tcPr>
            <w:tcW w:w="3610" w:type="pct"/>
            <w:gridSpan w:val="8"/>
            <w:shd w:val="clear" w:color="auto" w:fill="auto"/>
            <w:vAlign w:val="center"/>
          </w:tcPr>
          <w:p w:rsidR="00534FB5" w:rsidRPr="00953114" w:rsidRDefault="00534FB5" w:rsidP="00534FB5">
            <w:pPr>
              <w:ind w:left="-91"/>
              <w:contextualSpacing/>
              <w:jc w:val="center"/>
              <w:rPr>
                <w:spacing w:val="-12"/>
              </w:rPr>
            </w:pPr>
            <w:r w:rsidRPr="00953114">
              <w:rPr>
                <w:spacing w:val="-12"/>
              </w:rPr>
              <w:t>Вікові підгрупи обстежених дітей</w:t>
            </w:r>
          </w:p>
        </w:tc>
      </w:tr>
      <w:tr w:rsidR="00534FB5" w:rsidRPr="00024A26" w:rsidTr="00534FB5">
        <w:tc>
          <w:tcPr>
            <w:tcW w:w="270" w:type="pct"/>
            <w:vMerge/>
            <w:shd w:val="clear" w:color="auto" w:fill="auto"/>
          </w:tcPr>
          <w:p w:rsidR="00534FB5" w:rsidRPr="00953114" w:rsidRDefault="00534FB5" w:rsidP="00534FB5">
            <w:pPr>
              <w:contextualSpacing/>
              <w:rPr>
                <w:spacing w:val="-12"/>
              </w:rPr>
            </w:pPr>
          </w:p>
        </w:tc>
        <w:tc>
          <w:tcPr>
            <w:tcW w:w="1120" w:type="pct"/>
            <w:gridSpan w:val="2"/>
            <w:vMerge/>
            <w:shd w:val="clear" w:color="auto" w:fill="auto"/>
            <w:vAlign w:val="center"/>
          </w:tcPr>
          <w:p w:rsidR="00534FB5" w:rsidRPr="00953114" w:rsidRDefault="00534FB5" w:rsidP="00534FB5">
            <w:pPr>
              <w:ind w:left="-91"/>
              <w:contextualSpacing/>
              <w:jc w:val="center"/>
              <w:rPr>
                <w:spacing w:val="-12"/>
              </w:rPr>
            </w:pPr>
          </w:p>
        </w:tc>
        <w:tc>
          <w:tcPr>
            <w:tcW w:w="1186" w:type="pct"/>
            <w:gridSpan w:val="4"/>
            <w:shd w:val="clear" w:color="auto" w:fill="auto"/>
            <w:vAlign w:val="center"/>
          </w:tcPr>
          <w:p w:rsidR="00534FB5" w:rsidRPr="00953114" w:rsidRDefault="00534FB5" w:rsidP="00534FB5">
            <w:pPr>
              <w:ind w:left="-91"/>
              <w:contextualSpacing/>
              <w:jc w:val="center"/>
              <w:rPr>
                <w:spacing w:val="-12"/>
              </w:rPr>
            </w:pPr>
            <w:r w:rsidRPr="00953114">
              <w:rPr>
                <w:spacing w:val="-12"/>
              </w:rPr>
              <w:t>7-8 років</w:t>
            </w:r>
          </w:p>
        </w:tc>
        <w:tc>
          <w:tcPr>
            <w:tcW w:w="1260" w:type="pct"/>
            <w:gridSpan w:val="2"/>
            <w:shd w:val="clear" w:color="auto" w:fill="auto"/>
            <w:vAlign w:val="center"/>
          </w:tcPr>
          <w:p w:rsidR="00534FB5" w:rsidRPr="00953114" w:rsidRDefault="00534FB5" w:rsidP="00534FB5">
            <w:pPr>
              <w:ind w:left="-91"/>
              <w:contextualSpacing/>
              <w:jc w:val="center"/>
              <w:rPr>
                <w:spacing w:val="-12"/>
              </w:rPr>
            </w:pPr>
            <w:r w:rsidRPr="00953114">
              <w:rPr>
                <w:spacing w:val="-12"/>
              </w:rPr>
              <w:t>11-12 років</w:t>
            </w:r>
          </w:p>
        </w:tc>
        <w:tc>
          <w:tcPr>
            <w:tcW w:w="1164" w:type="pct"/>
            <w:gridSpan w:val="2"/>
            <w:shd w:val="clear" w:color="auto" w:fill="auto"/>
            <w:vAlign w:val="center"/>
          </w:tcPr>
          <w:p w:rsidR="00534FB5" w:rsidRPr="00953114" w:rsidRDefault="00534FB5" w:rsidP="00534FB5">
            <w:pPr>
              <w:ind w:left="-91"/>
              <w:contextualSpacing/>
              <w:jc w:val="center"/>
              <w:rPr>
                <w:spacing w:val="-12"/>
              </w:rPr>
            </w:pPr>
            <w:r w:rsidRPr="00953114">
              <w:rPr>
                <w:spacing w:val="-12"/>
              </w:rPr>
              <w:t>14-15 років</w:t>
            </w:r>
          </w:p>
        </w:tc>
      </w:tr>
      <w:tr w:rsidR="00534FB5" w:rsidRPr="00024A26" w:rsidTr="00534FB5">
        <w:tc>
          <w:tcPr>
            <w:tcW w:w="270" w:type="pct"/>
            <w:vMerge/>
            <w:shd w:val="clear" w:color="auto" w:fill="auto"/>
          </w:tcPr>
          <w:p w:rsidR="00534FB5" w:rsidRPr="00953114" w:rsidRDefault="00534FB5" w:rsidP="00534FB5">
            <w:pPr>
              <w:contextualSpacing/>
              <w:rPr>
                <w:spacing w:val="-12"/>
              </w:rPr>
            </w:pPr>
          </w:p>
        </w:tc>
        <w:tc>
          <w:tcPr>
            <w:tcW w:w="1120" w:type="pct"/>
            <w:gridSpan w:val="2"/>
            <w:vMerge/>
            <w:shd w:val="clear" w:color="auto" w:fill="auto"/>
            <w:vAlign w:val="center"/>
          </w:tcPr>
          <w:p w:rsidR="00534FB5" w:rsidRPr="00953114" w:rsidRDefault="00534FB5" w:rsidP="00534FB5">
            <w:pPr>
              <w:ind w:left="-91"/>
              <w:contextualSpacing/>
              <w:jc w:val="center"/>
              <w:rPr>
                <w:spacing w:val="-12"/>
              </w:rPr>
            </w:pPr>
          </w:p>
        </w:tc>
        <w:tc>
          <w:tcPr>
            <w:tcW w:w="1186" w:type="pct"/>
            <w:gridSpan w:val="4"/>
            <w:shd w:val="clear" w:color="auto" w:fill="auto"/>
            <w:vAlign w:val="center"/>
          </w:tcPr>
          <w:p w:rsidR="00534FB5" w:rsidRPr="00953114" w:rsidRDefault="00534FB5" w:rsidP="00534FB5">
            <w:pPr>
              <w:ind w:left="-91"/>
              <w:contextualSpacing/>
              <w:jc w:val="center"/>
              <w:rPr>
                <w:spacing w:val="-12"/>
                <w:lang w:val="en-US"/>
              </w:rPr>
            </w:pPr>
            <w:r w:rsidRPr="00953114">
              <w:rPr>
                <w:spacing w:val="-12"/>
                <w:lang w:val="en-US"/>
              </w:rPr>
              <w:t>n=</w:t>
            </w:r>
            <w:r w:rsidRPr="00953114">
              <w:rPr>
                <w:spacing w:val="-12"/>
              </w:rPr>
              <w:t>23</w:t>
            </w:r>
          </w:p>
        </w:tc>
        <w:tc>
          <w:tcPr>
            <w:tcW w:w="1260" w:type="pct"/>
            <w:gridSpan w:val="2"/>
            <w:shd w:val="clear" w:color="auto" w:fill="auto"/>
            <w:vAlign w:val="center"/>
          </w:tcPr>
          <w:p w:rsidR="00534FB5" w:rsidRPr="00953114" w:rsidRDefault="00534FB5" w:rsidP="00534FB5">
            <w:pPr>
              <w:ind w:left="-91"/>
              <w:contextualSpacing/>
              <w:jc w:val="center"/>
              <w:rPr>
                <w:spacing w:val="-12"/>
              </w:rPr>
            </w:pPr>
            <w:r w:rsidRPr="00953114">
              <w:rPr>
                <w:spacing w:val="-12"/>
                <w:lang w:val="en-US"/>
              </w:rPr>
              <w:t>n=</w:t>
            </w:r>
            <w:r w:rsidRPr="00953114">
              <w:rPr>
                <w:spacing w:val="-12"/>
              </w:rPr>
              <w:t>21</w:t>
            </w:r>
          </w:p>
        </w:tc>
        <w:tc>
          <w:tcPr>
            <w:tcW w:w="1164" w:type="pct"/>
            <w:gridSpan w:val="2"/>
            <w:shd w:val="clear" w:color="auto" w:fill="auto"/>
            <w:vAlign w:val="center"/>
          </w:tcPr>
          <w:p w:rsidR="00534FB5" w:rsidRPr="00953114" w:rsidRDefault="00534FB5" w:rsidP="00534FB5">
            <w:pPr>
              <w:ind w:left="-91"/>
              <w:contextualSpacing/>
              <w:jc w:val="center"/>
              <w:rPr>
                <w:spacing w:val="-12"/>
              </w:rPr>
            </w:pPr>
            <w:r w:rsidRPr="00953114">
              <w:rPr>
                <w:spacing w:val="-12"/>
                <w:lang w:val="en-US"/>
              </w:rPr>
              <w:t>n=</w:t>
            </w:r>
            <w:r w:rsidRPr="00953114">
              <w:rPr>
                <w:spacing w:val="-12"/>
              </w:rPr>
              <w:t>26</w:t>
            </w:r>
          </w:p>
        </w:tc>
      </w:tr>
      <w:tr w:rsidR="00534FB5" w:rsidRPr="00024A26" w:rsidTr="00534FB5">
        <w:tc>
          <w:tcPr>
            <w:tcW w:w="270" w:type="pct"/>
            <w:vMerge/>
            <w:shd w:val="clear" w:color="auto" w:fill="auto"/>
          </w:tcPr>
          <w:p w:rsidR="00534FB5" w:rsidRPr="00953114" w:rsidRDefault="00534FB5" w:rsidP="00534FB5">
            <w:pPr>
              <w:contextualSpacing/>
              <w:rPr>
                <w:spacing w:val="-12"/>
              </w:rPr>
            </w:pPr>
          </w:p>
        </w:tc>
        <w:tc>
          <w:tcPr>
            <w:tcW w:w="1120" w:type="pct"/>
            <w:gridSpan w:val="2"/>
            <w:vMerge/>
            <w:shd w:val="clear" w:color="auto" w:fill="auto"/>
            <w:vAlign w:val="center"/>
          </w:tcPr>
          <w:p w:rsidR="00534FB5" w:rsidRPr="00953114" w:rsidRDefault="00534FB5" w:rsidP="00534FB5">
            <w:pPr>
              <w:ind w:left="-91"/>
              <w:contextualSpacing/>
              <w:jc w:val="center"/>
              <w:rPr>
                <w:spacing w:val="-12"/>
              </w:rPr>
            </w:pPr>
          </w:p>
        </w:tc>
        <w:tc>
          <w:tcPr>
            <w:tcW w:w="593" w:type="pct"/>
            <w:gridSpan w:val="2"/>
            <w:shd w:val="clear" w:color="auto" w:fill="auto"/>
            <w:vAlign w:val="center"/>
          </w:tcPr>
          <w:p w:rsidR="00534FB5" w:rsidRPr="00953114" w:rsidRDefault="00534FB5" w:rsidP="00534FB5">
            <w:pPr>
              <w:ind w:left="-91"/>
              <w:contextualSpacing/>
              <w:jc w:val="center"/>
              <w:rPr>
                <w:spacing w:val="-12"/>
                <w:lang w:val="en-US"/>
              </w:rPr>
            </w:pPr>
            <w:r w:rsidRPr="00953114">
              <w:rPr>
                <w:spacing w:val="-12"/>
              </w:rPr>
              <w:t>%</w:t>
            </w:r>
          </w:p>
        </w:tc>
        <w:tc>
          <w:tcPr>
            <w:tcW w:w="593" w:type="pct"/>
            <w:gridSpan w:val="2"/>
            <w:shd w:val="clear" w:color="auto" w:fill="auto"/>
            <w:vAlign w:val="center"/>
          </w:tcPr>
          <w:p w:rsidR="00534FB5" w:rsidRPr="00953114" w:rsidRDefault="00534FB5" w:rsidP="00534FB5">
            <w:pPr>
              <w:ind w:left="-91"/>
              <w:contextualSpacing/>
              <w:jc w:val="center"/>
              <w:rPr>
                <w:spacing w:val="-12"/>
              </w:rPr>
            </w:pPr>
            <w:r w:rsidRPr="00953114">
              <w:rPr>
                <w:spacing w:val="-12"/>
              </w:rPr>
              <w:t>lg КУО/г</w:t>
            </w:r>
          </w:p>
          <w:p w:rsidR="00534FB5" w:rsidRPr="00953114" w:rsidRDefault="00534FB5" w:rsidP="00534FB5">
            <w:pPr>
              <w:ind w:left="-91"/>
              <w:contextualSpacing/>
              <w:jc w:val="center"/>
              <w:rPr>
                <w:spacing w:val="-12"/>
                <w:lang w:val="en-US"/>
              </w:rPr>
            </w:pPr>
            <w:r w:rsidRPr="00953114">
              <w:rPr>
                <w:spacing w:val="-12"/>
              </w:rPr>
              <w:t>(М±m)</w:t>
            </w:r>
          </w:p>
        </w:tc>
        <w:tc>
          <w:tcPr>
            <w:tcW w:w="592" w:type="pct"/>
            <w:shd w:val="clear" w:color="auto" w:fill="auto"/>
            <w:vAlign w:val="center"/>
          </w:tcPr>
          <w:p w:rsidR="00534FB5" w:rsidRPr="00953114" w:rsidRDefault="00534FB5" w:rsidP="00534FB5">
            <w:pPr>
              <w:ind w:left="-91"/>
              <w:contextualSpacing/>
              <w:jc w:val="center"/>
              <w:rPr>
                <w:spacing w:val="-12"/>
                <w:lang w:val="en-US"/>
              </w:rPr>
            </w:pPr>
            <w:r w:rsidRPr="00953114">
              <w:rPr>
                <w:spacing w:val="-12"/>
              </w:rPr>
              <w:t>%</w:t>
            </w:r>
          </w:p>
        </w:tc>
        <w:tc>
          <w:tcPr>
            <w:tcW w:w="668" w:type="pct"/>
            <w:shd w:val="clear" w:color="auto" w:fill="auto"/>
            <w:vAlign w:val="center"/>
          </w:tcPr>
          <w:p w:rsidR="00534FB5" w:rsidRPr="00953114" w:rsidRDefault="00534FB5" w:rsidP="00534FB5">
            <w:pPr>
              <w:ind w:left="-91"/>
              <w:contextualSpacing/>
              <w:jc w:val="center"/>
              <w:rPr>
                <w:spacing w:val="-12"/>
              </w:rPr>
            </w:pPr>
            <w:r w:rsidRPr="00953114">
              <w:rPr>
                <w:spacing w:val="-12"/>
              </w:rPr>
              <w:t>lg КУО/г</w:t>
            </w:r>
          </w:p>
          <w:p w:rsidR="00534FB5" w:rsidRPr="00953114" w:rsidRDefault="00534FB5" w:rsidP="00534FB5">
            <w:pPr>
              <w:ind w:left="-91"/>
              <w:contextualSpacing/>
              <w:jc w:val="center"/>
              <w:rPr>
                <w:spacing w:val="-12"/>
                <w:lang w:val="en-US"/>
              </w:rPr>
            </w:pPr>
            <w:r w:rsidRPr="00953114">
              <w:rPr>
                <w:spacing w:val="-12"/>
              </w:rPr>
              <w:t>(М±m)</w:t>
            </w:r>
          </w:p>
        </w:tc>
        <w:tc>
          <w:tcPr>
            <w:tcW w:w="567" w:type="pct"/>
            <w:shd w:val="clear" w:color="auto" w:fill="auto"/>
            <w:vAlign w:val="center"/>
          </w:tcPr>
          <w:p w:rsidR="00534FB5" w:rsidRPr="00953114" w:rsidRDefault="00534FB5" w:rsidP="00534FB5">
            <w:pPr>
              <w:ind w:left="-91"/>
              <w:contextualSpacing/>
              <w:jc w:val="center"/>
              <w:rPr>
                <w:spacing w:val="-12"/>
                <w:lang w:val="en-US"/>
              </w:rPr>
            </w:pPr>
            <w:r w:rsidRPr="00953114">
              <w:rPr>
                <w:spacing w:val="-12"/>
              </w:rPr>
              <w:t>%</w:t>
            </w:r>
          </w:p>
        </w:tc>
        <w:tc>
          <w:tcPr>
            <w:tcW w:w="597" w:type="pct"/>
            <w:shd w:val="clear" w:color="auto" w:fill="auto"/>
            <w:vAlign w:val="center"/>
          </w:tcPr>
          <w:p w:rsidR="00534FB5" w:rsidRPr="00953114" w:rsidRDefault="00534FB5" w:rsidP="00534FB5">
            <w:pPr>
              <w:ind w:left="-91"/>
              <w:contextualSpacing/>
              <w:jc w:val="center"/>
              <w:rPr>
                <w:spacing w:val="-12"/>
              </w:rPr>
            </w:pPr>
            <w:r w:rsidRPr="00953114">
              <w:rPr>
                <w:spacing w:val="-12"/>
              </w:rPr>
              <w:t>lg КУО/г</w:t>
            </w:r>
          </w:p>
          <w:p w:rsidR="00534FB5" w:rsidRPr="00953114" w:rsidRDefault="00534FB5" w:rsidP="00534FB5">
            <w:pPr>
              <w:ind w:left="-91"/>
              <w:contextualSpacing/>
              <w:jc w:val="center"/>
              <w:rPr>
                <w:spacing w:val="-12"/>
                <w:lang w:val="en-US"/>
              </w:rPr>
            </w:pPr>
            <w:r w:rsidRPr="00953114">
              <w:rPr>
                <w:spacing w:val="-12"/>
              </w:rPr>
              <w:t>(М±m)</w:t>
            </w:r>
          </w:p>
        </w:tc>
      </w:tr>
      <w:tr w:rsidR="00534FB5" w:rsidRPr="00024A26" w:rsidTr="00534FB5">
        <w:tc>
          <w:tcPr>
            <w:tcW w:w="270" w:type="pct"/>
            <w:vMerge/>
            <w:shd w:val="clear" w:color="auto" w:fill="auto"/>
          </w:tcPr>
          <w:p w:rsidR="00534FB5" w:rsidRPr="00953114" w:rsidRDefault="00534FB5" w:rsidP="00534FB5">
            <w:pPr>
              <w:contextualSpacing/>
              <w:rPr>
                <w:spacing w:val="-12"/>
              </w:rPr>
            </w:pPr>
          </w:p>
        </w:tc>
        <w:tc>
          <w:tcPr>
            <w:tcW w:w="1120" w:type="pct"/>
            <w:gridSpan w:val="2"/>
            <w:vMerge/>
            <w:shd w:val="clear" w:color="auto" w:fill="auto"/>
            <w:vAlign w:val="center"/>
          </w:tcPr>
          <w:p w:rsidR="00534FB5" w:rsidRPr="00953114" w:rsidRDefault="00534FB5" w:rsidP="00534FB5">
            <w:pPr>
              <w:ind w:left="-91"/>
              <w:contextualSpacing/>
              <w:jc w:val="center"/>
              <w:rPr>
                <w:spacing w:val="-12"/>
              </w:rPr>
            </w:pPr>
          </w:p>
        </w:tc>
        <w:tc>
          <w:tcPr>
            <w:tcW w:w="593" w:type="pct"/>
            <w:gridSpan w:val="2"/>
            <w:shd w:val="clear" w:color="auto" w:fill="auto"/>
            <w:vAlign w:val="center"/>
          </w:tcPr>
          <w:p w:rsidR="00534FB5" w:rsidRPr="00F40B9B" w:rsidRDefault="00534FB5" w:rsidP="00534FB5">
            <w:pPr>
              <w:contextualSpacing/>
              <w:jc w:val="center"/>
              <w:rPr>
                <w:spacing w:val="-18"/>
              </w:rPr>
            </w:pPr>
            <w:r w:rsidRPr="00F40B9B">
              <w:rPr>
                <w:spacing w:val="-18"/>
              </w:rPr>
              <w:t>частота вилу</w:t>
            </w:r>
            <w:r>
              <w:rPr>
                <w:spacing w:val="-18"/>
              </w:rPr>
              <w:t>-</w:t>
            </w:r>
            <w:r w:rsidRPr="00F40B9B">
              <w:rPr>
                <w:spacing w:val="-18"/>
              </w:rPr>
              <w:t>чення</w:t>
            </w:r>
          </w:p>
        </w:tc>
        <w:tc>
          <w:tcPr>
            <w:tcW w:w="593" w:type="pct"/>
            <w:gridSpan w:val="2"/>
            <w:shd w:val="clear" w:color="auto" w:fill="auto"/>
            <w:vAlign w:val="center"/>
          </w:tcPr>
          <w:p w:rsidR="00534FB5" w:rsidRPr="00F40B9B" w:rsidRDefault="00534FB5" w:rsidP="00534FB5">
            <w:pPr>
              <w:ind w:left="-91"/>
              <w:contextualSpacing/>
              <w:jc w:val="center"/>
              <w:rPr>
                <w:spacing w:val="-18"/>
              </w:rPr>
            </w:pPr>
            <w:r w:rsidRPr="00F40B9B">
              <w:rPr>
                <w:spacing w:val="-18"/>
              </w:rPr>
              <w:t>щільність</w:t>
            </w:r>
          </w:p>
          <w:p w:rsidR="00534FB5" w:rsidRPr="00F40B9B" w:rsidRDefault="00534FB5" w:rsidP="00534FB5">
            <w:pPr>
              <w:ind w:left="-91"/>
              <w:contextualSpacing/>
              <w:jc w:val="center"/>
              <w:rPr>
                <w:spacing w:val="-18"/>
              </w:rPr>
            </w:pPr>
          </w:p>
        </w:tc>
        <w:tc>
          <w:tcPr>
            <w:tcW w:w="592" w:type="pct"/>
            <w:shd w:val="clear" w:color="auto" w:fill="auto"/>
            <w:vAlign w:val="center"/>
          </w:tcPr>
          <w:p w:rsidR="00534FB5" w:rsidRPr="00F40B9B" w:rsidRDefault="00534FB5" w:rsidP="00534FB5">
            <w:pPr>
              <w:contextualSpacing/>
              <w:jc w:val="center"/>
              <w:rPr>
                <w:spacing w:val="-18"/>
              </w:rPr>
            </w:pPr>
            <w:r w:rsidRPr="00F40B9B">
              <w:rPr>
                <w:spacing w:val="-18"/>
              </w:rPr>
              <w:t>частота вилу</w:t>
            </w:r>
            <w:r>
              <w:rPr>
                <w:spacing w:val="-18"/>
              </w:rPr>
              <w:t>-</w:t>
            </w:r>
            <w:r w:rsidRPr="00F40B9B">
              <w:rPr>
                <w:spacing w:val="-18"/>
              </w:rPr>
              <w:t>чення</w:t>
            </w:r>
          </w:p>
        </w:tc>
        <w:tc>
          <w:tcPr>
            <w:tcW w:w="668" w:type="pct"/>
            <w:shd w:val="clear" w:color="auto" w:fill="auto"/>
            <w:vAlign w:val="center"/>
          </w:tcPr>
          <w:p w:rsidR="00534FB5" w:rsidRPr="00F40B9B" w:rsidRDefault="00534FB5" w:rsidP="00534FB5">
            <w:pPr>
              <w:ind w:left="-91"/>
              <w:contextualSpacing/>
              <w:jc w:val="center"/>
              <w:rPr>
                <w:spacing w:val="-18"/>
              </w:rPr>
            </w:pPr>
            <w:r w:rsidRPr="00F40B9B">
              <w:rPr>
                <w:spacing w:val="-18"/>
              </w:rPr>
              <w:t>щільність</w:t>
            </w:r>
          </w:p>
        </w:tc>
        <w:tc>
          <w:tcPr>
            <w:tcW w:w="567" w:type="pct"/>
            <w:shd w:val="clear" w:color="auto" w:fill="auto"/>
            <w:vAlign w:val="center"/>
          </w:tcPr>
          <w:p w:rsidR="00534FB5" w:rsidRPr="00F40B9B" w:rsidRDefault="00534FB5" w:rsidP="00534FB5">
            <w:pPr>
              <w:ind w:left="-91"/>
              <w:contextualSpacing/>
              <w:jc w:val="center"/>
              <w:rPr>
                <w:spacing w:val="-18"/>
              </w:rPr>
            </w:pPr>
            <w:r w:rsidRPr="00F40B9B">
              <w:rPr>
                <w:spacing w:val="-18"/>
              </w:rPr>
              <w:t>частота вилу</w:t>
            </w:r>
            <w:r>
              <w:rPr>
                <w:spacing w:val="-18"/>
              </w:rPr>
              <w:t>-</w:t>
            </w:r>
            <w:r w:rsidRPr="00F40B9B">
              <w:rPr>
                <w:spacing w:val="-18"/>
              </w:rPr>
              <w:t>чення</w:t>
            </w:r>
          </w:p>
        </w:tc>
        <w:tc>
          <w:tcPr>
            <w:tcW w:w="597" w:type="pct"/>
            <w:shd w:val="clear" w:color="auto" w:fill="auto"/>
            <w:vAlign w:val="center"/>
          </w:tcPr>
          <w:p w:rsidR="00534FB5" w:rsidRPr="00F40B9B" w:rsidRDefault="00534FB5" w:rsidP="00534FB5">
            <w:pPr>
              <w:ind w:left="-91"/>
              <w:contextualSpacing/>
              <w:jc w:val="center"/>
              <w:rPr>
                <w:spacing w:val="-18"/>
              </w:rPr>
            </w:pPr>
            <w:r w:rsidRPr="00F40B9B">
              <w:rPr>
                <w:spacing w:val="-18"/>
              </w:rPr>
              <w:t>щільність</w:t>
            </w:r>
          </w:p>
          <w:p w:rsidR="00534FB5" w:rsidRPr="00F40B9B" w:rsidRDefault="00534FB5" w:rsidP="00534FB5">
            <w:pPr>
              <w:ind w:left="-91"/>
              <w:contextualSpacing/>
              <w:jc w:val="center"/>
              <w:rPr>
                <w:spacing w:val="-18"/>
              </w:rPr>
            </w:pPr>
          </w:p>
        </w:tc>
      </w:tr>
      <w:tr w:rsidR="00534FB5" w:rsidRPr="00024A26" w:rsidTr="00534FB5">
        <w:trPr>
          <w:trHeight w:val="228"/>
        </w:trPr>
        <w:tc>
          <w:tcPr>
            <w:tcW w:w="270" w:type="pct"/>
            <w:shd w:val="clear" w:color="auto" w:fill="auto"/>
            <w:vAlign w:val="center"/>
          </w:tcPr>
          <w:p w:rsidR="00534FB5" w:rsidRPr="00054814" w:rsidRDefault="00534FB5" w:rsidP="00534FB5">
            <w:pPr>
              <w:contextualSpacing/>
              <w:rPr>
                <w:spacing w:val="-12"/>
              </w:rPr>
            </w:pPr>
            <w:r w:rsidRPr="00054814">
              <w:rPr>
                <w:spacing w:val="-12"/>
              </w:rPr>
              <w:t>1</w:t>
            </w:r>
          </w:p>
        </w:tc>
        <w:tc>
          <w:tcPr>
            <w:tcW w:w="1120" w:type="pct"/>
            <w:gridSpan w:val="2"/>
            <w:shd w:val="clear" w:color="auto" w:fill="auto"/>
            <w:vAlign w:val="center"/>
          </w:tcPr>
          <w:p w:rsidR="00534FB5" w:rsidRPr="00054814" w:rsidRDefault="00534FB5" w:rsidP="00534FB5">
            <w:pPr>
              <w:ind w:left="-91"/>
              <w:contextualSpacing/>
              <w:jc w:val="center"/>
              <w:rPr>
                <w:spacing w:val="-12"/>
              </w:rPr>
            </w:pPr>
            <w:r w:rsidRPr="00054814">
              <w:rPr>
                <w:spacing w:val="-12"/>
              </w:rPr>
              <w:t>2</w:t>
            </w:r>
          </w:p>
        </w:tc>
        <w:tc>
          <w:tcPr>
            <w:tcW w:w="593" w:type="pct"/>
            <w:gridSpan w:val="2"/>
            <w:shd w:val="clear" w:color="auto" w:fill="auto"/>
            <w:vAlign w:val="center"/>
          </w:tcPr>
          <w:p w:rsidR="00534FB5" w:rsidRPr="00054814" w:rsidRDefault="00534FB5" w:rsidP="00534FB5">
            <w:pPr>
              <w:ind w:left="-91"/>
              <w:contextualSpacing/>
              <w:jc w:val="center"/>
              <w:rPr>
                <w:spacing w:val="-12"/>
              </w:rPr>
            </w:pPr>
            <w:r w:rsidRPr="00054814">
              <w:rPr>
                <w:spacing w:val="-12"/>
              </w:rPr>
              <w:t>3</w:t>
            </w:r>
          </w:p>
        </w:tc>
        <w:tc>
          <w:tcPr>
            <w:tcW w:w="593" w:type="pct"/>
            <w:gridSpan w:val="2"/>
            <w:shd w:val="clear" w:color="auto" w:fill="auto"/>
            <w:vAlign w:val="center"/>
          </w:tcPr>
          <w:p w:rsidR="00534FB5" w:rsidRPr="00054814" w:rsidRDefault="00534FB5" w:rsidP="00534FB5">
            <w:pPr>
              <w:ind w:left="-91"/>
              <w:contextualSpacing/>
              <w:jc w:val="center"/>
              <w:rPr>
                <w:spacing w:val="-12"/>
              </w:rPr>
            </w:pPr>
            <w:r w:rsidRPr="00054814">
              <w:rPr>
                <w:spacing w:val="-12"/>
              </w:rPr>
              <w:t>4</w:t>
            </w:r>
          </w:p>
        </w:tc>
        <w:tc>
          <w:tcPr>
            <w:tcW w:w="592" w:type="pct"/>
            <w:shd w:val="clear" w:color="auto" w:fill="auto"/>
            <w:vAlign w:val="center"/>
          </w:tcPr>
          <w:p w:rsidR="00534FB5" w:rsidRPr="00054814" w:rsidRDefault="00534FB5" w:rsidP="00534FB5">
            <w:pPr>
              <w:ind w:left="-91"/>
              <w:contextualSpacing/>
              <w:jc w:val="center"/>
              <w:rPr>
                <w:spacing w:val="-12"/>
              </w:rPr>
            </w:pPr>
            <w:r w:rsidRPr="00054814">
              <w:rPr>
                <w:spacing w:val="-12"/>
              </w:rPr>
              <w:t>5</w:t>
            </w:r>
          </w:p>
        </w:tc>
        <w:tc>
          <w:tcPr>
            <w:tcW w:w="668" w:type="pct"/>
            <w:shd w:val="clear" w:color="auto" w:fill="auto"/>
            <w:vAlign w:val="center"/>
          </w:tcPr>
          <w:p w:rsidR="00534FB5" w:rsidRPr="00054814" w:rsidRDefault="00534FB5" w:rsidP="00534FB5">
            <w:pPr>
              <w:ind w:left="-91"/>
              <w:contextualSpacing/>
              <w:jc w:val="center"/>
              <w:rPr>
                <w:spacing w:val="-12"/>
              </w:rPr>
            </w:pPr>
            <w:r w:rsidRPr="00054814">
              <w:rPr>
                <w:spacing w:val="-12"/>
              </w:rPr>
              <w:t>6</w:t>
            </w:r>
          </w:p>
        </w:tc>
        <w:tc>
          <w:tcPr>
            <w:tcW w:w="567" w:type="pct"/>
            <w:shd w:val="clear" w:color="auto" w:fill="auto"/>
            <w:vAlign w:val="center"/>
          </w:tcPr>
          <w:p w:rsidR="00534FB5" w:rsidRPr="00054814" w:rsidRDefault="00534FB5" w:rsidP="00534FB5">
            <w:pPr>
              <w:ind w:left="-91"/>
              <w:contextualSpacing/>
              <w:jc w:val="center"/>
              <w:rPr>
                <w:spacing w:val="-12"/>
              </w:rPr>
            </w:pPr>
            <w:r w:rsidRPr="00054814">
              <w:rPr>
                <w:spacing w:val="-12"/>
              </w:rPr>
              <w:t>7</w:t>
            </w:r>
          </w:p>
        </w:tc>
        <w:tc>
          <w:tcPr>
            <w:tcW w:w="597" w:type="pct"/>
            <w:shd w:val="clear" w:color="auto" w:fill="auto"/>
            <w:vAlign w:val="center"/>
          </w:tcPr>
          <w:p w:rsidR="00534FB5" w:rsidRPr="00054814" w:rsidRDefault="00534FB5" w:rsidP="00534FB5">
            <w:pPr>
              <w:ind w:left="-91"/>
              <w:contextualSpacing/>
              <w:jc w:val="center"/>
              <w:rPr>
                <w:spacing w:val="-12"/>
              </w:rPr>
            </w:pPr>
            <w:r w:rsidRPr="00054814">
              <w:rPr>
                <w:spacing w:val="-12"/>
              </w:rPr>
              <w:t>8</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mitis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13,0</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3,5±0,25</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14,3</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3,4±0,15</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11,5</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3,2±0,02</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mutans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34,8</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6,7±0,44</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38,1</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6,0±0,43</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50,0</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6,6±0,26</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3</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oralis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21,7</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4,0±0,74</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14,3</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4,2±0,84</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7,7</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3,2±0,01</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4</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sаlivarius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7,7</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3,2±0,08</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5</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sanguis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13,0</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6,8±0,33</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19,0</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7,4±0,25</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26,9</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6,4±0,63</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6</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pyogеnеs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4,3</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3,5</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9,5</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3,8±0,24</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3,8</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5,7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7</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Enterococcus spp</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26,1</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5,3±0,51</w:t>
            </w:r>
          </w:p>
        </w:tc>
        <w:tc>
          <w:tcPr>
            <w:tcW w:w="592" w:type="pct"/>
            <w:shd w:val="clear" w:color="auto" w:fill="auto"/>
          </w:tcPr>
          <w:p w:rsidR="00534FB5" w:rsidRPr="00953114" w:rsidRDefault="00534FB5" w:rsidP="00534FB5">
            <w:pPr>
              <w:ind w:left="-91"/>
              <w:contextualSpacing/>
              <w:jc w:val="center"/>
              <w:rPr>
                <w:spacing w:val="-12"/>
                <w:highlight w:val="yellow"/>
              </w:rPr>
            </w:pPr>
            <w:r w:rsidRPr="00953114">
              <w:rPr>
                <w:spacing w:val="-12"/>
              </w:rPr>
              <w:t>33,3</w:t>
            </w:r>
          </w:p>
        </w:tc>
        <w:tc>
          <w:tcPr>
            <w:tcW w:w="668" w:type="pct"/>
            <w:shd w:val="clear" w:color="auto" w:fill="auto"/>
          </w:tcPr>
          <w:p w:rsidR="00534FB5" w:rsidRPr="00953114" w:rsidRDefault="00534FB5" w:rsidP="00534FB5">
            <w:pPr>
              <w:ind w:left="-91"/>
              <w:contextualSpacing/>
              <w:jc w:val="center"/>
              <w:rPr>
                <w:spacing w:val="-12"/>
                <w:highlight w:val="yellow"/>
              </w:rPr>
            </w:pPr>
            <w:r w:rsidRPr="00953114">
              <w:rPr>
                <w:spacing w:val="-12"/>
              </w:rPr>
              <w:t>5,9±0,31</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26,9</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5,0±0,37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8</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Stomatococcus spp</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8,7</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4,5±0,5</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9,5</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4,5±0,9</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11,5</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3,6±0,22</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9</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 aureus</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13,0</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3,1±0,0</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9,5</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3,4±0,0</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7,7</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3,0±0,03</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10</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Staphylococcus spр</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21,7</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3,3±0,15</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19,0</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3,4±0,12</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19,2</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3,0±0,13</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11</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Gemella sp</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3,8</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3,1</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12</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Corynebacterium spp</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13,0</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4,0±0,43</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14,3</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4,3±0,15</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11,5</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3,2±0,07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13</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Lactobacillus spp</w:t>
            </w:r>
          </w:p>
          <w:p w:rsidR="00534FB5" w:rsidRPr="009159B9" w:rsidRDefault="00534FB5" w:rsidP="00534FB5">
            <w:pPr>
              <w:ind w:left="-91"/>
              <w:contextualSpacing/>
              <w:jc w:val="center"/>
              <w:rPr>
                <w:i/>
                <w:spacing w:val="-12"/>
              </w:rPr>
            </w:pP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8,7</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3,2±0,15</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4,8</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4,0</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14</w:t>
            </w:r>
          </w:p>
        </w:tc>
        <w:tc>
          <w:tcPr>
            <w:tcW w:w="1120" w:type="pct"/>
            <w:gridSpan w:val="2"/>
            <w:shd w:val="clear" w:color="auto" w:fill="auto"/>
          </w:tcPr>
          <w:p w:rsidR="00534FB5" w:rsidRPr="009159B9" w:rsidRDefault="00534FB5" w:rsidP="00534FB5">
            <w:pPr>
              <w:ind w:left="-91"/>
              <w:contextualSpacing/>
              <w:jc w:val="center"/>
              <w:rPr>
                <w:i/>
                <w:spacing w:val="-12"/>
              </w:rPr>
            </w:pPr>
            <w:r w:rsidRPr="009159B9">
              <w:rPr>
                <w:i/>
                <w:spacing w:val="-12"/>
              </w:rPr>
              <w:t>Haemophillus spp</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13,0</w:t>
            </w:r>
          </w:p>
        </w:tc>
        <w:tc>
          <w:tcPr>
            <w:tcW w:w="593" w:type="pct"/>
            <w:gridSpan w:val="2"/>
            <w:shd w:val="clear" w:color="auto" w:fill="auto"/>
          </w:tcPr>
          <w:p w:rsidR="00534FB5" w:rsidRPr="00953114" w:rsidRDefault="00534FB5" w:rsidP="00534FB5">
            <w:pPr>
              <w:ind w:left="-91"/>
              <w:contextualSpacing/>
              <w:jc w:val="center"/>
              <w:rPr>
                <w:spacing w:val="-12"/>
              </w:rPr>
            </w:pPr>
            <w:r w:rsidRPr="00953114">
              <w:rPr>
                <w:spacing w:val="-12"/>
              </w:rPr>
              <w:t>4,9±0,64</w:t>
            </w:r>
          </w:p>
        </w:tc>
        <w:tc>
          <w:tcPr>
            <w:tcW w:w="592" w:type="pct"/>
            <w:shd w:val="clear" w:color="auto" w:fill="auto"/>
          </w:tcPr>
          <w:p w:rsidR="00534FB5" w:rsidRPr="00953114" w:rsidRDefault="00534FB5" w:rsidP="00534FB5">
            <w:pPr>
              <w:ind w:left="-91"/>
              <w:contextualSpacing/>
              <w:jc w:val="center"/>
              <w:rPr>
                <w:spacing w:val="-12"/>
              </w:rPr>
            </w:pPr>
            <w:r w:rsidRPr="00953114">
              <w:rPr>
                <w:spacing w:val="-12"/>
              </w:rPr>
              <w:t>14,3</w:t>
            </w:r>
          </w:p>
        </w:tc>
        <w:tc>
          <w:tcPr>
            <w:tcW w:w="668" w:type="pct"/>
            <w:shd w:val="clear" w:color="auto" w:fill="auto"/>
          </w:tcPr>
          <w:p w:rsidR="00534FB5" w:rsidRPr="00953114" w:rsidRDefault="00534FB5" w:rsidP="00534FB5">
            <w:pPr>
              <w:ind w:left="-91"/>
              <w:contextualSpacing/>
              <w:jc w:val="center"/>
              <w:rPr>
                <w:spacing w:val="-12"/>
              </w:rPr>
            </w:pPr>
            <w:r w:rsidRPr="00953114">
              <w:rPr>
                <w:spacing w:val="-12"/>
              </w:rPr>
              <w:t>5,0±0,43</w:t>
            </w:r>
          </w:p>
        </w:tc>
        <w:tc>
          <w:tcPr>
            <w:tcW w:w="567" w:type="pct"/>
            <w:shd w:val="clear" w:color="auto" w:fill="auto"/>
          </w:tcPr>
          <w:p w:rsidR="00534FB5" w:rsidRPr="00953114" w:rsidRDefault="00534FB5" w:rsidP="00534FB5">
            <w:pPr>
              <w:ind w:left="-91"/>
              <w:contextualSpacing/>
              <w:jc w:val="center"/>
              <w:rPr>
                <w:spacing w:val="-12"/>
              </w:rPr>
            </w:pPr>
            <w:r w:rsidRPr="00953114">
              <w:rPr>
                <w:spacing w:val="-12"/>
              </w:rPr>
              <w:t>11,5</w:t>
            </w:r>
          </w:p>
        </w:tc>
        <w:tc>
          <w:tcPr>
            <w:tcW w:w="597" w:type="pct"/>
            <w:shd w:val="clear" w:color="auto" w:fill="auto"/>
          </w:tcPr>
          <w:p w:rsidR="00534FB5" w:rsidRPr="00953114" w:rsidRDefault="00534FB5" w:rsidP="00534FB5">
            <w:pPr>
              <w:ind w:left="-91"/>
              <w:contextualSpacing/>
              <w:jc w:val="center"/>
              <w:rPr>
                <w:spacing w:val="-12"/>
              </w:rPr>
            </w:pPr>
            <w:r w:rsidRPr="00953114">
              <w:rPr>
                <w:spacing w:val="-12"/>
              </w:rPr>
              <w:t>4,4±0,23</w:t>
            </w:r>
          </w:p>
        </w:tc>
      </w:tr>
      <w:tr w:rsidR="00534FB5" w:rsidRPr="00024A26" w:rsidTr="00534FB5">
        <w:trPr>
          <w:trHeight w:val="300"/>
        </w:trPr>
        <w:tc>
          <w:tcPr>
            <w:tcW w:w="5000" w:type="pct"/>
            <w:gridSpan w:val="11"/>
            <w:tcBorders>
              <w:top w:val="nil"/>
              <w:left w:val="nil"/>
              <w:right w:val="nil"/>
            </w:tcBorders>
            <w:shd w:val="clear" w:color="auto" w:fill="auto"/>
          </w:tcPr>
          <w:p w:rsidR="00534FB5" w:rsidRPr="00953114" w:rsidRDefault="00534FB5" w:rsidP="00534FB5">
            <w:pPr>
              <w:contextualSpacing/>
              <w:jc w:val="right"/>
              <w:rPr>
                <w:i/>
                <w:spacing w:val="-12"/>
              </w:rPr>
            </w:pPr>
            <w:r w:rsidRPr="00953114">
              <w:rPr>
                <w:i/>
                <w:spacing w:val="-12"/>
              </w:rPr>
              <w:lastRenderedPageBreak/>
              <w:t>Продовження додатк</w:t>
            </w:r>
            <w:r>
              <w:rPr>
                <w:i/>
                <w:spacing w:val="-12"/>
              </w:rPr>
              <w:t>а</w:t>
            </w:r>
            <w:r w:rsidRPr="00953114">
              <w:rPr>
                <w:i/>
                <w:spacing w:val="-12"/>
              </w:rPr>
              <w:t xml:space="preserve"> В</w:t>
            </w:r>
          </w:p>
        </w:tc>
      </w:tr>
      <w:tr w:rsidR="00534FB5" w:rsidRPr="00024A26" w:rsidTr="00534FB5">
        <w:trPr>
          <w:trHeight w:val="375"/>
        </w:trPr>
        <w:tc>
          <w:tcPr>
            <w:tcW w:w="270" w:type="pct"/>
            <w:shd w:val="clear" w:color="auto" w:fill="auto"/>
          </w:tcPr>
          <w:p w:rsidR="00534FB5" w:rsidRPr="00953114" w:rsidRDefault="00534FB5" w:rsidP="00534FB5">
            <w:pPr>
              <w:contextualSpacing/>
              <w:rPr>
                <w:spacing w:val="-12"/>
              </w:rPr>
            </w:pPr>
            <w:r w:rsidRPr="00953114">
              <w:rPr>
                <w:spacing w:val="-12"/>
              </w:rPr>
              <w:t>1</w:t>
            </w:r>
          </w:p>
        </w:tc>
        <w:tc>
          <w:tcPr>
            <w:tcW w:w="1009" w:type="pct"/>
            <w:shd w:val="clear" w:color="auto" w:fill="auto"/>
          </w:tcPr>
          <w:p w:rsidR="00534FB5" w:rsidRPr="00953114" w:rsidRDefault="00534FB5" w:rsidP="00534FB5">
            <w:pPr>
              <w:contextualSpacing/>
              <w:rPr>
                <w:spacing w:val="-12"/>
              </w:rPr>
            </w:pPr>
            <w:r w:rsidRPr="00953114">
              <w:rPr>
                <w:spacing w:val="-12"/>
              </w:rPr>
              <w:t>2</w:t>
            </w:r>
          </w:p>
        </w:tc>
        <w:tc>
          <w:tcPr>
            <w:tcW w:w="642" w:type="pct"/>
            <w:gridSpan w:val="2"/>
            <w:shd w:val="clear" w:color="auto" w:fill="auto"/>
          </w:tcPr>
          <w:p w:rsidR="00534FB5" w:rsidRPr="00953114" w:rsidRDefault="00534FB5" w:rsidP="00534FB5">
            <w:pPr>
              <w:contextualSpacing/>
              <w:rPr>
                <w:spacing w:val="-12"/>
              </w:rPr>
            </w:pPr>
            <w:r w:rsidRPr="00953114">
              <w:rPr>
                <w:spacing w:val="-12"/>
              </w:rPr>
              <w:t>3</w:t>
            </w:r>
          </w:p>
        </w:tc>
        <w:tc>
          <w:tcPr>
            <w:tcW w:w="599" w:type="pct"/>
            <w:gridSpan w:val="2"/>
            <w:shd w:val="clear" w:color="auto" w:fill="auto"/>
          </w:tcPr>
          <w:p w:rsidR="00534FB5" w:rsidRPr="00953114" w:rsidRDefault="00534FB5" w:rsidP="00534FB5">
            <w:pPr>
              <w:contextualSpacing/>
              <w:rPr>
                <w:spacing w:val="-12"/>
              </w:rPr>
            </w:pPr>
            <w:r w:rsidRPr="00953114">
              <w:rPr>
                <w:spacing w:val="-12"/>
              </w:rPr>
              <w:t>4</w:t>
            </w:r>
          </w:p>
        </w:tc>
        <w:tc>
          <w:tcPr>
            <w:tcW w:w="648" w:type="pct"/>
            <w:gridSpan w:val="2"/>
            <w:shd w:val="clear" w:color="auto" w:fill="auto"/>
          </w:tcPr>
          <w:p w:rsidR="00534FB5" w:rsidRPr="00953114" w:rsidRDefault="00534FB5" w:rsidP="00534FB5">
            <w:pPr>
              <w:contextualSpacing/>
              <w:rPr>
                <w:spacing w:val="-12"/>
              </w:rPr>
            </w:pPr>
            <w:r w:rsidRPr="00953114">
              <w:rPr>
                <w:spacing w:val="-12"/>
              </w:rPr>
              <w:t>5</w:t>
            </w:r>
          </w:p>
        </w:tc>
        <w:tc>
          <w:tcPr>
            <w:tcW w:w="668" w:type="pct"/>
            <w:shd w:val="clear" w:color="auto" w:fill="auto"/>
          </w:tcPr>
          <w:p w:rsidR="00534FB5" w:rsidRPr="00953114" w:rsidRDefault="00534FB5" w:rsidP="00534FB5">
            <w:pPr>
              <w:contextualSpacing/>
              <w:rPr>
                <w:spacing w:val="-12"/>
              </w:rPr>
            </w:pPr>
            <w:r w:rsidRPr="00953114">
              <w:rPr>
                <w:spacing w:val="-12"/>
              </w:rPr>
              <w:t>6</w:t>
            </w:r>
          </w:p>
        </w:tc>
        <w:tc>
          <w:tcPr>
            <w:tcW w:w="567" w:type="pct"/>
            <w:shd w:val="clear" w:color="auto" w:fill="auto"/>
          </w:tcPr>
          <w:p w:rsidR="00534FB5" w:rsidRPr="00953114" w:rsidRDefault="00534FB5" w:rsidP="00534FB5">
            <w:pPr>
              <w:contextualSpacing/>
              <w:rPr>
                <w:spacing w:val="-12"/>
              </w:rPr>
            </w:pPr>
            <w:r w:rsidRPr="00953114">
              <w:rPr>
                <w:spacing w:val="-12"/>
              </w:rPr>
              <w:t>7</w:t>
            </w:r>
          </w:p>
        </w:tc>
        <w:tc>
          <w:tcPr>
            <w:tcW w:w="597" w:type="pct"/>
            <w:shd w:val="clear" w:color="auto" w:fill="auto"/>
          </w:tcPr>
          <w:p w:rsidR="00534FB5" w:rsidRPr="00953114" w:rsidRDefault="00534FB5" w:rsidP="00534FB5">
            <w:pPr>
              <w:contextualSpacing/>
              <w:rPr>
                <w:spacing w:val="-12"/>
              </w:rPr>
            </w:pPr>
            <w:r w:rsidRPr="00953114">
              <w:rPr>
                <w:spacing w:val="-12"/>
              </w:rPr>
              <w:t>8</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15</w:t>
            </w:r>
          </w:p>
        </w:tc>
        <w:tc>
          <w:tcPr>
            <w:tcW w:w="1009" w:type="pct"/>
            <w:shd w:val="clear" w:color="auto" w:fill="auto"/>
          </w:tcPr>
          <w:p w:rsidR="00534FB5" w:rsidRPr="009159B9" w:rsidRDefault="00534FB5" w:rsidP="00534FB5">
            <w:pPr>
              <w:contextualSpacing/>
              <w:rPr>
                <w:i/>
                <w:spacing w:val="-12"/>
              </w:rPr>
            </w:pPr>
            <w:r w:rsidRPr="009159B9">
              <w:rPr>
                <w:i/>
                <w:spacing w:val="-12"/>
              </w:rPr>
              <w:t>Neisseria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39,1</w:t>
            </w:r>
          </w:p>
        </w:tc>
        <w:tc>
          <w:tcPr>
            <w:tcW w:w="599" w:type="pct"/>
            <w:gridSpan w:val="2"/>
            <w:shd w:val="clear" w:color="auto" w:fill="auto"/>
          </w:tcPr>
          <w:p w:rsidR="00534FB5" w:rsidRPr="00953114" w:rsidRDefault="00534FB5" w:rsidP="00534FB5">
            <w:pPr>
              <w:contextualSpacing/>
              <w:rPr>
                <w:spacing w:val="-12"/>
              </w:rPr>
            </w:pPr>
            <w:r w:rsidRPr="00953114">
              <w:rPr>
                <w:spacing w:val="-12"/>
              </w:rPr>
              <w:t>5,0±0,56</w:t>
            </w:r>
          </w:p>
        </w:tc>
        <w:tc>
          <w:tcPr>
            <w:tcW w:w="648" w:type="pct"/>
            <w:gridSpan w:val="2"/>
            <w:shd w:val="clear" w:color="auto" w:fill="auto"/>
          </w:tcPr>
          <w:p w:rsidR="00534FB5" w:rsidRPr="00953114" w:rsidRDefault="00534FB5" w:rsidP="00534FB5">
            <w:pPr>
              <w:contextualSpacing/>
              <w:rPr>
                <w:spacing w:val="-12"/>
              </w:rPr>
            </w:pPr>
            <w:r w:rsidRPr="00953114">
              <w:rPr>
                <w:spacing w:val="-12"/>
              </w:rPr>
              <w:t>28,6</w:t>
            </w:r>
          </w:p>
        </w:tc>
        <w:tc>
          <w:tcPr>
            <w:tcW w:w="668" w:type="pct"/>
            <w:shd w:val="clear" w:color="auto" w:fill="auto"/>
          </w:tcPr>
          <w:p w:rsidR="00534FB5" w:rsidRPr="00953114" w:rsidRDefault="00534FB5" w:rsidP="00534FB5">
            <w:pPr>
              <w:contextualSpacing/>
              <w:rPr>
                <w:spacing w:val="-12"/>
              </w:rPr>
            </w:pPr>
            <w:r w:rsidRPr="00953114">
              <w:rPr>
                <w:spacing w:val="-12"/>
              </w:rPr>
              <w:t>5,3±0,42</w:t>
            </w:r>
          </w:p>
        </w:tc>
        <w:tc>
          <w:tcPr>
            <w:tcW w:w="567" w:type="pct"/>
            <w:shd w:val="clear" w:color="auto" w:fill="auto"/>
          </w:tcPr>
          <w:p w:rsidR="00534FB5" w:rsidRPr="00953114" w:rsidRDefault="00534FB5" w:rsidP="00534FB5">
            <w:pPr>
              <w:contextualSpacing/>
              <w:rPr>
                <w:spacing w:val="-12"/>
              </w:rPr>
            </w:pPr>
            <w:r w:rsidRPr="00953114">
              <w:rPr>
                <w:spacing w:val="-12"/>
              </w:rPr>
              <w:t>26,9</w:t>
            </w:r>
          </w:p>
        </w:tc>
        <w:tc>
          <w:tcPr>
            <w:tcW w:w="597" w:type="pct"/>
            <w:shd w:val="clear" w:color="auto" w:fill="auto"/>
          </w:tcPr>
          <w:p w:rsidR="00534FB5" w:rsidRPr="00953114" w:rsidRDefault="00534FB5" w:rsidP="00534FB5">
            <w:pPr>
              <w:contextualSpacing/>
              <w:rPr>
                <w:spacing w:val="-12"/>
              </w:rPr>
            </w:pPr>
            <w:r w:rsidRPr="00953114">
              <w:rPr>
                <w:spacing w:val="-12"/>
              </w:rPr>
              <w:t>5,6±0,29</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16</w:t>
            </w:r>
          </w:p>
        </w:tc>
        <w:tc>
          <w:tcPr>
            <w:tcW w:w="1009" w:type="pct"/>
            <w:shd w:val="clear" w:color="auto" w:fill="auto"/>
          </w:tcPr>
          <w:p w:rsidR="00534FB5" w:rsidRPr="009159B9" w:rsidRDefault="00534FB5" w:rsidP="00534FB5">
            <w:pPr>
              <w:contextualSpacing/>
              <w:rPr>
                <w:i/>
                <w:spacing w:val="-12"/>
              </w:rPr>
            </w:pPr>
            <w:r w:rsidRPr="009159B9">
              <w:rPr>
                <w:i/>
                <w:spacing w:val="-12"/>
              </w:rPr>
              <w:t>Acinetobacter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4,3</w:t>
            </w:r>
          </w:p>
        </w:tc>
        <w:tc>
          <w:tcPr>
            <w:tcW w:w="599" w:type="pct"/>
            <w:gridSpan w:val="2"/>
            <w:shd w:val="clear" w:color="auto" w:fill="auto"/>
          </w:tcPr>
          <w:p w:rsidR="00534FB5" w:rsidRPr="00953114" w:rsidRDefault="00534FB5" w:rsidP="00534FB5">
            <w:pPr>
              <w:contextualSpacing/>
              <w:rPr>
                <w:spacing w:val="-12"/>
              </w:rPr>
            </w:pPr>
            <w:r w:rsidRPr="00953114">
              <w:rPr>
                <w:spacing w:val="-12"/>
              </w:rPr>
              <w:t>3,5</w:t>
            </w:r>
          </w:p>
        </w:tc>
        <w:tc>
          <w:tcPr>
            <w:tcW w:w="648" w:type="pct"/>
            <w:gridSpan w:val="2"/>
            <w:shd w:val="clear" w:color="auto" w:fill="auto"/>
          </w:tcPr>
          <w:p w:rsidR="00534FB5" w:rsidRPr="00953114" w:rsidRDefault="00534FB5" w:rsidP="00534FB5">
            <w:pPr>
              <w:contextualSpacing/>
              <w:rPr>
                <w:spacing w:val="-12"/>
              </w:rPr>
            </w:pPr>
            <w:r w:rsidRPr="00953114">
              <w:rPr>
                <w:spacing w:val="-12"/>
              </w:rPr>
              <w:t>9,5</w:t>
            </w:r>
          </w:p>
        </w:tc>
        <w:tc>
          <w:tcPr>
            <w:tcW w:w="668" w:type="pct"/>
            <w:shd w:val="clear" w:color="auto" w:fill="auto"/>
          </w:tcPr>
          <w:p w:rsidR="00534FB5" w:rsidRPr="00953114" w:rsidRDefault="00534FB5" w:rsidP="00534FB5">
            <w:pPr>
              <w:contextualSpacing/>
              <w:rPr>
                <w:spacing w:val="-12"/>
              </w:rPr>
            </w:pPr>
            <w:r w:rsidRPr="00953114">
              <w:rPr>
                <w:spacing w:val="-12"/>
              </w:rPr>
              <w:t>3,9±0,26</w:t>
            </w:r>
          </w:p>
        </w:tc>
        <w:tc>
          <w:tcPr>
            <w:tcW w:w="567" w:type="pct"/>
            <w:shd w:val="clear" w:color="auto" w:fill="auto"/>
          </w:tcPr>
          <w:p w:rsidR="00534FB5" w:rsidRPr="00953114" w:rsidRDefault="00534FB5" w:rsidP="00534FB5">
            <w:pPr>
              <w:contextualSpacing/>
              <w:rPr>
                <w:spacing w:val="-12"/>
              </w:rPr>
            </w:pPr>
            <w:r w:rsidRPr="00953114">
              <w:rPr>
                <w:spacing w:val="-12"/>
              </w:rPr>
              <w:t>11,5</w:t>
            </w:r>
          </w:p>
        </w:tc>
        <w:tc>
          <w:tcPr>
            <w:tcW w:w="597" w:type="pct"/>
            <w:shd w:val="clear" w:color="auto" w:fill="auto"/>
          </w:tcPr>
          <w:p w:rsidR="00534FB5" w:rsidRPr="00953114" w:rsidRDefault="00534FB5" w:rsidP="00534FB5">
            <w:pPr>
              <w:contextualSpacing/>
              <w:rPr>
                <w:spacing w:val="-12"/>
              </w:rPr>
            </w:pPr>
            <w:r w:rsidRPr="00953114">
              <w:rPr>
                <w:spacing w:val="-12"/>
              </w:rPr>
              <w:t>4,0±0,49</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17</w:t>
            </w:r>
          </w:p>
        </w:tc>
        <w:tc>
          <w:tcPr>
            <w:tcW w:w="1009" w:type="pct"/>
            <w:shd w:val="clear" w:color="auto" w:fill="auto"/>
          </w:tcPr>
          <w:p w:rsidR="00534FB5" w:rsidRPr="009159B9" w:rsidRDefault="00534FB5" w:rsidP="00534FB5">
            <w:pPr>
              <w:contextualSpacing/>
              <w:rPr>
                <w:i/>
                <w:spacing w:val="-12"/>
              </w:rPr>
            </w:pPr>
            <w:r w:rsidRPr="009159B9">
              <w:rPr>
                <w:i/>
                <w:spacing w:val="-12"/>
              </w:rPr>
              <w:t>Moraxella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w:t>
            </w:r>
          </w:p>
        </w:tc>
        <w:tc>
          <w:tcPr>
            <w:tcW w:w="599" w:type="pct"/>
            <w:gridSpan w:val="2"/>
            <w:shd w:val="clear" w:color="auto" w:fill="auto"/>
          </w:tcPr>
          <w:p w:rsidR="00534FB5" w:rsidRPr="00953114" w:rsidRDefault="00534FB5" w:rsidP="00534FB5">
            <w:pPr>
              <w:contextualSpacing/>
              <w:rPr>
                <w:spacing w:val="-12"/>
              </w:rPr>
            </w:pPr>
            <w:r w:rsidRPr="00953114">
              <w:rPr>
                <w:spacing w:val="-12"/>
              </w:rPr>
              <w:t>-</w:t>
            </w:r>
          </w:p>
        </w:tc>
        <w:tc>
          <w:tcPr>
            <w:tcW w:w="648" w:type="pct"/>
            <w:gridSpan w:val="2"/>
            <w:shd w:val="clear" w:color="auto" w:fill="auto"/>
          </w:tcPr>
          <w:p w:rsidR="00534FB5" w:rsidRPr="00953114" w:rsidRDefault="00534FB5" w:rsidP="00534FB5">
            <w:pPr>
              <w:contextualSpacing/>
              <w:rPr>
                <w:spacing w:val="-12"/>
              </w:rPr>
            </w:pPr>
            <w:r w:rsidRPr="00953114">
              <w:rPr>
                <w:spacing w:val="-12"/>
              </w:rPr>
              <w:t>4,8</w:t>
            </w:r>
          </w:p>
        </w:tc>
        <w:tc>
          <w:tcPr>
            <w:tcW w:w="668" w:type="pct"/>
            <w:shd w:val="clear" w:color="auto" w:fill="auto"/>
          </w:tcPr>
          <w:p w:rsidR="00534FB5" w:rsidRPr="00953114" w:rsidRDefault="00534FB5" w:rsidP="00534FB5">
            <w:pPr>
              <w:contextualSpacing/>
              <w:rPr>
                <w:spacing w:val="-12"/>
              </w:rPr>
            </w:pPr>
            <w:r w:rsidRPr="00953114">
              <w:rPr>
                <w:spacing w:val="-12"/>
              </w:rPr>
              <w:t>4,9</w:t>
            </w: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3,6</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18</w:t>
            </w:r>
          </w:p>
        </w:tc>
        <w:tc>
          <w:tcPr>
            <w:tcW w:w="1009" w:type="pct"/>
            <w:shd w:val="clear" w:color="auto" w:fill="auto"/>
          </w:tcPr>
          <w:p w:rsidR="00534FB5" w:rsidRPr="009159B9" w:rsidRDefault="00534FB5" w:rsidP="00534FB5">
            <w:pPr>
              <w:contextualSpacing/>
              <w:rPr>
                <w:i/>
                <w:spacing w:val="-12"/>
              </w:rPr>
            </w:pPr>
            <w:r w:rsidRPr="009159B9">
              <w:rPr>
                <w:i/>
                <w:spacing w:val="-12"/>
              </w:rPr>
              <w:t>E. coli</w:t>
            </w:r>
          </w:p>
        </w:tc>
        <w:tc>
          <w:tcPr>
            <w:tcW w:w="642" w:type="pct"/>
            <w:gridSpan w:val="2"/>
            <w:shd w:val="clear" w:color="auto" w:fill="auto"/>
          </w:tcPr>
          <w:p w:rsidR="00534FB5" w:rsidRPr="00953114" w:rsidRDefault="00534FB5" w:rsidP="00534FB5">
            <w:pPr>
              <w:contextualSpacing/>
              <w:rPr>
                <w:spacing w:val="-12"/>
              </w:rPr>
            </w:pPr>
            <w:r w:rsidRPr="00953114">
              <w:rPr>
                <w:spacing w:val="-12"/>
              </w:rPr>
              <w:t>21,7</w:t>
            </w:r>
          </w:p>
        </w:tc>
        <w:tc>
          <w:tcPr>
            <w:tcW w:w="599" w:type="pct"/>
            <w:gridSpan w:val="2"/>
            <w:shd w:val="clear" w:color="auto" w:fill="auto"/>
          </w:tcPr>
          <w:p w:rsidR="00534FB5" w:rsidRPr="00953114" w:rsidRDefault="00534FB5" w:rsidP="00534FB5">
            <w:pPr>
              <w:contextualSpacing/>
              <w:rPr>
                <w:spacing w:val="-12"/>
              </w:rPr>
            </w:pPr>
            <w:r w:rsidRPr="00953114">
              <w:rPr>
                <w:spacing w:val="-12"/>
              </w:rPr>
              <w:t>3,4±0,2</w:t>
            </w:r>
          </w:p>
        </w:tc>
        <w:tc>
          <w:tcPr>
            <w:tcW w:w="648" w:type="pct"/>
            <w:gridSpan w:val="2"/>
            <w:shd w:val="clear" w:color="auto" w:fill="auto"/>
          </w:tcPr>
          <w:p w:rsidR="00534FB5" w:rsidRPr="00953114" w:rsidRDefault="00534FB5" w:rsidP="00534FB5">
            <w:pPr>
              <w:contextualSpacing/>
              <w:rPr>
                <w:spacing w:val="-12"/>
              </w:rPr>
            </w:pPr>
            <w:r w:rsidRPr="00953114">
              <w:rPr>
                <w:spacing w:val="-12"/>
              </w:rPr>
              <w:t>14,3</w:t>
            </w:r>
          </w:p>
        </w:tc>
        <w:tc>
          <w:tcPr>
            <w:tcW w:w="668" w:type="pct"/>
            <w:shd w:val="clear" w:color="auto" w:fill="auto"/>
          </w:tcPr>
          <w:p w:rsidR="00534FB5" w:rsidRPr="00953114" w:rsidRDefault="00534FB5" w:rsidP="00534FB5">
            <w:pPr>
              <w:contextualSpacing/>
              <w:rPr>
                <w:spacing w:val="-12"/>
              </w:rPr>
            </w:pPr>
            <w:r w:rsidRPr="00953114">
              <w:rPr>
                <w:spacing w:val="-12"/>
              </w:rPr>
              <w:t>3,4±0,12</w:t>
            </w:r>
          </w:p>
        </w:tc>
        <w:tc>
          <w:tcPr>
            <w:tcW w:w="567" w:type="pct"/>
            <w:shd w:val="clear" w:color="auto" w:fill="auto"/>
          </w:tcPr>
          <w:p w:rsidR="00534FB5" w:rsidRPr="00953114" w:rsidRDefault="00534FB5" w:rsidP="00534FB5">
            <w:pPr>
              <w:contextualSpacing/>
              <w:rPr>
                <w:spacing w:val="-12"/>
              </w:rPr>
            </w:pPr>
            <w:r w:rsidRPr="00953114">
              <w:rPr>
                <w:spacing w:val="-12"/>
              </w:rPr>
              <w:t>11,5</w:t>
            </w:r>
          </w:p>
        </w:tc>
        <w:tc>
          <w:tcPr>
            <w:tcW w:w="597" w:type="pct"/>
            <w:shd w:val="clear" w:color="auto" w:fill="auto"/>
          </w:tcPr>
          <w:p w:rsidR="00534FB5" w:rsidRPr="00953114" w:rsidRDefault="00534FB5" w:rsidP="00534FB5">
            <w:pPr>
              <w:contextualSpacing/>
              <w:rPr>
                <w:spacing w:val="-12"/>
              </w:rPr>
            </w:pPr>
            <w:r w:rsidRPr="00953114">
              <w:rPr>
                <w:spacing w:val="-12"/>
              </w:rPr>
              <w:t>3,2±0,02</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19</w:t>
            </w:r>
          </w:p>
        </w:tc>
        <w:tc>
          <w:tcPr>
            <w:tcW w:w="1009" w:type="pct"/>
            <w:shd w:val="clear" w:color="auto" w:fill="auto"/>
          </w:tcPr>
          <w:p w:rsidR="00534FB5" w:rsidRPr="009159B9" w:rsidRDefault="00534FB5" w:rsidP="00534FB5">
            <w:pPr>
              <w:contextualSpacing/>
              <w:rPr>
                <w:i/>
                <w:spacing w:val="-12"/>
              </w:rPr>
            </w:pPr>
            <w:r w:rsidRPr="009159B9">
              <w:rPr>
                <w:i/>
                <w:spacing w:val="-12"/>
              </w:rPr>
              <w:t>Klebsiella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13,0</w:t>
            </w:r>
          </w:p>
        </w:tc>
        <w:tc>
          <w:tcPr>
            <w:tcW w:w="599" w:type="pct"/>
            <w:gridSpan w:val="2"/>
            <w:shd w:val="clear" w:color="auto" w:fill="auto"/>
          </w:tcPr>
          <w:p w:rsidR="00534FB5" w:rsidRPr="00953114" w:rsidRDefault="00534FB5" w:rsidP="00534FB5">
            <w:pPr>
              <w:contextualSpacing/>
              <w:rPr>
                <w:spacing w:val="-12"/>
              </w:rPr>
            </w:pPr>
            <w:r w:rsidRPr="00953114">
              <w:rPr>
                <w:spacing w:val="-12"/>
              </w:rPr>
              <w:t>3,4±0,21</w:t>
            </w:r>
          </w:p>
        </w:tc>
        <w:tc>
          <w:tcPr>
            <w:tcW w:w="648" w:type="pct"/>
            <w:gridSpan w:val="2"/>
            <w:shd w:val="clear" w:color="auto" w:fill="auto"/>
          </w:tcPr>
          <w:p w:rsidR="00534FB5" w:rsidRPr="00953114" w:rsidRDefault="00534FB5" w:rsidP="00534FB5">
            <w:pPr>
              <w:contextualSpacing/>
              <w:rPr>
                <w:spacing w:val="-12"/>
              </w:rPr>
            </w:pPr>
            <w:r w:rsidRPr="00953114">
              <w:rPr>
                <w:spacing w:val="-12"/>
              </w:rPr>
              <w:t>9,5</w:t>
            </w:r>
          </w:p>
        </w:tc>
        <w:tc>
          <w:tcPr>
            <w:tcW w:w="668" w:type="pct"/>
            <w:shd w:val="clear" w:color="auto" w:fill="auto"/>
          </w:tcPr>
          <w:p w:rsidR="00534FB5" w:rsidRPr="00953114" w:rsidRDefault="00534FB5" w:rsidP="00534FB5">
            <w:pPr>
              <w:contextualSpacing/>
              <w:rPr>
                <w:spacing w:val="-12"/>
              </w:rPr>
            </w:pPr>
            <w:r w:rsidRPr="00953114">
              <w:rPr>
                <w:spacing w:val="-12"/>
              </w:rPr>
              <w:t>3,8±0,33</w:t>
            </w:r>
          </w:p>
        </w:tc>
        <w:tc>
          <w:tcPr>
            <w:tcW w:w="567" w:type="pct"/>
            <w:shd w:val="clear" w:color="auto" w:fill="auto"/>
          </w:tcPr>
          <w:p w:rsidR="00534FB5" w:rsidRPr="00953114" w:rsidRDefault="00534FB5" w:rsidP="00534FB5">
            <w:pPr>
              <w:contextualSpacing/>
              <w:rPr>
                <w:spacing w:val="-12"/>
              </w:rPr>
            </w:pPr>
            <w:r w:rsidRPr="00953114">
              <w:rPr>
                <w:spacing w:val="-12"/>
              </w:rPr>
              <w:t>11,5</w:t>
            </w:r>
          </w:p>
        </w:tc>
        <w:tc>
          <w:tcPr>
            <w:tcW w:w="597" w:type="pct"/>
            <w:shd w:val="clear" w:color="auto" w:fill="auto"/>
          </w:tcPr>
          <w:p w:rsidR="00534FB5" w:rsidRPr="00953114" w:rsidRDefault="00534FB5" w:rsidP="00534FB5">
            <w:pPr>
              <w:contextualSpacing/>
              <w:rPr>
                <w:spacing w:val="-12"/>
              </w:rPr>
            </w:pPr>
            <w:r w:rsidRPr="00953114">
              <w:rPr>
                <w:spacing w:val="-12"/>
              </w:rPr>
              <w:t>3,6±0,22</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20</w:t>
            </w:r>
          </w:p>
        </w:tc>
        <w:tc>
          <w:tcPr>
            <w:tcW w:w="1009" w:type="pct"/>
            <w:shd w:val="clear" w:color="auto" w:fill="auto"/>
          </w:tcPr>
          <w:p w:rsidR="00534FB5" w:rsidRPr="009159B9" w:rsidRDefault="00534FB5" w:rsidP="00534FB5">
            <w:pPr>
              <w:contextualSpacing/>
              <w:rPr>
                <w:i/>
                <w:spacing w:val="-12"/>
              </w:rPr>
            </w:pPr>
            <w:r w:rsidRPr="009159B9">
              <w:rPr>
                <w:i/>
                <w:spacing w:val="-12"/>
              </w:rPr>
              <w:t>M. morganii</w:t>
            </w:r>
          </w:p>
        </w:tc>
        <w:tc>
          <w:tcPr>
            <w:tcW w:w="642" w:type="pct"/>
            <w:gridSpan w:val="2"/>
            <w:shd w:val="clear" w:color="auto" w:fill="auto"/>
          </w:tcPr>
          <w:p w:rsidR="00534FB5" w:rsidRPr="00953114" w:rsidRDefault="00534FB5" w:rsidP="00534FB5">
            <w:pPr>
              <w:contextualSpacing/>
              <w:rPr>
                <w:spacing w:val="-12"/>
              </w:rPr>
            </w:pPr>
            <w:r w:rsidRPr="00953114">
              <w:rPr>
                <w:spacing w:val="-12"/>
              </w:rPr>
              <w:t>-</w:t>
            </w:r>
          </w:p>
        </w:tc>
        <w:tc>
          <w:tcPr>
            <w:tcW w:w="599" w:type="pct"/>
            <w:gridSpan w:val="2"/>
            <w:shd w:val="clear" w:color="auto" w:fill="auto"/>
          </w:tcPr>
          <w:p w:rsidR="00534FB5" w:rsidRPr="00953114" w:rsidRDefault="00534FB5" w:rsidP="00534FB5">
            <w:pPr>
              <w:contextualSpacing/>
              <w:rPr>
                <w:spacing w:val="-12"/>
              </w:rPr>
            </w:pPr>
            <w:r w:rsidRPr="00953114">
              <w:rPr>
                <w:spacing w:val="-12"/>
              </w:rPr>
              <w:t>-</w:t>
            </w:r>
          </w:p>
        </w:tc>
        <w:tc>
          <w:tcPr>
            <w:tcW w:w="648" w:type="pct"/>
            <w:gridSpan w:val="2"/>
            <w:shd w:val="clear" w:color="auto" w:fill="auto"/>
          </w:tcPr>
          <w:p w:rsidR="00534FB5" w:rsidRPr="00953114" w:rsidRDefault="00534FB5" w:rsidP="00534FB5">
            <w:pPr>
              <w:contextualSpacing/>
              <w:rPr>
                <w:spacing w:val="-12"/>
              </w:rPr>
            </w:pPr>
            <w:r w:rsidRPr="00953114">
              <w:rPr>
                <w:spacing w:val="-12"/>
              </w:rPr>
              <w:t>-</w:t>
            </w:r>
          </w:p>
        </w:tc>
        <w:tc>
          <w:tcPr>
            <w:tcW w:w="668" w:type="pct"/>
            <w:shd w:val="clear" w:color="auto" w:fill="auto"/>
          </w:tcPr>
          <w:p w:rsidR="00534FB5" w:rsidRPr="00953114" w:rsidRDefault="00534FB5" w:rsidP="00534FB5">
            <w:pPr>
              <w:contextualSpacing/>
              <w:rPr>
                <w:spacing w:val="-12"/>
              </w:rPr>
            </w:pPr>
            <w:r w:rsidRPr="00953114">
              <w:rPr>
                <w:spacing w:val="-12"/>
              </w:rPr>
              <w:t>-</w:t>
            </w: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3,6</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21</w:t>
            </w:r>
          </w:p>
        </w:tc>
        <w:tc>
          <w:tcPr>
            <w:tcW w:w="1009" w:type="pct"/>
            <w:shd w:val="clear" w:color="auto" w:fill="auto"/>
          </w:tcPr>
          <w:p w:rsidR="00534FB5" w:rsidRPr="009159B9" w:rsidRDefault="00534FB5" w:rsidP="00534FB5">
            <w:pPr>
              <w:contextualSpacing/>
              <w:rPr>
                <w:i/>
                <w:spacing w:val="-12"/>
              </w:rPr>
            </w:pPr>
            <w:r w:rsidRPr="009159B9">
              <w:rPr>
                <w:i/>
                <w:spacing w:val="-12"/>
              </w:rPr>
              <w:t>P. aeruginosa</w:t>
            </w:r>
          </w:p>
        </w:tc>
        <w:tc>
          <w:tcPr>
            <w:tcW w:w="642" w:type="pct"/>
            <w:gridSpan w:val="2"/>
            <w:shd w:val="clear" w:color="auto" w:fill="auto"/>
          </w:tcPr>
          <w:p w:rsidR="00534FB5" w:rsidRPr="00953114" w:rsidRDefault="00534FB5" w:rsidP="00534FB5">
            <w:pPr>
              <w:contextualSpacing/>
              <w:rPr>
                <w:spacing w:val="-12"/>
              </w:rPr>
            </w:pPr>
            <w:r w:rsidRPr="00953114">
              <w:rPr>
                <w:spacing w:val="-12"/>
              </w:rPr>
              <w:t>4,3</w:t>
            </w:r>
          </w:p>
        </w:tc>
        <w:tc>
          <w:tcPr>
            <w:tcW w:w="599" w:type="pct"/>
            <w:gridSpan w:val="2"/>
            <w:shd w:val="clear" w:color="auto" w:fill="auto"/>
          </w:tcPr>
          <w:p w:rsidR="00534FB5" w:rsidRPr="00953114" w:rsidRDefault="00534FB5" w:rsidP="00534FB5">
            <w:pPr>
              <w:contextualSpacing/>
              <w:rPr>
                <w:spacing w:val="-12"/>
              </w:rPr>
            </w:pPr>
            <w:r w:rsidRPr="00953114">
              <w:rPr>
                <w:spacing w:val="-12"/>
              </w:rPr>
              <w:t>5,7</w:t>
            </w:r>
          </w:p>
        </w:tc>
        <w:tc>
          <w:tcPr>
            <w:tcW w:w="648" w:type="pct"/>
            <w:gridSpan w:val="2"/>
            <w:shd w:val="clear" w:color="auto" w:fill="auto"/>
          </w:tcPr>
          <w:p w:rsidR="00534FB5" w:rsidRPr="00953114" w:rsidRDefault="00534FB5" w:rsidP="00534FB5">
            <w:pPr>
              <w:contextualSpacing/>
              <w:rPr>
                <w:spacing w:val="-12"/>
              </w:rPr>
            </w:pPr>
          </w:p>
        </w:tc>
        <w:tc>
          <w:tcPr>
            <w:tcW w:w="668" w:type="pct"/>
            <w:shd w:val="clear" w:color="auto" w:fill="auto"/>
          </w:tcPr>
          <w:p w:rsidR="00534FB5" w:rsidRPr="00953114" w:rsidRDefault="00534FB5" w:rsidP="00534FB5">
            <w:pPr>
              <w:contextualSpacing/>
              <w:rPr>
                <w:spacing w:val="-12"/>
              </w:rPr>
            </w:pP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3,6</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22</w:t>
            </w:r>
          </w:p>
        </w:tc>
        <w:tc>
          <w:tcPr>
            <w:tcW w:w="1009" w:type="pct"/>
            <w:shd w:val="clear" w:color="auto" w:fill="auto"/>
          </w:tcPr>
          <w:p w:rsidR="00534FB5" w:rsidRPr="009159B9" w:rsidRDefault="00534FB5" w:rsidP="00534FB5">
            <w:pPr>
              <w:contextualSpacing/>
              <w:rPr>
                <w:i/>
                <w:spacing w:val="-12"/>
              </w:rPr>
            </w:pPr>
            <w:r w:rsidRPr="009159B9">
              <w:rPr>
                <w:i/>
                <w:spacing w:val="-12"/>
              </w:rPr>
              <w:t>L. buccalis</w:t>
            </w:r>
          </w:p>
        </w:tc>
        <w:tc>
          <w:tcPr>
            <w:tcW w:w="642" w:type="pct"/>
            <w:gridSpan w:val="2"/>
            <w:shd w:val="clear" w:color="auto" w:fill="auto"/>
          </w:tcPr>
          <w:p w:rsidR="00534FB5" w:rsidRPr="00953114" w:rsidRDefault="00534FB5" w:rsidP="00534FB5">
            <w:pPr>
              <w:contextualSpacing/>
              <w:rPr>
                <w:spacing w:val="-12"/>
              </w:rPr>
            </w:pPr>
            <w:r w:rsidRPr="00953114">
              <w:rPr>
                <w:spacing w:val="-12"/>
              </w:rPr>
              <w:t>17,4</w:t>
            </w:r>
          </w:p>
        </w:tc>
        <w:tc>
          <w:tcPr>
            <w:tcW w:w="599" w:type="pct"/>
            <w:gridSpan w:val="2"/>
            <w:shd w:val="clear" w:color="auto" w:fill="auto"/>
          </w:tcPr>
          <w:p w:rsidR="00534FB5" w:rsidRPr="00953114" w:rsidRDefault="00534FB5" w:rsidP="00534FB5">
            <w:pPr>
              <w:contextualSpacing/>
              <w:rPr>
                <w:spacing w:val="-12"/>
              </w:rPr>
            </w:pPr>
            <w:r w:rsidRPr="00953114">
              <w:rPr>
                <w:spacing w:val="-12"/>
              </w:rPr>
              <w:t>3,3±0,19</w:t>
            </w:r>
          </w:p>
        </w:tc>
        <w:tc>
          <w:tcPr>
            <w:tcW w:w="648" w:type="pct"/>
            <w:gridSpan w:val="2"/>
            <w:shd w:val="clear" w:color="auto" w:fill="auto"/>
          </w:tcPr>
          <w:p w:rsidR="00534FB5" w:rsidRPr="00953114" w:rsidRDefault="00534FB5" w:rsidP="00534FB5">
            <w:pPr>
              <w:contextualSpacing/>
              <w:rPr>
                <w:spacing w:val="-12"/>
              </w:rPr>
            </w:pPr>
            <w:r w:rsidRPr="00953114">
              <w:rPr>
                <w:spacing w:val="-12"/>
              </w:rPr>
              <w:t>19,0</w:t>
            </w:r>
          </w:p>
        </w:tc>
        <w:tc>
          <w:tcPr>
            <w:tcW w:w="668" w:type="pct"/>
            <w:shd w:val="clear" w:color="auto" w:fill="auto"/>
          </w:tcPr>
          <w:p w:rsidR="00534FB5" w:rsidRPr="00953114" w:rsidRDefault="00534FB5" w:rsidP="00534FB5">
            <w:pPr>
              <w:contextualSpacing/>
              <w:rPr>
                <w:spacing w:val="-12"/>
              </w:rPr>
            </w:pPr>
            <w:r w:rsidRPr="00953114">
              <w:rPr>
                <w:spacing w:val="-12"/>
              </w:rPr>
              <w:t>3,8±0,09</w:t>
            </w:r>
          </w:p>
        </w:tc>
        <w:tc>
          <w:tcPr>
            <w:tcW w:w="567" w:type="pct"/>
            <w:shd w:val="clear" w:color="auto" w:fill="auto"/>
          </w:tcPr>
          <w:p w:rsidR="00534FB5" w:rsidRPr="00953114" w:rsidRDefault="00534FB5" w:rsidP="00534FB5">
            <w:pPr>
              <w:contextualSpacing/>
              <w:rPr>
                <w:spacing w:val="-12"/>
              </w:rPr>
            </w:pPr>
            <w:r w:rsidRPr="00953114">
              <w:rPr>
                <w:spacing w:val="-12"/>
              </w:rPr>
              <w:t>26,9</w:t>
            </w:r>
          </w:p>
        </w:tc>
        <w:tc>
          <w:tcPr>
            <w:tcW w:w="597" w:type="pct"/>
            <w:shd w:val="clear" w:color="auto" w:fill="auto"/>
          </w:tcPr>
          <w:p w:rsidR="00534FB5" w:rsidRPr="00953114" w:rsidRDefault="00534FB5" w:rsidP="00534FB5">
            <w:pPr>
              <w:contextualSpacing/>
              <w:rPr>
                <w:spacing w:val="-12"/>
              </w:rPr>
            </w:pPr>
            <w:r w:rsidRPr="00953114">
              <w:rPr>
                <w:spacing w:val="-12"/>
              </w:rPr>
              <w:t>4,5±0,17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23</w:t>
            </w:r>
          </w:p>
        </w:tc>
        <w:tc>
          <w:tcPr>
            <w:tcW w:w="1009" w:type="pct"/>
            <w:shd w:val="clear" w:color="auto" w:fill="auto"/>
          </w:tcPr>
          <w:p w:rsidR="00534FB5" w:rsidRPr="009159B9" w:rsidRDefault="00534FB5" w:rsidP="00534FB5">
            <w:pPr>
              <w:contextualSpacing/>
              <w:rPr>
                <w:i/>
                <w:spacing w:val="-12"/>
              </w:rPr>
            </w:pPr>
            <w:r w:rsidRPr="009159B9">
              <w:rPr>
                <w:i/>
                <w:spacing w:val="-12"/>
              </w:rPr>
              <w:t>Peptostreptococcus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w:t>
            </w:r>
          </w:p>
        </w:tc>
        <w:tc>
          <w:tcPr>
            <w:tcW w:w="599" w:type="pct"/>
            <w:gridSpan w:val="2"/>
            <w:shd w:val="clear" w:color="auto" w:fill="auto"/>
          </w:tcPr>
          <w:p w:rsidR="00534FB5" w:rsidRPr="00953114" w:rsidRDefault="00534FB5" w:rsidP="00534FB5">
            <w:pPr>
              <w:contextualSpacing/>
              <w:rPr>
                <w:spacing w:val="-12"/>
              </w:rPr>
            </w:pPr>
            <w:r w:rsidRPr="00953114">
              <w:rPr>
                <w:spacing w:val="-12"/>
              </w:rPr>
              <w:t>-</w:t>
            </w:r>
          </w:p>
        </w:tc>
        <w:tc>
          <w:tcPr>
            <w:tcW w:w="648" w:type="pct"/>
            <w:gridSpan w:val="2"/>
            <w:shd w:val="clear" w:color="auto" w:fill="auto"/>
          </w:tcPr>
          <w:p w:rsidR="00534FB5" w:rsidRPr="00953114" w:rsidRDefault="00534FB5" w:rsidP="00534FB5">
            <w:pPr>
              <w:contextualSpacing/>
              <w:rPr>
                <w:spacing w:val="-12"/>
              </w:rPr>
            </w:pPr>
            <w:r w:rsidRPr="00953114">
              <w:rPr>
                <w:spacing w:val="-12"/>
              </w:rPr>
              <w:t>4,8</w:t>
            </w:r>
          </w:p>
        </w:tc>
        <w:tc>
          <w:tcPr>
            <w:tcW w:w="668" w:type="pct"/>
            <w:shd w:val="clear" w:color="auto" w:fill="auto"/>
          </w:tcPr>
          <w:p w:rsidR="00534FB5" w:rsidRPr="00953114" w:rsidRDefault="00534FB5" w:rsidP="00534FB5">
            <w:pPr>
              <w:contextualSpacing/>
              <w:rPr>
                <w:spacing w:val="-12"/>
              </w:rPr>
            </w:pPr>
            <w:r w:rsidRPr="00953114">
              <w:rPr>
                <w:spacing w:val="-12"/>
              </w:rPr>
              <w:t>5,46</w:t>
            </w: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3,1</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24</w:t>
            </w:r>
          </w:p>
        </w:tc>
        <w:tc>
          <w:tcPr>
            <w:tcW w:w="1009" w:type="pct"/>
            <w:shd w:val="clear" w:color="auto" w:fill="auto"/>
          </w:tcPr>
          <w:p w:rsidR="00534FB5" w:rsidRPr="009159B9" w:rsidRDefault="00534FB5" w:rsidP="00534FB5">
            <w:pPr>
              <w:contextualSpacing/>
              <w:rPr>
                <w:i/>
                <w:spacing w:val="-12"/>
              </w:rPr>
            </w:pPr>
            <w:r w:rsidRPr="009159B9">
              <w:rPr>
                <w:i/>
                <w:spacing w:val="-12"/>
              </w:rPr>
              <w:t>Veillonella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13,0</w:t>
            </w:r>
          </w:p>
        </w:tc>
        <w:tc>
          <w:tcPr>
            <w:tcW w:w="599" w:type="pct"/>
            <w:gridSpan w:val="2"/>
            <w:shd w:val="clear" w:color="auto" w:fill="auto"/>
          </w:tcPr>
          <w:p w:rsidR="00534FB5" w:rsidRPr="00953114" w:rsidRDefault="00534FB5" w:rsidP="00534FB5">
            <w:pPr>
              <w:contextualSpacing/>
              <w:rPr>
                <w:spacing w:val="-12"/>
              </w:rPr>
            </w:pPr>
            <w:r w:rsidRPr="00953114">
              <w:rPr>
                <w:spacing w:val="-12"/>
              </w:rPr>
              <w:t>4,3±0,88</w:t>
            </w:r>
          </w:p>
        </w:tc>
        <w:tc>
          <w:tcPr>
            <w:tcW w:w="648" w:type="pct"/>
            <w:gridSpan w:val="2"/>
            <w:shd w:val="clear" w:color="auto" w:fill="auto"/>
          </w:tcPr>
          <w:p w:rsidR="00534FB5" w:rsidRPr="00953114" w:rsidRDefault="00534FB5" w:rsidP="00534FB5">
            <w:pPr>
              <w:contextualSpacing/>
              <w:rPr>
                <w:spacing w:val="-12"/>
              </w:rPr>
            </w:pPr>
            <w:r w:rsidRPr="00953114">
              <w:rPr>
                <w:spacing w:val="-12"/>
              </w:rPr>
              <w:t>4,8</w:t>
            </w:r>
          </w:p>
        </w:tc>
        <w:tc>
          <w:tcPr>
            <w:tcW w:w="668" w:type="pct"/>
            <w:shd w:val="clear" w:color="auto" w:fill="auto"/>
          </w:tcPr>
          <w:p w:rsidR="00534FB5" w:rsidRPr="00953114" w:rsidRDefault="00534FB5" w:rsidP="00534FB5">
            <w:pPr>
              <w:contextualSpacing/>
              <w:rPr>
                <w:spacing w:val="-12"/>
              </w:rPr>
            </w:pPr>
            <w:r w:rsidRPr="00953114">
              <w:rPr>
                <w:spacing w:val="-12"/>
              </w:rPr>
              <w:t>3,0</w:t>
            </w: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3,0</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25</w:t>
            </w:r>
          </w:p>
        </w:tc>
        <w:tc>
          <w:tcPr>
            <w:tcW w:w="1009" w:type="pct"/>
            <w:shd w:val="clear" w:color="auto" w:fill="auto"/>
          </w:tcPr>
          <w:p w:rsidR="00534FB5" w:rsidRPr="009159B9" w:rsidRDefault="00534FB5" w:rsidP="00534FB5">
            <w:pPr>
              <w:contextualSpacing/>
              <w:rPr>
                <w:i/>
                <w:spacing w:val="-12"/>
              </w:rPr>
            </w:pPr>
            <w:r w:rsidRPr="009159B9">
              <w:rPr>
                <w:i/>
                <w:spacing w:val="-12"/>
              </w:rPr>
              <w:t>Peptococcus sp</w:t>
            </w:r>
          </w:p>
        </w:tc>
        <w:tc>
          <w:tcPr>
            <w:tcW w:w="642" w:type="pct"/>
            <w:gridSpan w:val="2"/>
            <w:shd w:val="clear" w:color="auto" w:fill="auto"/>
          </w:tcPr>
          <w:p w:rsidR="00534FB5" w:rsidRPr="00953114" w:rsidRDefault="00534FB5" w:rsidP="00534FB5">
            <w:pPr>
              <w:contextualSpacing/>
              <w:rPr>
                <w:spacing w:val="-12"/>
              </w:rPr>
            </w:pPr>
            <w:r w:rsidRPr="00953114">
              <w:rPr>
                <w:spacing w:val="-12"/>
              </w:rPr>
              <w:t>-</w:t>
            </w:r>
          </w:p>
        </w:tc>
        <w:tc>
          <w:tcPr>
            <w:tcW w:w="599" w:type="pct"/>
            <w:gridSpan w:val="2"/>
            <w:shd w:val="clear" w:color="auto" w:fill="auto"/>
          </w:tcPr>
          <w:p w:rsidR="00534FB5" w:rsidRPr="00953114" w:rsidRDefault="00534FB5" w:rsidP="00534FB5">
            <w:pPr>
              <w:contextualSpacing/>
              <w:rPr>
                <w:spacing w:val="-12"/>
              </w:rPr>
            </w:pPr>
            <w:r w:rsidRPr="00953114">
              <w:rPr>
                <w:spacing w:val="-12"/>
              </w:rPr>
              <w:t>-</w:t>
            </w:r>
          </w:p>
        </w:tc>
        <w:tc>
          <w:tcPr>
            <w:tcW w:w="648" w:type="pct"/>
            <w:gridSpan w:val="2"/>
            <w:shd w:val="clear" w:color="auto" w:fill="auto"/>
          </w:tcPr>
          <w:p w:rsidR="00534FB5" w:rsidRPr="00953114" w:rsidRDefault="00534FB5" w:rsidP="00534FB5">
            <w:pPr>
              <w:contextualSpacing/>
              <w:rPr>
                <w:spacing w:val="-12"/>
              </w:rPr>
            </w:pPr>
            <w:r w:rsidRPr="00953114">
              <w:rPr>
                <w:spacing w:val="-12"/>
              </w:rPr>
              <w:t>-</w:t>
            </w:r>
          </w:p>
        </w:tc>
        <w:tc>
          <w:tcPr>
            <w:tcW w:w="668" w:type="pct"/>
            <w:shd w:val="clear" w:color="auto" w:fill="auto"/>
          </w:tcPr>
          <w:p w:rsidR="00534FB5" w:rsidRPr="00953114" w:rsidRDefault="00534FB5" w:rsidP="00534FB5">
            <w:pPr>
              <w:contextualSpacing/>
              <w:rPr>
                <w:spacing w:val="-12"/>
              </w:rPr>
            </w:pPr>
            <w:r w:rsidRPr="00953114">
              <w:rPr>
                <w:spacing w:val="-12"/>
              </w:rPr>
              <w:t>-</w:t>
            </w:r>
          </w:p>
        </w:tc>
        <w:tc>
          <w:tcPr>
            <w:tcW w:w="567" w:type="pct"/>
            <w:shd w:val="clear" w:color="auto" w:fill="auto"/>
          </w:tcPr>
          <w:p w:rsidR="00534FB5" w:rsidRPr="00953114" w:rsidRDefault="00534FB5" w:rsidP="00534FB5">
            <w:pPr>
              <w:contextualSpacing/>
              <w:rPr>
                <w:spacing w:val="-12"/>
              </w:rPr>
            </w:pPr>
            <w:r w:rsidRPr="00953114">
              <w:rPr>
                <w:spacing w:val="-12"/>
              </w:rPr>
              <w:t>3,8</w:t>
            </w:r>
          </w:p>
        </w:tc>
        <w:tc>
          <w:tcPr>
            <w:tcW w:w="597" w:type="pct"/>
            <w:shd w:val="clear" w:color="auto" w:fill="auto"/>
          </w:tcPr>
          <w:p w:rsidR="00534FB5" w:rsidRPr="00953114" w:rsidRDefault="00534FB5" w:rsidP="00534FB5">
            <w:pPr>
              <w:contextualSpacing/>
              <w:rPr>
                <w:spacing w:val="-12"/>
              </w:rPr>
            </w:pPr>
            <w:r w:rsidRPr="00953114">
              <w:rPr>
                <w:spacing w:val="-12"/>
              </w:rPr>
              <w:t>4,0</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26</w:t>
            </w:r>
          </w:p>
        </w:tc>
        <w:tc>
          <w:tcPr>
            <w:tcW w:w="1009" w:type="pct"/>
            <w:shd w:val="clear" w:color="auto" w:fill="auto"/>
          </w:tcPr>
          <w:p w:rsidR="00534FB5" w:rsidRPr="009159B9" w:rsidRDefault="00534FB5" w:rsidP="00534FB5">
            <w:pPr>
              <w:contextualSpacing/>
              <w:rPr>
                <w:i/>
                <w:spacing w:val="-12"/>
              </w:rPr>
            </w:pPr>
            <w:r w:rsidRPr="009159B9">
              <w:rPr>
                <w:i/>
                <w:spacing w:val="-12"/>
              </w:rPr>
              <w:t>Actinomycetes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4,3</w:t>
            </w:r>
          </w:p>
        </w:tc>
        <w:tc>
          <w:tcPr>
            <w:tcW w:w="599" w:type="pct"/>
            <w:gridSpan w:val="2"/>
            <w:shd w:val="clear" w:color="auto" w:fill="auto"/>
          </w:tcPr>
          <w:p w:rsidR="00534FB5" w:rsidRPr="00953114" w:rsidRDefault="00534FB5" w:rsidP="00534FB5">
            <w:pPr>
              <w:contextualSpacing/>
              <w:rPr>
                <w:spacing w:val="-12"/>
              </w:rPr>
            </w:pPr>
            <w:r w:rsidRPr="00953114">
              <w:rPr>
                <w:spacing w:val="-12"/>
              </w:rPr>
              <w:t>3,3</w:t>
            </w:r>
          </w:p>
        </w:tc>
        <w:tc>
          <w:tcPr>
            <w:tcW w:w="648" w:type="pct"/>
            <w:gridSpan w:val="2"/>
            <w:shd w:val="clear" w:color="auto" w:fill="auto"/>
          </w:tcPr>
          <w:p w:rsidR="00534FB5" w:rsidRPr="00953114" w:rsidRDefault="00534FB5" w:rsidP="00534FB5">
            <w:pPr>
              <w:contextualSpacing/>
              <w:rPr>
                <w:spacing w:val="-12"/>
              </w:rPr>
            </w:pPr>
            <w:r w:rsidRPr="00953114">
              <w:rPr>
                <w:spacing w:val="-12"/>
              </w:rPr>
              <w:t>23,8</w:t>
            </w:r>
          </w:p>
        </w:tc>
        <w:tc>
          <w:tcPr>
            <w:tcW w:w="668" w:type="pct"/>
            <w:shd w:val="clear" w:color="auto" w:fill="auto"/>
          </w:tcPr>
          <w:p w:rsidR="00534FB5" w:rsidRPr="00953114" w:rsidRDefault="00534FB5" w:rsidP="00534FB5">
            <w:pPr>
              <w:contextualSpacing/>
              <w:rPr>
                <w:spacing w:val="-12"/>
              </w:rPr>
            </w:pPr>
            <w:r w:rsidRPr="00953114">
              <w:rPr>
                <w:spacing w:val="-12"/>
              </w:rPr>
              <w:t>4,4±0,29</w:t>
            </w:r>
          </w:p>
        </w:tc>
        <w:tc>
          <w:tcPr>
            <w:tcW w:w="567" w:type="pct"/>
            <w:shd w:val="clear" w:color="auto" w:fill="auto"/>
          </w:tcPr>
          <w:p w:rsidR="00534FB5" w:rsidRPr="00953114" w:rsidRDefault="00534FB5" w:rsidP="00534FB5">
            <w:pPr>
              <w:contextualSpacing/>
              <w:rPr>
                <w:spacing w:val="-12"/>
              </w:rPr>
            </w:pPr>
            <w:r w:rsidRPr="00953114">
              <w:rPr>
                <w:spacing w:val="-12"/>
              </w:rPr>
              <w:t>19,2</w:t>
            </w:r>
          </w:p>
        </w:tc>
        <w:tc>
          <w:tcPr>
            <w:tcW w:w="597" w:type="pct"/>
            <w:shd w:val="clear" w:color="auto" w:fill="auto"/>
          </w:tcPr>
          <w:p w:rsidR="00534FB5" w:rsidRPr="00953114" w:rsidRDefault="00534FB5" w:rsidP="00534FB5">
            <w:pPr>
              <w:contextualSpacing/>
              <w:rPr>
                <w:spacing w:val="-12"/>
              </w:rPr>
            </w:pPr>
            <w:r w:rsidRPr="00953114">
              <w:rPr>
                <w:spacing w:val="-12"/>
              </w:rPr>
              <w:t>3,5±0,3</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27</w:t>
            </w:r>
          </w:p>
        </w:tc>
        <w:tc>
          <w:tcPr>
            <w:tcW w:w="1009" w:type="pct"/>
            <w:shd w:val="clear" w:color="auto" w:fill="auto"/>
          </w:tcPr>
          <w:p w:rsidR="00534FB5" w:rsidRPr="009159B9" w:rsidRDefault="00534FB5" w:rsidP="00534FB5">
            <w:pPr>
              <w:contextualSpacing/>
              <w:rPr>
                <w:i/>
                <w:spacing w:val="-12"/>
              </w:rPr>
            </w:pPr>
            <w:r w:rsidRPr="009159B9">
              <w:rPr>
                <w:i/>
                <w:spacing w:val="-12"/>
              </w:rPr>
              <w:t>Bacteroides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13,0</w:t>
            </w:r>
          </w:p>
        </w:tc>
        <w:tc>
          <w:tcPr>
            <w:tcW w:w="599" w:type="pct"/>
            <w:gridSpan w:val="2"/>
            <w:shd w:val="clear" w:color="auto" w:fill="auto"/>
          </w:tcPr>
          <w:p w:rsidR="00534FB5" w:rsidRPr="00953114" w:rsidRDefault="00534FB5" w:rsidP="00534FB5">
            <w:pPr>
              <w:contextualSpacing/>
              <w:rPr>
                <w:spacing w:val="-12"/>
              </w:rPr>
            </w:pPr>
            <w:r w:rsidRPr="00953114">
              <w:rPr>
                <w:spacing w:val="-12"/>
              </w:rPr>
              <w:t>4,7±0,67</w:t>
            </w:r>
          </w:p>
        </w:tc>
        <w:tc>
          <w:tcPr>
            <w:tcW w:w="648" w:type="pct"/>
            <w:gridSpan w:val="2"/>
            <w:shd w:val="clear" w:color="auto" w:fill="auto"/>
          </w:tcPr>
          <w:p w:rsidR="00534FB5" w:rsidRPr="00953114" w:rsidRDefault="00534FB5" w:rsidP="00534FB5">
            <w:pPr>
              <w:contextualSpacing/>
              <w:rPr>
                <w:spacing w:val="-12"/>
              </w:rPr>
            </w:pPr>
            <w:r w:rsidRPr="00953114">
              <w:rPr>
                <w:spacing w:val="-12"/>
              </w:rPr>
              <w:t>9,5</w:t>
            </w:r>
          </w:p>
        </w:tc>
        <w:tc>
          <w:tcPr>
            <w:tcW w:w="668" w:type="pct"/>
            <w:shd w:val="clear" w:color="auto" w:fill="auto"/>
          </w:tcPr>
          <w:p w:rsidR="00534FB5" w:rsidRPr="00953114" w:rsidRDefault="00534FB5" w:rsidP="00534FB5">
            <w:pPr>
              <w:contextualSpacing/>
              <w:rPr>
                <w:spacing w:val="-12"/>
              </w:rPr>
            </w:pPr>
            <w:r w:rsidRPr="00953114">
              <w:rPr>
                <w:spacing w:val="-12"/>
              </w:rPr>
              <w:t>4,3±0,7</w:t>
            </w:r>
          </w:p>
        </w:tc>
        <w:tc>
          <w:tcPr>
            <w:tcW w:w="567" w:type="pct"/>
            <w:shd w:val="clear" w:color="auto" w:fill="auto"/>
          </w:tcPr>
          <w:p w:rsidR="00534FB5" w:rsidRPr="00953114" w:rsidRDefault="00534FB5" w:rsidP="00534FB5">
            <w:pPr>
              <w:contextualSpacing/>
              <w:rPr>
                <w:spacing w:val="-12"/>
              </w:rPr>
            </w:pPr>
            <w:r w:rsidRPr="00953114">
              <w:rPr>
                <w:spacing w:val="-12"/>
              </w:rPr>
              <w:t>19,2</w:t>
            </w:r>
          </w:p>
        </w:tc>
        <w:tc>
          <w:tcPr>
            <w:tcW w:w="597" w:type="pct"/>
            <w:shd w:val="clear" w:color="auto" w:fill="auto"/>
          </w:tcPr>
          <w:p w:rsidR="00534FB5" w:rsidRPr="00953114" w:rsidRDefault="00534FB5" w:rsidP="00534FB5">
            <w:pPr>
              <w:contextualSpacing/>
              <w:rPr>
                <w:spacing w:val="-12"/>
              </w:rPr>
            </w:pPr>
            <w:r w:rsidRPr="00953114">
              <w:rPr>
                <w:spacing w:val="-12"/>
              </w:rPr>
              <w:t>3,6±0,32</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28</w:t>
            </w:r>
          </w:p>
        </w:tc>
        <w:tc>
          <w:tcPr>
            <w:tcW w:w="1009" w:type="pct"/>
            <w:shd w:val="clear" w:color="auto" w:fill="auto"/>
          </w:tcPr>
          <w:p w:rsidR="00534FB5" w:rsidRPr="009159B9" w:rsidRDefault="00534FB5" w:rsidP="00534FB5">
            <w:pPr>
              <w:contextualSpacing/>
              <w:rPr>
                <w:i/>
                <w:spacing w:val="-12"/>
              </w:rPr>
            </w:pPr>
            <w:r w:rsidRPr="009159B9">
              <w:rPr>
                <w:i/>
                <w:spacing w:val="-12"/>
              </w:rPr>
              <w:t>Porphyromonas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17,4</w:t>
            </w:r>
          </w:p>
        </w:tc>
        <w:tc>
          <w:tcPr>
            <w:tcW w:w="599" w:type="pct"/>
            <w:gridSpan w:val="2"/>
            <w:shd w:val="clear" w:color="auto" w:fill="auto"/>
          </w:tcPr>
          <w:p w:rsidR="00534FB5" w:rsidRPr="00953114" w:rsidRDefault="00534FB5" w:rsidP="00534FB5">
            <w:pPr>
              <w:contextualSpacing/>
              <w:rPr>
                <w:spacing w:val="-12"/>
              </w:rPr>
            </w:pPr>
            <w:r w:rsidRPr="00953114">
              <w:rPr>
                <w:spacing w:val="-12"/>
              </w:rPr>
              <w:t>4,9±0,29</w:t>
            </w:r>
          </w:p>
        </w:tc>
        <w:tc>
          <w:tcPr>
            <w:tcW w:w="648" w:type="pct"/>
            <w:gridSpan w:val="2"/>
            <w:shd w:val="clear" w:color="auto" w:fill="auto"/>
          </w:tcPr>
          <w:p w:rsidR="00534FB5" w:rsidRPr="00953114" w:rsidRDefault="00534FB5" w:rsidP="00534FB5">
            <w:pPr>
              <w:contextualSpacing/>
              <w:rPr>
                <w:spacing w:val="-12"/>
              </w:rPr>
            </w:pPr>
            <w:r w:rsidRPr="00953114">
              <w:rPr>
                <w:spacing w:val="-12"/>
              </w:rPr>
              <w:t>14,3</w:t>
            </w:r>
          </w:p>
        </w:tc>
        <w:tc>
          <w:tcPr>
            <w:tcW w:w="668" w:type="pct"/>
            <w:shd w:val="clear" w:color="auto" w:fill="auto"/>
          </w:tcPr>
          <w:p w:rsidR="00534FB5" w:rsidRPr="00953114" w:rsidRDefault="00534FB5" w:rsidP="00534FB5">
            <w:pPr>
              <w:contextualSpacing/>
              <w:rPr>
                <w:spacing w:val="-12"/>
              </w:rPr>
            </w:pPr>
            <w:r w:rsidRPr="00953114">
              <w:rPr>
                <w:spacing w:val="-12"/>
              </w:rPr>
              <w:t>4,8±0,2</w:t>
            </w:r>
          </w:p>
        </w:tc>
        <w:tc>
          <w:tcPr>
            <w:tcW w:w="567" w:type="pct"/>
            <w:shd w:val="clear" w:color="auto" w:fill="auto"/>
          </w:tcPr>
          <w:p w:rsidR="00534FB5" w:rsidRPr="00953114" w:rsidRDefault="00534FB5" w:rsidP="00534FB5">
            <w:pPr>
              <w:contextualSpacing/>
              <w:rPr>
                <w:spacing w:val="-12"/>
              </w:rPr>
            </w:pPr>
            <w:r w:rsidRPr="00953114">
              <w:rPr>
                <w:spacing w:val="-12"/>
              </w:rPr>
              <w:t>11,5</w:t>
            </w:r>
          </w:p>
        </w:tc>
        <w:tc>
          <w:tcPr>
            <w:tcW w:w="597" w:type="pct"/>
            <w:shd w:val="clear" w:color="auto" w:fill="auto"/>
          </w:tcPr>
          <w:p w:rsidR="00534FB5" w:rsidRPr="00953114" w:rsidRDefault="00534FB5" w:rsidP="00534FB5">
            <w:pPr>
              <w:contextualSpacing/>
              <w:rPr>
                <w:spacing w:val="-12"/>
              </w:rPr>
            </w:pPr>
            <w:r w:rsidRPr="00953114">
              <w:rPr>
                <w:spacing w:val="-12"/>
              </w:rPr>
              <w:t>3,7±0,17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29</w:t>
            </w:r>
          </w:p>
        </w:tc>
        <w:tc>
          <w:tcPr>
            <w:tcW w:w="1009" w:type="pct"/>
            <w:shd w:val="clear" w:color="auto" w:fill="auto"/>
          </w:tcPr>
          <w:p w:rsidR="00534FB5" w:rsidRPr="009159B9" w:rsidRDefault="00534FB5" w:rsidP="00534FB5">
            <w:pPr>
              <w:contextualSpacing/>
              <w:rPr>
                <w:i/>
                <w:spacing w:val="-12"/>
              </w:rPr>
            </w:pPr>
            <w:r w:rsidRPr="009159B9">
              <w:rPr>
                <w:i/>
                <w:spacing w:val="-12"/>
              </w:rPr>
              <w:t>Prevotella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4,3</w:t>
            </w:r>
          </w:p>
        </w:tc>
        <w:tc>
          <w:tcPr>
            <w:tcW w:w="599" w:type="pct"/>
            <w:gridSpan w:val="2"/>
            <w:shd w:val="clear" w:color="auto" w:fill="auto"/>
          </w:tcPr>
          <w:p w:rsidR="00534FB5" w:rsidRPr="00953114" w:rsidRDefault="00534FB5" w:rsidP="00534FB5">
            <w:pPr>
              <w:contextualSpacing/>
              <w:rPr>
                <w:spacing w:val="-12"/>
              </w:rPr>
            </w:pPr>
            <w:r w:rsidRPr="00953114">
              <w:rPr>
                <w:spacing w:val="-12"/>
              </w:rPr>
              <w:t>4,8</w:t>
            </w:r>
          </w:p>
        </w:tc>
        <w:tc>
          <w:tcPr>
            <w:tcW w:w="648" w:type="pct"/>
            <w:gridSpan w:val="2"/>
            <w:shd w:val="clear" w:color="auto" w:fill="auto"/>
          </w:tcPr>
          <w:p w:rsidR="00534FB5" w:rsidRPr="00953114" w:rsidRDefault="00534FB5" w:rsidP="00534FB5">
            <w:pPr>
              <w:contextualSpacing/>
              <w:rPr>
                <w:spacing w:val="-12"/>
              </w:rPr>
            </w:pPr>
            <w:r w:rsidRPr="00953114">
              <w:rPr>
                <w:spacing w:val="-12"/>
              </w:rPr>
              <w:t>19,0</w:t>
            </w:r>
          </w:p>
        </w:tc>
        <w:tc>
          <w:tcPr>
            <w:tcW w:w="668" w:type="pct"/>
            <w:shd w:val="clear" w:color="auto" w:fill="auto"/>
          </w:tcPr>
          <w:p w:rsidR="00534FB5" w:rsidRPr="00953114" w:rsidRDefault="00534FB5" w:rsidP="00534FB5">
            <w:pPr>
              <w:contextualSpacing/>
              <w:rPr>
                <w:spacing w:val="-12"/>
              </w:rPr>
            </w:pPr>
            <w:r w:rsidRPr="00953114">
              <w:rPr>
                <w:spacing w:val="-12"/>
              </w:rPr>
              <w:t>4,7±0,65</w:t>
            </w:r>
          </w:p>
        </w:tc>
        <w:tc>
          <w:tcPr>
            <w:tcW w:w="567" w:type="pct"/>
            <w:shd w:val="clear" w:color="auto" w:fill="auto"/>
          </w:tcPr>
          <w:p w:rsidR="00534FB5" w:rsidRPr="00953114" w:rsidRDefault="00534FB5" w:rsidP="00534FB5">
            <w:pPr>
              <w:contextualSpacing/>
              <w:rPr>
                <w:spacing w:val="-12"/>
              </w:rPr>
            </w:pPr>
            <w:r w:rsidRPr="00953114">
              <w:rPr>
                <w:spacing w:val="-12"/>
              </w:rPr>
              <w:t>15,4</w:t>
            </w:r>
          </w:p>
        </w:tc>
        <w:tc>
          <w:tcPr>
            <w:tcW w:w="597" w:type="pct"/>
            <w:shd w:val="clear" w:color="auto" w:fill="auto"/>
          </w:tcPr>
          <w:p w:rsidR="00534FB5" w:rsidRPr="00953114" w:rsidRDefault="00534FB5" w:rsidP="00534FB5">
            <w:pPr>
              <w:contextualSpacing/>
              <w:rPr>
                <w:spacing w:val="-12"/>
              </w:rPr>
            </w:pPr>
            <w:r w:rsidRPr="00953114">
              <w:rPr>
                <w:spacing w:val="-12"/>
              </w:rPr>
              <w:t>4,0±0,54</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30</w:t>
            </w:r>
          </w:p>
        </w:tc>
        <w:tc>
          <w:tcPr>
            <w:tcW w:w="1009" w:type="pct"/>
            <w:shd w:val="clear" w:color="auto" w:fill="auto"/>
          </w:tcPr>
          <w:p w:rsidR="00534FB5" w:rsidRPr="009159B9" w:rsidRDefault="00534FB5" w:rsidP="00534FB5">
            <w:pPr>
              <w:contextualSpacing/>
              <w:rPr>
                <w:i/>
                <w:spacing w:val="-12"/>
              </w:rPr>
            </w:pPr>
            <w:r w:rsidRPr="009159B9">
              <w:rPr>
                <w:i/>
                <w:spacing w:val="-12"/>
              </w:rPr>
              <w:t>Fusobacterium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34,8</w:t>
            </w:r>
          </w:p>
        </w:tc>
        <w:tc>
          <w:tcPr>
            <w:tcW w:w="599" w:type="pct"/>
            <w:gridSpan w:val="2"/>
            <w:shd w:val="clear" w:color="auto" w:fill="auto"/>
          </w:tcPr>
          <w:p w:rsidR="00534FB5" w:rsidRPr="00953114" w:rsidRDefault="00534FB5" w:rsidP="00534FB5">
            <w:pPr>
              <w:contextualSpacing/>
              <w:rPr>
                <w:spacing w:val="-12"/>
              </w:rPr>
            </w:pPr>
            <w:r w:rsidRPr="00953114">
              <w:rPr>
                <w:spacing w:val="-12"/>
              </w:rPr>
              <w:t>3,9±0,23</w:t>
            </w:r>
          </w:p>
        </w:tc>
        <w:tc>
          <w:tcPr>
            <w:tcW w:w="648" w:type="pct"/>
            <w:gridSpan w:val="2"/>
            <w:shd w:val="clear" w:color="auto" w:fill="auto"/>
          </w:tcPr>
          <w:p w:rsidR="00534FB5" w:rsidRPr="00953114" w:rsidRDefault="00534FB5" w:rsidP="00534FB5">
            <w:pPr>
              <w:contextualSpacing/>
              <w:rPr>
                <w:spacing w:val="-12"/>
              </w:rPr>
            </w:pPr>
            <w:r w:rsidRPr="00953114">
              <w:rPr>
                <w:spacing w:val="-12"/>
              </w:rPr>
              <w:t>33,3</w:t>
            </w:r>
          </w:p>
        </w:tc>
        <w:tc>
          <w:tcPr>
            <w:tcW w:w="668" w:type="pct"/>
            <w:shd w:val="clear" w:color="auto" w:fill="auto"/>
          </w:tcPr>
          <w:p w:rsidR="00534FB5" w:rsidRPr="00953114" w:rsidRDefault="00534FB5" w:rsidP="00534FB5">
            <w:pPr>
              <w:contextualSpacing/>
              <w:rPr>
                <w:spacing w:val="-12"/>
              </w:rPr>
            </w:pPr>
            <w:r w:rsidRPr="00953114">
              <w:rPr>
                <w:spacing w:val="-12"/>
              </w:rPr>
              <w:t>4,4±0,41</w:t>
            </w:r>
          </w:p>
        </w:tc>
        <w:tc>
          <w:tcPr>
            <w:tcW w:w="567" w:type="pct"/>
            <w:shd w:val="clear" w:color="auto" w:fill="auto"/>
          </w:tcPr>
          <w:p w:rsidR="00534FB5" w:rsidRPr="00953114" w:rsidRDefault="00534FB5" w:rsidP="00534FB5">
            <w:pPr>
              <w:contextualSpacing/>
              <w:rPr>
                <w:spacing w:val="-12"/>
              </w:rPr>
            </w:pPr>
            <w:r w:rsidRPr="00953114">
              <w:rPr>
                <w:spacing w:val="-12"/>
              </w:rPr>
              <w:t>26,9</w:t>
            </w:r>
          </w:p>
        </w:tc>
        <w:tc>
          <w:tcPr>
            <w:tcW w:w="597" w:type="pct"/>
            <w:shd w:val="clear" w:color="auto" w:fill="auto"/>
          </w:tcPr>
          <w:p w:rsidR="00534FB5" w:rsidRPr="00953114" w:rsidRDefault="00534FB5" w:rsidP="00534FB5">
            <w:pPr>
              <w:contextualSpacing/>
              <w:rPr>
                <w:spacing w:val="-12"/>
              </w:rPr>
            </w:pPr>
            <w:r w:rsidRPr="00953114">
              <w:rPr>
                <w:spacing w:val="-12"/>
              </w:rPr>
              <w:t>5,3±0,17</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31</w:t>
            </w:r>
          </w:p>
        </w:tc>
        <w:tc>
          <w:tcPr>
            <w:tcW w:w="1009" w:type="pct"/>
            <w:shd w:val="clear" w:color="auto" w:fill="auto"/>
          </w:tcPr>
          <w:p w:rsidR="00534FB5" w:rsidRPr="009159B9" w:rsidRDefault="00534FB5" w:rsidP="00534FB5">
            <w:pPr>
              <w:contextualSpacing/>
              <w:rPr>
                <w:i/>
                <w:spacing w:val="-12"/>
              </w:rPr>
            </w:pPr>
            <w:r w:rsidRPr="009159B9">
              <w:rPr>
                <w:i/>
                <w:spacing w:val="-12"/>
              </w:rPr>
              <w:t>Candida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17,4</w:t>
            </w:r>
          </w:p>
        </w:tc>
        <w:tc>
          <w:tcPr>
            <w:tcW w:w="599" w:type="pct"/>
            <w:gridSpan w:val="2"/>
            <w:shd w:val="clear" w:color="auto" w:fill="auto"/>
          </w:tcPr>
          <w:p w:rsidR="00534FB5" w:rsidRPr="00953114" w:rsidRDefault="00534FB5" w:rsidP="00534FB5">
            <w:pPr>
              <w:contextualSpacing/>
              <w:rPr>
                <w:spacing w:val="-12"/>
              </w:rPr>
            </w:pPr>
            <w:r w:rsidRPr="00953114">
              <w:rPr>
                <w:spacing w:val="-12"/>
              </w:rPr>
              <w:t>3,2±0,06</w:t>
            </w:r>
          </w:p>
        </w:tc>
        <w:tc>
          <w:tcPr>
            <w:tcW w:w="648" w:type="pct"/>
            <w:gridSpan w:val="2"/>
            <w:shd w:val="clear" w:color="auto" w:fill="auto"/>
          </w:tcPr>
          <w:p w:rsidR="00534FB5" w:rsidRPr="00953114" w:rsidRDefault="00534FB5" w:rsidP="00534FB5">
            <w:pPr>
              <w:contextualSpacing/>
              <w:rPr>
                <w:spacing w:val="-12"/>
              </w:rPr>
            </w:pPr>
            <w:r w:rsidRPr="00953114">
              <w:rPr>
                <w:spacing w:val="-12"/>
              </w:rPr>
              <w:t>9,5</w:t>
            </w:r>
          </w:p>
        </w:tc>
        <w:tc>
          <w:tcPr>
            <w:tcW w:w="668" w:type="pct"/>
            <w:shd w:val="clear" w:color="auto" w:fill="auto"/>
          </w:tcPr>
          <w:p w:rsidR="00534FB5" w:rsidRPr="00953114" w:rsidRDefault="00534FB5" w:rsidP="00534FB5">
            <w:pPr>
              <w:contextualSpacing/>
              <w:rPr>
                <w:spacing w:val="-12"/>
              </w:rPr>
            </w:pPr>
            <w:r w:rsidRPr="00953114">
              <w:rPr>
                <w:spacing w:val="-12"/>
              </w:rPr>
              <w:t>3,1±0,1</w:t>
            </w:r>
          </w:p>
        </w:tc>
        <w:tc>
          <w:tcPr>
            <w:tcW w:w="567" w:type="pct"/>
            <w:shd w:val="clear" w:color="auto" w:fill="auto"/>
          </w:tcPr>
          <w:p w:rsidR="00534FB5" w:rsidRPr="00953114" w:rsidRDefault="00534FB5" w:rsidP="00534FB5">
            <w:pPr>
              <w:contextualSpacing/>
              <w:rPr>
                <w:spacing w:val="-12"/>
              </w:rPr>
            </w:pPr>
            <w:r w:rsidRPr="00953114">
              <w:rPr>
                <w:spacing w:val="-12"/>
              </w:rPr>
              <w:t>11,5</w:t>
            </w:r>
          </w:p>
        </w:tc>
        <w:tc>
          <w:tcPr>
            <w:tcW w:w="597" w:type="pct"/>
            <w:shd w:val="clear" w:color="auto" w:fill="auto"/>
          </w:tcPr>
          <w:p w:rsidR="00534FB5" w:rsidRPr="00953114" w:rsidRDefault="00534FB5" w:rsidP="00534FB5">
            <w:pPr>
              <w:contextualSpacing/>
              <w:rPr>
                <w:spacing w:val="-12"/>
              </w:rPr>
            </w:pPr>
            <w:r w:rsidRPr="00953114">
              <w:rPr>
                <w:spacing w:val="-12"/>
              </w:rPr>
              <w:t>2,7±0,35</w:t>
            </w:r>
          </w:p>
        </w:tc>
      </w:tr>
      <w:tr w:rsidR="00534FB5" w:rsidRPr="00024A26" w:rsidTr="00534FB5">
        <w:tc>
          <w:tcPr>
            <w:tcW w:w="270" w:type="pct"/>
            <w:shd w:val="clear" w:color="auto" w:fill="auto"/>
          </w:tcPr>
          <w:p w:rsidR="00534FB5" w:rsidRPr="00953114" w:rsidRDefault="00534FB5" w:rsidP="00534FB5">
            <w:pPr>
              <w:contextualSpacing/>
              <w:rPr>
                <w:spacing w:val="-12"/>
              </w:rPr>
            </w:pPr>
            <w:r w:rsidRPr="00953114">
              <w:rPr>
                <w:spacing w:val="-12"/>
              </w:rPr>
              <w:t>32</w:t>
            </w:r>
          </w:p>
        </w:tc>
        <w:tc>
          <w:tcPr>
            <w:tcW w:w="1009" w:type="pct"/>
            <w:shd w:val="clear" w:color="auto" w:fill="auto"/>
          </w:tcPr>
          <w:p w:rsidR="00534FB5" w:rsidRPr="009159B9" w:rsidRDefault="00534FB5" w:rsidP="00534FB5">
            <w:pPr>
              <w:contextualSpacing/>
              <w:rPr>
                <w:i/>
                <w:spacing w:val="-12"/>
              </w:rPr>
            </w:pPr>
            <w:r w:rsidRPr="009159B9">
              <w:rPr>
                <w:i/>
                <w:spacing w:val="-12"/>
              </w:rPr>
              <w:t>Aspergillus spp</w:t>
            </w:r>
          </w:p>
        </w:tc>
        <w:tc>
          <w:tcPr>
            <w:tcW w:w="642" w:type="pct"/>
            <w:gridSpan w:val="2"/>
            <w:shd w:val="clear" w:color="auto" w:fill="auto"/>
          </w:tcPr>
          <w:p w:rsidR="00534FB5" w:rsidRPr="00953114" w:rsidRDefault="00534FB5" w:rsidP="00534FB5">
            <w:pPr>
              <w:contextualSpacing/>
              <w:rPr>
                <w:spacing w:val="-12"/>
              </w:rPr>
            </w:pPr>
            <w:r w:rsidRPr="00953114">
              <w:rPr>
                <w:spacing w:val="-12"/>
              </w:rPr>
              <w:t>4,3</w:t>
            </w:r>
          </w:p>
        </w:tc>
        <w:tc>
          <w:tcPr>
            <w:tcW w:w="599" w:type="pct"/>
            <w:gridSpan w:val="2"/>
            <w:shd w:val="clear" w:color="auto" w:fill="auto"/>
          </w:tcPr>
          <w:p w:rsidR="00534FB5" w:rsidRPr="00953114" w:rsidRDefault="00534FB5" w:rsidP="00534FB5">
            <w:pPr>
              <w:contextualSpacing/>
              <w:rPr>
                <w:spacing w:val="-12"/>
              </w:rPr>
            </w:pPr>
            <w:r w:rsidRPr="00953114">
              <w:rPr>
                <w:spacing w:val="-12"/>
              </w:rPr>
              <w:t>3,0</w:t>
            </w:r>
          </w:p>
        </w:tc>
        <w:tc>
          <w:tcPr>
            <w:tcW w:w="648" w:type="pct"/>
            <w:gridSpan w:val="2"/>
            <w:shd w:val="clear" w:color="auto" w:fill="auto"/>
          </w:tcPr>
          <w:p w:rsidR="00534FB5" w:rsidRPr="00953114" w:rsidRDefault="00534FB5" w:rsidP="00534FB5">
            <w:pPr>
              <w:contextualSpacing/>
              <w:rPr>
                <w:spacing w:val="-12"/>
              </w:rPr>
            </w:pPr>
            <w:r w:rsidRPr="00953114">
              <w:rPr>
                <w:spacing w:val="-12"/>
              </w:rPr>
              <w:t>-</w:t>
            </w:r>
          </w:p>
        </w:tc>
        <w:tc>
          <w:tcPr>
            <w:tcW w:w="668" w:type="pct"/>
            <w:shd w:val="clear" w:color="auto" w:fill="auto"/>
          </w:tcPr>
          <w:p w:rsidR="00534FB5" w:rsidRPr="00953114" w:rsidRDefault="00534FB5" w:rsidP="00534FB5">
            <w:pPr>
              <w:contextualSpacing/>
              <w:rPr>
                <w:spacing w:val="-12"/>
              </w:rPr>
            </w:pPr>
            <w:r w:rsidRPr="00953114">
              <w:rPr>
                <w:spacing w:val="-12"/>
              </w:rPr>
              <w:t>-</w:t>
            </w:r>
          </w:p>
        </w:tc>
        <w:tc>
          <w:tcPr>
            <w:tcW w:w="567" w:type="pct"/>
            <w:shd w:val="clear" w:color="auto" w:fill="auto"/>
          </w:tcPr>
          <w:p w:rsidR="00534FB5" w:rsidRPr="00953114" w:rsidRDefault="00534FB5" w:rsidP="00534FB5">
            <w:pPr>
              <w:contextualSpacing/>
              <w:rPr>
                <w:spacing w:val="-12"/>
              </w:rPr>
            </w:pPr>
            <w:r w:rsidRPr="00953114">
              <w:rPr>
                <w:spacing w:val="-12"/>
              </w:rPr>
              <w:t>-</w:t>
            </w:r>
          </w:p>
        </w:tc>
        <w:tc>
          <w:tcPr>
            <w:tcW w:w="597" w:type="pct"/>
            <w:shd w:val="clear" w:color="auto" w:fill="auto"/>
          </w:tcPr>
          <w:p w:rsidR="00534FB5" w:rsidRPr="00953114" w:rsidRDefault="00534FB5" w:rsidP="00534FB5">
            <w:pPr>
              <w:contextualSpacing/>
              <w:rPr>
                <w:spacing w:val="-12"/>
              </w:rPr>
            </w:pPr>
            <w:r w:rsidRPr="00953114">
              <w:rPr>
                <w:spacing w:val="-12"/>
              </w:rPr>
              <w:t>-</w:t>
            </w:r>
          </w:p>
        </w:tc>
      </w:tr>
    </w:tbl>
    <w:p w:rsidR="00534FB5" w:rsidRPr="00724483" w:rsidRDefault="00534FB5" w:rsidP="00534FB5">
      <w:pPr>
        <w:ind w:left="-142"/>
        <w:jc w:val="left"/>
        <w:rPr>
          <w:sz w:val="24"/>
          <w:szCs w:val="24"/>
        </w:rPr>
      </w:pPr>
      <w:r w:rsidRPr="00724483">
        <w:rPr>
          <w:sz w:val="24"/>
          <w:szCs w:val="24"/>
        </w:rPr>
        <w:t xml:space="preserve">Примітка: * </w:t>
      </w:r>
      <w:r>
        <w:rPr>
          <w:sz w:val="24"/>
          <w:szCs w:val="24"/>
        </w:rPr>
        <w:t xml:space="preserve">– </w:t>
      </w:r>
      <w:r w:rsidRPr="00724483">
        <w:rPr>
          <w:sz w:val="24"/>
          <w:szCs w:val="24"/>
        </w:rPr>
        <w:t>достовірна різниця між показниками (р&lt;0,05)</w:t>
      </w:r>
      <w:r>
        <w:rPr>
          <w:sz w:val="24"/>
          <w:szCs w:val="24"/>
        </w:rPr>
        <w:t>.</w:t>
      </w: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Pr="0021062B"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pP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sz w:val="26"/>
          <w:szCs w:val="26"/>
          <w:shd w:val="clear" w:color="auto" w:fill="EEEEEE"/>
          <w:lang w:eastAsia="ru-RU"/>
        </w:rPr>
        <w:sectPr w:rsidR="00534FB5" w:rsidSect="00534FB5">
          <w:pgSz w:w="11906" w:h="16838"/>
          <w:pgMar w:top="-1560" w:right="851" w:bottom="1134" w:left="1701" w:header="1134" w:footer="709" w:gutter="0"/>
          <w:cols w:space="708"/>
          <w:docGrid w:linePitch="381"/>
        </w:sectPr>
      </w:pPr>
    </w:p>
    <w:p w:rsidR="00534FB5" w:rsidRPr="00E40BFA" w:rsidRDefault="00534FB5" w:rsidP="00534FB5">
      <w:pPr>
        <w:ind w:firstLine="708"/>
        <w:jc w:val="center"/>
      </w:pPr>
      <w:r>
        <w:lastRenderedPageBreak/>
        <w:t>Додаток Г</w:t>
      </w:r>
    </w:p>
    <w:p w:rsidR="00534FB5" w:rsidRPr="00E40BFA" w:rsidRDefault="00534FB5" w:rsidP="00534FB5">
      <w:pPr>
        <w:jc w:val="center"/>
      </w:pPr>
      <w:r w:rsidRPr="00E40BFA">
        <w:t xml:space="preserve">Мікробіологічна характеристика біоценозів, </w:t>
      </w:r>
      <w:r w:rsidRPr="00E40BFA">
        <w:rPr>
          <w:bCs/>
          <w:color w:val="000000"/>
        </w:rPr>
        <w:t xml:space="preserve">ізольованих </w:t>
      </w:r>
      <w:r>
        <w:rPr>
          <w:bCs/>
          <w:color w:val="000000"/>
        </w:rPr>
        <w:t>і</w:t>
      </w:r>
      <w:r w:rsidRPr="00E40BFA">
        <w:rPr>
          <w:bCs/>
          <w:color w:val="000000"/>
        </w:rPr>
        <w:t xml:space="preserve">з зубних бляшок дітей контрольної групи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096"/>
        <w:gridCol w:w="1201"/>
        <w:gridCol w:w="1121"/>
        <w:gridCol w:w="1201"/>
        <w:gridCol w:w="1121"/>
        <w:gridCol w:w="1201"/>
        <w:gridCol w:w="1121"/>
      </w:tblGrid>
      <w:tr w:rsidR="00534FB5" w:rsidRPr="00E40BFA" w:rsidTr="00534FB5">
        <w:tc>
          <w:tcPr>
            <w:tcW w:w="265" w:type="pct"/>
            <w:vMerge w:val="restart"/>
            <w:shd w:val="clear" w:color="auto" w:fill="auto"/>
            <w:vAlign w:val="center"/>
          </w:tcPr>
          <w:p w:rsidR="00534FB5" w:rsidRPr="00DA5D8C" w:rsidRDefault="00534FB5" w:rsidP="00534FB5">
            <w:pPr>
              <w:spacing w:after="60" w:line="240" w:lineRule="auto"/>
              <w:jc w:val="center"/>
              <w:rPr>
                <w:spacing w:val="-12"/>
              </w:rPr>
            </w:pPr>
            <w:r w:rsidRPr="00DA5D8C">
              <w:rPr>
                <w:spacing w:val="-12"/>
              </w:rPr>
              <w:t>№</w:t>
            </w:r>
          </w:p>
          <w:p w:rsidR="00534FB5" w:rsidRPr="00DA5D8C" w:rsidRDefault="00534FB5" w:rsidP="00534FB5">
            <w:pPr>
              <w:spacing w:after="60" w:line="240" w:lineRule="auto"/>
              <w:jc w:val="center"/>
              <w:rPr>
                <w:spacing w:val="-12"/>
              </w:rPr>
            </w:pPr>
            <w:r w:rsidRPr="00DA5D8C">
              <w:rPr>
                <w:spacing w:val="-12"/>
              </w:rPr>
              <w:t>п/п</w:t>
            </w:r>
          </w:p>
        </w:tc>
        <w:tc>
          <w:tcPr>
            <w:tcW w:w="1095" w:type="pct"/>
            <w:vMerge w:val="restart"/>
            <w:shd w:val="clear" w:color="auto" w:fill="auto"/>
            <w:vAlign w:val="center"/>
          </w:tcPr>
          <w:p w:rsidR="00534FB5" w:rsidRPr="00DA5D8C" w:rsidRDefault="00534FB5" w:rsidP="00534FB5">
            <w:pPr>
              <w:spacing w:after="60" w:line="240" w:lineRule="auto"/>
              <w:jc w:val="center"/>
              <w:rPr>
                <w:spacing w:val="-12"/>
              </w:rPr>
            </w:pPr>
            <w:r w:rsidRPr="00DA5D8C">
              <w:rPr>
                <w:spacing w:val="-12"/>
              </w:rPr>
              <w:t>Представники родів та видів мікроорганізмів</w:t>
            </w:r>
          </w:p>
        </w:tc>
        <w:tc>
          <w:tcPr>
            <w:tcW w:w="3639" w:type="pct"/>
            <w:gridSpan w:val="6"/>
            <w:shd w:val="clear" w:color="auto" w:fill="auto"/>
            <w:vAlign w:val="center"/>
          </w:tcPr>
          <w:p w:rsidR="00534FB5" w:rsidRPr="00DA5D8C" w:rsidRDefault="00534FB5" w:rsidP="00534FB5">
            <w:pPr>
              <w:spacing w:after="60" w:line="240" w:lineRule="auto"/>
              <w:jc w:val="center"/>
              <w:rPr>
                <w:spacing w:val="-12"/>
              </w:rPr>
            </w:pPr>
            <w:r w:rsidRPr="00DA5D8C">
              <w:rPr>
                <w:spacing w:val="-12"/>
              </w:rPr>
              <w:t>Вікові підгрупи обстежених дітей</w:t>
            </w:r>
          </w:p>
        </w:tc>
      </w:tr>
      <w:tr w:rsidR="00534FB5" w:rsidRPr="00E40BFA" w:rsidTr="00534FB5">
        <w:tc>
          <w:tcPr>
            <w:tcW w:w="265" w:type="pct"/>
            <w:vMerge/>
            <w:shd w:val="clear" w:color="auto" w:fill="auto"/>
          </w:tcPr>
          <w:p w:rsidR="00534FB5" w:rsidRPr="00DA5D8C" w:rsidRDefault="00534FB5" w:rsidP="00534FB5">
            <w:pPr>
              <w:spacing w:after="60" w:line="240" w:lineRule="auto"/>
              <w:rPr>
                <w:spacing w:val="-12"/>
              </w:rPr>
            </w:pPr>
          </w:p>
        </w:tc>
        <w:tc>
          <w:tcPr>
            <w:tcW w:w="1095" w:type="pct"/>
            <w:vMerge/>
            <w:shd w:val="clear" w:color="auto" w:fill="auto"/>
            <w:vAlign w:val="center"/>
          </w:tcPr>
          <w:p w:rsidR="00534FB5" w:rsidRPr="00DA5D8C" w:rsidRDefault="00534FB5" w:rsidP="00534FB5">
            <w:pPr>
              <w:spacing w:after="60" w:line="240" w:lineRule="auto"/>
              <w:jc w:val="center"/>
              <w:rPr>
                <w:spacing w:val="-12"/>
              </w:rPr>
            </w:pP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rPr>
              <w:t>7-8 років</w:t>
            </w: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rPr>
              <w:t>11-12 років</w:t>
            </w: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rPr>
              <w:t>14-15 років</w:t>
            </w:r>
          </w:p>
        </w:tc>
      </w:tr>
      <w:tr w:rsidR="00534FB5" w:rsidRPr="00E40BFA" w:rsidTr="00534FB5">
        <w:tc>
          <w:tcPr>
            <w:tcW w:w="265" w:type="pct"/>
            <w:vMerge/>
            <w:shd w:val="clear" w:color="auto" w:fill="auto"/>
          </w:tcPr>
          <w:p w:rsidR="00534FB5" w:rsidRPr="00DA5D8C" w:rsidRDefault="00534FB5" w:rsidP="00534FB5">
            <w:pPr>
              <w:spacing w:after="60" w:line="240" w:lineRule="auto"/>
              <w:rPr>
                <w:spacing w:val="-12"/>
              </w:rPr>
            </w:pPr>
          </w:p>
        </w:tc>
        <w:tc>
          <w:tcPr>
            <w:tcW w:w="1095" w:type="pct"/>
            <w:vMerge/>
            <w:shd w:val="clear" w:color="auto" w:fill="auto"/>
            <w:vAlign w:val="center"/>
          </w:tcPr>
          <w:p w:rsidR="00534FB5" w:rsidRPr="00DA5D8C" w:rsidRDefault="00534FB5" w:rsidP="00534FB5">
            <w:pPr>
              <w:spacing w:after="60" w:line="240" w:lineRule="auto"/>
              <w:jc w:val="center"/>
              <w:rPr>
                <w:spacing w:val="-12"/>
              </w:rPr>
            </w:pP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lang w:val="en-US"/>
              </w:rPr>
              <w:t xml:space="preserve"> n=</w:t>
            </w:r>
            <w:r w:rsidRPr="00DA5D8C">
              <w:rPr>
                <w:spacing w:val="-12"/>
              </w:rPr>
              <w:t>10</w:t>
            </w: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 </w:t>
            </w:r>
            <w:r w:rsidRPr="00DA5D8C">
              <w:rPr>
                <w:spacing w:val="-12"/>
                <w:lang w:val="en-US"/>
              </w:rPr>
              <w:t>n=</w:t>
            </w:r>
            <w:r w:rsidRPr="00DA5D8C">
              <w:rPr>
                <w:spacing w:val="-12"/>
              </w:rPr>
              <w:t>10</w:t>
            </w:r>
          </w:p>
        </w:tc>
        <w:tc>
          <w:tcPr>
            <w:tcW w:w="1213" w:type="pct"/>
            <w:gridSpan w:val="2"/>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 </w:t>
            </w:r>
            <w:r w:rsidRPr="00DA5D8C">
              <w:rPr>
                <w:spacing w:val="-12"/>
                <w:lang w:val="en-US"/>
              </w:rPr>
              <w:t>n=</w:t>
            </w:r>
            <w:r w:rsidRPr="00DA5D8C">
              <w:rPr>
                <w:spacing w:val="-12"/>
              </w:rPr>
              <w:t>12</w:t>
            </w:r>
          </w:p>
        </w:tc>
      </w:tr>
      <w:tr w:rsidR="00534FB5" w:rsidRPr="00E40BFA" w:rsidTr="00534FB5">
        <w:tc>
          <w:tcPr>
            <w:tcW w:w="265" w:type="pct"/>
            <w:vMerge/>
            <w:shd w:val="clear" w:color="auto" w:fill="auto"/>
          </w:tcPr>
          <w:p w:rsidR="00534FB5" w:rsidRPr="00DA5D8C" w:rsidRDefault="00534FB5" w:rsidP="00534FB5">
            <w:pPr>
              <w:spacing w:after="60" w:line="240" w:lineRule="auto"/>
              <w:jc w:val="center"/>
              <w:rPr>
                <w:spacing w:val="-12"/>
              </w:rPr>
            </w:pPr>
          </w:p>
        </w:tc>
        <w:tc>
          <w:tcPr>
            <w:tcW w:w="1095" w:type="pct"/>
            <w:vMerge/>
            <w:shd w:val="clear" w:color="auto" w:fill="auto"/>
            <w:vAlign w:val="center"/>
          </w:tcPr>
          <w:p w:rsidR="00534FB5" w:rsidRPr="00DA5D8C" w:rsidRDefault="00534FB5" w:rsidP="00534FB5">
            <w:pPr>
              <w:spacing w:after="60" w:line="240" w:lineRule="auto"/>
              <w:jc w:val="center"/>
              <w:rPr>
                <w:spacing w:val="-12"/>
              </w:rPr>
            </w:pP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lg КУО/г</w:t>
            </w:r>
          </w:p>
          <w:p w:rsidR="00534FB5" w:rsidRPr="00DA5D8C" w:rsidRDefault="00534FB5" w:rsidP="00534FB5">
            <w:pPr>
              <w:spacing w:after="60" w:line="240" w:lineRule="auto"/>
              <w:jc w:val="center"/>
              <w:rPr>
                <w:spacing w:val="-12"/>
              </w:rPr>
            </w:pPr>
            <w:r w:rsidRPr="00DA5D8C">
              <w:rPr>
                <w:spacing w:val="-12"/>
              </w:rPr>
              <w:t>(М±m)</w:t>
            </w: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lg КУО/г</w:t>
            </w:r>
          </w:p>
          <w:p w:rsidR="00534FB5" w:rsidRPr="00DA5D8C" w:rsidRDefault="00534FB5" w:rsidP="00534FB5">
            <w:pPr>
              <w:spacing w:after="60" w:line="240" w:lineRule="auto"/>
              <w:jc w:val="center"/>
              <w:rPr>
                <w:spacing w:val="-12"/>
              </w:rPr>
            </w:pPr>
            <w:r w:rsidRPr="00DA5D8C">
              <w:rPr>
                <w:spacing w:val="-12"/>
              </w:rPr>
              <w:t>(М±m)</w:t>
            </w: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lg КУО/г</w:t>
            </w:r>
          </w:p>
          <w:p w:rsidR="00534FB5" w:rsidRPr="00DA5D8C" w:rsidRDefault="00534FB5" w:rsidP="00534FB5">
            <w:pPr>
              <w:spacing w:after="60" w:line="240" w:lineRule="auto"/>
              <w:jc w:val="center"/>
              <w:rPr>
                <w:spacing w:val="-12"/>
              </w:rPr>
            </w:pPr>
            <w:r w:rsidRPr="00DA5D8C">
              <w:rPr>
                <w:spacing w:val="-12"/>
              </w:rPr>
              <w:t>(М±m)</w:t>
            </w:r>
          </w:p>
        </w:tc>
      </w:tr>
      <w:tr w:rsidR="00534FB5" w:rsidRPr="00E40BFA" w:rsidTr="00534FB5">
        <w:tc>
          <w:tcPr>
            <w:tcW w:w="265" w:type="pct"/>
            <w:vMerge/>
            <w:shd w:val="clear" w:color="auto" w:fill="auto"/>
          </w:tcPr>
          <w:p w:rsidR="00534FB5" w:rsidRPr="00DA5D8C" w:rsidRDefault="00534FB5" w:rsidP="00534FB5">
            <w:pPr>
              <w:spacing w:after="60" w:line="240" w:lineRule="auto"/>
              <w:rPr>
                <w:spacing w:val="-12"/>
              </w:rPr>
            </w:pPr>
          </w:p>
        </w:tc>
        <w:tc>
          <w:tcPr>
            <w:tcW w:w="1095" w:type="pct"/>
            <w:vMerge/>
            <w:shd w:val="clear" w:color="auto" w:fill="auto"/>
            <w:vAlign w:val="center"/>
          </w:tcPr>
          <w:p w:rsidR="00534FB5" w:rsidRPr="00DA5D8C" w:rsidRDefault="00534FB5" w:rsidP="00534FB5">
            <w:pPr>
              <w:spacing w:after="60" w:line="240" w:lineRule="auto"/>
              <w:jc w:val="center"/>
              <w:rPr>
                <w:spacing w:val="-12"/>
              </w:rPr>
            </w:pP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частота вилучення </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щільність </w:t>
            </w:r>
          </w:p>
          <w:p w:rsidR="00534FB5" w:rsidRPr="00DA5D8C" w:rsidRDefault="00534FB5" w:rsidP="00534FB5">
            <w:pPr>
              <w:spacing w:after="60" w:line="240" w:lineRule="auto"/>
              <w:jc w:val="center"/>
              <w:rPr>
                <w:spacing w:val="-12"/>
              </w:rPr>
            </w:pP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частота вилучення </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щільність </w:t>
            </w:r>
          </w:p>
          <w:p w:rsidR="00534FB5" w:rsidRPr="00DA5D8C" w:rsidRDefault="00534FB5" w:rsidP="00534FB5">
            <w:pPr>
              <w:spacing w:after="60" w:line="240" w:lineRule="auto"/>
              <w:jc w:val="center"/>
              <w:rPr>
                <w:spacing w:val="-12"/>
              </w:rPr>
            </w:pPr>
          </w:p>
        </w:tc>
        <w:tc>
          <w:tcPr>
            <w:tcW w:w="627"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частота вилучення </w:t>
            </w:r>
          </w:p>
        </w:tc>
        <w:tc>
          <w:tcPr>
            <w:tcW w:w="586" w:type="pct"/>
            <w:shd w:val="clear" w:color="auto" w:fill="auto"/>
            <w:vAlign w:val="center"/>
          </w:tcPr>
          <w:p w:rsidR="00534FB5" w:rsidRPr="00DA5D8C" w:rsidRDefault="00534FB5" w:rsidP="00534FB5">
            <w:pPr>
              <w:spacing w:after="60" w:line="240" w:lineRule="auto"/>
              <w:jc w:val="center"/>
              <w:rPr>
                <w:spacing w:val="-12"/>
              </w:rPr>
            </w:pPr>
            <w:r w:rsidRPr="00DA5D8C">
              <w:rPr>
                <w:spacing w:val="-12"/>
              </w:rPr>
              <w:t xml:space="preserve">щільність </w:t>
            </w:r>
          </w:p>
          <w:p w:rsidR="00534FB5" w:rsidRPr="00DA5D8C" w:rsidRDefault="00534FB5" w:rsidP="00534FB5">
            <w:pPr>
              <w:spacing w:after="60" w:line="240" w:lineRule="auto"/>
              <w:jc w:val="center"/>
              <w:rPr>
                <w:spacing w:val="-12"/>
              </w:rPr>
            </w:pPr>
          </w:p>
        </w:tc>
      </w:tr>
      <w:tr w:rsidR="00534FB5" w:rsidRPr="00E40BFA" w:rsidTr="00534FB5">
        <w:tc>
          <w:tcPr>
            <w:tcW w:w="265" w:type="pct"/>
            <w:shd w:val="clear" w:color="auto" w:fill="auto"/>
            <w:vAlign w:val="center"/>
          </w:tcPr>
          <w:p w:rsidR="00534FB5" w:rsidRPr="001B5E17" w:rsidRDefault="00534FB5" w:rsidP="00534FB5">
            <w:pPr>
              <w:spacing w:after="60" w:line="240" w:lineRule="auto"/>
              <w:jc w:val="center"/>
            </w:pPr>
            <w:r w:rsidRPr="001B5E17">
              <w:t>1</w:t>
            </w:r>
          </w:p>
        </w:tc>
        <w:tc>
          <w:tcPr>
            <w:tcW w:w="1095"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2</w:t>
            </w:r>
          </w:p>
        </w:tc>
        <w:tc>
          <w:tcPr>
            <w:tcW w:w="627"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3</w:t>
            </w:r>
          </w:p>
        </w:tc>
        <w:tc>
          <w:tcPr>
            <w:tcW w:w="586"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4</w:t>
            </w:r>
          </w:p>
        </w:tc>
        <w:tc>
          <w:tcPr>
            <w:tcW w:w="627"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5</w:t>
            </w:r>
          </w:p>
        </w:tc>
        <w:tc>
          <w:tcPr>
            <w:tcW w:w="586"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6</w:t>
            </w:r>
          </w:p>
        </w:tc>
        <w:tc>
          <w:tcPr>
            <w:tcW w:w="627"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7</w:t>
            </w:r>
          </w:p>
        </w:tc>
        <w:tc>
          <w:tcPr>
            <w:tcW w:w="586" w:type="pct"/>
            <w:shd w:val="clear" w:color="auto" w:fill="auto"/>
            <w:vAlign w:val="center"/>
          </w:tcPr>
          <w:p w:rsidR="00534FB5" w:rsidRPr="00154763" w:rsidRDefault="00534FB5" w:rsidP="00534FB5">
            <w:pPr>
              <w:spacing w:after="60" w:line="240" w:lineRule="auto"/>
              <w:jc w:val="center"/>
              <w:rPr>
                <w:spacing w:val="-12"/>
              </w:rPr>
            </w:pPr>
            <w:r w:rsidRPr="00154763">
              <w:rPr>
                <w:spacing w:val="-12"/>
              </w:rPr>
              <w:t>8</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 mitis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30,0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3,6±0,14</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3,7</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25,1</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3,7±0,06</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2</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 mutans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4,8</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3,8</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33,3</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4,0±0,18</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3</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 oralis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4,1±0,5</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30,0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4,4±0,59</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25,1</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4,2±0,28</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4</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 sаlivarius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50,0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3,9±0,12</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70,0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4,3±0,17</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41,7</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4,2±0,42</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5</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 sanguis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50,0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4,7±0,49</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50,0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4,2±0,31</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41,9</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4,0±0,34</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6</w:t>
            </w:r>
          </w:p>
        </w:tc>
        <w:tc>
          <w:tcPr>
            <w:tcW w:w="1095" w:type="pct"/>
            <w:shd w:val="clear" w:color="auto" w:fill="auto"/>
          </w:tcPr>
          <w:p w:rsidR="00534FB5" w:rsidRPr="00154763" w:rsidRDefault="00534FB5" w:rsidP="00534FB5">
            <w:pPr>
              <w:spacing w:after="60" w:line="240" w:lineRule="auto"/>
              <w:rPr>
                <w:spacing w:val="-12"/>
              </w:rPr>
            </w:pPr>
            <w:r w:rsidRPr="00154763">
              <w:rPr>
                <w:i/>
                <w:spacing w:val="-12"/>
              </w:rPr>
              <w:t>A. viridans</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4,3±0,1</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4,2±0,4</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7</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Enterococcus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3,8</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16,7</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4,1±0,1</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8</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Stomatococcus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3,5</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3,3</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9</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Staphylococcus sp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8,3</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3,1</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10</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Gemella sp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8,3</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3,2</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11</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Corynebacterium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25,1</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3,3±0,18</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12</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Lactobacillus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30,0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3,5±0,21</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20,0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3,8±0,2</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8,3</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3,6</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13</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Haemophillus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3,4</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8,3</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3,4</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14</w:t>
            </w:r>
          </w:p>
        </w:tc>
        <w:tc>
          <w:tcPr>
            <w:tcW w:w="1095" w:type="pct"/>
            <w:shd w:val="clear" w:color="auto" w:fill="auto"/>
          </w:tcPr>
          <w:p w:rsidR="00534FB5" w:rsidRPr="00154763" w:rsidRDefault="00534FB5" w:rsidP="00534FB5">
            <w:pPr>
              <w:spacing w:after="60" w:line="240" w:lineRule="auto"/>
              <w:rPr>
                <w:i/>
                <w:spacing w:val="-12"/>
              </w:rPr>
            </w:pPr>
            <w:r w:rsidRPr="00154763">
              <w:rPr>
                <w:i/>
                <w:spacing w:val="-12"/>
              </w:rPr>
              <w:t>Neisseria spp</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10,0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4,1</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40,0</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3,8±0,31</w:t>
            </w:r>
          </w:p>
        </w:tc>
        <w:tc>
          <w:tcPr>
            <w:tcW w:w="627" w:type="pct"/>
            <w:shd w:val="clear" w:color="auto" w:fill="auto"/>
          </w:tcPr>
          <w:p w:rsidR="00534FB5" w:rsidRPr="00154763" w:rsidRDefault="00534FB5" w:rsidP="00534FB5">
            <w:pPr>
              <w:spacing w:after="60" w:line="240" w:lineRule="auto"/>
              <w:jc w:val="center"/>
              <w:rPr>
                <w:spacing w:val="-12"/>
              </w:rPr>
            </w:pPr>
            <w:r w:rsidRPr="00154763">
              <w:rPr>
                <w:spacing w:val="-12"/>
              </w:rPr>
              <w:t>41,7</w:t>
            </w:r>
          </w:p>
        </w:tc>
        <w:tc>
          <w:tcPr>
            <w:tcW w:w="586" w:type="pct"/>
            <w:shd w:val="clear" w:color="auto" w:fill="auto"/>
          </w:tcPr>
          <w:p w:rsidR="00534FB5" w:rsidRPr="00154763" w:rsidRDefault="00534FB5" w:rsidP="00534FB5">
            <w:pPr>
              <w:spacing w:after="60" w:line="240" w:lineRule="auto"/>
              <w:jc w:val="center"/>
              <w:rPr>
                <w:spacing w:val="-12"/>
              </w:rPr>
            </w:pPr>
            <w:r w:rsidRPr="00154763">
              <w:rPr>
                <w:spacing w:val="-12"/>
              </w:rPr>
              <w:t>4,2±0,26</w:t>
            </w:r>
          </w:p>
          <w:p w:rsidR="00534FB5" w:rsidRPr="00154763" w:rsidRDefault="00534FB5" w:rsidP="00534FB5">
            <w:pPr>
              <w:spacing w:after="60" w:line="240" w:lineRule="auto"/>
              <w:jc w:val="center"/>
              <w:rPr>
                <w:spacing w:val="-12"/>
              </w:rPr>
            </w:pP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15</w:t>
            </w:r>
          </w:p>
        </w:tc>
        <w:tc>
          <w:tcPr>
            <w:tcW w:w="1095" w:type="pct"/>
            <w:shd w:val="clear" w:color="auto" w:fill="auto"/>
          </w:tcPr>
          <w:p w:rsidR="00534FB5" w:rsidRPr="00E40BFA" w:rsidRDefault="00534FB5" w:rsidP="00534FB5">
            <w:pPr>
              <w:spacing w:after="60" w:line="240" w:lineRule="auto"/>
              <w:rPr>
                <w:i/>
              </w:rPr>
            </w:pPr>
            <w:r w:rsidRPr="00E40BFA">
              <w:rPr>
                <w:i/>
              </w:rPr>
              <w:t>Peptostreptococcus spp</w:t>
            </w:r>
          </w:p>
        </w:tc>
        <w:tc>
          <w:tcPr>
            <w:tcW w:w="627" w:type="pct"/>
            <w:shd w:val="clear" w:color="auto" w:fill="auto"/>
          </w:tcPr>
          <w:p w:rsidR="00534FB5" w:rsidRPr="00E40BFA" w:rsidRDefault="00534FB5" w:rsidP="00534FB5">
            <w:pPr>
              <w:spacing w:after="60" w:line="240" w:lineRule="auto"/>
              <w:jc w:val="center"/>
            </w:pPr>
            <w:r w:rsidRPr="00E40BFA">
              <w:t>20,0</w:t>
            </w:r>
          </w:p>
        </w:tc>
        <w:tc>
          <w:tcPr>
            <w:tcW w:w="586" w:type="pct"/>
            <w:shd w:val="clear" w:color="auto" w:fill="auto"/>
          </w:tcPr>
          <w:p w:rsidR="00534FB5" w:rsidRPr="00E40BFA" w:rsidRDefault="00534FB5" w:rsidP="00534FB5">
            <w:pPr>
              <w:spacing w:after="60" w:line="240" w:lineRule="auto"/>
              <w:jc w:val="center"/>
            </w:pPr>
            <w:r w:rsidRPr="00E40BFA">
              <w:t>3,7±0,35</w:t>
            </w:r>
          </w:p>
        </w:tc>
        <w:tc>
          <w:tcPr>
            <w:tcW w:w="627" w:type="pct"/>
            <w:shd w:val="clear" w:color="auto" w:fill="auto"/>
          </w:tcPr>
          <w:p w:rsidR="00534FB5" w:rsidRPr="00E40BFA" w:rsidRDefault="00534FB5" w:rsidP="00534FB5">
            <w:pPr>
              <w:spacing w:after="60" w:line="240" w:lineRule="auto"/>
              <w:jc w:val="center"/>
            </w:pPr>
            <w:r w:rsidRPr="00E40BFA">
              <w:t>10,0</w:t>
            </w:r>
          </w:p>
        </w:tc>
        <w:tc>
          <w:tcPr>
            <w:tcW w:w="586" w:type="pct"/>
            <w:shd w:val="clear" w:color="auto" w:fill="auto"/>
          </w:tcPr>
          <w:p w:rsidR="00534FB5" w:rsidRPr="00E40BFA" w:rsidRDefault="00534FB5" w:rsidP="00534FB5">
            <w:pPr>
              <w:spacing w:after="60" w:line="240" w:lineRule="auto"/>
              <w:jc w:val="center"/>
            </w:pPr>
            <w:r w:rsidRPr="00E40BFA">
              <w:t>4,0</w:t>
            </w:r>
          </w:p>
        </w:tc>
        <w:tc>
          <w:tcPr>
            <w:tcW w:w="627" w:type="pct"/>
            <w:shd w:val="clear" w:color="auto" w:fill="auto"/>
          </w:tcPr>
          <w:p w:rsidR="00534FB5" w:rsidRPr="00E40BFA" w:rsidRDefault="00534FB5" w:rsidP="00534FB5">
            <w:pPr>
              <w:spacing w:after="60" w:line="240" w:lineRule="auto"/>
              <w:jc w:val="center"/>
            </w:pPr>
            <w:r w:rsidRPr="00E40BFA">
              <w:t>10,0</w:t>
            </w:r>
          </w:p>
        </w:tc>
        <w:tc>
          <w:tcPr>
            <w:tcW w:w="586" w:type="pct"/>
            <w:shd w:val="clear" w:color="auto" w:fill="auto"/>
          </w:tcPr>
          <w:p w:rsidR="00534FB5" w:rsidRPr="00E40BFA" w:rsidRDefault="00534FB5" w:rsidP="00534FB5">
            <w:pPr>
              <w:spacing w:after="60" w:line="240" w:lineRule="auto"/>
              <w:jc w:val="center"/>
            </w:pPr>
            <w:r w:rsidRPr="00E40BFA">
              <w:t>4,0</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16</w:t>
            </w:r>
          </w:p>
        </w:tc>
        <w:tc>
          <w:tcPr>
            <w:tcW w:w="1095" w:type="pct"/>
            <w:shd w:val="clear" w:color="auto" w:fill="auto"/>
          </w:tcPr>
          <w:p w:rsidR="00534FB5" w:rsidRPr="00E40BFA" w:rsidRDefault="00534FB5" w:rsidP="00534FB5">
            <w:pPr>
              <w:spacing w:after="60" w:line="240" w:lineRule="auto"/>
              <w:rPr>
                <w:i/>
              </w:rPr>
            </w:pPr>
            <w:r w:rsidRPr="00E40BFA">
              <w:rPr>
                <w:i/>
              </w:rPr>
              <w:t>Veillonella spp</w:t>
            </w:r>
          </w:p>
        </w:tc>
        <w:tc>
          <w:tcPr>
            <w:tcW w:w="627" w:type="pct"/>
            <w:shd w:val="clear" w:color="auto" w:fill="auto"/>
          </w:tcPr>
          <w:p w:rsidR="00534FB5" w:rsidRPr="00E40BFA" w:rsidRDefault="00534FB5" w:rsidP="00534FB5">
            <w:pPr>
              <w:spacing w:after="60" w:line="240" w:lineRule="auto"/>
              <w:jc w:val="center"/>
            </w:pPr>
            <w:r w:rsidRPr="00E40BFA">
              <w:t>20,0</w:t>
            </w:r>
          </w:p>
        </w:tc>
        <w:tc>
          <w:tcPr>
            <w:tcW w:w="586" w:type="pct"/>
            <w:shd w:val="clear" w:color="auto" w:fill="auto"/>
          </w:tcPr>
          <w:p w:rsidR="00534FB5" w:rsidRPr="00E40BFA" w:rsidRDefault="00534FB5" w:rsidP="00534FB5">
            <w:pPr>
              <w:spacing w:after="60" w:line="240" w:lineRule="auto"/>
              <w:jc w:val="center"/>
            </w:pPr>
            <w:r w:rsidRPr="00E40BFA">
              <w:t>3,9±0,1</w:t>
            </w:r>
          </w:p>
        </w:tc>
        <w:tc>
          <w:tcPr>
            <w:tcW w:w="627" w:type="pct"/>
            <w:shd w:val="clear" w:color="auto" w:fill="auto"/>
          </w:tcPr>
          <w:p w:rsidR="00534FB5" w:rsidRPr="00E40BFA" w:rsidRDefault="00534FB5" w:rsidP="00534FB5">
            <w:pPr>
              <w:spacing w:after="60" w:line="240" w:lineRule="auto"/>
              <w:jc w:val="center"/>
            </w:pPr>
            <w:r w:rsidRPr="00E40BFA">
              <w:t>30,0</w:t>
            </w:r>
          </w:p>
        </w:tc>
        <w:tc>
          <w:tcPr>
            <w:tcW w:w="586" w:type="pct"/>
            <w:shd w:val="clear" w:color="auto" w:fill="auto"/>
          </w:tcPr>
          <w:p w:rsidR="00534FB5" w:rsidRPr="00E40BFA" w:rsidRDefault="00534FB5" w:rsidP="00534FB5">
            <w:pPr>
              <w:spacing w:after="60" w:line="240" w:lineRule="auto"/>
              <w:jc w:val="center"/>
            </w:pPr>
            <w:r w:rsidRPr="00E40BFA">
              <w:t>4,3±0,33</w:t>
            </w:r>
          </w:p>
        </w:tc>
        <w:tc>
          <w:tcPr>
            <w:tcW w:w="627" w:type="pct"/>
            <w:shd w:val="clear" w:color="auto" w:fill="auto"/>
          </w:tcPr>
          <w:p w:rsidR="00534FB5" w:rsidRPr="00E40BFA" w:rsidRDefault="00534FB5" w:rsidP="00534FB5">
            <w:pPr>
              <w:spacing w:after="60" w:line="240" w:lineRule="auto"/>
              <w:jc w:val="center"/>
            </w:pPr>
            <w:r w:rsidRPr="00E40BFA">
              <w:t>16,7</w:t>
            </w:r>
          </w:p>
        </w:tc>
        <w:tc>
          <w:tcPr>
            <w:tcW w:w="586" w:type="pct"/>
            <w:shd w:val="clear" w:color="auto" w:fill="auto"/>
          </w:tcPr>
          <w:p w:rsidR="00534FB5" w:rsidRPr="00E40BFA" w:rsidRDefault="00534FB5" w:rsidP="00534FB5">
            <w:pPr>
              <w:spacing w:after="60" w:line="240" w:lineRule="auto"/>
              <w:jc w:val="center"/>
            </w:pPr>
            <w:r w:rsidRPr="00E40BFA">
              <w:t>3,5±0,1</w:t>
            </w:r>
          </w:p>
        </w:tc>
      </w:tr>
      <w:tr w:rsidR="00534FB5" w:rsidRPr="00E40BFA" w:rsidTr="00534FB5">
        <w:tc>
          <w:tcPr>
            <w:tcW w:w="265" w:type="pct"/>
            <w:shd w:val="clear" w:color="auto" w:fill="auto"/>
          </w:tcPr>
          <w:p w:rsidR="00534FB5" w:rsidRPr="00E40BFA" w:rsidRDefault="00534FB5" w:rsidP="00534FB5">
            <w:pPr>
              <w:spacing w:after="60" w:line="240" w:lineRule="auto"/>
            </w:pPr>
            <w:r w:rsidRPr="00E40BFA">
              <w:t>17</w:t>
            </w:r>
          </w:p>
        </w:tc>
        <w:tc>
          <w:tcPr>
            <w:tcW w:w="1095" w:type="pct"/>
            <w:shd w:val="clear" w:color="auto" w:fill="auto"/>
          </w:tcPr>
          <w:p w:rsidR="00534FB5" w:rsidRPr="00E40BFA" w:rsidRDefault="00534FB5" w:rsidP="00534FB5">
            <w:pPr>
              <w:spacing w:after="60" w:line="240" w:lineRule="auto"/>
              <w:rPr>
                <w:i/>
              </w:rPr>
            </w:pPr>
            <w:r w:rsidRPr="00E40BFA">
              <w:rPr>
                <w:i/>
              </w:rPr>
              <w:t>Candida spp</w:t>
            </w:r>
          </w:p>
        </w:tc>
        <w:tc>
          <w:tcPr>
            <w:tcW w:w="627" w:type="pct"/>
            <w:shd w:val="clear" w:color="auto" w:fill="auto"/>
          </w:tcPr>
          <w:p w:rsidR="00534FB5" w:rsidRPr="00E40BFA" w:rsidRDefault="00534FB5" w:rsidP="00534FB5">
            <w:pPr>
              <w:spacing w:after="60" w:line="240" w:lineRule="auto"/>
              <w:jc w:val="center"/>
            </w:pPr>
            <w:r w:rsidRPr="00E40BFA">
              <w:t>-</w:t>
            </w:r>
          </w:p>
        </w:tc>
        <w:tc>
          <w:tcPr>
            <w:tcW w:w="586" w:type="pct"/>
            <w:shd w:val="clear" w:color="auto" w:fill="auto"/>
          </w:tcPr>
          <w:p w:rsidR="00534FB5" w:rsidRPr="00E40BFA" w:rsidRDefault="00534FB5" w:rsidP="00534FB5">
            <w:pPr>
              <w:spacing w:after="60" w:line="240" w:lineRule="auto"/>
              <w:jc w:val="center"/>
            </w:pPr>
            <w:r w:rsidRPr="00E40BFA">
              <w:t>-</w:t>
            </w:r>
          </w:p>
        </w:tc>
        <w:tc>
          <w:tcPr>
            <w:tcW w:w="627" w:type="pct"/>
            <w:shd w:val="clear" w:color="auto" w:fill="auto"/>
          </w:tcPr>
          <w:p w:rsidR="00534FB5" w:rsidRPr="00E40BFA" w:rsidRDefault="00534FB5" w:rsidP="00534FB5">
            <w:pPr>
              <w:spacing w:after="60" w:line="240" w:lineRule="auto"/>
              <w:jc w:val="center"/>
            </w:pPr>
            <w:r w:rsidRPr="00E40BFA">
              <w:t>-</w:t>
            </w:r>
          </w:p>
        </w:tc>
        <w:tc>
          <w:tcPr>
            <w:tcW w:w="586" w:type="pct"/>
            <w:shd w:val="clear" w:color="auto" w:fill="auto"/>
          </w:tcPr>
          <w:p w:rsidR="00534FB5" w:rsidRPr="00E40BFA" w:rsidRDefault="00534FB5" w:rsidP="00534FB5">
            <w:pPr>
              <w:spacing w:after="60" w:line="240" w:lineRule="auto"/>
              <w:jc w:val="center"/>
            </w:pPr>
            <w:r w:rsidRPr="00E40BFA">
              <w:t>-</w:t>
            </w:r>
          </w:p>
        </w:tc>
        <w:tc>
          <w:tcPr>
            <w:tcW w:w="627" w:type="pct"/>
            <w:shd w:val="clear" w:color="auto" w:fill="auto"/>
          </w:tcPr>
          <w:p w:rsidR="00534FB5" w:rsidRPr="00E40BFA" w:rsidRDefault="00534FB5" w:rsidP="00534FB5">
            <w:pPr>
              <w:spacing w:after="60" w:line="240" w:lineRule="auto"/>
              <w:jc w:val="center"/>
            </w:pPr>
            <w:r w:rsidRPr="00E40BFA">
              <w:t>16,7</w:t>
            </w:r>
          </w:p>
        </w:tc>
        <w:tc>
          <w:tcPr>
            <w:tcW w:w="586" w:type="pct"/>
            <w:shd w:val="clear" w:color="auto" w:fill="auto"/>
          </w:tcPr>
          <w:p w:rsidR="00534FB5" w:rsidRPr="00E40BFA" w:rsidRDefault="00534FB5" w:rsidP="00534FB5">
            <w:pPr>
              <w:spacing w:after="60" w:line="240" w:lineRule="auto"/>
              <w:jc w:val="center"/>
            </w:pPr>
            <w:r w:rsidRPr="00E40BFA">
              <w:t>3,2±0,1</w:t>
            </w:r>
          </w:p>
        </w:tc>
      </w:tr>
    </w:tbl>
    <w:p w:rsidR="00534FB5" w:rsidRDefault="00534FB5" w:rsidP="00781ED2">
      <w:pPr>
        <w:shd w:val="clear" w:color="auto" w:fill="FFFFFF"/>
        <w:spacing w:line="240" w:lineRule="auto"/>
        <w:ind w:hanging="142"/>
        <w:contextualSpacing/>
      </w:pPr>
      <w:r w:rsidRPr="004E374C">
        <w:rPr>
          <w:spacing w:val="-1"/>
          <w:sz w:val="24"/>
          <w:szCs w:val="24"/>
        </w:rPr>
        <w:t xml:space="preserve">Примітка: * </w:t>
      </w:r>
      <w:r>
        <w:rPr>
          <w:spacing w:val="-1"/>
          <w:sz w:val="24"/>
          <w:szCs w:val="24"/>
        </w:rPr>
        <w:t xml:space="preserve">– </w:t>
      </w:r>
      <w:r w:rsidRPr="004E374C">
        <w:rPr>
          <w:spacing w:val="-1"/>
          <w:sz w:val="24"/>
          <w:szCs w:val="24"/>
        </w:rPr>
        <w:t xml:space="preserve">достовірна різниця між показниками </w:t>
      </w:r>
      <w:r w:rsidRPr="004E374C">
        <w:rPr>
          <w:sz w:val="24"/>
          <w:szCs w:val="24"/>
        </w:rPr>
        <w:t>(р&lt;0,05</w:t>
      </w:r>
      <w:r>
        <w:t>).</w:t>
      </w:r>
    </w:p>
    <w:p w:rsidR="00534FB5" w:rsidRDefault="00534FB5" w:rsidP="00534FB5">
      <w:pPr>
        <w:ind w:firstLine="708"/>
        <w:jc w:val="center"/>
      </w:pPr>
      <w:r>
        <w:lastRenderedPageBreak/>
        <w:t>Додаток Ґ</w:t>
      </w:r>
    </w:p>
    <w:p w:rsidR="00534FB5" w:rsidRPr="00E40BFA" w:rsidRDefault="00534FB5" w:rsidP="00534FB5">
      <w:pPr>
        <w:jc w:val="center"/>
      </w:pPr>
      <w:r w:rsidRPr="00E40BFA">
        <w:t xml:space="preserve">Мікробіологічна характеристика біоценозів, </w:t>
      </w:r>
      <w:r w:rsidRPr="00E40BFA">
        <w:rPr>
          <w:bCs/>
          <w:color w:val="000000"/>
        </w:rPr>
        <w:t xml:space="preserve">ізольованих </w:t>
      </w:r>
      <w:r>
        <w:rPr>
          <w:bCs/>
          <w:color w:val="000000"/>
        </w:rPr>
        <w:t>і</w:t>
      </w:r>
      <w:r w:rsidRPr="00E40BFA">
        <w:rPr>
          <w:bCs/>
          <w:color w:val="000000"/>
        </w:rPr>
        <w:t xml:space="preserve">з зубної бляшки дітей </w:t>
      </w:r>
      <w:r>
        <w:rPr>
          <w:bCs/>
          <w:color w:val="000000"/>
        </w:rPr>
        <w:t>і</w:t>
      </w:r>
      <w:r w:rsidRPr="00E40BFA">
        <w:rPr>
          <w:bCs/>
          <w:color w:val="000000"/>
        </w:rPr>
        <w:t xml:space="preserve">з вродженою глухотою до та після застосування традиційної </w:t>
      </w:r>
      <w:r w:rsidRPr="00E40BFA">
        <w:t>лікувально-профілактичної схеми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00"/>
        <w:gridCol w:w="714"/>
        <w:gridCol w:w="1133"/>
        <w:gridCol w:w="708"/>
        <w:gridCol w:w="1135"/>
        <w:gridCol w:w="708"/>
        <w:gridCol w:w="1135"/>
        <w:gridCol w:w="710"/>
        <w:gridCol w:w="11"/>
        <w:gridCol w:w="1079"/>
      </w:tblGrid>
      <w:tr w:rsidR="00534FB5" w:rsidRPr="003F41B4" w:rsidTr="00F67279">
        <w:tc>
          <w:tcPr>
            <w:tcW w:w="280" w:type="pct"/>
            <w:vMerge w:val="restar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w:t>
            </w:r>
          </w:p>
          <w:p w:rsidR="00534FB5" w:rsidRPr="003F41B4" w:rsidRDefault="00534FB5" w:rsidP="00534FB5">
            <w:pPr>
              <w:spacing w:line="240" w:lineRule="auto"/>
              <w:contextualSpacing/>
              <w:jc w:val="center"/>
              <w:rPr>
                <w:spacing w:val="-20"/>
              </w:rPr>
            </w:pPr>
            <w:r w:rsidRPr="003F41B4">
              <w:rPr>
                <w:spacing w:val="-20"/>
              </w:rPr>
              <w:t>п/п</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Представ</w:t>
            </w:r>
            <w:r>
              <w:rPr>
                <w:spacing w:val="-20"/>
              </w:rPr>
              <w:t>-</w:t>
            </w:r>
            <w:r w:rsidRPr="003F41B4">
              <w:rPr>
                <w:spacing w:val="-20"/>
              </w:rPr>
              <w:t>ники родів та видів мікроорга</w:t>
            </w:r>
            <w:r>
              <w:rPr>
                <w:spacing w:val="-20"/>
              </w:rPr>
              <w:t>-</w:t>
            </w:r>
            <w:r w:rsidRPr="003F41B4">
              <w:rPr>
                <w:spacing w:val="-20"/>
              </w:rPr>
              <w:t>нізмів</w:t>
            </w:r>
          </w:p>
        </w:tc>
        <w:tc>
          <w:tcPr>
            <w:tcW w:w="3832" w:type="pct"/>
            <w:gridSpan w:val="9"/>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Строки обстеження дітей (</w:t>
            </w:r>
            <w:r w:rsidRPr="003F41B4">
              <w:rPr>
                <w:spacing w:val="-20"/>
                <w:lang w:val="en-US"/>
              </w:rPr>
              <w:t>n=</w:t>
            </w:r>
            <w:r w:rsidRPr="003F41B4">
              <w:rPr>
                <w:spacing w:val="-20"/>
                <w:lang w:val="ru-RU"/>
              </w:rPr>
              <w:t>36)</w:t>
            </w:r>
          </w:p>
        </w:tc>
      </w:tr>
      <w:tr w:rsidR="00534FB5" w:rsidRPr="003F41B4" w:rsidTr="00F67279">
        <w:tc>
          <w:tcPr>
            <w:tcW w:w="280"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965" w:type="pct"/>
            <w:gridSpan w:val="2"/>
            <w:vMerge w:val="restar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lang w:val="ru-RU"/>
              </w:rPr>
            </w:pPr>
            <w:r w:rsidRPr="003F41B4">
              <w:rPr>
                <w:spacing w:val="-20"/>
                <w:lang w:val="ru-RU"/>
              </w:rPr>
              <w:t xml:space="preserve">до застосування </w:t>
            </w:r>
          </w:p>
        </w:tc>
        <w:tc>
          <w:tcPr>
            <w:tcW w:w="2867" w:type="pct"/>
            <w:gridSpan w:val="7"/>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lang w:val="ru-RU"/>
              </w:rPr>
            </w:pPr>
            <w:r w:rsidRPr="003F41B4">
              <w:rPr>
                <w:spacing w:val="-20"/>
                <w:lang w:val="ru-RU"/>
              </w:rPr>
              <w:t>після застосування</w:t>
            </w:r>
          </w:p>
        </w:tc>
      </w:tr>
      <w:tr w:rsidR="00534FB5" w:rsidRPr="003F41B4" w:rsidTr="00F67279">
        <w:tc>
          <w:tcPr>
            <w:tcW w:w="280"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965" w:type="pct"/>
            <w:gridSpan w:val="2"/>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lang w:val="ru-RU"/>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lang w:val="ru-RU"/>
              </w:rPr>
            </w:pPr>
            <w:r w:rsidRPr="003F41B4">
              <w:rPr>
                <w:spacing w:val="-20"/>
                <w:lang w:val="ru-RU"/>
              </w:rPr>
              <w:t>через 1 місяць</w:t>
            </w:r>
          </w:p>
        </w:tc>
        <w:tc>
          <w:tcPr>
            <w:tcW w:w="963" w:type="pct"/>
            <w:gridSpan w:val="2"/>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lang w:val="ru-RU"/>
              </w:rPr>
            </w:pPr>
            <w:r w:rsidRPr="003F41B4">
              <w:rPr>
                <w:spacing w:val="-20"/>
                <w:lang w:val="ru-RU"/>
              </w:rPr>
              <w:t>через 6 місяців</w:t>
            </w:r>
          </w:p>
        </w:tc>
        <w:tc>
          <w:tcPr>
            <w:tcW w:w="941" w:type="pct"/>
            <w:gridSpan w:val="3"/>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lang w:val="ru-RU"/>
              </w:rPr>
            </w:pPr>
            <w:r w:rsidRPr="003F41B4">
              <w:rPr>
                <w:spacing w:val="-20"/>
                <w:lang w:val="ru-RU"/>
              </w:rPr>
              <w:t>через 12 місяців</w:t>
            </w:r>
          </w:p>
        </w:tc>
      </w:tr>
      <w:tr w:rsidR="00534FB5" w:rsidRPr="003F41B4" w:rsidTr="00F67279">
        <w:tc>
          <w:tcPr>
            <w:tcW w:w="280"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37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ind w:right="-107"/>
              <w:contextualSpacing/>
              <w:jc w:val="center"/>
              <w:rPr>
                <w:spacing w:val="-20"/>
              </w:rPr>
            </w:pPr>
            <w:r w:rsidRPr="003F41B4">
              <w:rPr>
                <w:spacing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lg КУО/г</w:t>
            </w:r>
          </w:p>
          <w:p w:rsidR="00534FB5" w:rsidRPr="003F41B4" w:rsidRDefault="00534FB5" w:rsidP="00534FB5">
            <w:pPr>
              <w:spacing w:line="240" w:lineRule="auto"/>
              <w:contextualSpacing/>
              <w:jc w:val="center"/>
              <w:rPr>
                <w:spacing w:val="-20"/>
              </w:rPr>
            </w:pPr>
            <w:r w:rsidRPr="003F41B4">
              <w:rPr>
                <w:spacing w:val="-20"/>
              </w:rPr>
              <w:t>(М±m)</w:t>
            </w:r>
          </w:p>
        </w:tc>
        <w:tc>
          <w:tcPr>
            <w:tcW w:w="370"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w:t>
            </w:r>
          </w:p>
        </w:tc>
        <w:tc>
          <w:tcPr>
            <w:tcW w:w="59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lg КУО/г</w:t>
            </w:r>
          </w:p>
          <w:p w:rsidR="00534FB5" w:rsidRPr="003F41B4" w:rsidRDefault="00534FB5" w:rsidP="00534FB5">
            <w:pPr>
              <w:spacing w:line="240" w:lineRule="auto"/>
              <w:contextualSpacing/>
              <w:jc w:val="center"/>
              <w:rPr>
                <w:spacing w:val="-20"/>
              </w:rPr>
            </w:pPr>
            <w:r w:rsidRPr="003F41B4">
              <w:rPr>
                <w:spacing w:val="-20"/>
              </w:rPr>
              <w:t>(М±m)</w:t>
            </w:r>
          </w:p>
        </w:tc>
        <w:tc>
          <w:tcPr>
            <w:tcW w:w="370"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w:t>
            </w:r>
          </w:p>
        </w:tc>
        <w:tc>
          <w:tcPr>
            <w:tcW w:w="59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lg КУО/г</w:t>
            </w:r>
          </w:p>
          <w:p w:rsidR="00534FB5" w:rsidRPr="003F41B4" w:rsidRDefault="00534FB5" w:rsidP="00534FB5">
            <w:pPr>
              <w:spacing w:line="240" w:lineRule="auto"/>
              <w:contextualSpacing/>
              <w:jc w:val="center"/>
              <w:rPr>
                <w:spacing w:val="-20"/>
              </w:rPr>
            </w:pPr>
            <w:r w:rsidRPr="003F41B4">
              <w:rPr>
                <w:spacing w:val="-20"/>
              </w:rPr>
              <w:t>(М±m)</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jc w:val="center"/>
              <w:rPr>
                <w:spacing w:val="-20"/>
              </w:rPr>
            </w:pPr>
            <w:r w:rsidRPr="003F41B4">
              <w:rPr>
                <w:spacing w:val="-20"/>
              </w:rPr>
              <w:t>lg КУО/г</w:t>
            </w:r>
          </w:p>
          <w:p w:rsidR="00534FB5" w:rsidRPr="003F41B4" w:rsidRDefault="00534FB5" w:rsidP="00534FB5">
            <w:pPr>
              <w:spacing w:line="240" w:lineRule="auto"/>
              <w:contextualSpacing/>
              <w:jc w:val="center"/>
              <w:rPr>
                <w:spacing w:val="-20"/>
              </w:rPr>
            </w:pPr>
            <w:r w:rsidRPr="003F41B4">
              <w:rPr>
                <w:spacing w:val="-20"/>
              </w:rPr>
              <w:t>(М±m)</w:t>
            </w:r>
          </w:p>
        </w:tc>
      </w:tr>
      <w:tr w:rsidR="00534FB5" w:rsidRPr="003F41B4" w:rsidTr="00F67279">
        <w:trPr>
          <w:cantSplit/>
          <w:trHeight w:val="1289"/>
        </w:trPr>
        <w:tc>
          <w:tcPr>
            <w:tcW w:w="280"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spacing w:line="240" w:lineRule="auto"/>
              <w:contextualSpacing/>
              <w:rPr>
                <w:spacing w:val="-20"/>
              </w:rPr>
            </w:pP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07"/>
              <w:contextualSpacing/>
              <w:jc w:val="center"/>
              <w:rPr>
                <w:spacing w:val="-20"/>
              </w:rPr>
            </w:pPr>
            <w:r w:rsidRPr="003F41B4">
              <w:rPr>
                <w:spacing w:val="-20"/>
              </w:rPr>
              <w:t xml:space="preserve">частота </w:t>
            </w:r>
          </w:p>
        </w:tc>
        <w:tc>
          <w:tcPr>
            <w:tcW w:w="592"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щільність </w:t>
            </w:r>
          </w:p>
          <w:p w:rsidR="00534FB5" w:rsidRPr="003F41B4" w:rsidRDefault="00534FB5" w:rsidP="00534FB5">
            <w:pPr>
              <w:spacing w:line="240" w:lineRule="auto"/>
              <w:ind w:left="113" w:right="113"/>
              <w:contextualSpacing/>
              <w:jc w:val="center"/>
              <w:rPr>
                <w:spacing w:val="-20"/>
              </w:rPr>
            </w:pP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частота </w:t>
            </w:r>
          </w:p>
        </w:tc>
        <w:tc>
          <w:tcPr>
            <w:tcW w:w="593"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щільність </w:t>
            </w:r>
          </w:p>
          <w:p w:rsidR="00534FB5" w:rsidRPr="003F41B4" w:rsidRDefault="00534FB5" w:rsidP="00534FB5">
            <w:pPr>
              <w:spacing w:line="240" w:lineRule="auto"/>
              <w:ind w:left="113" w:right="113"/>
              <w:contextualSpacing/>
              <w:jc w:val="center"/>
              <w:rPr>
                <w:spacing w:val="-20"/>
              </w:rPr>
            </w:pP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частота </w:t>
            </w:r>
          </w:p>
        </w:tc>
        <w:tc>
          <w:tcPr>
            <w:tcW w:w="593"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щільність </w:t>
            </w:r>
          </w:p>
          <w:p w:rsidR="00534FB5" w:rsidRPr="003F41B4" w:rsidRDefault="00534FB5" w:rsidP="00534FB5">
            <w:pPr>
              <w:spacing w:line="240" w:lineRule="auto"/>
              <w:ind w:left="113" w:right="113"/>
              <w:contextualSpacing/>
              <w:jc w:val="center"/>
              <w:rPr>
                <w:spacing w:val="-20"/>
              </w:rPr>
            </w:pPr>
          </w:p>
        </w:tc>
        <w:tc>
          <w:tcPr>
            <w:tcW w:w="377" w:type="pct"/>
            <w:gridSpan w:val="2"/>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частота </w:t>
            </w:r>
          </w:p>
        </w:tc>
        <w:tc>
          <w:tcPr>
            <w:tcW w:w="565" w:type="pct"/>
            <w:tcBorders>
              <w:top w:val="single" w:sz="4" w:space="0" w:color="auto"/>
              <w:left w:val="single" w:sz="4" w:space="0" w:color="auto"/>
              <w:bottom w:val="single" w:sz="4" w:space="0" w:color="auto"/>
              <w:right w:val="single" w:sz="4" w:space="0" w:color="auto"/>
            </w:tcBorders>
            <w:textDirection w:val="btLr"/>
            <w:vAlign w:val="center"/>
          </w:tcPr>
          <w:p w:rsidR="00534FB5" w:rsidRPr="003F41B4" w:rsidRDefault="00534FB5" w:rsidP="00534FB5">
            <w:pPr>
              <w:spacing w:line="240" w:lineRule="auto"/>
              <w:ind w:left="113" w:right="113"/>
              <w:contextualSpacing/>
              <w:jc w:val="center"/>
              <w:rPr>
                <w:spacing w:val="-20"/>
              </w:rPr>
            </w:pPr>
            <w:r w:rsidRPr="003F41B4">
              <w:rPr>
                <w:spacing w:val="-20"/>
              </w:rPr>
              <w:t xml:space="preserve">щільність </w:t>
            </w:r>
          </w:p>
          <w:p w:rsidR="00534FB5" w:rsidRPr="003F41B4" w:rsidRDefault="00534FB5" w:rsidP="00534FB5">
            <w:pPr>
              <w:spacing w:line="240" w:lineRule="auto"/>
              <w:ind w:left="113" w:right="113"/>
              <w:contextualSpacing/>
              <w:jc w:val="center"/>
              <w:rPr>
                <w:spacing w:val="-20"/>
              </w:rPr>
            </w:pP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1</w:t>
            </w:r>
          </w:p>
        </w:tc>
        <w:tc>
          <w:tcPr>
            <w:tcW w:w="888"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2</w:t>
            </w:r>
          </w:p>
        </w:tc>
        <w:tc>
          <w:tcPr>
            <w:tcW w:w="37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4</w:t>
            </w:r>
          </w:p>
        </w:tc>
        <w:tc>
          <w:tcPr>
            <w:tcW w:w="370"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5</w:t>
            </w:r>
          </w:p>
        </w:tc>
        <w:tc>
          <w:tcPr>
            <w:tcW w:w="59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6</w:t>
            </w:r>
          </w:p>
        </w:tc>
        <w:tc>
          <w:tcPr>
            <w:tcW w:w="370"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7</w:t>
            </w:r>
          </w:p>
        </w:tc>
        <w:tc>
          <w:tcPr>
            <w:tcW w:w="593"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8</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9</w:t>
            </w:r>
          </w:p>
        </w:tc>
        <w:tc>
          <w:tcPr>
            <w:tcW w:w="565" w:type="pct"/>
            <w:tcBorders>
              <w:top w:val="single" w:sz="4" w:space="0" w:color="auto"/>
              <w:left w:val="single" w:sz="4" w:space="0" w:color="auto"/>
              <w:bottom w:val="single" w:sz="4" w:space="0" w:color="auto"/>
              <w:right w:val="single" w:sz="4" w:space="0" w:color="auto"/>
            </w:tcBorders>
            <w:vAlign w:val="center"/>
          </w:tcPr>
          <w:p w:rsidR="00534FB5" w:rsidRPr="003F41B4" w:rsidRDefault="00534FB5" w:rsidP="00534FB5">
            <w:pPr>
              <w:jc w:val="center"/>
              <w:rPr>
                <w:spacing w:val="-20"/>
              </w:rPr>
            </w:pPr>
            <w:r w:rsidRPr="003F41B4">
              <w:rPr>
                <w:spacing w:val="-20"/>
              </w:rPr>
              <w:t>10</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mitis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11,1</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3,5±0,09</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13,9</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3,6±0,12</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27,8</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3,7±0,05</w:t>
            </w:r>
          </w:p>
        </w:tc>
        <w:tc>
          <w:tcPr>
            <w:tcW w:w="377"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30,6</w:t>
            </w:r>
          </w:p>
        </w:tc>
        <w:tc>
          <w:tcPr>
            <w:tcW w:w="565"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4,2±0,11</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mutans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41,7</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6,6±0,33</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41,7</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4,7±0,52*</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41,7</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5,4±0,2*</w:t>
            </w:r>
          </w:p>
        </w:tc>
        <w:tc>
          <w:tcPr>
            <w:tcW w:w="377"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36,1</w:t>
            </w:r>
          </w:p>
        </w:tc>
        <w:tc>
          <w:tcPr>
            <w:tcW w:w="565"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4,8±0,31*</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oralis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11,1</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3,3±0,15</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5,6</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3,9±0,4</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13,9</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4,4±0,61</w:t>
            </w:r>
          </w:p>
        </w:tc>
        <w:tc>
          <w:tcPr>
            <w:tcW w:w="377"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16,7</w:t>
            </w:r>
          </w:p>
        </w:tc>
        <w:tc>
          <w:tcPr>
            <w:tcW w:w="565"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4,6±0,44</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sаlivarius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3,3</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3,2</w:t>
            </w:r>
          </w:p>
        </w:tc>
        <w:tc>
          <w:tcPr>
            <w:tcW w:w="377"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65"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3,7</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sanguis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19,4</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6,5±0,92</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16,7</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5,0±0,65</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16,7</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5,2±0,44</w:t>
            </w:r>
          </w:p>
        </w:tc>
        <w:tc>
          <w:tcPr>
            <w:tcW w:w="377"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16,7</w:t>
            </w:r>
          </w:p>
        </w:tc>
        <w:tc>
          <w:tcPr>
            <w:tcW w:w="565"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5,2±0,25</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6</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pyogеnеs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8,3</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4,4±0,52</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lang w:val="ru-RU"/>
              </w:rPr>
            </w:pPr>
            <w:r w:rsidRPr="003F41B4">
              <w:rPr>
                <w:spacing w:val="-20"/>
                <w:lang w:val="ru-RU"/>
              </w:rPr>
              <w:t>-</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lang w:val="ru-RU"/>
              </w:rPr>
            </w:pPr>
            <w:r w:rsidRPr="003F41B4">
              <w:rPr>
                <w:spacing w:val="-20"/>
                <w:lang w:val="ru-RU"/>
              </w:rPr>
              <w:t>-</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7</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Enterococcus spp</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30,6</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5,4±0,85</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30,6</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4,3±0,28</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38,9</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4,6±0,49</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36,1</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4,7±0,34</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8</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Stomatococcus spp</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11,1</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4,5±0,24</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11,1</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3,6±0,34</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5,6</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3,3±0,3</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rPr>
            </w:pPr>
            <w:r w:rsidRPr="003F41B4">
              <w:rPr>
                <w:spacing w:val="-20"/>
              </w:rPr>
              <w:t>3,5</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9</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S. aureus</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8,3</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3,2±0,1</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lang w:val="ru-RU"/>
              </w:rPr>
            </w:pPr>
            <w:r w:rsidRPr="003F41B4">
              <w:rPr>
                <w:spacing w:val="-20"/>
                <w:lang w:val="ru-RU"/>
              </w:rPr>
              <w:t>-</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lang w:val="ru-RU"/>
              </w:rPr>
            </w:pPr>
            <w:r w:rsidRPr="003F41B4">
              <w:rPr>
                <w:spacing w:val="-20"/>
                <w:lang w:val="ru-RU"/>
              </w:rPr>
              <w:t>-</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10</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lang w:val="ru-RU"/>
              </w:rPr>
            </w:pPr>
            <w:r w:rsidRPr="003F41B4">
              <w:rPr>
                <w:i/>
                <w:spacing w:val="-20"/>
              </w:rPr>
              <w:t>Staphylococcus sp</w:t>
            </w:r>
            <w:r w:rsidRPr="003F41B4">
              <w:rPr>
                <w:i/>
                <w:spacing w:val="-20"/>
                <w:lang w:val="ru-RU"/>
              </w:rPr>
              <w:t>р</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25,0</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rPr>
              <w:t>3,3±0,23</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rPr>
              <w:t>5,6</w:t>
            </w: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3,3±0,01</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lang w:val="ru-RU"/>
              </w:rPr>
            </w:pPr>
            <w:r w:rsidRPr="003F41B4">
              <w:rPr>
                <w:spacing w:val="-20"/>
                <w:lang w:val="ru-RU"/>
              </w:rPr>
              <w:t>-</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rPr>
                <w:i/>
                <w:spacing w:val="-20"/>
              </w:rPr>
            </w:pPr>
            <w:r w:rsidRPr="003F41B4">
              <w:rPr>
                <w:i/>
                <w:spacing w:val="-20"/>
              </w:rPr>
              <w:t>Gemella sp</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3,6</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lang w:val="ru-RU"/>
              </w:rPr>
            </w:pPr>
            <w:r w:rsidRPr="003F41B4">
              <w:rPr>
                <w:spacing w:val="-20"/>
                <w:lang w:val="ru-RU"/>
              </w:rPr>
              <w:t>-</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lang w:val="ru-RU"/>
              </w:rPr>
            </w:pPr>
            <w:r w:rsidRPr="003F41B4">
              <w:rPr>
                <w:spacing w:val="-20"/>
                <w:lang w:val="ru-RU"/>
              </w:rPr>
              <w:t>-</w:t>
            </w:r>
          </w:p>
        </w:tc>
      </w:tr>
      <w:tr w:rsidR="00534FB5" w:rsidRPr="003F41B4" w:rsidTr="00F67279">
        <w:tc>
          <w:tcPr>
            <w:tcW w:w="28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12</w:t>
            </w:r>
          </w:p>
        </w:tc>
        <w:tc>
          <w:tcPr>
            <w:tcW w:w="888" w:type="pct"/>
            <w:tcBorders>
              <w:top w:val="single" w:sz="4" w:space="0" w:color="auto"/>
              <w:left w:val="single" w:sz="4" w:space="0" w:color="auto"/>
              <w:bottom w:val="single" w:sz="4" w:space="0" w:color="auto"/>
              <w:right w:val="single" w:sz="4" w:space="0" w:color="auto"/>
            </w:tcBorders>
          </w:tcPr>
          <w:p w:rsidR="00534FB5" w:rsidRPr="003F41B4" w:rsidRDefault="00534FB5" w:rsidP="00F67279">
            <w:pPr>
              <w:ind w:left="-111" w:right="-106"/>
              <w:rPr>
                <w:i/>
                <w:spacing w:val="-20"/>
              </w:rPr>
            </w:pPr>
            <w:r w:rsidRPr="003F41B4">
              <w:rPr>
                <w:i/>
                <w:spacing w:val="-20"/>
              </w:rPr>
              <w:t>Corynebacterium spp</w:t>
            </w:r>
          </w:p>
        </w:tc>
        <w:tc>
          <w:tcPr>
            <w:tcW w:w="37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11,1</w:t>
            </w:r>
          </w:p>
        </w:tc>
        <w:tc>
          <w:tcPr>
            <w:tcW w:w="592"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3,4±0,17</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07"/>
              <w:jc w:val="center"/>
              <w:rPr>
                <w:spacing w:val="-20"/>
              </w:rPr>
            </w:pPr>
            <w:r w:rsidRPr="003F41B4">
              <w:rPr>
                <w:spacing w:val="-20"/>
              </w:rPr>
              <w:t>3,0</w:t>
            </w:r>
          </w:p>
        </w:tc>
        <w:tc>
          <w:tcPr>
            <w:tcW w:w="370"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2,8</w:t>
            </w:r>
          </w:p>
        </w:tc>
        <w:tc>
          <w:tcPr>
            <w:tcW w:w="593"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rPr>
            </w:pPr>
            <w:r w:rsidRPr="003F41B4">
              <w:rPr>
                <w:spacing w:val="-20"/>
              </w:rPr>
              <w:t>3,0</w:t>
            </w:r>
          </w:p>
        </w:tc>
        <w:tc>
          <w:tcPr>
            <w:tcW w:w="371" w:type="pct"/>
            <w:tcBorders>
              <w:top w:val="single" w:sz="4" w:space="0" w:color="auto"/>
              <w:left w:val="single" w:sz="4" w:space="0" w:color="auto"/>
              <w:bottom w:val="single" w:sz="4" w:space="0" w:color="auto"/>
              <w:right w:val="single" w:sz="4" w:space="0" w:color="auto"/>
            </w:tcBorders>
          </w:tcPr>
          <w:p w:rsidR="00534FB5" w:rsidRPr="003F41B4" w:rsidRDefault="00534FB5" w:rsidP="00534FB5">
            <w:pPr>
              <w:jc w:val="center"/>
              <w:rPr>
                <w:spacing w:val="-20"/>
                <w:lang w:val="ru-RU"/>
              </w:rPr>
            </w:pPr>
            <w:r w:rsidRPr="003F41B4">
              <w:rPr>
                <w:spacing w:val="-20"/>
                <w:lang w:val="ru-RU"/>
              </w:rPr>
              <w:t>-</w:t>
            </w:r>
          </w:p>
        </w:tc>
        <w:tc>
          <w:tcPr>
            <w:tcW w:w="571" w:type="pct"/>
            <w:gridSpan w:val="2"/>
            <w:tcBorders>
              <w:top w:val="single" w:sz="4" w:space="0" w:color="auto"/>
              <w:left w:val="single" w:sz="4" w:space="0" w:color="auto"/>
              <w:bottom w:val="single" w:sz="4" w:space="0" w:color="auto"/>
              <w:right w:val="single" w:sz="4" w:space="0" w:color="auto"/>
            </w:tcBorders>
          </w:tcPr>
          <w:p w:rsidR="00534FB5" w:rsidRPr="003F41B4" w:rsidRDefault="00534FB5" w:rsidP="00534FB5">
            <w:pPr>
              <w:ind w:left="-110"/>
              <w:jc w:val="center"/>
              <w:rPr>
                <w:spacing w:val="-20"/>
                <w:lang w:val="ru-RU"/>
              </w:rPr>
            </w:pPr>
            <w:r w:rsidRPr="003F41B4">
              <w:rPr>
                <w:spacing w:val="-20"/>
                <w:lang w:val="ru-RU"/>
              </w:rPr>
              <w:t>-</w:t>
            </w:r>
          </w:p>
        </w:tc>
      </w:tr>
    </w:tbl>
    <w:p w:rsidR="00534FB5" w:rsidRPr="003A52AD" w:rsidRDefault="00534FB5" w:rsidP="00534FB5">
      <w:pPr>
        <w:ind w:firstLine="708"/>
        <w:jc w:val="right"/>
        <w:rPr>
          <w:i/>
        </w:rPr>
      </w:pPr>
      <w:r w:rsidRPr="003A52AD">
        <w:rPr>
          <w:i/>
        </w:rPr>
        <w:lastRenderedPageBreak/>
        <w:t>Продовження додатк</w:t>
      </w:r>
      <w:r>
        <w:rPr>
          <w:i/>
        </w:rPr>
        <w:t>а</w:t>
      </w:r>
      <w:r w:rsidRPr="003A52AD">
        <w:rPr>
          <w:i/>
        </w:rPr>
        <w:t xml:space="preserve"> </w:t>
      </w:r>
      <w:r>
        <w:rPr>
          <w:i/>
        </w:rPr>
        <w:t>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84"/>
        <w:gridCol w:w="695"/>
        <w:gridCol w:w="1050"/>
        <w:gridCol w:w="695"/>
        <w:gridCol w:w="1063"/>
        <w:gridCol w:w="695"/>
        <w:gridCol w:w="1170"/>
        <w:gridCol w:w="695"/>
        <w:gridCol w:w="1060"/>
      </w:tblGrid>
      <w:tr w:rsidR="00534FB5" w:rsidTr="00534FB5">
        <w:tc>
          <w:tcPr>
            <w:tcW w:w="563" w:type="dxa"/>
            <w:shd w:val="clear" w:color="auto" w:fill="auto"/>
          </w:tcPr>
          <w:p w:rsidR="00534FB5" w:rsidRDefault="00534FB5" w:rsidP="00534FB5">
            <w:pPr>
              <w:jc w:val="center"/>
            </w:pPr>
            <w:r>
              <w:t>1</w:t>
            </w:r>
          </w:p>
        </w:tc>
        <w:tc>
          <w:tcPr>
            <w:tcW w:w="1884" w:type="dxa"/>
            <w:shd w:val="clear" w:color="auto" w:fill="auto"/>
          </w:tcPr>
          <w:p w:rsidR="00534FB5" w:rsidRDefault="00534FB5" w:rsidP="00534FB5">
            <w:pPr>
              <w:jc w:val="center"/>
            </w:pPr>
            <w:r>
              <w:t>2</w:t>
            </w:r>
          </w:p>
        </w:tc>
        <w:tc>
          <w:tcPr>
            <w:tcW w:w="695" w:type="dxa"/>
            <w:shd w:val="clear" w:color="auto" w:fill="auto"/>
          </w:tcPr>
          <w:p w:rsidR="00534FB5" w:rsidRDefault="00534FB5" w:rsidP="00534FB5">
            <w:pPr>
              <w:jc w:val="center"/>
            </w:pPr>
            <w:r>
              <w:t>3</w:t>
            </w:r>
          </w:p>
        </w:tc>
        <w:tc>
          <w:tcPr>
            <w:tcW w:w="1050" w:type="dxa"/>
            <w:shd w:val="clear" w:color="auto" w:fill="auto"/>
          </w:tcPr>
          <w:p w:rsidR="00534FB5" w:rsidRDefault="00534FB5" w:rsidP="00534FB5">
            <w:pPr>
              <w:jc w:val="center"/>
            </w:pPr>
            <w:r>
              <w:t>4</w:t>
            </w:r>
          </w:p>
        </w:tc>
        <w:tc>
          <w:tcPr>
            <w:tcW w:w="695" w:type="dxa"/>
            <w:shd w:val="clear" w:color="auto" w:fill="auto"/>
          </w:tcPr>
          <w:p w:rsidR="00534FB5" w:rsidRDefault="00534FB5" w:rsidP="00534FB5">
            <w:pPr>
              <w:jc w:val="center"/>
            </w:pPr>
            <w:r>
              <w:t>5</w:t>
            </w:r>
          </w:p>
        </w:tc>
        <w:tc>
          <w:tcPr>
            <w:tcW w:w="1063" w:type="dxa"/>
            <w:shd w:val="clear" w:color="auto" w:fill="auto"/>
          </w:tcPr>
          <w:p w:rsidR="00534FB5" w:rsidRDefault="00534FB5" w:rsidP="00534FB5">
            <w:pPr>
              <w:jc w:val="center"/>
            </w:pPr>
            <w:r>
              <w:t>6</w:t>
            </w:r>
          </w:p>
        </w:tc>
        <w:tc>
          <w:tcPr>
            <w:tcW w:w="695" w:type="dxa"/>
            <w:shd w:val="clear" w:color="auto" w:fill="auto"/>
          </w:tcPr>
          <w:p w:rsidR="00534FB5" w:rsidRDefault="00534FB5" w:rsidP="00534FB5">
            <w:pPr>
              <w:jc w:val="center"/>
            </w:pPr>
            <w:r>
              <w:t>7</w:t>
            </w:r>
          </w:p>
        </w:tc>
        <w:tc>
          <w:tcPr>
            <w:tcW w:w="1170" w:type="dxa"/>
            <w:shd w:val="clear" w:color="auto" w:fill="auto"/>
          </w:tcPr>
          <w:p w:rsidR="00534FB5" w:rsidRDefault="00534FB5" w:rsidP="00534FB5">
            <w:pPr>
              <w:jc w:val="center"/>
            </w:pPr>
            <w:r>
              <w:t>8</w:t>
            </w:r>
          </w:p>
        </w:tc>
        <w:tc>
          <w:tcPr>
            <w:tcW w:w="695" w:type="dxa"/>
            <w:shd w:val="clear" w:color="auto" w:fill="auto"/>
          </w:tcPr>
          <w:p w:rsidR="00534FB5" w:rsidRDefault="00534FB5" w:rsidP="00534FB5">
            <w:pPr>
              <w:jc w:val="center"/>
            </w:pPr>
            <w:r>
              <w:t>9</w:t>
            </w:r>
          </w:p>
        </w:tc>
        <w:tc>
          <w:tcPr>
            <w:tcW w:w="1060" w:type="dxa"/>
            <w:shd w:val="clear" w:color="auto" w:fill="auto"/>
          </w:tcPr>
          <w:p w:rsidR="00534FB5" w:rsidRDefault="00534FB5" w:rsidP="00534FB5">
            <w:pPr>
              <w:jc w:val="center"/>
            </w:pPr>
            <w:r>
              <w:t>10</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13</w:t>
            </w:r>
          </w:p>
        </w:tc>
        <w:tc>
          <w:tcPr>
            <w:tcW w:w="1884" w:type="dxa"/>
            <w:shd w:val="clear" w:color="auto" w:fill="auto"/>
          </w:tcPr>
          <w:p w:rsidR="00534FB5" w:rsidRPr="0042334B" w:rsidRDefault="00534FB5" w:rsidP="00534FB5">
            <w:pPr>
              <w:rPr>
                <w:i/>
                <w:spacing w:val="-20"/>
              </w:rPr>
            </w:pPr>
            <w:r w:rsidRPr="0042334B">
              <w:rPr>
                <w:i/>
                <w:spacing w:val="-20"/>
              </w:rPr>
              <w:t>Lactobacillus spp</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050" w:type="dxa"/>
            <w:shd w:val="clear" w:color="auto" w:fill="auto"/>
          </w:tcPr>
          <w:p w:rsidR="00534FB5" w:rsidRPr="0042334B" w:rsidRDefault="00534FB5" w:rsidP="00534FB5">
            <w:pPr>
              <w:jc w:val="center"/>
              <w:rPr>
                <w:spacing w:val="-20"/>
              </w:rPr>
            </w:pPr>
            <w:r w:rsidRPr="0042334B">
              <w:rPr>
                <w:spacing w:val="-20"/>
              </w:rPr>
              <w:t>3,7±0,3</w:t>
            </w:r>
          </w:p>
        </w:tc>
        <w:tc>
          <w:tcPr>
            <w:tcW w:w="695" w:type="dxa"/>
            <w:shd w:val="clear" w:color="auto" w:fill="auto"/>
          </w:tcPr>
          <w:p w:rsidR="00534FB5" w:rsidRPr="0042334B" w:rsidRDefault="00534FB5" w:rsidP="00534FB5">
            <w:pPr>
              <w:jc w:val="center"/>
              <w:rPr>
                <w:spacing w:val="-20"/>
              </w:rPr>
            </w:pPr>
            <w:r w:rsidRPr="0042334B">
              <w:rPr>
                <w:spacing w:val="-20"/>
              </w:rPr>
              <w:t>8,3</w:t>
            </w:r>
          </w:p>
        </w:tc>
        <w:tc>
          <w:tcPr>
            <w:tcW w:w="1063" w:type="dxa"/>
            <w:shd w:val="clear" w:color="auto" w:fill="auto"/>
          </w:tcPr>
          <w:p w:rsidR="00534FB5" w:rsidRPr="0042334B" w:rsidRDefault="00534FB5" w:rsidP="00534FB5">
            <w:pPr>
              <w:ind w:left="-107"/>
              <w:jc w:val="center"/>
              <w:rPr>
                <w:spacing w:val="-20"/>
              </w:rPr>
            </w:pPr>
            <w:r w:rsidRPr="0042334B">
              <w:rPr>
                <w:spacing w:val="-20"/>
              </w:rPr>
              <w:t>3,5±0,25</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170" w:type="dxa"/>
            <w:shd w:val="clear" w:color="auto" w:fill="auto"/>
          </w:tcPr>
          <w:p w:rsidR="00534FB5" w:rsidRPr="0042334B" w:rsidRDefault="00534FB5" w:rsidP="00534FB5">
            <w:pPr>
              <w:jc w:val="center"/>
              <w:rPr>
                <w:spacing w:val="-20"/>
              </w:rPr>
            </w:pPr>
            <w:r w:rsidRPr="0042334B">
              <w:rPr>
                <w:spacing w:val="-20"/>
              </w:rPr>
              <w:t>3,3±0,1</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ind w:left="-110"/>
              <w:jc w:val="center"/>
              <w:rPr>
                <w:spacing w:val="-20"/>
              </w:rPr>
            </w:pPr>
            <w:r w:rsidRPr="0042334B">
              <w:rPr>
                <w:spacing w:val="-20"/>
              </w:rPr>
              <w:t>3,5</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14</w:t>
            </w:r>
          </w:p>
        </w:tc>
        <w:tc>
          <w:tcPr>
            <w:tcW w:w="1884" w:type="dxa"/>
            <w:shd w:val="clear" w:color="auto" w:fill="auto"/>
          </w:tcPr>
          <w:p w:rsidR="00534FB5" w:rsidRPr="0042334B" w:rsidRDefault="00534FB5" w:rsidP="00534FB5">
            <w:pPr>
              <w:rPr>
                <w:i/>
                <w:spacing w:val="-20"/>
              </w:rPr>
            </w:pPr>
            <w:r w:rsidRPr="0042334B">
              <w:rPr>
                <w:i/>
                <w:spacing w:val="-20"/>
              </w:rPr>
              <w:t>Haemophillus spp</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050" w:type="dxa"/>
            <w:shd w:val="clear" w:color="auto" w:fill="auto"/>
          </w:tcPr>
          <w:p w:rsidR="00534FB5" w:rsidRPr="0042334B" w:rsidRDefault="00534FB5" w:rsidP="00534FB5">
            <w:pPr>
              <w:jc w:val="center"/>
              <w:rPr>
                <w:spacing w:val="-20"/>
              </w:rPr>
            </w:pPr>
            <w:r w:rsidRPr="0042334B">
              <w:rPr>
                <w:spacing w:val="-20"/>
              </w:rPr>
              <w:t>5,0±0,21</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063" w:type="dxa"/>
            <w:shd w:val="clear" w:color="auto" w:fill="auto"/>
          </w:tcPr>
          <w:p w:rsidR="00534FB5" w:rsidRPr="0042334B" w:rsidRDefault="00534FB5" w:rsidP="00534FB5">
            <w:pPr>
              <w:ind w:left="-107"/>
              <w:jc w:val="center"/>
              <w:rPr>
                <w:spacing w:val="-20"/>
              </w:rPr>
            </w:pPr>
            <w:r w:rsidRPr="0042334B">
              <w:rPr>
                <w:spacing w:val="-20"/>
              </w:rPr>
              <w:t>3,8±0,05*</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170" w:type="dxa"/>
            <w:shd w:val="clear" w:color="auto" w:fill="auto"/>
          </w:tcPr>
          <w:p w:rsidR="00534FB5" w:rsidRPr="0042334B" w:rsidRDefault="00534FB5" w:rsidP="00534FB5">
            <w:pPr>
              <w:jc w:val="center"/>
              <w:rPr>
                <w:spacing w:val="-20"/>
              </w:rPr>
            </w:pPr>
            <w:r w:rsidRPr="0042334B">
              <w:rPr>
                <w:spacing w:val="-20"/>
              </w:rPr>
              <w:t>3,8±0,07*</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060" w:type="dxa"/>
            <w:shd w:val="clear" w:color="auto" w:fill="auto"/>
          </w:tcPr>
          <w:p w:rsidR="00534FB5" w:rsidRPr="0042334B" w:rsidRDefault="00534FB5" w:rsidP="00534FB5">
            <w:pPr>
              <w:ind w:left="-110"/>
              <w:jc w:val="center"/>
              <w:rPr>
                <w:spacing w:val="-20"/>
              </w:rPr>
            </w:pPr>
            <w:r w:rsidRPr="0042334B">
              <w:rPr>
                <w:spacing w:val="-20"/>
              </w:rPr>
              <w:t>3,5±0,09*</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15</w:t>
            </w:r>
          </w:p>
        </w:tc>
        <w:tc>
          <w:tcPr>
            <w:tcW w:w="1884" w:type="dxa"/>
            <w:shd w:val="clear" w:color="auto" w:fill="auto"/>
          </w:tcPr>
          <w:p w:rsidR="00534FB5" w:rsidRPr="0042334B" w:rsidRDefault="00534FB5" w:rsidP="00534FB5">
            <w:pPr>
              <w:rPr>
                <w:i/>
                <w:spacing w:val="-20"/>
              </w:rPr>
            </w:pPr>
            <w:r w:rsidRPr="0042334B">
              <w:rPr>
                <w:i/>
                <w:spacing w:val="-20"/>
              </w:rPr>
              <w:t>Neisseria spp</w:t>
            </w:r>
          </w:p>
        </w:tc>
        <w:tc>
          <w:tcPr>
            <w:tcW w:w="695" w:type="dxa"/>
            <w:shd w:val="clear" w:color="auto" w:fill="auto"/>
          </w:tcPr>
          <w:p w:rsidR="00534FB5" w:rsidRPr="0042334B" w:rsidRDefault="00534FB5" w:rsidP="00534FB5">
            <w:pPr>
              <w:jc w:val="center"/>
              <w:rPr>
                <w:spacing w:val="-20"/>
              </w:rPr>
            </w:pPr>
            <w:r w:rsidRPr="0042334B">
              <w:rPr>
                <w:spacing w:val="-20"/>
              </w:rPr>
              <w:t>30,6</w:t>
            </w:r>
          </w:p>
        </w:tc>
        <w:tc>
          <w:tcPr>
            <w:tcW w:w="1050" w:type="dxa"/>
            <w:shd w:val="clear" w:color="auto" w:fill="auto"/>
          </w:tcPr>
          <w:p w:rsidR="00534FB5" w:rsidRPr="0042334B" w:rsidRDefault="00534FB5" w:rsidP="00534FB5">
            <w:pPr>
              <w:jc w:val="center"/>
              <w:rPr>
                <w:spacing w:val="-20"/>
              </w:rPr>
            </w:pPr>
            <w:r w:rsidRPr="0042334B">
              <w:rPr>
                <w:spacing w:val="-20"/>
              </w:rPr>
              <w:t>5,2±0,56</w:t>
            </w:r>
          </w:p>
        </w:tc>
        <w:tc>
          <w:tcPr>
            <w:tcW w:w="695" w:type="dxa"/>
            <w:shd w:val="clear" w:color="auto" w:fill="auto"/>
          </w:tcPr>
          <w:p w:rsidR="00534FB5" w:rsidRPr="0042334B" w:rsidRDefault="00534FB5" w:rsidP="00534FB5">
            <w:pPr>
              <w:jc w:val="center"/>
              <w:rPr>
                <w:spacing w:val="-20"/>
              </w:rPr>
            </w:pPr>
            <w:r w:rsidRPr="0042334B">
              <w:rPr>
                <w:spacing w:val="-20"/>
              </w:rPr>
              <w:t>36,1</w:t>
            </w:r>
          </w:p>
        </w:tc>
        <w:tc>
          <w:tcPr>
            <w:tcW w:w="1063" w:type="dxa"/>
            <w:shd w:val="clear" w:color="auto" w:fill="auto"/>
          </w:tcPr>
          <w:p w:rsidR="00534FB5" w:rsidRPr="0042334B" w:rsidRDefault="00534FB5" w:rsidP="00534FB5">
            <w:pPr>
              <w:ind w:left="-107"/>
              <w:jc w:val="center"/>
              <w:rPr>
                <w:spacing w:val="-20"/>
              </w:rPr>
            </w:pPr>
            <w:r w:rsidRPr="0042334B">
              <w:rPr>
                <w:spacing w:val="-20"/>
              </w:rPr>
              <w:t>4,3±0,26</w:t>
            </w:r>
          </w:p>
        </w:tc>
        <w:tc>
          <w:tcPr>
            <w:tcW w:w="695" w:type="dxa"/>
            <w:shd w:val="clear" w:color="auto" w:fill="auto"/>
          </w:tcPr>
          <w:p w:rsidR="00534FB5" w:rsidRPr="0042334B" w:rsidRDefault="00534FB5" w:rsidP="00534FB5">
            <w:pPr>
              <w:jc w:val="center"/>
              <w:rPr>
                <w:spacing w:val="-20"/>
              </w:rPr>
            </w:pPr>
            <w:r w:rsidRPr="0042334B">
              <w:rPr>
                <w:spacing w:val="-20"/>
              </w:rPr>
              <w:t>33,3</w:t>
            </w:r>
          </w:p>
        </w:tc>
        <w:tc>
          <w:tcPr>
            <w:tcW w:w="1170" w:type="dxa"/>
            <w:shd w:val="clear" w:color="auto" w:fill="auto"/>
          </w:tcPr>
          <w:p w:rsidR="00534FB5" w:rsidRPr="0042334B" w:rsidRDefault="00534FB5" w:rsidP="00534FB5">
            <w:pPr>
              <w:jc w:val="center"/>
              <w:rPr>
                <w:spacing w:val="-20"/>
              </w:rPr>
            </w:pPr>
            <w:r w:rsidRPr="0042334B">
              <w:rPr>
                <w:spacing w:val="-20"/>
              </w:rPr>
              <w:t>4,7±0,14</w:t>
            </w:r>
          </w:p>
        </w:tc>
        <w:tc>
          <w:tcPr>
            <w:tcW w:w="695" w:type="dxa"/>
            <w:shd w:val="clear" w:color="auto" w:fill="auto"/>
          </w:tcPr>
          <w:p w:rsidR="00534FB5" w:rsidRPr="0042334B" w:rsidRDefault="00534FB5" w:rsidP="00534FB5">
            <w:pPr>
              <w:jc w:val="center"/>
              <w:rPr>
                <w:spacing w:val="-20"/>
              </w:rPr>
            </w:pPr>
            <w:r w:rsidRPr="0042334B">
              <w:rPr>
                <w:spacing w:val="-20"/>
              </w:rPr>
              <w:t>36,1</w:t>
            </w:r>
          </w:p>
        </w:tc>
        <w:tc>
          <w:tcPr>
            <w:tcW w:w="1060" w:type="dxa"/>
            <w:shd w:val="clear" w:color="auto" w:fill="auto"/>
          </w:tcPr>
          <w:p w:rsidR="00534FB5" w:rsidRPr="0042334B" w:rsidRDefault="00534FB5" w:rsidP="00534FB5">
            <w:pPr>
              <w:ind w:left="-110"/>
              <w:jc w:val="center"/>
              <w:rPr>
                <w:spacing w:val="-20"/>
              </w:rPr>
            </w:pPr>
            <w:r w:rsidRPr="0042334B">
              <w:rPr>
                <w:spacing w:val="-20"/>
              </w:rPr>
              <w:t>4,4±0,22</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16</w:t>
            </w:r>
          </w:p>
        </w:tc>
        <w:tc>
          <w:tcPr>
            <w:tcW w:w="1884" w:type="dxa"/>
            <w:shd w:val="clear" w:color="auto" w:fill="auto"/>
          </w:tcPr>
          <w:p w:rsidR="00534FB5" w:rsidRPr="0042334B" w:rsidRDefault="00534FB5" w:rsidP="00534FB5">
            <w:pPr>
              <w:rPr>
                <w:i/>
                <w:spacing w:val="-20"/>
              </w:rPr>
            </w:pPr>
            <w:r w:rsidRPr="0042334B">
              <w:rPr>
                <w:i/>
                <w:spacing w:val="-20"/>
              </w:rPr>
              <w:t>Acinetobacter spp</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50" w:type="dxa"/>
            <w:shd w:val="clear" w:color="auto" w:fill="auto"/>
          </w:tcPr>
          <w:p w:rsidR="00534FB5" w:rsidRPr="0042334B" w:rsidRDefault="00534FB5" w:rsidP="00534FB5">
            <w:pPr>
              <w:jc w:val="center"/>
              <w:rPr>
                <w:spacing w:val="-20"/>
              </w:rPr>
            </w:pPr>
            <w:r w:rsidRPr="0042334B">
              <w:rPr>
                <w:spacing w:val="-20"/>
              </w:rPr>
              <w:t>3,4</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3" w:type="dxa"/>
            <w:shd w:val="clear" w:color="auto" w:fill="auto"/>
          </w:tcPr>
          <w:p w:rsidR="00534FB5" w:rsidRPr="0042334B" w:rsidRDefault="00534FB5" w:rsidP="00534FB5">
            <w:pPr>
              <w:ind w:left="-107"/>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170"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0" w:type="dxa"/>
            <w:shd w:val="clear" w:color="auto" w:fill="auto"/>
          </w:tcPr>
          <w:p w:rsidR="00534FB5" w:rsidRPr="0042334B" w:rsidRDefault="00534FB5" w:rsidP="00534FB5">
            <w:pPr>
              <w:ind w:left="-110"/>
              <w:jc w:val="center"/>
              <w:rPr>
                <w:spacing w:val="-20"/>
                <w:lang w:val="ru-RU"/>
              </w:rPr>
            </w:pP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17</w:t>
            </w:r>
          </w:p>
        </w:tc>
        <w:tc>
          <w:tcPr>
            <w:tcW w:w="1884" w:type="dxa"/>
            <w:shd w:val="clear" w:color="auto" w:fill="auto"/>
          </w:tcPr>
          <w:p w:rsidR="00534FB5" w:rsidRPr="0042334B" w:rsidRDefault="00534FB5" w:rsidP="00534FB5">
            <w:pPr>
              <w:rPr>
                <w:i/>
                <w:spacing w:val="-20"/>
              </w:rPr>
            </w:pPr>
            <w:r w:rsidRPr="0042334B">
              <w:rPr>
                <w:i/>
                <w:spacing w:val="-20"/>
              </w:rPr>
              <w:t>Moraxella spp</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50" w:type="dxa"/>
            <w:shd w:val="clear" w:color="auto" w:fill="auto"/>
          </w:tcPr>
          <w:p w:rsidR="00534FB5" w:rsidRPr="0042334B" w:rsidRDefault="00534FB5" w:rsidP="00534FB5">
            <w:pPr>
              <w:jc w:val="center"/>
              <w:rPr>
                <w:spacing w:val="-20"/>
              </w:rPr>
            </w:pPr>
            <w:r w:rsidRPr="0042334B">
              <w:rPr>
                <w:spacing w:val="-20"/>
              </w:rPr>
              <w:t>3,6</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3" w:type="dxa"/>
            <w:shd w:val="clear" w:color="auto" w:fill="auto"/>
          </w:tcPr>
          <w:p w:rsidR="00534FB5" w:rsidRPr="0042334B" w:rsidRDefault="00534FB5" w:rsidP="00534FB5">
            <w:pPr>
              <w:ind w:left="-107"/>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170"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0" w:type="dxa"/>
            <w:shd w:val="clear" w:color="auto" w:fill="auto"/>
          </w:tcPr>
          <w:p w:rsidR="00534FB5" w:rsidRPr="0042334B" w:rsidRDefault="00534FB5" w:rsidP="00534FB5">
            <w:pPr>
              <w:ind w:left="-110"/>
              <w:jc w:val="center"/>
              <w:rPr>
                <w:spacing w:val="-20"/>
                <w:lang w:val="ru-RU"/>
              </w:rPr>
            </w:pP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18</w:t>
            </w:r>
          </w:p>
        </w:tc>
        <w:tc>
          <w:tcPr>
            <w:tcW w:w="1884" w:type="dxa"/>
            <w:shd w:val="clear" w:color="auto" w:fill="auto"/>
          </w:tcPr>
          <w:p w:rsidR="00534FB5" w:rsidRPr="0042334B" w:rsidRDefault="00534FB5" w:rsidP="00534FB5">
            <w:pPr>
              <w:rPr>
                <w:i/>
                <w:spacing w:val="-20"/>
              </w:rPr>
            </w:pPr>
            <w:r w:rsidRPr="0042334B">
              <w:rPr>
                <w:i/>
                <w:spacing w:val="-20"/>
              </w:rPr>
              <w:t>E. coli</w:t>
            </w:r>
          </w:p>
        </w:tc>
        <w:tc>
          <w:tcPr>
            <w:tcW w:w="695" w:type="dxa"/>
            <w:shd w:val="clear" w:color="auto" w:fill="auto"/>
          </w:tcPr>
          <w:p w:rsidR="00534FB5" w:rsidRPr="0042334B" w:rsidRDefault="00534FB5" w:rsidP="00534FB5">
            <w:pPr>
              <w:jc w:val="center"/>
              <w:rPr>
                <w:spacing w:val="-20"/>
              </w:rPr>
            </w:pPr>
            <w:r w:rsidRPr="0042334B">
              <w:rPr>
                <w:spacing w:val="-20"/>
              </w:rPr>
              <w:t>19,4</w:t>
            </w:r>
          </w:p>
        </w:tc>
        <w:tc>
          <w:tcPr>
            <w:tcW w:w="1050" w:type="dxa"/>
            <w:shd w:val="clear" w:color="auto" w:fill="auto"/>
          </w:tcPr>
          <w:p w:rsidR="00534FB5" w:rsidRPr="0042334B" w:rsidRDefault="00534FB5" w:rsidP="00534FB5">
            <w:pPr>
              <w:jc w:val="center"/>
              <w:rPr>
                <w:spacing w:val="-20"/>
              </w:rPr>
            </w:pPr>
            <w:r w:rsidRPr="0042334B">
              <w:rPr>
                <w:spacing w:val="-20"/>
              </w:rPr>
              <w:t>3,4±0,2</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063" w:type="dxa"/>
            <w:shd w:val="clear" w:color="auto" w:fill="auto"/>
          </w:tcPr>
          <w:p w:rsidR="00534FB5" w:rsidRPr="0042334B" w:rsidRDefault="00534FB5" w:rsidP="00534FB5">
            <w:pPr>
              <w:ind w:left="-107"/>
              <w:jc w:val="center"/>
              <w:rPr>
                <w:spacing w:val="-20"/>
              </w:rPr>
            </w:pPr>
            <w:r w:rsidRPr="0042334B">
              <w:rPr>
                <w:spacing w:val="-20"/>
              </w:rPr>
              <w:t>3,0±0</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170" w:type="dxa"/>
            <w:shd w:val="clear" w:color="auto" w:fill="auto"/>
          </w:tcPr>
          <w:p w:rsidR="00534FB5" w:rsidRPr="0042334B" w:rsidRDefault="00534FB5" w:rsidP="00534FB5">
            <w:pPr>
              <w:jc w:val="center"/>
              <w:rPr>
                <w:spacing w:val="-20"/>
              </w:rPr>
            </w:pPr>
            <w:r w:rsidRPr="0042334B">
              <w:rPr>
                <w:spacing w:val="-20"/>
              </w:rPr>
              <w:t>3,2</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ind w:left="-110"/>
              <w:jc w:val="center"/>
              <w:rPr>
                <w:spacing w:val="-20"/>
              </w:rPr>
            </w:pPr>
            <w:r w:rsidRPr="0042334B">
              <w:rPr>
                <w:spacing w:val="-20"/>
              </w:rPr>
              <w:t>3,1</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19</w:t>
            </w:r>
          </w:p>
        </w:tc>
        <w:tc>
          <w:tcPr>
            <w:tcW w:w="1884" w:type="dxa"/>
            <w:shd w:val="clear" w:color="auto" w:fill="auto"/>
          </w:tcPr>
          <w:p w:rsidR="00534FB5" w:rsidRPr="0042334B" w:rsidRDefault="00534FB5" w:rsidP="00534FB5">
            <w:pPr>
              <w:rPr>
                <w:i/>
                <w:spacing w:val="-20"/>
              </w:rPr>
            </w:pPr>
            <w:r w:rsidRPr="0042334B">
              <w:rPr>
                <w:i/>
                <w:spacing w:val="-20"/>
              </w:rPr>
              <w:t>Klebsiella spp</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050" w:type="dxa"/>
            <w:shd w:val="clear" w:color="auto" w:fill="auto"/>
          </w:tcPr>
          <w:p w:rsidR="00534FB5" w:rsidRPr="0042334B" w:rsidRDefault="00534FB5" w:rsidP="00534FB5">
            <w:pPr>
              <w:jc w:val="center"/>
              <w:rPr>
                <w:spacing w:val="-20"/>
              </w:rPr>
            </w:pPr>
            <w:r w:rsidRPr="0042334B">
              <w:rPr>
                <w:spacing w:val="-20"/>
              </w:rPr>
              <w:t>3,4±0,16</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3" w:type="dxa"/>
            <w:shd w:val="clear" w:color="auto" w:fill="auto"/>
          </w:tcPr>
          <w:p w:rsidR="00534FB5" w:rsidRPr="0042334B" w:rsidRDefault="00534FB5" w:rsidP="00534FB5">
            <w:pPr>
              <w:ind w:left="-107"/>
              <w:jc w:val="center"/>
              <w:rPr>
                <w:spacing w:val="-20"/>
              </w:rPr>
            </w:pPr>
            <w:r w:rsidRPr="0042334B">
              <w:rPr>
                <w:spacing w:val="-20"/>
              </w:rPr>
              <w:t>3,0</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170"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0" w:type="dxa"/>
            <w:shd w:val="clear" w:color="auto" w:fill="auto"/>
          </w:tcPr>
          <w:p w:rsidR="00534FB5" w:rsidRPr="0042334B" w:rsidRDefault="00534FB5" w:rsidP="00534FB5">
            <w:pPr>
              <w:ind w:left="-110"/>
              <w:jc w:val="center"/>
              <w:rPr>
                <w:spacing w:val="-20"/>
                <w:lang w:val="ru-RU"/>
              </w:rPr>
            </w:pP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20</w:t>
            </w:r>
          </w:p>
        </w:tc>
        <w:tc>
          <w:tcPr>
            <w:tcW w:w="1884" w:type="dxa"/>
            <w:shd w:val="clear" w:color="auto" w:fill="auto"/>
          </w:tcPr>
          <w:p w:rsidR="00534FB5" w:rsidRPr="0042334B" w:rsidRDefault="00534FB5" w:rsidP="00534FB5">
            <w:pPr>
              <w:rPr>
                <w:i/>
                <w:spacing w:val="-20"/>
              </w:rPr>
            </w:pPr>
            <w:r w:rsidRPr="0042334B">
              <w:rPr>
                <w:i/>
                <w:spacing w:val="-20"/>
              </w:rPr>
              <w:t>M. morganii</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50" w:type="dxa"/>
            <w:shd w:val="clear" w:color="auto" w:fill="auto"/>
          </w:tcPr>
          <w:p w:rsidR="00534FB5" w:rsidRPr="0042334B" w:rsidRDefault="00534FB5" w:rsidP="00534FB5">
            <w:pPr>
              <w:jc w:val="center"/>
              <w:rPr>
                <w:spacing w:val="-20"/>
              </w:rPr>
            </w:pPr>
            <w:r w:rsidRPr="0042334B">
              <w:rPr>
                <w:spacing w:val="-20"/>
              </w:rPr>
              <w:t>3,6</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3" w:type="dxa"/>
            <w:shd w:val="clear" w:color="auto" w:fill="auto"/>
          </w:tcPr>
          <w:p w:rsidR="00534FB5" w:rsidRPr="0042334B" w:rsidRDefault="00534FB5" w:rsidP="00534FB5">
            <w:pPr>
              <w:ind w:left="-107"/>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170"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0" w:type="dxa"/>
            <w:shd w:val="clear" w:color="auto" w:fill="auto"/>
          </w:tcPr>
          <w:p w:rsidR="00534FB5" w:rsidRPr="0042334B" w:rsidRDefault="00534FB5" w:rsidP="00534FB5">
            <w:pPr>
              <w:jc w:val="center"/>
              <w:rPr>
                <w:spacing w:val="-20"/>
                <w:lang w:val="ru-RU"/>
              </w:rPr>
            </w:pP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21</w:t>
            </w:r>
          </w:p>
        </w:tc>
        <w:tc>
          <w:tcPr>
            <w:tcW w:w="1884" w:type="dxa"/>
            <w:shd w:val="clear" w:color="auto" w:fill="auto"/>
          </w:tcPr>
          <w:p w:rsidR="00534FB5" w:rsidRPr="0042334B" w:rsidRDefault="00534FB5" w:rsidP="00534FB5">
            <w:pPr>
              <w:rPr>
                <w:i/>
                <w:spacing w:val="-20"/>
              </w:rPr>
            </w:pPr>
            <w:r w:rsidRPr="0042334B">
              <w:rPr>
                <w:i/>
                <w:spacing w:val="-20"/>
              </w:rPr>
              <w:t>P. aeruginosa</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50" w:type="dxa"/>
            <w:shd w:val="clear" w:color="auto" w:fill="auto"/>
          </w:tcPr>
          <w:p w:rsidR="00534FB5" w:rsidRPr="0042334B" w:rsidRDefault="00534FB5" w:rsidP="00534FB5">
            <w:pPr>
              <w:jc w:val="center"/>
              <w:rPr>
                <w:spacing w:val="-20"/>
              </w:rPr>
            </w:pPr>
            <w:r w:rsidRPr="0042334B">
              <w:rPr>
                <w:spacing w:val="-20"/>
              </w:rPr>
              <w:t>5,7</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3" w:type="dxa"/>
            <w:shd w:val="clear" w:color="auto" w:fill="auto"/>
          </w:tcPr>
          <w:p w:rsidR="00534FB5" w:rsidRPr="0042334B" w:rsidRDefault="00534FB5" w:rsidP="00534FB5">
            <w:pPr>
              <w:jc w:val="center"/>
              <w:rPr>
                <w:spacing w:val="-20"/>
              </w:rPr>
            </w:pPr>
            <w:r w:rsidRPr="0042334B">
              <w:rPr>
                <w:spacing w:val="-20"/>
              </w:rPr>
              <w:t>4,3</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170" w:type="dxa"/>
            <w:shd w:val="clear" w:color="auto" w:fill="auto"/>
          </w:tcPr>
          <w:p w:rsidR="00534FB5" w:rsidRPr="0042334B" w:rsidRDefault="00534FB5" w:rsidP="00534FB5">
            <w:pPr>
              <w:jc w:val="center"/>
              <w:rPr>
                <w:spacing w:val="-20"/>
              </w:rPr>
            </w:pPr>
            <w:r w:rsidRPr="0042334B">
              <w:rPr>
                <w:spacing w:val="-20"/>
              </w:rPr>
              <w:t>3,5</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jc w:val="center"/>
              <w:rPr>
                <w:spacing w:val="-20"/>
              </w:rPr>
            </w:pPr>
            <w:r w:rsidRPr="0042334B">
              <w:rPr>
                <w:spacing w:val="-20"/>
              </w:rPr>
              <w:t>3,0</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22</w:t>
            </w:r>
          </w:p>
        </w:tc>
        <w:tc>
          <w:tcPr>
            <w:tcW w:w="1884" w:type="dxa"/>
            <w:shd w:val="clear" w:color="auto" w:fill="auto"/>
          </w:tcPr>
          <w:p w:rsidR="00534FB5" w:rsidRPr="0042334B" w:rsidRDefault="00534FB5" w:rsidP="00534FB5">
            <w:pPr>
              <w:rPr>
                <w:i/>
                <w:spacing w:val="-20"/>
              </w:rPr>
            </w:pPr>
            <w:r w:rsidRPr="0042334B">
              <w:rPr>
                <w:i/>
                <w:spacing w:val="-20"/>
              </w:rPr>
              <w:t>L. buccalis</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50" w:type="dxa"/>
            <w:shd w:val="clear" w:color="auto" w:fill="auto"/>
          </w:tcPr>
          <w:p w:rsidR="00534FB5" w:rsidRPr="0042334B" w:rsidRDefault="00534FB5" w:rsidP="00534FB5">
            <w:pPr>
              <w:jc w:val="center"/>
              <w:rPr>
                <w:spacing w:val="-20"/>
              </w:rPr>
            </w:pPr>
            <w:r w:rsidRPr="0042334B">
              <w:rPr>
                <w:spacing w:val="-20"/>
              </w:rPr>
              <w:t>4,3±0,23</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63" w:type="dxa"/>
            <w:shd w:val="clear" w:color="auto" w:fill="auto"/>
          </w:tcPr>
          <w:p w:rsidR="00534FB5" w:rsidRPr="0042334B" w:rsidRDefault="00534FB5" w:rsidP="00534FB5">
            <w:pPr>
              <w:jc w:val="center"/>
              <w:rPr>
                <w:spacing w:val="-20"/>
              </w:rPr>
            </w:pPr>
            <w:r w:rsidRPr="0042334B">
              <w:rPr>
                <w:spacing w:val="-20"/>
              </w:rPr>
              <w:t>3,6±0,08</w:t>
            </w:r>
          </w:p>
        </w:tc>
        <w:tc>
          <w:tcPr>
            <w:tcW w:w="695" w:type="dxa"/>
            <w:shd w:val="clear" w:color="auto" w:fill="auto"/>
          </w:tcPr>
          <w:p w:rsidR="00534FB5" w:rsidRPr="0042334B" w:rsidRDefault="00534FB5" w:rsidP="00534FB5">
            <w:pPr>
              <w:jc w:val="center"/>
              <w:rPr>
                <w:spacing w:val="-20"/>
              </w:rPr>
            </w:pPr>
            <w:r w:rsidRPr="0042334B">
              <w:rPr>
                <w:spacing w:val="-20"/>
              </w:rPr>
              <w:t>19,4</w:t>
            </w:r>
          </w:p>
        </w:tc>
        <w:tc>
          <w:tcPr>
            <w:tcW w:w="1170" w:type="dxa"/>
            <w:shd w:val="clear" w:color="auto" w:fill="auto"/>
          </w:tcPr>
          <w:p w:rsidR="00534FB5" w:rsidRPr="0042334B" w:rsidRDefault="00534FB5" w:rsidP="00534FB5">
            <w:pPr>
              <w:jc w:val="center"/>
              <w:rPr>
                <w:spacing w:val="-20"/>
              </w:rPr>
            </w:pPr>
            <w:r w:rsidRPr="0042334B">
              <w:rPr>
                <w:spacing w:val="-20"/>
              </w:rPr>
              <w:t>3,5±0,36</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60" w:type="dxa"/>
            <w:shd w:val="clear" w:color="auto" w:fill="auto"/>
          </w:tcPr>
          <w:p w:rsidR="00534FB5" w:rsidRPr="0042334B" w:rsidRDefault="00534FB5" w:rsidP="00534FB5">
            <w:pPr>
              <w:jc w:val="center"/>
              <w:rPr>
                <w:spacing w:val="-20"/>
              </w:rPr>
            </w:pPr>
            <w:r w:rsidRPr="0042334B">
              <w:rPr>
                <w:spacing w:val="-20"/>
              </w:rPr>
              <w:t>3,4±0,04</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23</w:t>
            </w:r>
          </w:p>
        </w:tc>
        <w:tc>
          <w:tcPr>
            <w:tcW w:w="1884" w:type="dxa"/>
            <w:shd w:val="clear" w:color="auto" w:fill="auto"/>
          </w:tcPr>
          <w:p w:rsidR="00534FB5" w:rsidRPr="0042334B" w:rsidRDefault="00534FB5" w:rsidP="00147CAA">
            <w:pPr>
              <w:ind w:right="-165"/>
              <w:rPr>
                <w:i/>
                <w:spacing w:val="-20"/>
              </w:rPr>
            </w:pPr>
            <w:r w:rsidRPr="0042334B">
              <w:rPr>
                <w:i/>
                <w:spacing w:val="-20"/>
              </w:rPr>
              <w:t>Pepto</w:t>
            </w:r>
            <w:r w:rsidR="00147CAA">
              <w:rPr>
                <w:i/>
                <w:spacing w:val="-20"/>
              </w:rPr>
              <w:t>-</w:t>
            </w:r>
            <w:r w:rsidRPr="0042334B">
              <w:rPr>
                <w:i/>
                <w:spacing w:val="-20"/>
              </w:rPr>
              <w:t>streptococcus spp</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050" w:type="dxa"/>
            <w:shd w:val="clear" w:color="auto" w:fill="auto"/>
          </w:tcPr>
          <w:p w:rsidR="00534FB5" w:rsidRPr="0042334B" w:rsidRDefault="00534FB5" w:rsidP="00534FB5">
            <w:pPr>
              <w:jc w:val="center"/>
              <w:rPr>
                <w:spacing w:val="-20"/>
              </w:rPr>
            </w:pPr>
            <w:r w:rsidRPr="0042334B">
              <w:rPr>
                <w:spacing w:val="-20"/>
              </w:rPr>
              <w:t>4,3±1,1</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063" w:type="dxa"/>
            <w:shd w:val="clear" w:color="auto" w:fill="auto"/>
          </w:tcPr>
          <w:p w:rsidR="00534FB5" w:rsidRPr="0042334B" w:rsidRDefault="00534FB5" w:rsidP="00534FB5">
            <w:pPr>
              <w:jc w:val="center"/>
              <w:rPr>
                <w:spacing w:val="-20"/>
                <w:lang w:val="ru-RU"/>
              </w:rPr>
            </w:pPr>
            <w:r w:rsidRPr="0042334B">
              <w:rPr>
                <w:spacing w:val="-20"/>
              </w:rPr>
              <w:t>3,7±0,</w:t>
            </w:r>
            <w:r w:rsidRPr="0042334B">
              <w:rPr>
                <w:spacing w:val="-20"/>
                <w:lang w:val="ru-RU"/>
              </w:rPr>
              <w:t>32</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170" w:type="dxa"/>
            <w:shd w:val="clear" w:color="auto" w:fill="auto"/>
          </w:tcPr>
          <w:p w:rsidR="00534FB5" w:rsidRPr="0042334B" w:rsidRDefault="00534FB5" w:rsidP="00534FB5">
            <w:pPr>
              <w:jc w:val="center"/>
              <w:rPr>
                <w:spacing w:val="-20"/>
              </w:rPr>
            </w:pPr>
            <w:r w:rsidRPr="0042334B">
              <w:rPr>
                <w:spacing w:val="-20"/>
              </w:rPr>
              <w:t>3,6±0,19</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60" w:type="dxa"/>
            <w:shd w:val="clear" w:color="auto" w:fill="auto"/>
          </w:tcPr>
          <w:p w:rsidR="00534FB5" w:rsidRPr="0042334B" w:rsidRDefault="00534FB5" w:rsidP="00534FB5">
            <w:pPr>
              <w:jc w:val="center"/>
              <w:rPr>
                <w:spacing w:val="-20"/>
              </w:rPr>
            </w:pPr>
            <w:r w:rsidRPr="0042334B">
              <w:rPr>
                <w:spacing w:val="-20"/>
              </w:rPr>
              <w:t>3,4±0,09</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24</w:t>
            </w:r>
          </w:p>
        </w:tc>
        <w:tc>
          <w:tcPr>
            <w:tcW w:w="1884" w:type="dxa"/>
            <w:shd w:val="clear" w:color="auto" w:fill="auto"/>
          </w:tcPr>
          <w:p w:rsidR="00534FB5" w:rsidRPr="0042334B" w:rsidRDefault="00534FB5" w:rsidP="00534FB5">
            <w:pPr>
              <w:rPr>
                <w:i/>
                <w:spacing w:val="-20"/>
              </w:rPr>
            </w:pPr>
            <w:r w:rsidRPr="0042334B">
              <w:rPr>
                <w:i/>
                <w:spacing w:val="-20"/>
              </w:rPr>
              <w:t>Veillonella spp</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050" w:type="dxa"/>
            <w:shd w:val="clear" w:color="auto" w:fill="auto"/>
          </w:tcPr>
          <w:p w:rsidR="00534FB5" w:rsidRPr="0042334B" w:rsidRDefault="00534FB5" w:rsidP="00534FB5">
            <w:pPr>
              <w:jc w:val="center"/>
              <w:rPr>
                <w:spacing w:val="-20"/>
              </w:rPr>
            </w:pPr>
            <w:r w:rsidRPr="0042334B">
              <w:rPr>
                <w:spacing w:val="-20"/>
              </w:rPr>
              <w:t>3,5±0,5</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3" w:type="dxa"/>
            <w:shd w:val="clear" w:color="auto" w:fill="auto"/>
          </w:tcPr>
          <w:p w:rsidR="00534FB5" w:rsidRPr="0042334B" w:rsidRDefault="00534FB5" w:rsidP="00534FB5">
            <w:pPr>
              <w:jc w:val="center"/>
              <w:rPr>
                <w:spacing w:val="-20"/>
              </w:rPr>
            </w:pPr>
            <w:r w:rsidRPr="0042334B">
              <w:rPr>
                <w:spacing w:val="-20"/>
              </w:rPr>
              <w:t>3,0</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170" w:type="dxa"/>
            <w:shd w:val="clear" w:color="auto" w:fill="auto"/>
          </w:tcPr>
          <w:p w:rsidR="00534FB5" w:rsidRPr="0042334B" w:rsidRDefault="00534FB5" w:rsidP="00534FB5">
            <w:pPr>
              <w:jc w:val="center"/>
              <w:rPr>
                <w:spacing w:val="-20"/>
              </w:rPr>
            </w:pPr>
            <w:r w:rsidRPr="0042334B">
              <w:rPr>
                <w:spacing w:val="-20"/>
              </w:rPr>
              <w:t>3,5</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jc w:val="center"/>
              <w:rPr>
                <w:spacing w:val="-20"/>
              </w:rPr>
            </w:pPr>
            <w:r w:rsidRPr="0042334B">
              <w:rPr>
                <w:spacing w:val="-20"/>
              </w:rPr>
              <w:t>3,0</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25</w:t>
            </w:r>
          </w:p>
        </w:tc>
        <w:tc>
          <w:tcPr>
            <w:tcW w:w="1884" w:type="dxa"/>
            <w:shd w:val="clear" w:color="auto" w:fill="auto"/>
          </w:tcPr>
          <w:p w:rsidR="00534FB5" w:rsidRPr="0042334B" w:rsidRDefault="00534FB5" w:rsidP="00534FB5">
            <w:pPr>
              <w:rPr>
                <w:i/>
                <w:spacing w:val="-20"/>
              </w:rPr>
            </w:pPr>
            <w:r w:rsidRPr="0042334B">
              <w:rPr>
                <w:i/>
                <w:spacing w:val="-20"/>
              </w:rPr>
              <w:t>Peptococcus sp</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50" w:type="dxa"/>
            <w:shd w:val="clear" w:color="auto" w:fill="auto"/>
          </w:tcPr>
          <w:p w:rsidR="00534FB5" w:rsidRPr="0042334B" w:rsidRDefault="00534FB5" w:rsidP="00534FB5">
            <w:pPr>
              <w:jc w:val="center"/>
              <w:rPr>
                <w:spacing w:val="-20"/>
              </w:rPr>
            </w:pPr>
            <w:r w:rsidRPr="0042334B">
              <w:rPr>
                <w:spacing w:val="-20"/>
              </w:rPr>
              <w:t>4,4</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3"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170"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695" w:type="dxa"/>
            <w:shd w:val="clear" w:color="auto" w:fill="auto"/>
          </w:tcPr>
          <w:p w:rsidR="00534FB5" w:rsidRPr="0042334B" w:rsidRDefault="00534FB5" w:rsidP="00534FB5">
            <w:pPr>
              <w:jc w:val="center"/>
              <w:rPr>
                <w:spacing w:val="-20"/>
                <w:lang w:val="ru-RU"/>
              </w:rPr>
            </w:pPr>
            <w:r w:rsidRPr="0042334B">
              <w:rPr>
                <w:spacing w:val="-20"/>
                <w:lang w:val="ru-RU"/>
              </w:rPr>
              <w:t>-</w:t>
            </w:r>
          </w:p>
        </w:tc>
        <w:tc>
          <w:tcPr>
            <w:tcW w:w="1060" w:type="dxa"/>
            <w:shd w:val="clear" w:color="auto" w:fill="auto"/>
          </w:tcPr>
          <w:p w:rsidR="00534FB5" w:rsidRPr="0042334B" w:rsidRDefault="00534FB5" w:rsidP="00534FB5">
            <w:pPr>
              <w:jc w:val="center"/>
              <w:rPr>
                <w:spacing w:val="-20"/>
                <w:lang w:val="ru-RU"/>
              </w:rPr>
            </w:pP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26</w:t>
            </w:r>
          </w:p>
        </w:tc>
        <w:tc>
          <w:tcPr>
            <w:tcW w:w="1884" w:type="dxa"/>
            <w:shd w:val="clear" w:color="auto" w:fill="auto"/>
          </w:tcPr>
          <w:p w:rsidR="00534FB5" w:rsidRPr="0042334B" w:rsidRDefault="00534FB5" w:rsidP="00534FB5">
            <w:pPr>
              <w:rPr>
                <w:i/>
                <w:spacing w:val="-20"/>
              </w:rPr>
            </w:pPr>
            <w:r w:rsidRPr="0042334B">
              <w:rPr>
                <w:i/>
                <w:spacing w:val="-20"/>
              </w:rPr>
              <w:t>Actinomycetes spp</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50" w:type="dxa"/>
            <w:shd w:val="clear" w:color="auto" w:fill="auto"/>
          </w:tcPr>
          <w:p w:rsidR="00534FB5" w:rsidRPr="0042334B" w:rsidRDefault="00534FB5" w:rsidP="00534FB5">
            <w:pPr>
              <w:jc w:val="center"/>
              <w:rPr>
                <w:spacing w:val="-20"/>
              </w:rPr>
            </w:pPr>
            <w:r w:rsidRPr="0042334B">
              <w:rPr>
                <w:spacing w:val="-20"/>
              </w:rPr>
              <w:t>4,3±0,36</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63" w:type="dxa"/>
            <w:shd w:val="clear" w:color="auto" w:fill="auto"/>
          </w:tcPr>
          <w:p w:rsidR="00534FB5" w:rsidRPr="0042334B" w:rsidRDefault="00534FB5" w:rsidP="00534FB5">
            <w:pPr>
              <w:jc w:val="center"/>
              <w:rPr>
                <w:spacing w:val="-20"/>
                <w:lang w:val="ru-RU"/>
              </w:rPr>
            </w:pPr>
            <w:r w:rsidRPr="0042334B">
              <w:rPr>
                <w:spacing w:val="-20"/>
              </w:rPr>
              <w:t>3,3±0,5</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170" w:type="dxa"/>
            <w:shd w:val="clear" w:color="auto" w:fill="auto"/>
          </w:tcPr>
          <w:p w:rsidR="00534FB5" w:rsidRPr="0042334B" w:rsidRDefault="00534FB5" w:rsidP="00534FB5">
            <w:pPr>
              <w:jc w:val="center"/>
              <w:rPr>
                <w:spacing w:val="-20"/>
              </w:rPr>
            </w:pPr>
            <w:r w:rsidRPr="0042334B">
              <w:rPr>
                <w:spacing w:val="-20"/>
              </w:rPr>
              <w:t>4,0±0,03</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060" w:type="dxa"/>
            <w:shd w:val="clear" w:color="auto" w:fill="auto"/>
          </w:tcPr>
          <w:p w:rsidR="00534FB5" w:rsidRPr="0042334B" w:rsidRDefault="00534FB5" w:rsidP="00534FB5">
            <w:pPr>
              <w:jc w:val="center"/>
              <w:rPr>
                <w:spacing w:val="-20"/>
              </w:rPr>
            </w:pPr>
            <w:r w:rsidRPr="0042334B">
              <w:rPr>
                <w:spacing w:val="-20"/>
              </w:rPr>
              <w:t>3,2±0,1</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27</w:t>
            </w:r>
          </w:p>
        </w:tc>
        <w:tc>
          <w:tcPr>
            <w:tcW w:w="1884" w:type="dxa"/>
            <w:shd w:val="clear" w:color="auto" w:fill="auto"/>
          </w:tcPr>
          <w:p w:rsidR="00534FB5" w:rsidRPr="0042334B" w:rsidRDefault="00534FB5" w:rsidP="00534FB5">
            <w:pPr>
              <w:rPr>
                <w:i/>
                <w:spacing w:val="-20"/>
              </w:rPr>
            </w:pPr>
            <w:r w:rsidRPr="0042334B">
              <w:rPr>
                <w:i/>
                <w:spacing w:val="-20"/>
              </w:rPr>
              <w:t>Bacteroides spp</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50" w:type="dxa"/>
            <w:shd w:val="clear" w:color="auto" w:fill="auto"/>
          </w:tcPr>
          <w:p w:rsidR="00534FB5" w:rsidRPr="0042334B" w:rsidRDefault="00534FB5" w:rsidP="00534FB5">
            <w:pPr>
              <w:jc w:val="center"/>
              <w:rPr>
                <w:spacing w:val="-20"/>
              </w:rPr>
            </w:pPr>
            <w:r w:rsidRPr="0042334B">
              <w:rPr>
                <w:spacing w:val="-20"/>
              </w:rPr>
              <w:t>3,7±0,2</w:t>
            </w:r>
          </w:p>
        </w:tc>
        <w:tc>
          <w:tcPr>
            <w:tcW w:w="695" w:type="dxa"/>
            <w:shd w:val="clear" w:color="auto" w:fill="auto"/>
          </w:tcPr>
          <w:p w:rsidR="00534FB5" w:rsidRPr="0042334B" w:rsidRDefault="00534FB5" w:rsidP="00534FB5">
            <w:pPr>
              <w:jc w:val="center"/>
              <w:rPr>
                <w:spacing w:val="-20"/>
              </w:rPr>
            </w:pPr>
            <w:r w:rsidRPr="0042334B">
              <w:rPr>
                <w:spacing w:val="-20"/>
              </w:rPr>
              <w:t>19,4</w:t>
            </w:r>
          </w:p>
        </w:tc>
        <w:tc>
          <w:tcPr>
            <w:tcW w:w="1063" w:type="dxa"/>
            <w:shd w:val="clear" w:color="auto" w:fill="auto"/>
          </w:tcPr>
          <w:p w:rsidR="00534FB5" w:rsidRPr="0042334B" w:rsidRDefault="00534FB5" w:rsidP="00534FB5">
            <w:pPr>
              <w:jc w:val="center"/>
              <w:rPr>
                <w:spacing w:val="-20"/>
              </w:rPr>
            </w:pPr>
            <w:r w:rsidRPr="0042334B">
              <w:rPr>
                <w:spacing w:val="-20"/>
              </w:rPr>
              <w:t>3,3±0,33</w:t>
            </w:r>
          </w:p>
        </w:tc>
        <w:tc>
          <w:tcPr>
            <w:tcW w:w="695" w:type="dxa"/>
            <w:shd w:val="clear" w:color="auto" w:fill="auto"/>
          </w:tcPr>
          <w:p w:rsidR="00534FB5" w:rsidRPr="0042334B" w:rsidRDefault="00534FB5" w:rsidP="00534FB5">
            <w:pPr>
              <w:jc w:val="center"/>
              <w:rPr>
                <w:spacing w:val="-20"/>
              </w:rPr>
            </w:pPr>
            <w:r w:rsidRPr="0042334B">
              <w:rPr>
                <w:spacing w:val="-20"/>
              </w:rPr>
              <w:t>19,4</w:t>
            </w:r>
          </w:p>
        </w:tc>
        <w:tc>
          <w:tcPr>
            <w:tcW w:w="1170" w:type="dxa"/>
            <w:shd w:val="clear" w:color="auto" w:fill="auto"/>
          </w:tcPr>
          <w:p w:rsidR="00534FB5" w:rsidRPr="0042334B" w:rsidRDefault="00534FB5" w:rsidP="00534FB5">
            <w:pPr>
              <w:jc w:val="center"/>
              <w:rPr>
                <w:spacing w:val="-20"/>
              </w:rPr>
            </w:pPr>
            <w:r w:rsidRPr="0042334B">
              <w:rPr>
                <w:spacing w:val="-20"/>
              </w:rPr>
              <w:t>3,2±0,17</w:t>
            </w:r>
          </w:p>
        </w:tc>
        <w:tc>
          <w:tcPr>
            <w:tcW w:w="695" w:type="dxa"/>
            <w:shd w:val="clear" w:color="auto" w:fill="auto"/>
          </w:tcPr>
          <w:p w:rsidR="00534FB5" w:rsidRPr="0042334B" w:rsidRDefault="00534FB5" w:rsidP="00534FB5">
            <w:pPr>
              <w:jc w:val="center"/>
              <w:rPr>
                <w:spacing w:val="-20"/>
              </w:rPr>
            </w:pPr>
            <w:r w:rsidRPr="0042334B">
              <w:rPr>
                <w:spacing w:val="-20"/>
              </w:rPr>
              <w:t>8,3</w:t>
            </w:r>
          </w:p>
        </w:tc>
        <w:tc>
          <w:tcPr>
            <w:tcW w:w="1060" w:type="dxa"/>
            <w:shd w:val="clear" w:color="auto" w:fill="auto"/>
          </w:tcPr>
          <w:p w:rsidR="00534FB5" w:rsidRPr="0042334B" w:rsidRDefault="00534FB5" w:rsidP="00534FB5">
            <w:pPr>
              <w:jc w:val="center"/>
              <w:rPr>
                <w:spacing w:val="-20"/>
              </w:rPr>
            </w:pPr>
            <w:r w:rsidRPr="0042334B">
              <w:rPr>
                <w:spacing w:val="-20"/>
              </w:rPr>
              <w:t>3,2±0,1</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28</w:t>
            </w:r>
          </w:p>
        </w:tc>
        <w:tc>
          <w:tcPr>
            <w:tcW w:w="1884" w:type="dxa"/>
            <w:shd w:val="clear" w:color="auto" w:fill="auto"/>
          </w:tcPr>
          <w:p w:rsidR="00534FB5" w:rsidRPr="0042334B" w:rsidRDefault="00534FB5" w:rsidP="00534FB5">
            <w:pPr>
              <w:rPr>
                <w:i/>
                <w:spacing w:val="-20"/>
              </w:rPr>
            </w:pPr>
            <w:r w:rsidRPr="0042334B">
              <w:rPr>
                <w:i/>
                <w:spacing w:val="-20"/>
              </w:rPr>
              <w:t>Porphyromonas spp</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050" w:type="dxa"/>
            <w:shd w:val="clear" w:color="auto" w:fill="auto"/>
          </w:tcPr>
          <w:p w:rsidR="00534FB5" w:rsidRPr="0042334B" w:rsidRDefault="00534FB5" w:rsidP="00534FB5">
            <w:pPr>
              <w:jc w:val="center"/>
              <w:rPr>
                <w:spacing w:val="-20"/>
              </w:rPr>
            </w:pPr>
            <w:r w:rsidRPr="0042334B">
              <w:rPr>
                <w:spacing w:val="-20"/>
              </w:rPr>
              <w:t>4,4±0,85</w:t>
            </w:r>
          </w:p>
        </w:tc>
        <w:tc>
          <w:tcPr>
            <w:tcW w:w="695" w:type="dxa"/>
            <w:shd w:val="clear" w:color="auto" w:fill="auto"/>
          </w:tcPr>
          <w:p w:rsidR="00534FB5" w:rsidRPr="0042334B" w:rsidRDefault="00534FB5" w:rsidP="00534FB5">
            <w:pPr>
              <w:jc w:val="center"/>
              <w:rPr>
                <w:spacing w:val="-20"/>
              </w:rPr>
            </w:pPr>
            <w:r w:rsidRPr="0042334B">
              <w:rPr>
                <w:spacing w:val="-20"/>
              </w:rPr>
              <w:t>8,3</w:t>
            </w:r>
          </w:p>
        </w:tc>
        <w:tc>
          <w:tcPr>
            <w:tcW w:w="1063" w:type="dxa"/>
            <w:shd w:val="clear" w:color="auto" w:fill="auto"/>
          </w:tcPr>
          <w:p w:rsidR="00534FB5" w:rsidRPr="0042334B" w:rsidRDefault="00534FB5" w:rsidP="00534FB5">
            <w:pPr>
              <w:jc w:val="center"/>
              <w:rPr>
                <w:spacing w:val="-20"/>
              </w:rPr>
            </w:pPr>
            <w:r w:rsidRPr="0042334B">
              <w:rPr>
                <w:spacing w:val="-20"/>
              </w:rPr>
              <w:t>3,3±0,3</w:t>
            </w:r>
          </w:p>
        </w:tc>
        <w:tc>
          <w:tcPr>
            <w:tcW w:w="695" w:type="dxa"/>
            <w:shd w:val="clear" w:color="auto" w:fill="auto"/>
          </w:tcPr>
          <w:p w:rsidR="00534FB5" w:rsidRPr="0042334B" w:rsidRDefault="00534FB5" w:rsidP="00534FB5">
            <w:pPr>
              <w:jc w:val="center"/>
              <w:rPr>
                <w:spacing w:val="-20"/>
              </w:rPr>
            </w:pPr>
            <w:r w:rsidRPr="0042334B">
              <w:rPr>
                <w:spacing w:val="-20"/>
              </w:rPr>
              <w:t>5,6</w:t>
            </w:r>
          </w:p>
        </w:tc>
        <w:tc>
          <w:tcPr>
            <w:tcW w:w="1170" w:type="dxa"/>
            <w:shd w:val="clear" w:color="auto" w:fill="auto"/>
          </w:tcPr>
          <w:p w:rsidR="00534FB5" w:rsidRPr="0042334B" w:rsidRDefault="00534FB5" w:rsidP="00534FB5">
            <w:pPr>
              <w:jc w:val="center"/>
              <w:rPr>
                <w:spacing w:val="-20"/>
              </w:rPr>
            </w:pPr>
            <w:r w:rsidRPr="0042334B">
              <w:rPr>
                <w:spacing w:val="-20"/>
              </w:rPr>
              <w:t>3,5±0,5</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jc w:val="center"/>
              <w:rPr>
                <w:spacing w:val="-20"/>
              </w:rPr>
            </w:pPr>
            <w:r w:rsidRPr="0042334B">
              <w:rPr>
                <w:spacing w:val="-20"/>
              </w:rPr>
              <w:t>3,0</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29</w:t>
            </w:r>
          </w:p>
        </w:tc>
        <w:tc>
          <w:tcPr>
            <w:tcW w:w="1884" w:type="dxa"/>
            <w:shd w:val="clear" w:color="auto" w:fill="auto"/>
          </w:tcPr>
          <w:p w:rsidR="00534FB5" w:rsidRPr="0042334B" w:rsidRDefault="00534FB5" w:rsidP="00534FB5">
            <w:pPr>
              <w:rPr>
                <w:i/>
                <w:spacing w:val="-20"/>
              </w:rPr>
            </w:pPr>
            <w:r w:rsidRPr="0042334B">
              <w:rPr>
                <w:i/>
                <w:spacing w:val="-20"/>
              </w:rPr>
              <w:t>Prevotella spp</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050" w:type="dxa"/>
            <w:shd w:val="clear" w:color="auto" w:fill="auto"/>
          </w:tcPr>
          <w:p w:rsidR="00534FB5" w:rsidRPr="0042334B" w:rsidRDefault="00534FB5" w:rsidP="00534FB5">
            <w:pPr>
              <w:jc w:val="center"/>
              <w:rPr>
                <w:spacing w:val="-20"/>
              </w:rPr>
            </w:pPr>
            <w:r w:rsidRPr="0042334B">
              <w:rPr>
                <w:spacing w:val="-20"/>
              </w:rPr>
              <w:t>4,9±0,27</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063" w:type="dxa"/>
            <w:shd w:val="clear" w:color="auto" w:fill="auto"/>
          </w:tcPr>
          <w:p w:rsidR="00534FB5" w:rsidRPr="0042334B" w:rsidRDefault="00534FB5" w:rsidP="00534FB5">
            <w:pPr>
              <w:jc w:val="center"/>
              <w:rPr>
                <w:spacing w:val="-20"/>
              </w:rPr>
            </w:pPr>
            <w:r w:rsidRPr="0042334B">
              <w:rPr>
                <w:spacing w:val="-20"/>
              </w:rPr>
              <w:t>3,7±0,1*</w:t>
            </w:r>
          </w:p>
        </w:tc>
        <w:tc>
          <w:tcPr>
            <w:tcW w:w="695" w:type="dxa"/>
            <w:shd w:val="clear" w:color="auto" w:fill="auto"/>
          </w:tcPr>
          <w:p w:rsidR="00534FB5" w:rsidRPr="0042334B" w:rsidRDefault="00534FB5" w:rsidP="00534FB5">
            <w:pPr>
              <w:jc w:val="center"/>
              <w:rPr>
                <w:spacing w:val="-20"/>
              </w:rPr>
            </w:pPr>
            <w:r w:rsidRPr="0042334B">
              <w:rPr>
                <w:spacing w:val="-20"/>
              </w:rPr>
              <w:t>11,1</w:t>
            </w:r>
          </w:p>
        </w:tc>
        <w:tc>
          <w:tcPr>
            <w:tcW w:w="1170" w:type="dxa"/>
            <w:shd w:val="clear" w:color="auto" w:fill="auto"/>
          </w:tcPr>
          <w:p w:rsidR="00534FB5" w:rsidRPr="0042334B" w:rsidRDefault="00534FB5" w:rsidP="00534FB5">
            <w:pPr>
              <w:jc w:val="center"/>
              <w:rPr>
                <w:spacing w:val="-20"/>
              </w:rPr>
            </w:pPr>
            <w:r w:rsidRPr="0042334B">
              <w:rPr>
                <w:spacing w:val="-20"/>
              </w:rPr>
              <w:t>3,4±0,08*</w:t>
            </w:r>
          </w:p>
        </w:tc>
        <w:tc>
          <w:tcPr>
            <w:tcW w:w="695" w:type="dxa"/>
            <w:shd w:val="clear" w:color="auto" w:fill="auto"/>
          </w:tcPr>
          <w:p w:rsidR="00534FB5" w:rsidRPr="0042334B" w:rsidRDefault="00534FB5" w:rsidP="00534FB5">
            <w:pPr>
              <w:jc w:val="center"/>
              <w:rPr>
                <w:spacing w:val="-20"/>
              </w:rPr>
            </w:pPr>
            <w:r w:rsidRPr="0042334B">
              <w:rPr>
                <w:spacing w:val="-20"/>
              </w:rPr>
              <w:t>2,8</w:t>
            </w:r>
          </w:p>
        </w:tc>
        <w:tc>
          <w:tcPr>
            <w:tcW w:w="1060" w:type="dxa"/>
            <w:shd w:val="clear" w:color="auto" w:fill="auto"/>
          </w:tcPr>
          <w:p w:rsidR="00534FB5" w:rsidRPr="0042334B" w:rsidRDefault="00534FB5" w:rsidP="00534FB5">
            <w:pPr>
              <w:jc w:val="center"/>
              <w:rPr>
                <w:spacing w:val="-20"/>
                <w:lang w:val="ru-RU"/>
              </w:rPr>
            </w:pPr>
            <w:r w:rsidRPr="0042334B">
              <w:rPr>
                <w:spacing w:val="-20"/>
              </w:rPr>
              <w:t>3,0</w:t>
            </w: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30</w:t>
            </w:r>
          </w:p>
        </w:tc>
        <w:tc>
          <w:tcPr>
            <w:tcW w:w="1884" w:type="dxa"/>
            <w:shd w:val="clear" w:color="auto" w:fill="auto"/>
          </w:tcPr>
          <w:p w:rsidR="00534FB5" w:rsidRPr="0042334B" w:rsidRDefault="00534FB5" w:rsidP="00534FB5">
            <w:pPr>
              <w:rPr>
                <w:i/>
                <w:spacing w:val="-20"/>
              </w:rPr>
            </w:pPr>
            <w:r w:rsidRPr="0042334B">
              <w:rPr>
                <w:i/>
                <w:spacing w:val="-20"/>
              </w:rPr>
              <w:t>Fusobacterium spp</w:t>
            </w:r>
          </w:p>
        </w:tc>
        <w:tc>
          <w:tcPr>
            <w:tcW w:w="695" w:type="dxa"/>
            <w:shd w:val="clear" w:color="auto" w:fill="auto"/>
          </w:tcPr>
          <w:p w:rsidR="00534FB5" w:rsidRPr="0042334B" w:rsidRDefault="00534FB5" w:rsidP="00534FB5">
            <w:pPr>
              <w:jc w:val="center"/>
              <w:rPr>
                <w:spacing w:val="-20"/>
              </w:rPr>
            </w:pPr>
            <w:r w:rsidRPr="0042334B">
              <w:rPr>
                <w:spacing w:val="-20"/>
              </w:rPr>
              <w:t>30,6</w:t>
            </w:r>
          </w:p>
        </w:tc>
        <w:tc>
          <w:tcPr>
            <w:tcW w:w="1050" w:type="dxa"/>
            <w:shd w:val="clear" w:color="auto" w:fill="auto"/>
          </w:tcPr>
          <w:p w:rsidR="00534FB5" w:rsidRPr="0042334B" w:rsidRDefault="00534FB5" w:rsidP="00534FB5">
            <w:pPr>
              <w:jc w:val="center"/>
              <w:rPr>
                <w:spacing w:val="-20"/>
              </w:rPr>
            </w:pPr>
            <w:r w:rsidRPr="0042334B">
              <w:rPr>
                <w:spacing w:val="-20"/>
              </w:rPr>
              <w:t>4,6±0,4</w:t>
            </w:r>
          </w:p>
        </w:tc>
        <w:tc>
          <w:tcPr>
            <w:tcW w:w="695" w:type="dxa"/>
            <w:shd w:val="clear" w:color="auto" w:fill="auto"/>
          </w:tcPr>
          <w:p w:rsidR="00534FB5" w:rsidRPr="0042334B" w:rsidRDefault="00534FB5" w:rsidP="00534FB5">
            <w:pPr>
              <w:jc w:val="center"/>
              <w:rPr>
                <w:spacing w:val="-20"/>
              </w:rPr>
            </w:pPr>
            <w:r w:rsidRPr="0042334B">
              <w:rPr>
                <w:spacing w:val="-20"/>
              </w:rPr>
              <w:t>25,0</w:t>
            </w:r>
          </w:p>
        </w:tc>
        <w:tc>
          <w:tcPr>
            <w:tcW w:w="1063" w:type="dxa"/>
            <w:shd w:val="clear" w:color="auto" w:fill="auto"/>
          </w:tcPr>
          <w:p w:rsidR="00534FB5" w:rsidRPr="0042334B" w:rsidRDefault="00534FB5" w:rsidP="00534FB5">
            <w:pPr>
              <w:jc w:val="center"/>
              <w:rPr>
                <w:spacing w:val="-20"/>
              </w:rPr>
            </w:pPr>
            <w:r w:rsidRPr="0042334B">
              <w:rPr>
                <w:spacing w:val="-20"/>
              </w:rPr>
              <w:t>3,5±0,1*</w:t>
            </w:r>
          </w:p>
        </w:tc>
        <w:tc>
          <w:tcPr>
            <w:tcW w:w="695" w:type="dxa"/>
            <w:shd w:val="clear" w:color="auto" w:fill="auto"/>
          </w:tcPr>
          <w:p w:rsidR="00534FB5" w:rsidRPr="0042334B" w:rsidRDefault="00534FB5" w:rsidP="00534FB5">
            <w:pPr>
              <w:jc w:val="center"/>
              <w:rPr>
                <w:spacing w:val="-20"/>
              </w:rPr>
            </w:pPr>
            <w:r w:rsidRPr="0042334B">
              <w:rPr>
                <w:spacing w:val="-20"/>
              </w:rPr>
              <w:t>19,4</w:t>
            </w:r>
          </w:p>
        </w:tc>
        <w:tc>
          <w:tcPr>
            <w:tcW w:w="1170" w:type="dxa"/>
            <w:shd w:val="clear" w:color="auto" w:fill="auto"/>
          </w:tcPr>
          <w:p w:rsidR="00534FB5" w:rsidRPr="0042334B" w:rsidRDefault="00534FB5" w:rsidP="00534FB5">
            <w:pPr>
              <w:jc w:val="center"/>
              <w:rPr>
                <w:spacing w:val="-20"/>
              </w:rPr>
            </w:pPr>
            <w:r w:rsidRPr="0042334B">
              <w:rPr>
                <w:spacing w:val="-20"/>
              </w:rPr>
              <w:t>3,4±0,2*</w:t>
            </w:r>
          </w:p>
        </w:tc>
        <w:tc>
          <w:tcPr>
            <w:tcW w:w="695" w:type="dxa"/>
            <w:shd w:val="clear" w:color="auto" w:fill="auto"/>
          </w:tcPr>
          <w:p w:rsidR="00534FB5" w:rsidRPr="0042334B" w:rsidRDefault="00534FB5" w:rsidP="00534FB5">
            <w:pPr>
              <w:jc w:val="center"/>
              <w:rPr>
                <w:spacing w:val="-20"/>
              </w:rPr>
            </w:pPr>
            <w:r w:rsidRPr="0042334B">
              <w:rPr>
                <w:spacing w:val="-20"/>
              </w:rPr>
              <w:t>16,7</w:t>
            </w:r>
          </w:p>
        </w:tc>
        <w:tc>
          <w:tcPr>
            <w:tcW w:w="1060" w:type="dxa"/>
            <w:shd w:val="clear" w:color="auto" w:fill="auto"/>
          </w:tcPr>
          <w:p w:rsidR="00534FB5" w:rsidRPr="0042334B" w:rsidRDefault="00534FB5" w:rsidP="00534FB5">
            <w:pPr>
              <w:jc w:val="center"/>
              <w:rPr>
                <w:spacing w:val="-20"/>
                <w:lang w:val="ru-RU"/>
              </w:rPr>
            </w:pPr>
            <w:r w:rsidRPr="0042334B">
              <w:rPr>
                <w:spacing w:val="-20"/>
              </w:rPr>
              <w:t>3,0±0</w:t>
            </w:r>
            <w:r w:rsidRPr="0042334B">
              <w:rPr>
                <w:spacing w:val="-20"/>
                <w:lang w:val="ru-RU"/>
              </w:rPr>
              <w:t>*</w:t>
            </w:r>
          </w:p>
        </w:tc>
      </w:tr>
      <w:tr w:rsidR="00534FB5" w:rsidTr="00534FB5">
        <w:tc>
          <w:tcPr>
            <w:tcW w:w="563" w:type="dxa"/>
            <w:shd w:val="clear" w:color="auto" w:fill="auto"/>
          </w:tcPr>
          <w:p w:rsidR="00534FB5" w:rsidRPr="0042334B" w:rsidRDefault="00534FB5" w:rsidP="00534FB5">
            <w:pPr>
              <w:rPr>
                <w:spacing w:val="-20"/>
              </w:rPr>
            </w:pPr>
            <w:r w:rsidRPr="0042334B">
              <w:rPr>
                <w:spacing w:val="-20"/>
              </w:rPr>
              <w:t>31</w:t>
            </w:r>
          </w:p>
        </w:tc>
        <w:tc>
          <w:tcPr>
            <w:tcW w:w="1884" w:type="dxa"/>
            <w:shd w:val="clear" w:color="auto" w:fill="auto"/>
          </w:tcPr>
          <w:p w:rsidR="00534FB5" w:rsidRPr="0042334B" w:rsidRDefault="00534FB5" w:rsidP="00534FB5">
            <w:pPr>
              <w:rPr>
                <w:i/>
                <w:spacing w:val="-20"/>
              </w:rPr>
            </w:pPr>
            <w:r w:rsidRPr="0042334B">
              <w:rPr>
                <w:i/>
                <w:spacing w:val="-20"/>
              </w:rPr>
              <w:t>Candida spp</w:t>
            </w:r>
          </w:p>
        </w:tc>
        <w:tc>
          <w:tcPr>
            <w:tcW w:w="695" w:type="dxa"/>
            <w:shd w:val="clear" w:color="auto" w:fill="auto"/>
          </w:tcPr>
          <w:p w:rsidR="00534FB5" w:rsidRPr="0042334B" w:rsidRDefault="00534FB5" w:rsidP="00534FB5">
            <w:pPr>
              <w:jc w:val="center"/>
              <w:rPr>
                <w:spacing w:val="-20"/>
              </w:rPr>
            </w:pPr>
            <w:r w:rsidRPr="0042334B">
              <w:rPr>
                <w:spacing w:val="-20"/>
              </w:rPr>
              <w:t>13,9</w:t>
            </w:r>
          </w:p>
        </w:tc>
        <w:tc>
          <w:tcPr>
            <w:tcW w:w="1050" w:type="dxa"/>
            <w:shd w:val="clear" w:color="auto" w:fill="auto"/>
          </w:tcPr>
          <w:p w:rsidR="00534FB5" w:rsidRPr="0042334B" w:rsidRDefault="00534FB5" w:rsidP="00534FB5">
            <w:pPr>
              <w:jc w:val="center"/>
              <w:rPr>
                <w:spacing w:val="-20"/>
              </w:rPr>
            </w:pPr>
            <w:r w:rsidRPr="0042334B">
              <w:rPr>
                <w:spacing w:val="-20"/>
              </w:rPr>
              <w:t>3,1±0,05</w:t>
            </w:r>
          </w:p>
        </w:tc>
        <w:tc>
          <w:tcPr>
            <w:tcW w:w="695" w:type="dxa"/>
            <w:shd w:val="clear" w:color="auto" w:fill="auto"/>
          </w:tcPr>
          <w:p w:rsidR="00534FB5" w:rsidRPr="0042334B" w:rsidRDefault="00534FB5" w:rsidP="00534FB5">
            <w:pPr>
              <w:jc w:val="center"/>
              <w:rPr>
                <w:spacing w:val="-20"/>
              </w:rPr>
            </w:pPr>
            <w:r w:rsidRPr="0042334B">
              <w:rPr>
                <w:spacing w:val="-20"/>
              </w:rPr>
              <w:t>22,2</w:t>
            </w:r>
          </w:p>
        </w:tc>
        <w:tc>
          <w:tcPr>
            <w:tcW w:w="1063" w:type="dxa"/>
            <w:shd w:val="clear" w:color="auto" w:fill="auto"/>
          </w:tcPr>
          <w:p w:rsidR="00534FB5" w:rsidRPr="0042334B" w:rsidRDefault="00534FB5" w:rsidP="00534FB5">
            <w:pPr>
              <w:jc w:val="center"/>
              <w:rPr>
                <w:spacing w:val="-20"/>
              </w:rPr>
            </w:pPr>
            <w:r w:rsidRPr="0042334B">
              <w:rPr>
                <w:spacing w:val="-20"/>
              </w:rPr>
              <w:t>3,3±0,12</w:t>
            </w:r>
          </w:p>
        </w:tc>
        <w:tc>
          <w:tcPr>
            <w:tcW w:w="695" w:type="dxa"/>
            <w:shd w:val="clear" w:color="auto" w:fill="auto"/>
          </w:tcPr>
          <w:p w:rsidR="00534FB5" w:rsidRPr="0042334B" w:rsidRDefault="00534FB5" w:rsidP="00534FB5">
            <w:pPr>
              <w:jc w:val="center"/>
              <w:rPr>
                <w:spacing w:val="-20"/>
              </w:rPr>
            </w:pPr>
            <w:r w:rsidRPr="0042334B">
              <w:rPr>
                <w:spacing w:val="-20"/>
              </w:rPr>
              <w:t>25,0</w:t>
            </w:r>
          </w:p>
        </w:tc>
        <w:tc>
          <w:tcPr>
            <w:tcW w:w="1170" w:type="dxa"/>
            <w:shd w:val="clear" w:color="auto" w:fill="auto"/>
          </w:tcPr>
          <w:p w:rsidR="00534FB5" w:rsidRPr="0042334B" w:rsidRDefault="00534FB5" w:rsidP="00534FB5">
            <w:pPr>
              <w:jc w:val="center"/>
              <w:rPr>
                <w:spacing w:val="-20"/>
              </w:rPr>
            </w:pPr>
            <w:r w:rsidRPr="0042334B">
              <w:rPr>
                <w:spacing w:val="-20"/>
              </w:rPr>
              <w:t>3,3±0,18</w:t>
            </w:r>
          </w:p>
        </w:tc>
        <w:tc>
          <w:tcPr>
            <w:tcW w:w="695" w:type="dxa"/>
            <w:shd w:val="clear" w:color="auto" w:fill="auto"/>
          </w:tcPr>
          <w:p w:rsidR="00534FB5" w:rsidRPr="0042334B" w:rsidRDefault="00534FB5" w:rsidP="00534FB5">
            <w:pPr>
              <w:jc w:val="center"/>
              <w:rPr>
                <w:spacing w:val="-20"/>
              </w:rPr>
            </w:pPr>
            <w:r w:rsidRPr="0042334B">
              <w:rPr>
                <w:spacing w:val="-20"/>
              </w:rPr>
              <w:t>25,0</w:t>
            </w:r>
          </w:p>
        </w:tc>
        <w:tc>
          <w:tcPr>
            <w:tcW w:w="1060" w:type="dxa"/>
            <w:shd w:val="clear" w:color="auto" w:fill="auto"/>
          </w:tcPr>
          <w:p w:rsidR="00534FB5" w:rsidRPr="0042334B" w:rsidRDefault="00534FB5" w:rsidP="00534FB5">
            <w:pPr>
              <w:jc w:val="center"/>
              <w:rPr>
                <w:spacing w:val="-20"/>
              </w:rPr>
            </w:pPr>
            <w:r w:rsidRPr="0042334B">
              <w:rPr>
                <w:spacing w:val="-20"/>
              </w:rPr>
              <w:t>2,9±0,05</w:t>
            </w:r>
          </w:p>
        </w:tc>
      </w:tr>
    </w:tbl>
    <w:p w:rsidR="00534FB5" w:rsidRPr="00E40BFA" w:rsidRDefault="00534FB5" w:rsidP="00534FB5">
      <w:pPr>
        <w:shd w:val="clear" w:color="auto" w:fill="FFFFFF"/>
        <w:spacing w:line="240" w:lineRule="auto"/>
        <w:ind w:left="-142"/>
        <w:contextualSpacing/>
      </w:pPr>
      <w:r w:rsidRPr="00AF5C94">
        <w:rPr>
          <w:spacing w:val="-1"/>
          <w:sz w:val="24"/>
        </w:rPr>
        <w:t xml:space="preserve">Примітка: * </w:t>
      </w:r>
      <w:r>
        <w:rPr>
          <w:spacing w:val="-1"/>
          <w:sz w:val="24"/>
        </w:rPr>
        <w:t xml:space="preserve">– </w:t>
      </w:r>
      <w:r w:rsidRPr="00AF5C94">
        <w:rPr>
          <w:spacing w:val="-1"/>
          <w:sz w:val="24"/>
        </w:rPr>
        <w:t xml:space="preserve">достовірна різниця між показниками </w:t>
      </w:r>
      <w:r w:rsidRPr="00AF5C94">
        <w:rPr>
          <w:sz w:val="24"/>
        </w:rPr>
        <w:t>(р&lt;0,05)</w:t>
      </w:r>
      <w:r>
        <w:rPr>
          <w:sz w:val="24"/>
        </w:rPr>
        <w:t>.</w:t>
      </w:r>
    </w:p>
    <w:p w:rsidR="00534FB5" w:rsidRDefault="00534FB5" w:rsidP="00534FB5">
      <w:pPr>
        <w:ind w:firstLine="708"/>
        <w:jc w:val="center"/>
        <w:sectPr w:rsidR="00534FB5" w:rsidSect="00534FB5">
          <w:pgSz w:w="11906" w:h="16838"/>
          <w:pgMar w:top="1057" w:right="850" w:bottom="1134" w:left="1702" w:header="708" w:footer="708" w:gutter="0"/>
          <w:cols w:space="708"/>
          <w:docGrid w:linePitch="381"/>
        </w:sectPr>
      </w:pPr>
    </w:p>
    <w:p w:rsidR="00534FB5" w:rsidRPr="00E40BFA" w:rsidRDefault="00534FB5" w:rsidP="00534FB5">
      <w:pPr>
        <w:ind w:firstLine="708"/>
        <w:jc w:val="center"/>
      </w:pPr>
      <w:r>
        <w:lastRenderedPageBreak/>
        <w:t>Додаток Д</w:t>
      </w:r>
    </w:p>
    <w:p w:rsidR="00534FB5" w:rsidRPr="00E40BFA" w:rsidRDefault="00534FB5" w:rsidP="00534FB5">
      <w:pPr>
        <w:jc w:val="center"/>
      </w:pPr>
      <w:r w:rsidRPr="00E40BFA">
        <w:t xml:space="preserve">Мікробіологічна характеристика біоценозів, </w:t>
      </w:r>
      <w:r w:rsidRPr="00E40BFA">
        <w:rPr>
          <w:bCs/>
          <w:color w:val="000000"/>
        </w:rPr>
        <w:t xml:space="preserve">ізольованих </w:t>
      </w:r>
      <w:r>
        <w:rPr>
          <w:bCs/>
          <w:color w:val="000000"/>
        </w:rPr>
        <w:t>і</w:t>
      </w:r>
      <w:r w:rsidRPr="00E40BFA">
        <w:rPr>
          <w:bCs/>
          <w:color w:val="000000"/>
        </w:rPr>
        <w:t xml:space="preserve">з зубної бляшки дітей </w:t>
      </w:r>
      <w:r>
        <w:rPr>
          <w:bCs/>
          <w:color w:val="000000"/>
        </w:rPr>
        <w:t>і</w:t>
      </w:r>
      <w:r w:rsidRPr="00E40BFA">
        <w:rPr>
          <w:bCs/>
          <w:color w:val="000000"/>
        </w:rPr>
        <w:t xml:space="preserve">з вродженою глухотою до та після застосування запропонованої </w:t>
      </w:r>
      <w:r w:rsidRPr="00E40BFA">
        <w:t>лікувально-профілактичної схеми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577"/>
        <w:gridCol w:w="710"/>
        <w:gridCol w:w="1114"/>
        <w:gridCol w:w="674"/>
        <w:gridCol w:w="1223"/>
        <w:gridCol w:w="714"/>
        <w:gridCol w:w="1095"/>
        <w:gridCol w:w="840"/>
        <w:gridCol w:w="1108"/>
      </w:tblGrid>
      <w:tr w:rsidR="00534FB5" w:rsidRPr="00FE2B02" w:rsidTr="00534FB5">
        <w:trPr>
          <w:trHeight w:val="272"/>
        </w:trPr>
        <w:tc>
          <w:tcPr>
            <w:tcW w:w="269" w:type="pct"/>
            <w:vMerge w:val="restar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w:t>
            </w:r>
          </w:p>
          <w:p w:rsidR="00534FB5" w:rsidRPr="00FE2B02" w:rsidRDefault="00534FB5" w:rsidP="00534FB5">
            <w:pPr>
              <w:jc w:val="center"/>
              <w:rPr>
                <w:spacing w:val="-20"/>
              </w:rPr>
            </w:pPr>
            <w:r w:rsidRPr="00FE2B02">
              <w:rPr>
                <w:spacing w:val="-20"/>
              </w:rPr>
              <w:t>п/п</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Представни</w:t>
            </w:r>
            <w:r>
              <w:rPr>
                <w:spacing w:val="-20"/>
              </w:rPr>
              <w:t>-</w:t>
            </w:r>
            <w:r w:rsidRPr="00FE2B02">
              <w:rPr>
                <w:spacing w:val="-20"/>
              </w:rPr>
              <w:t>ки родів та видів мікроорга</w:t>
            </w:r>
            <w:r>
              <w:rPr>
                <w:spacing w:val="-20"/>
              </w:rPr>
              <w:t>-</w:t>
            </w:r>
            <w:r w:rsidRPr="00FE2B02">
              <w:rPr>
                <w:spacing w:val="-20"/>
              </w:rPr>
              <w:t>нізмів</w:t>
            </w:r>
          </w:p>
        </w:tc>
        <w:tc>
          <w:tcPr>
            <w:tcW w:w="3907" w:type="pct"/>
            <w:gridSpan w:val="8"/>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Строки обстеження дітей (</w:t>
            </w:r>
            <w:r w:rsidRPr="00FE2B02">
              <w:rPr>
                <w:spacing w:val="-20"/>
                <w:lang w:val="en-US"/>
              </w:rPr>
              <w:t>n=</w:t>
            </w:r>
            <w:r w:rsidRPr="00FE2B02">
              <w:rPr>
                <w:spacing w:val="-20"/>
                <w:lang w:val="ru-RU"/>
              </w:rPr>
              <w:t>34)</w:t>
            </w:r>
          </w:p>
        </w:tc>
      </w:tr>
      <w:tr w:rsidR="00534FB5" w:rsidRPr="00FE2B02" w:rsidTr="00534FB5">
        <w:tc>
          <w:tcPr>
            <w:tcW w:w="269"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953" w:type="pct"/>
            <w:gridSpan w:val="2"/>
            <w:vMerge w:val="restar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lang w:val="ru-RU"/>
              </w:rPr>
            </w:pPr>
            <w:r w:rsidRPr="00FE2B02">
              <w:rPr>
                <w:spacing w:val="-20"/>
                <w:lang w:val="ru-RU"/>
              </w:rPr>
              <w:t xml:space="preserve">до застосування </w:t>
            </w:r>
          </w:p>
        </w:tc>
        <w:tc>
          <w:tcPr>
            <w:tcW w:w="2954" w:type="pct"/>
            <w:gridSpan w:val="6"/>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lang w:val="ru-RU"/>
              </w:rPr>
            </w:pPr>
            <w:r w:rsidRPr="00FE2B02">
              <w:rPr>
                <w:spacing w:val="-20"/>
                <w:lang w:val="ru-RU"/>
              </w:rPr>
              <w:t>після застосування</w:t>
            </w:r>
          </w:p>
        </w:tc>
      </w:tr>
      <w:tr w:rsidR="00534FB5" w:rsidRPr="00FE2B02" w:rsidTr="00534FB5">
        <w:tc>
          <w:tcPr>
            <w:tcW w:w="269"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953" w:type="pct"/>
            <w:gridSpan w:val="2"/>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lang w:val="ru-RU"/>
              </w:rPr>
            </w:pPr>
          </w:p>
        </w:tc>
        <w:tc>
          <w:tcPr>
            <w:tcW w:w="991" w:type="pct"/>
            <w:gridSpan w:val="2"/>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lang w:val="ru-RU"/>
              </w:rPr>
            </w:pPr>
            <w:r w:rsidRPr="00FE2B02">
              <w:rPr>
                <w:spacing w:val="-20"/>
                <w:lang w:val="ru-RU"/>
              </w:rPr>
              <w:t>через 1 місяць</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lang w:val="ru-RU"/>
              </w:rPr>
            </w:pPr>
            <w:r w:rsidRPr="00FE2B02">
              <w:rPr>
                <w:spacing w:val="-20"/>
                <w:lang w:val="ru-RU"/>
              </w:rPr>
              <w:t>через 6 місяців</w:t>
            </w:r>
          </w:p>
        </w:tc>
        <w:tc>
          <w:tcPr>
            <w:tcW w:w="1018" w:type="pct"/>
            <w:gridSpan w:val="2"/>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lang w:val="ru-RU"/>
              </w:rPr>
            </w:pPr>
            <w:r w:rsidRPr="00FE2B02">
              <w:rPr>
                <w:spacing w:val="-20"/>
                <w:lang w:val="ru-RU"/>
              </w:rPr>
              <w:t>через 12 місяців</w:t>
            </w:r>
          </w:p>
        </w:tc>
      </w:tr>
      <w:tr w:rsidR="00534FB5" w:rsidRPr="00FE2B02" w:rsidTr="00534FB5">
        <w:tc>
          <w:tcPr>
            <w:tcW w:w="269"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371"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w:t>
            </w:r>
          </w:p>
        </w:tc>
        <w:tc>
          <w:tcPr>
            <w:tcW w:w="58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lg КУО/г</w:t>
            </w:r>
          </w:p>
          <w:p w:rsidR="00534FB5" w:rsidRPr="00FE2B02" w:rsidRDefault="00534FB5" w:rsidP="00534FB5">
            <w:pPr>
              <w:jc w:val="center"/>
              <w:rPr>
                <w:spacing w:val="-20"/>
              </w:rPr>
            </w:pPr>
            <w:r w:rsidRPr="00FE2B02">
              <w:rPr>
                <w:spacing w:val="-20"/>
              </w:rPr>
              <w:t>(М±m)</w:t>
            </w:r>
          </w:p>
        </w:tc>
        <w:tc>
          <w:tcPr>
            <w:tcW w:w="35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w:t>
            </w:r>
          </w:p>
        </w:tc>
        <w:tc>
          <w:tcPr>
            <w:tcW w:w="63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lg КУО/г</w:t>
            </w:r>
          </w:p>
          <w:p w:rsidR="00534FB5" w:rsidRPr="00FE2B02" w:rsidRDefault="00534FB5" w:rsidP="00534FB5">
            <w:pPr>
              <w:jc w:val="center"/>
              <w:rPr>
                <w:spacing w:val="-20"/>
              </w:rPr>
            </w:pPr>
            <w:r w:rsidRPr="00FE2B02">
              <w:rPr>
                <w:spacing w:val="-20"/>
              </w:rPr>
              <w:t>(М±m)</w:t>
            </w:r>
          </w:p>
        </w:tc>
        <w:tc>
          <w:tcPr>
            <w:tcW w:w="373"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w:t>
            </w:r>
          </w:p>
        </w:tc>
        <w:tc>
          <w:tcPr>
            <w:tcW w:w="57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lg КУО/г</w:t>
            </w:r>
          </w:p>
          <w:p w:rsidR="00534FB5" w:rsidRPr="00FE2B02" w:rsidRDefault="00534FB5" w:rsidP="00534FB5">
            <w:pPr>
              <w:jc w:val="center"/>
              <w:rPr>
                <w:spacing w:val="-20"/>
              </w:rPr>
            </w:pPr>
            <w:r w:rsidRPr="00FE2B02">
              <w:rPr>
                <w:spacing w:val="-20"/>
              </w:rPr>
              <w:t>(М±m)</w:t>
            </w:r>
          </w:p>
        </w:tc>
        <w:tc>
          <w:tcPr>
            <w:tcW w:w="43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w:t>
            </w:r>
          </w:p>
        </w:tc>
        <w:tc>
          <w:tcPr>
            <w:tcW w:w="57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spacing w:val="-20"/>
              </w:rPr>
            </w:pPr>
            <w:r w:rsidRPr="00FE2B02">
              <w:rPr>
                <w:spacing w:val="-20"/>
              </w:rPr>
              <w:t>lg КУО/г</w:t>
            </w:r>
          </w:p>
          <w:p w:rsidR="00534FB5" w:rsidRPr="00FE2B02" w:rsidRDefault="00534FB5" w:rsidP="00534FB5">
            <w:pPr>
              <w:jc w:val="center"/>
              <w:rPr>
                <w:spacing w:val="-20"/>
              </w:rPr>
            </w:pPr>
            <w:r w:rsidRPr="00FE2B02">
              <w:rPr>
                <w:spacing w:val="-20"/>
              </w:rPr>
              <w:t>(М±m)</w:t>
            </w:r>
          </w:p>
        </w:tc>
      </w:tr>
      <w:tr w:rsidR="00534FB5" w:rsidRPr="00FE2B02" w:rsidTr="00534FB5">
        <w:trPr>
          <w:cantSplit/>
          <w:trHeight w:val="1307"/>
        </w:trPr>
        <w:tc>
          <w:tcPr>
            <w:tcW w:w="269"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rPr>
                <w:spacing w:val="-20"/>
              </w:rPr>
            </w:pPr>
          </w:p>
        </w:tc>
        <w:tc>
          <w:tcPr>
            <w:tcW w:w="371"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частота </w:t>
            </w:r>
          </w:p>
        </w:tc>
        <w:tc>
          <w:tcPr>
            <w:tcW w:w="582"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щільність </w:t>
            </w:r>
          </w:p>
          <w:p w:rsidR="00534FB5" w:rsidRPr="00FE2B02" w:rsidRDefault="00534FB5" w:rsidP="00534FB5">
            <w:pPr>
              <w:ind w:left="113" w:right="113"/>
              <w:jc w:val="center"/>
              <w:rPr>
                <w:spacing w:val="-20"/>
              </w:rPr>
            </w:pPr>
          </w:p>
        </w:tc>
        <w:tc>
          <w:tcPr>
            <w:tcW w:w="352"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частота </w:t>
            </w:r>
          </w:p>
        </w:tc>
        <w:tc>
          <w:tcPr>
            <w:tcW w:w="639"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щільність </w:t>
            </w:r>
          </w:p>
          <w:p w:rsidR="00534FB5" w:rsidRPr="00FE2B02" w:rsidRDefault="00534FB5" w:rsidP="00534FB5">
            <w:pPr>
              <w:ind w:left="113" w:right="113"/>
              <w:jc w:val="center"/>
              <w:rPr>
                <w:spacing w:val="-20"/>
              </w:rPr>
            </w:pP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частота </w:t>
            </w:r>
          </w:p>
        </w:tc>
        <w:tc>
          <w:tcPr>
            <w:tcW w:w="572"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щільність </w:t>
            </w:r>
          </w:p>
          <w:p w:rsidR="00534FB5" w:rsidRPr="00FE2B02" w:rsidRDefault="00534FB5" w:rsidP="00534FB5">
            <w:pPr>
              <w:ind w:left="113" w:right="113"/>
              <w:jc w:val="center"/>
              <w:rPr>
                <w:spacing w:val="-20"/>
              </w:rPr>
            </w:pPr>
          </w:p>
        </w:tc>
        <w:tc>
          <w:tcPr>
            <w:tcW w:w="439"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частота </w:t>
            </w:r>
          </w:p>
        </w:tc>
        <w:tc>
          <w:tcPr>
            <w:tcW w:w="579" w:type="pct"/>
            <w:tcBorders>
              <w:top w:val="single" w:sz="4" w:space="0" w:color="auto"/>
              <w:left w:val="single" w:sz="4" w:space="0" w:color="auto"/>
              <w:bottom w:val="single" w:sz="4" w:space="0" w:color="auto"/>
              <w:right w:val="single" w:sz="4" w:space="0" w:color="auto"/>
            </w:tcBorders>
            <w:textDirection w:val="btLr"/>
            <w:vAlign w:val="center"/>
          </w:tcPr>
          <w:p w:rsidR="00534FB5" w:rsidRPr="00FE2B02" w:rsidRDefault="00534FB5" w:rsidP="00534FB5">
            <w:pPr>
              <w:ind w:left="113" w:right="113"/>
              <w:jc w:val="center"/>
              <w:rPr>
                <w:spacing w:val="-20"/>
              </w:rPr>
            </w:pPr>
            <w:r w:rsidRPr="00FE2B02">
              <w:rPr>
                <w:spacing w:val="-20"/>
              </w:rPr>
              <w:t xml:space="preserve">щільність </w:t>
            </w:r>
          </w:p>
          <w:p w:rsidR="00534FB5" w:rsidRPr="00FE2B02" w:rsidRDefault="00534FB5" w:rsidP="00534FB5">
            <w:pPr>
              <w:ind w:left="113" w:right="113"/>
              <w:jc w:val="center"/>
              <w:rPr>
                <w:spacing w:val="-20"/>
              </w:rPr>
            </w:pP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2</w:t>
            </w:r>
          </w:p>
        </w:tc>
        <w:tc>
          <w:tcPr>
            <w:tcW w:w="371"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3</w:t>
            </w:r>
          </w:p>
        </w:tc>
        <w:tc>
          <w:tcPr>
            <w:tcW w:w="58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4</w:t>
            </w:r>
          </w:p>
        </w:tc>
        <w:tc>
          <w:tcPr>
            <w:tcW w:w="35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5</w:t>
            </w:r>
          </w:p>
        </w:tc>
        <w:tc>
          <w:tcPr>
            <w:tcW w:w="63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6</w:t>
            </w:r>
          </w:p>
        </w:tc>
        <w:tc>
          <w:tcPr>
            <w:tcW w:w="373"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7</w:t>
            </w:r>
          </w:p>
        </w:tc>
        <w:tc>
          <w:tcPr>
            <w:tcW w:w="572"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8</w:t>
            </w:r>
          </w:p>
        </w:tc>
        <w:tc>
          <w:tcPr>
            <w:tcW w:w="43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9</w:t>
            </w:r>
          </w:p>
        </w:tc>
        <w:tc>
          <w:tcPr>
            <w:tcW w:w="579" w:type="pct"/>
            <w:tcBorders>
              <w:top w:val="single" w:sz="4" w:space="0" w:color="auto"/>
              <w:left w:val="single" w:sz="4" w:space="0" w:color="auto"/>
              <w:bottom w:val="single" w:sz="4" w:space="0" w:color="auto"/>
              <w:right w:val="single" w:sz="4" w:space="0" w:color="auto"/>
            </w:tcBorders>
            <w:vAlign w:val="center"/>
          </w:tcPr>
          <w:p w:rsidR="00534FB5" w:rsidRPr="00FE2B02" w:rsidRDefault="00534FB5" w:rsidP="00534FB5">
            <w:pPr>
              <w:jc w:val="center"/>
              <w:rPr>
                <w:i/>
                <w:spacing w:val="-20"/>
              </w:rPr>
            </w:pPr>
            <w:r w:rsidRPr="00FE2B02">
              <w:rPr>
                <w:i/>
                <w:spacing w:val="-20"/>
              </w:rPr>
              <w:t>10</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mitis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14,7</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3,2±0,08</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17,6</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ind w:left="-54"/>
              <w:jc w:val="center"/>
              <w:rPr>
                <w:spacing w:val="-20"/>
              </w:rPr>
            </w:pPr>
            <w:r w:rsidRPr="00FE2B02">
              <w:rPr>
                <w:spacing w:val="-20"/>
              </w:rPr>
              <w:t>3,2±0,1</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32,4</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3,6±0,32</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35,3</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4,0±0,17</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mutans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41,2</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6,6±0,57</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32,4</w:t>
            </w:r>
          </w:p>
        </w:tc>
        <w:tc>
          <w:tcPr>
            <w:tcW w:w="639" w:type="pct"/>
            <w:tcBorders>
              <w:top w:val="single" w:sz="4" w:space="0" w:color="auto"/>
              <w:left w:val="single" w:sz="4" w:space="0" w:color="auto"/>
              <w:bottom w:val="single" w:sz="4" w:space="0" w:color="auto"/>
              <w:right w:val="single" w:sz="4" w:space="0" w:color="auto"/>
            </w:tcBorders>
          </w:tcPr>
          <w:p w:rsidR="00434502" w:rsidRDefault="00534FB5" w:rsidP="00534FB5">
            <w:pPr>
              <w:ind w:left="-54"/>
              <w:jc w:val="center"/>
              <w:rPr>
                <w:spacing w:val="-20"/>
              </w:rPr>
            </w:pPr>
            <w:r w:rsidRPr="00FE2B02">
              <w:rPr>
                <w:spacing w:val="-20"/>
              </w:rPr>
              <w:t>3,6±0,34</w:t>
            </w:r>
          </w:p>
          <w:p w:rsidR="00534FB5" w:rsidRPr="00FE2B02" w:rsidRDefault="00534FB5" w:rsidP="00534FB5">
            <w:pPr>
              <w:ind w:left="-54"/>
              <w:jc w:val="center"/>
              <w:rPr>
                <w:spacing w:val="-20"/>
              </w:rPr>
            </w:pPr>
            <w:r w:rsidRPr="00FE2B02">
              <w:rPr>
                <w:spacing w:val="-20"/>
              </w:rPr>
              <w:t>**</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14,7*</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4,1±0,63**</w:t>
            </w:r>
          </w:p>
        </w:tc>
        <w:tc>
          <w:tcPr>
            <w:tcW w:w="439" w:type="pct"/>
            <w:tcBorders>
              <w:top w:val="single" w:sz="4" w:space="0" w:color="auto"/>
              <w:left w:val="single" w:sz="4" w:space="0" w:color="auto"/>
              <w:bottom w:val="single" w:sz="4" w:space="0" w:color="auto"/>
              <w:right w:val="single" w:sz="4" w:space="0" w:color="auto"/>
            </w:tcBorders>
          </w:tcPr>
          <w:p w:rsidR="00434502" w:rsidRDefault="00534FB5" w:rsidP="00534FB5">
            <w:pPr>
              <w:jc w:val="center"/>
              <w:rPr>
                <w:spacing w:val="-20"/>
              </w:rPr>
            </w:pPr>
            <w:r w:rsidRPr="00FE2B02">
              <w:rPr>
                <w:spacing w:val="-20"/>
              </w:rPr>
              <w:t>2,9</w:t>
            </w:r>
          </w:p>
          <w:p w:rsidR="00534FB5" w:rsidRPr="00FE2B02" w:rsidRDefault="00534FB5" w:rsidP="00534FB5">
            <w:pPr>
              <w:jc w:val="center"/>
              <w:rPr>
                <w:spacing w:val="-20"/>
              </w:rPr>
            </w:pPr>
            <w:r w:rsidRPr="00FE2B02">
              <w:rPr>
                <w:spacing w:val="-20"/>
              </w:rPr>
              <w:t>**</w:t>
            </w:r>
          </w:p>
        </w:tc>
        <w:tc>
          <w:tcPr>
            <w:tcW w:w="579" w:type="pct"/>
            <w:tcBorders>
              <w:top w:val="single" w:sz="4" w:space="0" w:color="auto"/>
              <w:left w:val="single" w:sz="4" w:space="0" w:color="auto"/>
              <w:bottom w:val="single" w:sz="4" w:space="0" w:color="auto"/>
              <w:right w:val="single" w:sz="4" w:space="0" w:color="auto"/>
            </w:tcBorders>
          </w:tcPr>
          <w:p w:rsidR="00434502" w:rsidRDefault="00534FB5" w:rsidP="00534FB5">
            <w:pPr>
              <w:jc w:val="center"/>
              <w:rPr>
                <w:spacing w:val="-20"/>
              </w:rPr>
            </w:pPr>
            <w:r w:rsidRPr="00FE2B02">
              <w:rPr>
                <w:spacing w:val="-20"/>
              </w:rPr>
              <w:t>3,2</w:t>
            </w:r>
          </w:p>
          <w:p w:rsidR="00534FB5" w:rsidRPr="00FE2B02" w:rsidRDefault="00534FB5" w:rsidP="00534FB5">
            <w:pPr>
              <w:jc w:val="center"/>
              <w:rPr>
                <w:spacing w:val="-20"/>
              </w:rPr>
            </w:pPr>
            <w:r w:rsidRPr="00FE2B02">
              <w:rPr>
                <w:spacing w:val="-20"/>
              </w:rPr>
              <w:t>**</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3</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oralis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17,6</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4,3±1,24</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23,5</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ind w:left="-54"/>
              <w:jc w:val="center"/>
              <w:rPr>
                <w:spacing w:val="-20"/>
              </w:rPr>
            </w:pPr>
            <w:r w:rsidRPr="00FE2B02">
              <w:rPr>
                <w:spacing w:val="-20"/>
              </w:rPr>
              <w:t>3,8±0,75</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35,3</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4,1±0,45</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35,3</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4,2±0,45</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4</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sаlivarius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ind w:left="-54"/>
              <w:jc w:val="center"/>
              <w:rPr>
                <w:spacing w:val="-20"/>
              </w:rPr>
            </w:pPr>
            <w:r w:rsidRPr="00FE2B02">
              <w:rPr>
                <w:spacing w:val="-20"/>
              </w:rPr>
              <w:t>3,0</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3,6±0,38</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23,5*</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4,0±0,04</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5</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sanguis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7,0±0,85</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639" w:type="pct"/>
            <w:tcBorders>
              <w:top w:val="single" w:sz="4" w:space="0" w:color="auto"/>
              <w:left w:val="single" w:sz="4" w:space="0" w:color="auto"/>
              <w:bottom w:val="single" w:sz="4" w:space="0" w:color="auto"/>
              <w:right w:val="single" w:sz="4" w:space="0" w:color="auto"/>
            </w:tcBorders>
          </w:tcPr>
          <w:p w:rsidR="00434502" w:rsidRDefault="00534FB5" w:rsidP="00534FB5">
            <w:pPr>
              <w:ind w:left="-54"/>
              <w:jc w:val="center"/>
              <w:rPr>
                <w:spacing w:val="-20"/>
              </w:rPr>
            </w:pPr>
            <w:r w:rsidRPr="00FE2B02">
              <w:rPr>
                <w:spacing w:val="-20"/>
              </w:rPr>
              <w:t>4,0±0,5</w:t>
            </w:r>
          </w:p>
          <w:p w:rsidR="00534FB5" w:rsidRPr="00FE2B02" w:rsidRDefault="00534FB5" w:rsidP="00534FB5">
            <w:pPr>
              <w:ind w:left="-54"/>
              <w:jc w:val="center"/>
              <w:rPr>
                <w:spacing w:val="-20"/>
              </w:rPr>
            </w:pPr>
            <w:r w:rsidRPr="00FE2B02">
              <w:rPr>
                <w:spacing w:val="-20"/>
              </w:rPr>
              <w:t>**</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23,5</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3,6±0,45**</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17,6</w:t>
            </w:r>
          </w:p>
        </w:tc>
        <w:tc>
          <w:tcPr>
            <w:tcW w:w="579" w:type="pct"/>
            <w:tcBorders>
              <w:top w:val="single" w:sz="4" w:space="0" w:color="auto"/>
              <w:left w:val="single" w:sz="4" w:space="0" w:color="auto"/>
              <w:bottom w:val="single" w:sz="4" w:space="0" w:color="auto"/>
              <w:right w:val="single" w:sz="4" w:space="0" w:color="auto"/>
            </w:tcBorders>
          </w:tcPr>
          <w:p w:rsidR="00A86BBE" w:rsidRDefault="00534FB5" w:rsidP="00534FB5">
            <w:pPr>
              <w:jc w:val="center"/>
              <w:rPr>
                <w:spacing w:val="-20"/>
              </w:rPr>
            </w:pPr>
            <w:r w:rsidRPr="00FE2B02">
              <w:rPr>
                <w:spacing w:val="-20"/>
              </w:rPr>
              <w:t>3,9±1,1</w:t>
            </w:r>
          </w:p>
          <w:p w:rsidR="00534FB5" w:rsidRPr="00FE2B02" w:rsidRDefault="00534FB5" w:rsidP="00534FB5">
            <w:pPr>
              <w:jc w:val="center"/>
              <w:rPr>
                <w:spacing w:val="-20"/>
              </w:rPr>
            </w:pPr>
            <w:r w:rsidRPr="00FE2B02">
              <w:rPr>
                <w:spacing w:val="-20"/>
              </w:rPr>
              <w:t>**</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6</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pyogеnеs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3,5</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ind w:left="-54"/>
              <w:jc w:val="center"/>
              <w:rPr>
                <w:spacing w:val="-20"/>
                <w:lang w:val="ru-RU"/>
              </w:rPr>
            </w:pPr>
            <w:r w:rsidRPr="00FE2B02">
              <w:rPr>
                <w:spacing w:val="-20"/>
                <w:lang w:val="ru-RU"/>
              </w:rPr>
              <w:t>-</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7</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Enterococcus spp</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26,5</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5,5±0,77</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35,3</w:t>
            </w:r>
          </w:p>
        </w:tc>
        <w:tc>
          <w:tcPr>
            <w:tcW w:w="639" w:type="pct"/>
            <w:tcBorders>
              <w:top w:val="single" w:sz="4" w:space="0" w:color="auto"/>
              <w:left w:val="single" w:sz="4" w:space="0" w:color="auto"/>
              <w:bottom w:val="single" w:sz="4" w:space="0" w:color="auto"/>
              <w:right w:val="single" w:sz="4" w:space="0" w:color="auto"/>
            </w:tcBorders>
          </w:tcPr>
          <w:p w:rsidR="00434502" w:rsidRDefault="00534FB5" w:rsidP="00534FB5">
            <w:pPr>
              <w:jc w:val="center"/>
              <w:rPr>
                <w:spacing w:val="-20"/>
              </w:rPr>
            </w:pPr>
            <w:r w:rsidRPr="00FE2B02">
              <w:rPr>
                <w:spacing w:val="-20"/>
              </w:rPr>
              <w:t>3,5±0,5</w:t>
            </w:r>
          </w:p>
          <w:p w:rsidR="00534FB5" w:rsidRPr="00FE2B02" w:rsidRDefault="00534FB5" w:rsidP="00534FB5">
            <w:pPr>
              <w:jc w:val="center"/>
              <w:rPr>
                <w:spacing w:val="-20"/>
              </w:rPr>
            </w:pPr>
            <w:r w:rsidRPr="00FE2B02">
              <w:rPr>
                <w:spacing w:val="-20"/>
              </w:rPr>
              <w:t>**</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29,4</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3,4±0,32**</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23,5</w:t>
            </w:r>
          </w:p>
        </w:tc>
        <w:tc>
          <w:tcPr>
            <w:tcW w:w="579" w:type="pct"/>
            <w:tcBorders>
              <w:top w:val="single" w:sz="4" w:space="0" w:color="auto"/>
              <w:left w:val="single" w:sz="4" w:space="0" w:color="auto"/>
              <w:bottom w:val="single" w:sz="4" w:space="0" w:color="auto"/>
              <w:right w:val="single" w:sz="4" w:space="0" w:color="auto"/>
            </w:tcBorders>
          </w:tcPr>
          <w:p w:rsidR="00434502" w:rsidRDefault="00534FB5" w:rsidP="00534FB5">
            <w:pPr>
              <w:jc w:val="center"/>
              <w:rPr>
                <w:spacing w:val="-20"/>
              </w:rPr>
            </w:pPr>
            <w:r w:rsidRPr="00FE2B02">
              <w:rPr>
                <w:spacing w:val="-20"/>
              </w:rPr>
              <w:t>3,3±0,1</w:t>
            </w:r>
          </w:p>
          <w:p w:rsidR="00534FB5" w:rsidRPr="00FE2B02" w:rsidRDefault="00534FB5" w:rsidP="00534FB5">
            <w:pPr>
              <w:jc w:val="center"/>
              <w:rPr>
                <w:spacing w:val="-20"/>
              </w:rPr>
            </w:pPr>
            <w:r w:rsidRPr="00FE2B02">
              <w:rPr>
                <w:spacing w:val="-20"/>
              </w:rPr>
              <w:t>**</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8</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Stomato</w:t>
            </w:r>
            <w:r w:rsidR="00A86BBE">
              <w:rPr>
                <w:i/>
                <w:spacing w:val="-20"/>
              </w:rPr>
              <w:t>-</w:t>
            </w:r>
            <w:r w:rsidRPr="00FE2B02">
              <w:rPr>
                <w:i/>
                <w:spacing w:val="-20"/>
              </w:rPr>
              <w:t>coccus spp</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3,6±0,21</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5,9</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3,4±0,1</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r>
      <w:tr w:rsidR="00534FB5" w:rsidRPr="00FE2B02" w:rsidTr="00534FB5">
        <w:tc>
          <w:tcPr>
            <w:tcW w:w="2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9</w:t>
            </w:r>
          </w:p>
        </w:tc>
        <w:tc>
          <w:tcPr>
            <w:tcW w:w="8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S. aureus</w:t>
            </w:r>
          </w:p>
        </w:tc>
        <w:tc>
          <w:tcPr>
            <w:tcW w:w="371"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3,2±0,12</w:t>
            </w:r>
          </w:p>
        </w:tc>
        <w:tc>
          <w:tcPr>
            <w:tcW w:w="35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6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37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3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bl>
    <w:p w:rsidR="00534FB5" w:rsidRDefault="00534FB5" w:rsidP="00534FB5">
      <w:pPr>
        <w:ind w:firstLine="708"/>
        <w:jc w:val="right"/>
        <w:rPr>
          <w:spacing w:val="-20"/>
        </w:rPr>
      </w:pPr>
    </w:p>
    <w:p w:rsidR="00534FB5" w:rsidRDefault="00534FB5" w:rsidP="00534FB5">
      <w:pPr>
        <w:ind w:firstLine="708"/>
        <w:jc w:val="right"/>
        <w:rPr>
          <w:i/>
          <w:spacing w:val="-20"/>
        </w:rPr>
      </w:pPr>
    </w:p>
    <w:p w:rsidR="00534FB5" w:rsidRPr="00054814" w:rsidRDefault="00534FB5" w:rsidP="00534FB5">
      <w:pPr>
        <w:ind w:firstLine="708"/>
        <w:jc w:val="right"/>
        <w:rPr>
          <w:i/>
          <w:spacing w:val="-20"/>
        </w:rPr>
      </w:pPr>
      <w:r w:rsidRPr="00054814">
        <w:rPr>
          <w:i/>
          <w:spacing w:val="-20"/>
        </w:rPr>
        <w:lastRenderedPageBreak/>
        <w:t>Продовження додатк</w:t>
      </w:r>
      <w:r>
        <w:rPr>
          <w:i/>
          <w:spacing w:val="-20"/>
        </w:rPr>
        <w:t>а</w:t>
      </w:r>
      <w:r w:rsidRPr="00054814">
        <w:rPr>
          <w:i/>
          <w:spacing w:val="-20"/>
        </w:rPr>
        <w:t xml:space="preserve"> </w:t>
      </w:r>
      <w:r>
        <w:rPr>
          <w:i/>
          <w:spacing w:val="-20"/>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60"/>
        <w:gridCol w:w="706"/>
        <w:gridCol w:w="1135"/>
        <w:gridCol w:w="702"/>
        <w:gridCol w:w="1177"/>
        <w:gridCol w:w="812"/>
        <w:gridCol w:w="1068"/>
        <w:gridCol w:w="771"/>
        <w:gridCol w:w="1099"/>
      </w:tblGrid>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rPr>
                <w:spacing w:val="-20"/>
                <w:lang w:val="en-US"/>
              </w:rPr>
            </w:pPr>
            <w:r>
              <w:rPr>
                <w:spacing w:val="-20"/>
                <w:lang w:val="en-US"/>
              </w:rPr>
              <w:t>1</w:t>
            </w:r>
          </w:p>
        </w:tc>
        <w:tc>
          <w:tcPr>
            <w:tcW w:w="815"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rPr>
                <w:i/>
                <w:spacing w:val="-20"/>
                <w:lang w:val="en-US"/>
              </w:rPr>
            </w:pPr>
            <w:r>
              <w:rPr>
                <w:i/>
                <w:spacing w:val="-20"/>
                <w:lang w:val="en-US"/>
              </w:rPr>
              <w:t>2</w:t>
            </w:r>
          </w:p>
        </w:tc>
        <w:tc>
          <w:tcPr>
            <w:tcW w:w="369"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3</w:t>
            </w:r>
          </w:p>
        </w:tc>
        <w:tc>
          <w:tcPr>
            <w:tcW w:w="593"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4</w:t>
            </w:r>
          </w:p>
        </w:tc>
        <w:tc>
          <w:tcPr>
            <w:tcW w:w="367"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5</w:t>
            </w:r>
          </w:p>
        </w:tc>
        <w:tc>
          <w:tcPr>
            <w:tcW w:w="615"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6</w:t>
            </w:r>
          </w:p>
        </w:tc>
        <w:tc>
          <w:tcPr>
            <w:tcW w:w="424"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7</w:t>
            </w:r>
          </w:p>
        </w:tc>
        <w:tc>
          <w:tcPr>
            <w:tcW w:w="558"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8</w:t>
            </w:r>
          </w:p>
        </w:tc>
        <w:tc>
          <w:tcPr>
            <w:tcW w:w="403"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9</w:t>
            </w:r>
          </w:p>
        </w:tc>
        <w:tc>
          <w:tcPr>
            <w:tcW w:w="574" w:type="pct"/>
            <w:tcBorders>
              <w:top w:val="single" w:sz="4" w:space="0" w:color="auto"/>
              <w:left w:val="single" w:sz="4" w:space="0" w:color="auto"/>
              <w:bottom w:val="single" w:sz="4" w:space="0" w:color="auto"/>
              <w:right w:val="single" w:sz="4" w:space="0" w:color="auto"/>
            </w:tcBorders>
          </w:tcPr>
          <w:p w:rsidR="00534FB5" w:rsidRPr="00054814" w:rsidRDefault="00534FB5" w:rsidP="00534FB5">
            <w:pPr>
              <w:jc w:val="center"/>
              <w:rPr>
                <w:spacing w:val="-20"/>
                <w:lang w:val="en-US"/>
              </w:rPr>
            </w:pPr>
            <w:r>
              <w:rPr>
                <w:spacing w:val="-20"/>
                <w:lang w:val="en-US"/>
              </w:rPr>
              <w:t>10</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10</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lang w:val="ru-RU"/>
              </w:rPr>
            </w:pPr>
            <w:r w:rsidRPr="00FE2B02">
              <w:rPr>
                <w:i/>
                <w:spacing w:val="-20"/>
              </w:rPr>
              <w:t>Staphylo</w:t>
            </w:r>
            <w:r w:rsidR="00A86BBE">
              <w:rPr>
                <w:i/>
                <w:spacing w:val="-20"/>
              </w:rPr>
              <w:t>-</w:t>
            </w:r>
            <w:r w:rsidRPr="00FE2B02">
              <w:rPr>
                <w:i/>
                <w:spacing w:val="-20"/>
              </w:rPr>
              <w:t>coccus sp</w:t>
            </w:r>
            <w:r w:rsidRPr="00FE2B02">
              <w:rPr>
                <w:i/>
                <w:spacing w:val="-20"/>
                <w:lang w:val="ru-RU"/>
              </w:rPr>
              <w:t>р</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17,6</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3,1±0,04</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2,9</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11</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Gemella sp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12</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Coryne</w:t>
            </w:r>
            <w:r w:rsidR="00A86BBE">
              <w:rPr>
                <w:i/>
                <w:spacing w:val="-20"/>
              </w:rPr>
              <w:t>-</w:t>
            </w:r>
            <w:r w:rsidRPr="00FE2B02">
              <w:rPr>
                <w:i/>
                <w:spacing w:val="-20"/>
              </w:rPr>
              <w:t>bacterium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14,7</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4,2±0,36</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3,7±0,21</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3,2±0,05</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3,2±0,08</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13</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Lactobacillus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3,1±0,1</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3,1±0,1</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14</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Haemophillus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4,5±0,41</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3,3±0,3</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15</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Neisseria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32,4</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5,4±0,61</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44,1</w:t>
            </w:r>
          </w:p>
        </w:tc>
        <w:tc>
          <w:tcPr>
            <w:tcW w:w="615" w:type="pct"/>
            <w:tcBorders>
              <w:top w:val="single" w:sz="4" w:space="0" w:color="auto"/>
              <w:left w:val="single" w:sz="4" w:space="0" w:color="auto"/>
              <w:bottom w:val="single" w:sz="4" w:space="0" w:color="auto"/>
              <w:right w:val="single" w:sz="4" w:space="0" w:color="auto"/>
            </w:tcBorders>
          </w:tcPr>
          <w:p w:rsidR="00A86BBE" w:rsidRDefault="00534FB5" w:rsidP="00534FB5">
            <w:pPr>
              <w:jc w:val="center"/>
              <w:rPr>
                <w:spacing w:val="-20"/>
              </w:rPr>
            </w:pPr>
            <w:r w:rsidRPr="00FE2B02">
              <w:rPr>
                <w:spacing w:val="-20"/>
              </w:rPr>
              <w:t>3,7±0,32</w:t>
            </w:r>
          </w:p>
          <w:p w:rsidR="00534FB5" w:rsidRPr="00FE2B02" w:rsidRDefault="00534FB5" w:rsidP="00534FB5">
            <w:pPr>
              <w:jc w:val="center"/>
              <w:rPr>
                <w:spacing w:val="-20"/>
              </w:rPr>
            </w:pPr>
            <w:r w:rsidRPr="00FE2B02">
              <w:rPr>
                <w:spacing w:val="-20"/>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58,8</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3,7±0,28**</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52,9</w:t>
            </w:r>
          </w:p>
        </w:tc>
        <w:tc>
          <w:tcPr>
            <w:tcW w:w="574" w:type="pct"/>
            <w:tcBorders>
              <w:top w:val="single" w:sz="4" w:space="0" w:color="auto"/>
              <w:left w:val="single" w:sz="4" w:space="0" w:color="auto"/>
              <w:bottom w:val="single" w:sz="4" w:space="0" w:color="auto"/>
              <w:right w:val="single" w:sz="4" w:space="0" w:color="auto"/>
            </w:tcBorders>
          </w:tcPr>
          <w:p w:rsidR="00A86BBE" w:rsidRDefault="00534FB5" w:rsidP="00534FB5">
            <w:pPr>
              <w:jc w:val="center"/>
              <w:rPr>
                <w:spacing w:val="-20"/>
              </w:rPr>
            </w:pPr>
            <w:r w:rsidRPr="00FE2B02">
              <w:rPr>
                <w:spacing w:val="-20"/>
              </w:rPr>
              <w:t>3,7±0,19</w:t>
            </w:r>
          </w:p>
          <w:p w:rsidR="00534FB5" w:rsidRPr="00FE2B02" w:rsidRDefault="00534FB5" w:rsidP="00534FB5">
            <w:pPr>
              <w:jc w:val="center"/>
              <w:rPr>
                <w:spacing w:val="-20"/>
              </w:rPr>
            </w:pPr>
            <w:r w:rsidRPr="00FE2B02">
              <w:rPr>
                <w:spacing w:val="-20"/>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16</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Acinetobacter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3,6±0,44</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5,9</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rPr>
              <w:t>3,0±0,0</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17</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Moraxella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4,9</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18</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E. coli</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3,3±0,25</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19</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Klebsiella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4,7±0,21</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20</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lang w:val="en-US"/>
              </w:rPr>
            </w:pPr>
            <w:r w:rsidRPr="00FE2B02">
              <w:rPr>
                <w:i/>
                <w:spacing w:val="-20"/>
                <w:lang w:val="en-US"/>
              </w:rPr>
              <w:t>E. cloacae</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21</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P. aeruginosa</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3,6</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en-US"/>
              </w:rPr>
            </w:pPr>
            <w:r w:rsidRPr="00FE2B02">
              <w:rPr>
                <w:spacing w:val="-20"/>
                <w:lang w:val="en-US"/>
              </w:rPr>
              <w:t>-</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22</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L. buccalis</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3,9±0,22</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3,0±0,0</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23</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ind w:right="-165"/>
              <w:rPr>
                <w:i/>
                <w:spacing w:val="-20"/>
              </w:rPr>
            </w:pPr>
            <w:r w:rsidRPr="00FE2B02">
              <w:rPr>
                <w:i/>
                <w:spacing w:val="-20"/>
              </w:rPr>
              <w:t>Peptostrepto</w:t>
            </w:r>
            <w:r w:rsidR="00A86BBE">
              <w:rPr>
                <w:i/>
                <w:spacing w:val="-20"/>
              </w:rPr>
              <w:t>-</w:t>
            </w:r>
            <w:r w:rsidRPr="00FE2B02">
              <w:rPr>
                <w:i/>
                <w:spacing w:val="-20"/>
              </w:rPr>
              <w:t>coccus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3,3±0,1</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26,5</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3,1±0,05</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24</w:t>
            </w:r>
          </w:p>
        </w:tc>
        <w:tc>
          <w:tcPr>
            <w:tcW w:w="8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Veillonella spp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4,0±1,0</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3,3±0,2</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3,4±0,09</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26,5</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3,2±0,03</w:t>
            </w:r>
          </w:p>
        </w:tc>
      </w:tr>
      <w:tr w:rsidR="00534FB5" w:rsidRPr="00FE2B02" w:rsidTr="00A86BBE">
        <w:tc>
          <w:tcPr>
            <w:tcW w:w="282"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25</w:t>
            </w:r>
          </w:p>
        </w:tc>
        <w:tc>
          <w:tcPr>
            <w:tcW w:w="815" w:type="pct"/>
            <w:tcBorders>
              <w:top w:val="single" w:sz="4" w:space="0" w:color="auto"/>
              <w:left w:val="single" w:sz="4" w:space="0" w:color="auto"/>
              <w:bottom w:val="single" w:sz="4" w:space="0" w:color="auto"/>
              <w:right w:val="single" w:sz="4" w:space="0" w:color="auto"/>
            </w:tcBorders>
          </w:tcPr>
          <w:p w:rsidR="00A86BBE" w:rsidRDefault="00534FB5" w:rsidP="00534FB5">
            <w:pPr>
              <w:rPr>
                <w:i/>
                <w:spacing w:val="-20"/>
              </w:rPr>
            </w:pPr>
            <w:r w:rsidRPr="00FE2B02">
              <w:rPr>
                <w:i/>
                <w:spacing w:val="-20"/>
              </w:rPr>
              <w:t>Pepto</w:t>
            </w:r>
            <w:r w:rsidR="00A86BBE">
              <w:rPr>
                <w:i/>
                <w:spacing w:val="-20"/>
              </w:rPr>
              <w:t>-</w:t>
            </w:r>
          </w:p>
          <w:p w:rsidR="00534FB5" w:rsidRPr="00FE2B02" w:rsidRDefault="00534FB5" w:rsidP="00534FB5">
            <w:pPr>
              <w:rPr>
                <w:i/>
                <w:spacing w:val="-20"/>
              </w:rPr>
            </w:pPr>
            <w:r w:rsidRPr="00FE2B02">
              <w:rPr>
                <w:i/>
                <w:spacing w:val="-20"/>
              </w:rPr>
              <w:t>coccus sp</w:t>
            </w:r>
          </w:p>
        </w:tc>
        <w:tc>
          <w:tcPr>
            <w:tcW w:w="36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9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w:t>
            </w:r>
          </w:p>
        </w:tc>
        <w:tc>
          <w:tcPr>
            <w:tcW w:w="367"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615"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2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5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40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c>
          <w:tcPr>
            <w:tcW w:w="57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bl>
    <w:p w:rsidR="00534FB5" w:rsidRDefault="00534FB5" w:rsidP="00534FB5">
      <w:pPr>
        <w:rPr>
          <w:spacing w:val="-20"/>
        </w:rPr>
      </w:pPr>
    </w:p>
    <w:p w:rsidR="00534FB5" w:rsidRPr="00EC2D3D" w:rsidRDefault="00534FB5" w:rsidP="00534FB5">
      <w:pPr>
        <w:jc w:val="right"/>
        <w:rPr>
          <w:i/>
          <w:spacing w:val="-20"/>
        </w:rPr>
      </w:pPr>
      <w:r w:rsidRPr="00EC2D3D">
        <w:rPr>
          <w:i/>
          <w:spacing w:val="-20"/>
        </w:rPr>
        <w:lastRenderedPageBreak/>
        <w:t>Продовження додатк</w:t>
      </w:r>
      <w:r>
        <w:rPr>
          <w:i/>
          <w:spacing w:val="-20"/>
        </w:rPr>
        <w:t>а</w:t>
      </w:r>
      <w:r w:rsidRPr="00EC2D3D">
        <w:rPr>
          <w:i/>
          <w:spacing w:val="-20"/>
        </w:rPr>
        <w:t xml:space="preserve"> </w:t>
      </w:r>
      <w:r>
        <w:rPr>
          <w:i/>
          <w:spacing w:val="-20"/>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883"/>
        <w:gridCol w:w="735"/>
        <w:gridCol w:w="1051"/>
        <w:gridCol w:w="746"/>
        <w:gridCol w:w="1051"/>
        <w:gridCol w:w="815"/>
        <w:gridCol w:w="1051"/>
        <w:gridCol w:w="733"/>
        <w:gridCol w:w="1049"/>
      </w:tblGrid>
      <w:tr w:rsidR="00534FB5" w:rsidRPr="00FE2B02" w:rsidTr="00534FB5">
        <w:tc>
          <w:tcPr>
            <w:tcW w:w="238"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1</w:t>
            </w:r>
          </w:p>
        </w:tc>
        <w:tc>
          <w:tcPr>
            <w:tcW w:w="984"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2</w:t>
            </w:r>
          </w:p>
        </w:tc>
        <w:tc>
          <w:tcPr>
            <w:tcW w:w="384"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3</w:t>
            </w:r>
          </w:p>
        </w:tc>
        <w:tc>
          <w:tcPr>
            <w:tcW w:w="549"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4</w:t>
            </w:r>
          </w:p>
        </w:tc>
        <w:tc>
          <w:tcPr>
            <w:tcW w:w="390"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5</w:t>
            </w:r>
          </w:p>
        </w:tc>
        <w:tc>
          <w:tcPr>
            <w:tcW w:w="549"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6</w:t>
            </w:r>
          </w:p>
        </w:tc>
        <w:tc>
          <w:tcPr>
            <w:tcW w:w="426"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7</w:t>
            </w:r>
          </w:p>
        </w:tc>
        <w:tc>
          <w:tcPr>
            <w:tcW w:w="549"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8</w:t>
            </w:r>
          </w:p>
        </w:tc>
        <w:tc>
          <w:tcPr>
            <w:tcW w:w="383"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9</w:t>
            </w:r>
          </w:p>
        </w:tc>
        <w:tc>
          <w:tcPr>
            <w:tcW w:w="548" w:type="pct"/>
            <w:tcBorders>
              <w:top w:val="single" w:sz="4" w:space="0" w:color="auto"/>
              <w:left w:val="single" w:sz="4" w:space="0" w:color="auto"/>
              <w:bottom w:val="single" w:sz="4" w:space="0" w:color="auto"/>
              <w:right w:val="single" w:sz="4" w:space="0" w:color="auto"/>
            </w:tcBorders>
            <w:vAlign w:val="center"/>
          </w:tcPr>
          <w:p w:rsidR="00534FB5" w:rsidRPr="00EC2D3D" w:rsidRDefault="00534FB5" w:rsidP="00534FB5">
            <w:pPr>
              <w:jc w:val="center"/>
              <w:rPr>
                <w:spacing w:val="-20"/>
              </w:rPr>
            </w:pPr>
            <w:r w:rsidRPr="00EC2D3D">
              <w:rPr>
                <w:spacing w:val="-20"/>
              </w:rPr>
              <w:t>10</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26</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Actinomycetes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4,0±0,64</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5,9</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3,1±0,1</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27</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Bacteroides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4,6±0,25</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28</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Porphyromonas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20,6</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4,6±0,65</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29</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Prevotella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3,9±0,3</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30</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Fusobacterium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32,4</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4,4±0,3</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lang w:val="ru-RU"/>
              </w:rPr>
            </w:pPr>
            <w:r w:rsidRPr="00FE2B02">
              <w:rPr>
                <w:spacing w:val="-20"/>
                <w:lang w:val="ru-RU"/>
              </w:rPr>
              <w:t>-</w:t>
            </w:r>
          </w:p>
        </w:tc>
      </w:tr>
      <w:tr w:rsidR="00534FB5" w:rsidRPr="00FE2B02" w:rsidTr="00534FB5">
        <w:tc>
          <w:tcPr>
            <w:tcW w:w="23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spacing w:val="-20"/>
              </w:rPr>
            </w:pPr>
            <w:r w:rsidRPr="00FE2B02">
              <w:rPr>
                <w:spacing w:val="-20"/>
              </w:rPr>
              <w:t>31</w:t>
            </w:r>
          </w:p>
        </w:tc>
        <w:tc>
          <w:tcPr>
            <w:tcW w:w="9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rPr>
                <w:i/>
                <w:spacing w:val="-20"/>
              </w:rPr>
            </w:pPr>
            <w:r w:rsidRPr="00FE2B02">
              <w:rPr>
                <w:i/>
                <w:spacing w:val="-20"/>
              </w:rPr>
              <w:t>Candida spp</w:t>
            </w:r>
          </w:p>
        </w:tc>
        <w:tc>
          <w:tcPr>
            <w:tcW w:w="384"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11,8</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3,1±0,04</w:t>
            </w:r>
          </w:p>
        </w:tc>
        <w:tc>
          <w:tcPr>
            <w:tcW w:w="390"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8,8</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3,1±0,02</w:t>
            </w:r>
          </w:p>
        </w:tc>
        <w:tc>
          <w:tcPr>
            <w:tcW w:w="426"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5,4</w:t>
            </w:r>
          </w:p>
        </w:tc>
        <w:tc>
          <w:tcPr>
            <w:tcW w:w="549"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3,1±0,1</w:t>
            </w:r>
          </w:p>
        </w:tc>
        <w:tc>
          <w:tcPr>
            <w:tcW w:w="383"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2,9</w:t>
            </w:r>
          </w:p>
        </w:tc>
        <w:tc>
          <w:tcPr>
            <w:tcW w:w="548" w:type="pct"/>
            <w:tcBorders>
              <w:top w:val="single" w:sz="4" w:space="0" w:color="auto"/>
              <w:left w:val="single" w:sz="4" w:space="0" w:color="auto"/>
              <w:bottom w:val="single" w:sz="4" w:space="0" w:color="auto"/>
              <w:right w:val="single" w:sz="4" w:space="0" w:color="auto"/>
            </w:tcBorders>
          </w:tcPr>
          <w:p w:rsidR="00534FB5" w:rsidRPr="00FE2B02" w:rsidRDefault="00534FB5" w:rsidP="00534FB5">
            <w:pPr>
              <w:jc w:val="center"/>
              <w:rPr>
                <w:spacing w:val="-20"/>
              </w:rPr>
            </w:pPr>
            <w:r w:rsidRPr="00FE2B02">
              <w:rPr>
                <w:spacing w:val="-20"/>
              </w:rPr>
              <w:t>3,0</w:t>
            </w:r>
          </w:p>
        </w:tc>
      </w:tr>
    </w:tbl>
    <w:p w:rsidR="00434502" w:rsidRPr="00434502" w:rsidRDefault="00534FB5" w:rsidP="00434502">
      <w:pPr>
        <w:spacing w:line="240" w:lineRule="auto"/>
        <w:rPr>
          <w:rFonts w:eastAsia="TimesNewRomanPS-BoldMT"/>
          <w:b/>
          <w:bCs/>
          <w:sz w:val="24"/>
          <w:szCs w:val="24"/>
        </w:rPr>
      </w:pPr>
      <w:r w:rsidRPr="00434502">
        <w:rPr>
          <w:spacing w:val="-1"/>
          <w:sz w:val="24"/>
          <w:szCs w:val="24"/>
        </w:rPr>
        <w:t xml:space="preserve">Примітка: * – достовірна різниця між показниками </w:t>
      </w:r>
      <w:r w:rsidR="00434502" w:rsidRPr="00434502">
        <w:rPr>
          <w:sz w:val="24"/>
          <w:szCs w:val="24"/>
        </w:rPr>
        <w:t xml:space="preserve">(р&lt;0,05), </w:t>
      </w:r>
      <w:r w:rsidR="00434502" w:rsidRPr="00434502">
        <w:rPr>
          <w:sz w:val="24"/>
          <w:szCs w:val="24"/>
        </w:rPr>
        <w:tab/>
        <w:t>*</w:t>
      </w:r>
      <w:r w:rsidR="00434502" w:rsidRPr="00434502">
        <w:rPr>
          <w:color w:val="000000"/>
          <w:spacing w:val="-1"/>
          <w:sz w:val="24"/>
          <w:szCs w:val="24"/>
        </w:rPr>
        <w:t>*</w:t>
      </w:r>
      <w:r w:rsidR="00434502">
        <w:rPr>
          <w:color w:val="000000"/>
          <w:spacing w:val="-1"/>
          <w:sz w:val="24"/>
          <w:szCs w:val="24"/>
        </w:rPr>
        <w:t xml:space="preserve"> </w:t>
      </w:r>
      <w:r w:rsidR="00434502" w:rsidRPr="00434502">
        <w:rPr>
          <w:spacing w:val="-1"/>
          <w:sz w:val="24"/>
          <w:szCs w:val="24"/>
        </w:rPr>
        <w:t>– достовірна різниця між показниками</w:t>
      </w:r>
      <w:r w:rsidR="00434502" w:rsidRPr="00434502">
        <w:rPr>
          <w:color w:val="000000"/>
          <w:spacing w:val="-1"/>
          <w:sz w:val="24"/>
          <w:szCs w:val="24"/>
        </w:rPr>
        <w:t xml:space="preserve"> </w:t>
      </w:r>
      <w:r w:rsidR="00434502" w:rsidRPr="00434502">
        <w:rPr>
          <w:sz w:val="24"/>
          <w:szCs w:val="24"/>
        </w:rPr>
        <w:t>(р&lt;0,01)</w:t>
      </w:r>
      <w:r w:rsidR="003F3858">
        <w:rPr>
          <w:sz w:val="24"/>
          <w:szCs w:val="24"/>
        </w:rPr>
        <w:t>.</w:t>
      </w:r>
    </w:p>
    <w:p w:rsidR="00534FB5" w:rsidRDefault="00534FB5" w:rsidP="00534FB5">
      <w:pPr>
        <w:spacing w:line="480" w:lineRule="auto"/>
        <w:ind w:left="-142" w:hanging="142"/>
        <w:jc w:val="left"/>
        <w:rPr>
          <w:sz w:val="24"/>
        </w:rPr>
        <w:sectPr w:rsidR="00534FB5" w:rsidSect="00534FB5">
          <w:pgSz w:w="11906" w:h="16838"/>
          <w:pgMar w:top="1057" w:right="850" w:bottom="1134" w:left="1702" w:header="708" w:footer="708" w:gutter="0"/>
          <w:cols w:space="708"/>
          <w:docGrid w:linePitch="381"/>
        </w:sectPr>
      </w:pPr>
    </w:p>
    <w:p w:rsidR="00534FB5" w:rsidRDefault="00534FB5" w:rsidP="00534FB5">
      <w:pPr>
        <w:jc w:val="center"/>
        <w:rPr>
          <w:b/>
        </w:rPr>
      </w:pPr>
      <w:r>
        <w:rPr>
          <w:b/>
        </w:rPr>
        <w:lastRenderedPageBreak/>
        <w:t>СПИСОК ВИКОРИСТАНИХ ДЖЕРЕЛ</w:t>
      </w:r>
    </w:p>
    <w:p w:rsidR="008439CA" w:rsidRPr="00D70344" w:rsidRDefault="008439CA" w:rsidP="00534FB5">
      <w:pPr>
        <w:jc w:val="center"/>
      </w:pPr>
    </w:p>
    <w:p w:rsidR="00534FB5" w:rsidRPr="008439CA" w:rsidRDefault="00534FB5" w:rsidP="008439CA">
      <w:pPr>
        <w:pStyle w:val="af8"/>
        <w:numPr>
          <w:ilvl w:val="0"/>
          <w:numId w:val="7"/>
        </w:numPr>
        <w:spacing w:after="0" w:line="360" w:lineRule="auto"/>
        <w:ind w:left="-142" w:firstLine="0"/>
        <w:jc w:val="both"/>
        <w:rPr>
          <w:rFonts w:ascii="Times New Roman" w:hAnsi="Times New Roman"/>
          <w:spacing w:val="-4"/>
          <w:sz w:val="28"/>
          <w:szCs w:val="28"/>
          <w:lang w:val="ru-RU"/>
        </w:rPr>
      </w:pPr>
      <w:r w:rsidRPr="008439CA">
        <w:rPr>
          <w:rFonts w:ascii="Times New Roman" w:hAnsi="Times New Roman"/>
          <w:spacing w:val="-4"/>
          <w:sz w:val="28"/>
          <w:szCs w:val="28"/>
          <w:lang w:val="ru-RU"/>
        </w:rPr>
        <w:t>Алексеенкова</w:t>
      </w:r>
      <w:r w:rsidRPr="008439CA">
        <w:rPr>
          <w:rFonts w:ascii="Times New Roman" w:hAnsi="Times New Roman"/>
          <w:spacing w:val="-4"/>
          <w:sz w:val="28"/>
          <w:szCs w:val="28"/>
          <w:lang w:val="en-US"/>
        </w:rPr>
        <w:t> </w:t>
      </w:r>
      <w:r w:rsidRPr="008439CA">
        <w:rPr>
          <w:rFonts w:ascii="Times New Roman" w:hAnsi="Times New Roman"/>
          <w:spacing w:val="-4"/>
          <w:sz w:val="28"/>
          <w:szCs w:val="28"/>
          <w:lang w:val="ru-RU"/>
        </w:rPr>
        <w:t>Е.</w:t>
      </w:r>
      <w:r w:rsidRPr="008439CA">
        <w:rPr>
          <w:rFonts w:ascii="Times New Roman" w:hAnsi="Times New Roman"/>
          <w:spacing w:val="-4"/>
          <w:sz w:val="28"/>
          <w:szCs w:val="28"/>
          <w:lang w:val="en-US"/>
        </w:rPr>
        <w:t> </w:t>
      </w:r>
      <w:r w:rsidRPr="008439CA">
        <w:rPr>
          <w:rFonts w:ascii="Times New Roman" w:hAnsi="Times New Roman"/>
          <w:spacing w:val="-4"/>
          <w:sz w:val="28"/>
          <w:szCs w:val="28"/>
          <w:lang w:val="ru-RU"/>
        </w:rPr>
        <w:t>Г. Личность в условиях психической депривации : учебное пособие /</w:t>
      </w:r>
      <w:r w:rsidRPr="008439CA">
        <w:rPr>
          <w:rFonts w:ascii="Times New Roman" w:hAnsi="Times New Roman"/>
          <w:spacing w:val="-4"/>
          <w:sz w:val="28"/>
          <w:szCs w:val="28"/>
          <w:lang w:val="en-US"/>
        </w:rPr>
        <w:t> </w:t>
      </w:r>
      <w:r w:rsidRPr="008439CA">
        <w:rPr>
          <w:rFonts w:ascii="Times New Roman" w:hAnsi="Times New Roman"/>
          <w:spacing w:val="-4"/>
          <w:sz w:val="28"/>
          <w:szCs w:val="28"/>
          <w:lang w:val="ru-RU"/>
        </w:rPr>
        <w:t>Е.</w:t>
      </w:r>
      <w:r w:rsidRPr="008439CA">
        <w:rPr>
          <w:rFonts w:ascii="Times New Roman" w:hAnsi="Times New Roman"/>
          <w:spacing w:val="-4"/>
          <w:sz w:val="28"/>
          <w:szCs w:val="28"/>
          <w:lang w:val="en-US"/>
        </w:rPr>
        <w:t> </w:t>
      </w:r>
      <w:r w:rsidRPr="008439CA">
        <w:rPr>
          <w:rFonts w:ascii="Times New Roman" w:hAnsi="Times New Roman"/>
          <w:spacing w:val="-4"/>
          <w:sz w:val="28"/>
          <w:szCs w:val="28"/>
          <w:lang w:val="ru-RU"/>
        </w:rPr>
        <w:t>Г.</w:t>
      </w:r>
      <w:r w:rsidRPr="008439CA">
        <w:rPr>
          <w:rFonts w:ascii="Times New Roman" w:hAnsi="Times New Roman"/>
          <w:spacing w:val="-4"/>
          <w:sz w:val="28"/>
          <w:szCs w:val="28"/>
          <w:lang w:val="en-US"/>
        </w:rPr>
        <w:t> </w:t>
      </w:r>
      <w:r w:rsidRPr="008439CA">
        <w:rPr>
          <w:rFonts w:ascii="Times New Roman" w:hAnsi="Times New Roman"/>
          <w:spacing w:val="-4"/>
          <w:sz w:val="28"/>
          <w:szCs w:val="28"/>
          <w:lang w:val="ru-RU"/>
        </w:rPr>
        <w:t>Алексеенкова. – Санкт-Петербург : Питер, 2009. – 96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eastAsia="TimesNewRomanPSMT" w:hAnsi="Times New Roman"/>
          <w:sz w:val="28"/>
          <w:szCs w:val="28"/>
        </w:rPr>
        <w:t>Байдалка І. Д. Біоценоз ротової порожнини як індикатор здоров’я дітей підліткового віку / І. Д. Байдалка // </w:t>
      </w:r>
      <w:r w:rsidRPr="008439CA">
        <w:rPr>
          <w:rFonts w:ascii="Times New Roman" w:eastAsia="TimesNewRomanPSMT" w:hAnsi="Times New Roman"/>
          <w:sz w:val="28"/>
          <w:szCs w:val="28"/>
          <w:lang w:val="ru-RU"/>
        </w:rPr>
        <w:t>Анали Мечни</w:t>
      </w:r>
      <w:r w:rsidRPr="008439CA">
        <w:rPr>
          <w:rFonts w:ascii="Times New Roman" w:eastAsia="TimesNewRomanPSMT" w:hAnsi="Times New Roman"/>
          <w:sz w:val="28"/>
          <w:szCs w:val="28"/>
        </w:rPr>
        <w:t>ківського інституту</w:t>
      </w:r>
      <w:r w:rsidRPr="008439CA">
        <w:rPr>
          <w:rFonts w:ascii="Times New Roman" w:eastAsia="TimesNewRomanPSMT" w:hAnsi="Times New Roman"/>
          <w:sz w:val="28"/>
          <w:szCs w:val="28"/>
          <w:lang w:val="ru-RU"/>
        </w:rPr>
        <w:t> </w:t>
      </w:r>
      <w:r w:rsidRPr="008439CA">
        <w:rPr>
          <w:rFonts w:ascii="Times New Roman" w:eastAsia="TimesNewRomanPSMT" w:hAnsi="Times New Roman"/>
          <w:sz w:val="28"/>
          <w:szCs w:val="28"/>
        </w:rPr>
        <w:t>= Annals of Mechnikov Institute. – 2010. – № 1. – С. 34−36.</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hAnsi="Times New Roman"/>
          <w:color w:val="000000"/>
          <w:sz w:val="28"/>
          <w:szCs w:val="28"/>
          <w:shd w:val="clear" w:color="auto" w:fill="FFFFFF"/>
          <w:lang w:val="ru-RU"/>
        </w:rPr>
        <w:t>Барабаш Р. Д. Ферментативные механизмы антимикробной защиты ротовой полости / Р. Д. Барабаш, А. П. Левицкий // Вопросы медицинской химии. – 1978. – Т. 24, № 3. – С. 291−310.</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Барабой В. А. Перекисное окисление и радиация /</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Барабой</w:t>
      </w:r>
      <w:r w:rsidRPr="008439CA">
        <w:rPr>
          <w:rFonts w:ascii="Times New Roman" w:hAnsi="Times New Roman"/>
          <w:sz w:val="28"/>
          <w:szCs w:val="28"/>
        </w:rPr>
        <w:t>,</w:t>
      </w:r>
      <w:r w:rsidRPr="008439CA">
        <w:rPr>
          <w:rFonts w:ascii="Times New Roman" w:hAnsi="Times New Roman"/>
          <w:sz w:val="28"/>
          <w:szCs w:val="28"/>
          <w:lang w:val="ru-RU"/>
        </w:rPr>
        <w:t xml:space="preserve"> В. А. Орел, И. М. Карнаух. – Киев : Наукова думка, 1991.− 255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rPr>
        <w:t xml:space="preserve">Берри М. Я. </w:t>
      </w:r>
      <w:r w:rsidRPr="008439CA">
        <w:rPr>
          <w:rFonts w:ascii="Times New Roman" w:hAnsi="Times New Roman"/>
          <w:sz w:val="28"/>
          <w:szCs w:val="28"/>
          <w:lang w:val="ru-RU"/>
        </w:rPr>
        <w:t>Локальный рН в полости рта / М. Я. Берри // Стоматология. – 1948. − № 2. – С. 20−27.</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Биологические свойства изофлавонов / А. П. Левицкий, О. А. Макаренко, В. В. Богатов [и др.] // Растительные адаптогены : сборник научных трудов Одесского отделения УБО / Украинское биохимическое общество ; ред.: А. П. Левицкий, О. Н. Воскресенский. – Одесса : Астропринт, 2000. − С. 9−15.</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rPr>
        <w:t>Богданова Т. Г. Сурдопсихология / Т. Г. Богданова. –</w:t>
      </w:r>
      <w:r w:rsidRPr="008439CA">
        <w:rPr>
          <w:rFonts w:ascii="Times New Roman" w:hAnsi="Times New Roman"/>
          <w:sz w:val="28"/>
          <w:szCs w:val="28"/>
          <w:lang w:val="ru-RU"/>
        </w:rPr>
        <w:t xml:space="preserve"> Москва : Академия, 2002. – 224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Борисенко Ю. В. Стресорна реакція слинних залоз та її корекція</w:t>
      </w:r>
      <w:r w:rsidRPr="008439CA">
        <w:rPr>
          <w:rFonts w:ascii="Times New Roman" w:hAnsi="Times New Roman"/>
          <w:sz w:val="28"/>
          <w:szCs w:val="28"/>
          <w:lang w:val="ru-RU"/>
        </w:rPr>
        <w:t> </w:t>
      </w:r>
      <w:r w:rsidRPr="008439CA">
        <w:rPr>
          <w:rFonts w:ascii="Times New Roman" w:hAnsi="Times New Roman"/>
          <w:sz w:val="28"/>
          <w:szCs w:val="28"/>
        </w:rPr>
        <w:t>: автореф. дис. … канд. мед. наук : 14.00.21 ; 03.00.04 / Борисенко Юрій Віталійович</w:t>
      </w:r>
      <w:r w:rsidRPr="008439CA">
        <w:rPr>
          <w:rFonts w:ascii="Times New Roman" w:hAnsi="Times New Roman"/>
          <w:sz w:val="28"/>
          <w:szCs w:val="28"/>
          <w:lang w:val="ru-RU"/>
        </w:rPr>
        <w:t xml:space="preserve"> </w:t>
      </w:r>
      <w:r w:rsidRPr="008439CA">
        <w:rPr>
          <w:rFonts w:ascii="Times New Roman" w:hAnsi="Times New Roman"/>
          <w:sz w:val="28"/>
          <w:szCs w:val="28"/>
        </w:rPr>
        <w:t>; Полтавський державний медичний стоматологічний інститут. − Полтава, 1993. – 21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Боровский Е. В. Биология полости рта / Е. В. Боровский, В. К. Леонтьев. − Нижний Новгород : НГМА, 2001. – 304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Style w:val="hl"/>
          <w:rFonts w:ascii="Times New Roman" w:hAnsi="Times New Roman"/>
          <w:sz w:val="28"/>
          <w:szCs w:val="28"/>
          <w:lang w:val="ru-RU"/>
        </w:rPr>
        <w:t xml:space="preserve">Боровский Е. В. Состав и свойства слюны в норме и при кариесе : методические рекомендации для субординаторов / Е. В. Боровский, </w:t>
      </w:r>
      <w:r w:rsidRPr="008439CA">
        <w:rPr>
          <w:rStyle w:val="hl"/>
          <w:rFonts w:ascii="Times New Roman" w:hAnsi="Times New Roman"/>
          <w:sz w:val="28"/>
          <w:szCs w:val="28"/>
          <w:lang w:val="ru-RU"/>
        </w:rPr>
        <w:lastRenderedPageBreak/>
        <w:t>П. А. Леус, Э. М. Кузьмина. – Москва, 1980. − 37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i/>
          <w:sz w:val="28"/>
          <w:szCs w:val="28"/>
          <w:lang w:val="ru-RU"/>
        </w:rPr>
      </w:pPr>
      <w:r w:rsidRPr="008439CA">
        <w:rPr>
          <w:rStyle w:val="a9"/>
          <w:rFonts w:ascii="Times New Roman" w:hAnsi="Times New Roman"/>
          <w:i w:val="0"/>
          <w:sz w:val="28"/>
          <w:szCs w:val="28"/>
          <w:shd w:val="clear" w:color="auto" w:fill="FFFFFF"/>
          <w:lang w:val="ru-RU"/>
        </w:rPr>
        <w:t>Виноградова</w:t>
      </w:r>
      <w:r w:rsidRPr="008439CA">
        <w:rPr>
          <w:rStyle w:val="apple-converted-space"/>
          <w:rFonts w:ascii="Times New Roman" w:hAnsi="Times New Roman"/>
          <w:i/>
          <w:sz w:val="28"/>
          <w:szCs w:val="28"/>
          <w:shd w:val="clear" w:color="auto" w:fill="FFFFFF"/>
          <w:lang w:val="ru-RU"/>
        </w:rPr>
        <w:t> </w:t>
      </w:r>
      <w:r w:rsidRPr="008439CA">
        <w:rPr>
          <w:rFonts w:ascii="Times New Roman" w:hAnsi="Times New Roman"/>
          <w:sz w:val="28"/>
          <w:szCs w:val="28"/>
          <w:shd w:val="clear" w:color="auto" w:fill="FFFFFF"/>
          <w:lang w:val="ru-RU"/>
        </w:rPr>
        <w:t>Т. </w:t>
      </w:r>
      <w:r w:rsidRPr="008439CA">
        <w:rPr>
          <w:rStyle w:val="a9"/>
          <w:rFonts w:ascii="Times New Roman" w:hAnsi="Times New Roman"/>
          <w:i w:val="0"/>
          <w:sz w:val="28"/>
          <w:szCs w:val="28"/>
          <w:shd w:val="clear" w:color="auto" w:fill="FFFFFF"/>
          <w:lang w:val="ru-RU"/>
        </w:rPr>
        <w:t>Ф</w:t>
      </w:r>
      <w:r w:rsidRPr="008439CA">
        <w:rPr>
          <w:rFonts w:ascii="Times New Roman" w:hAnsi="Times New Roman"/>
          <w:i/>
          <w:sz w:val="28"/>
          <w:szCs w:val="28"/>
          <w:shd w:val="clear" w:color="auto" w:fill="FFFFFF"/>
          <w:lang w:val="ru-RU"/>
        </w:rPr>
        <w:t>.</w:t>
      </w:r>
      <w:r w:rsidRPr="008439CA">
        <w:rPr>
          <w:rFonts w:ascii="Times New Roman" w:hAnsi="Times New Roman"/>
          <w:sz w:val="28"/>
          <w:szCs w:val="28"/>
          <w:shd w:val="clear" w:color="auto" w:fill="FFFFFF"/>
          <w:lang w:val="ru-RU"/>
        </w:rPr>
        <w:t xml:space="preserve"> Диспансеризация детей у стоматолога / Т. Ф. Виноградова. – Москва : Медицина, 1988.</w:t>
      </w:r>
      <w:r w:rsidRPr="008439CA">
        <w:rPr>
          <w:rFonts w:ascii="Times New Roman" w:hAnsi="Times New Roman"/>
          <w:i/>
          <w:sz w:val="28"/>
          <w:szCs w:val="28"/>
          <w:shd w:val="clear" w:color="auto" w:fill="FFFFFF"/>
          <w:lang w:val="ru-RU"/>
        </w:rPr>
        <w:t xml:space="preserve"> – </w:t>
      </w:r>
      <w:r w:rsidRPr="008439CA">
        <w:rPr>
          <w:rFonts w:ascii="Times New Roman" w:hAnsi="Times New Roman"/>
          <w:sz w:val="28"/>
          <w:szCs w:val="28"/>
          <w:shd w:val="clear" w:color="auto" w:fill="FFFFFF"/>
          <w:lang w:val="ru-RU"/>
        </w:rPr>
        <w:t>256 с</w:t>
      </w:r>
      <w:r w:rsidRPr="008439CA">
        <w:rPr>
          <w:rFonts w:ascii="Times New Roman" w:hAnsi="Times New Roman"/>
          <w:i/>
          <w:sz w:val="28"/>
          <w:szCs w:val="28"/>
          <w:shd w:val="clear" w:color="auto" w:fill="FFFFFF"/>
          <w:lang w:val="ru-RU"/>
        </w:rPr>
        <w:t>.</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Володин</w:t>
      </w:r>
      <w:r w:rsidRPr="008439CA">
        <w:rPr>
          <w:rFonts w:ascii="Times New Roman" w:hAnsi="Times New Roman"/>
          <w:sz w:val="28"/>
          <w:szCs w:val="28"/>
          <w:lang w:val="en-US"/>
        </w:rPr>
        <w:t> </w:t>
      </w:r>
      <w:r w:rsidRPr="008439CA">
        <w:rPr>
          <w:rFonts w:ascii="Times New Roman" w:hAnsi="Times New Roman"/>
          <w:sz w:val="28"/>
          <w:szCs w:val="28"/>
          <w:lang w:val="ru-RU"/>
        </w:rPr>
        <w:t>Н.</w:t>
      </w:r>
      <w:r w:rsidRPr="008439CA">
        <w:rPr>
          <w:rFonts w:ascii="Times New Roman" w:hAnsi="Times New Roman"/>
          <w:sz w:val="28"/>
          <w:szCs w:val="28"/>
          <w:lang w:val="en-US"/>
        </w:rPr>
        <w:t> </w:t>
      </w:r>
      <w:r w:rsidRPr="008439CA">
        <w:rPr>
          <w:rFonts w:ascii="Times New Roman" w:hAnsi="Times New Roman"/>
          <w:sz w:val="28"/>
          <w:szCs w:val="28"/>
          <w:lang w:val="ru-RU"/>
        </w:rPr>
        <w:t>Н. Выявление патологии органа слуха в системе медицинского обеспечения детей раннего возраста /</w:t>
      </w:r>
      <w:r w:rsidRPr="008439CA">
        <w:rPr>
          <w:rFonts w:ascii="Times New Roman" w:hAnsi="Times New Roman"/>
          <w:sz w:val="28"/>
          <w:szCs w:val="28"/>
          <w:lang w:val="en-US"/>
        </w:rPr>
        <w:t> </w:t>
      </w:r>
      <w:r w:rsidRPr="008439CA">
        <w:rPr>
          <w:rFonts w:ascii="Times New Roman" w:hAnsi="Times New Roman"/>
          <w:iCs/>
          <w:color w:val="000000"/>
          <w:sz w:val="28"/>
          <w:szCs w:val="28"/>
          <w:lang w:val="ru-RU"/>
        </w:rPr>
        <w:t>Н.</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Н.</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Володин, Г.</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А.</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Таварткиладзе, Ю.</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В.</w:t>
      </w:r>
      <w:r w:rsidRPr="008439CA">
        <w:rPr>
          <w:rFonts w:ascii="Times New Roman" w:hAnsi="Times New Roman"/>
          <w:iCs/>
          <w:color w:val="000000"/>
          <w:sz w:val="28"/>
          <w:szCs w:val="28"/>
          <w:lang w:val="en-US"/>
        </w:rPr>
        <w:t> </w:t>
      </w:r>
      <w:r w:rsidRPr="008439CA">
        <w:rPr>
          <w:rFonts w:ascii="Times New Roman" w:hAnsi="Times New Roman"/>
          <w:iCs/>
          <w:color w:val="000000"/>
          <w:sz w:val="28"/>
          <w:szCs w:val="28"/>
          <w:lang w:val="ru-RU"/>
        </w:rPr>
        <w:t>Козунь //</w:t>
      </w:r>
      <w:r w:rsidRPr="008439CA">
        <w:rPr>
          <w:rFonts w:ascii="Times New Roman" w:hAnsi="Times New Roman"/>
          <w:iCs/>
          <w:color w:val="000000"/>
          <w:sz w:val="28"/>
          <w:szCs w:val="28"/>
          <w:lang w:val="en-US"/>
        </w:rPr>
        <w:t> </w:t>
      </w:r>
      <w:r w:rsidRPr="008439CA">
        <w:rPr>
          <w:rFonts w:ascii="Times New Roman" w:eastAsia="Times New Roman" w:hAnsi="Times New Roman"/>
          <w:color w:val="000000"/>
          <w:sz w:val="28"/>
          <w:szCs w:val="28"/>
          <w:lang w:val="ru-RU" w:eastAsia="ru-RU"/>
        </w:rPr>
        <w:t>Российский вестник перинатологии и педиатрии</w:t>
      </w:r>
      <w:r w:rsidRPr="008439CA">
        <w:rPr>
          <w:rFonts w:ascii="Times New Roman" w:hAnsi="Times New Roman"/>
          <w:color w:val="000000"/>
          <w:sz w:val="28"/>
          <w:szCs w:val="28"/>
          <w:lang w:val="ru-RU"/>
        </w:rPr>
        <w:t>. – 2000. − №</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5. – С.</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20−24.</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Style w:val="apple-style-span"/>
          <w:rFonts w:ascii="Times New Roman" w:hAnsi="Times New Roman"/>
          <w:sz w:val="28"/>
          <w:szCs w:val="28"/>
        </w:rPr>
        <w:t>Воскресенский</w:t>
      </w:r>
      <w:r w:rsidRPr="008439CA">
        <w:rPr>
          <w:rStyle w:val="apple-style-span"/>
          <w:rFonts w:ascii="Times New Roman" w:hAnsi="Times New Roman"/>
          <w:sz w:val="28"/>
          <w:szCs w:val="28"/>
          <w:lang w:val="en-US"/>
        </w:rPr>
        <w:t> </w:t>
      </w:r>
      <w:r w:rsidRPr="008439CA">
        <w:rPr>
          <w:rStyle w:val="apple-style-span"/>
          <w:rFonts w:ascii="Times New Roman" w:hAnsi="Times New Roman"/>
          <w:sz w:val="28"/>
          <w:szCs w:val="28"/>
        </w:rPr>
        <w:t>О.</w:t>
      </w:r>
      <w:r w:rsidRPr="008439CA">
        <w:rPr>
          <w:rStyle w:val="apple-style-span"/>
          <w:rFonts w:ascii="Times New Roman" w:hAnsi="Times New Roman"/>
          <w:sz w:val="28"/>
          <w:szCs w:val="28"/>
          <w:lang w:val="en-US"/>
        </w:rPr>
        <w:t> </w:t>
      </w:r>
      <w:r w:rsidRPr="008439CA">
        <w:rPr>
          <w:rStyle w:val="apple-style-span"/>
          <w:rFonts w:ascii="Times New Roman" w:hAnsi="Times New Roman"/>
          <w:sz w:val="28"/>
          <w:szCs w:val="28"/>
        </w:rPr>
        <w:t>Н. Современные аспекты создания новых лекарственных средств на основе фитоадаптогенов / О. Н. Воскресенский / </w:t>
      </w:r>
      <w:r w:rsidRPr="008439CA">
        <w:rPr>
          <w:rFonts w:ascii="Times New Roman" w:hAnsi="Times New Roman"/>
          <w:sz w:val="28"/>
          <w:szCs w:val="28"/>
        </w:rPr>
        <w:t>Украинское биохимическое общество ; ред.: А. П. Левицкий, О. Н. Воскресенский. – Одесса : Астропринт, 2000. − С. 28−30.</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Style w:val="apple-style-span"/>
          <w:rFonts w:ascii="Times New Roman" w:hAnsi="Times New Roman"/>
          <w:sz w:val="28"/>
          <w:szCs w:val="28"/>
          <w:lang w:val="ru-RU"/>
        </w:rPr>
        <w:t>Выготский</w:t>
      </w:r>
      <w:r w:rsidRPr="008439CA">
        <w:rPr>
          <w:rStyle w:val="apple-style-span"/>
          <w:rFonts w:ascii="Times New Roman" w:hAnsi="Times New Roman"/>
          <w:sz w:val="28"/>
          <w:szCs w:val="28"/>
          <w:lang w:val="en-US"/>
        </w:rPr>
        <w:t> </w:t>
      </w:r>
      <w:r w:rsidRPr="008439CA">
        <w:rPr>
          <w:rStyle w:val="apple-style-span"/>
          <w:rFonts w:ascii="Times New Roman" w:hAnsi="Times New Roman"/>
          <w:sz w:val="28"/>
          <w:szCs w:val="28"/>
          <w:lang w:val="ru-RU"/>
        </w:rPr>
        <w:t>Л.</w:t>
      </w:r>
      <w:r w:rsidRPr="008439CA">
        <w:rPr>
          <w:rStyle w:val="apple-style-span"/>
          <w:rFonts w:ascii="Times New Roman" w:hAnsi="Times New Roman"/>
          <w:sz w:val="28"/>
          <w:szCs w:val="28"/>
          <w:lang w:val="en-US"/>
        </w:rPr>
        <w:t> </w:t>
      </w:r>
      <w:r w:rsidRPr="008439CA">
        <w:rPr>
          <w:rStyle w:val="apple-style-span"/>
          <w:rFonts w:ascii="Times New Roman" w:hAnsi="Times New Roman"/>
          <w:sz w:val="28"/>
          <w:szCs w:val="28"/>
          <w:lang w:val="ru-RU"/>
        </w:rPr>
        <w:t>С. Основы дефектологии</w:t>
      </w:r>
      <w:r w:rsidRPr="008439CA">
        <w:rPr>
          <w:rFonts w:ascii="Times New Roman" w:hAnsi="Times New Roman"/>
          <w:bCs/>
          <w:iCs/>
          <w:sz w:val="28"/>
          <w:szCs w:val="28"/>
          <w:lang w:val="ru-RU"/>
        </w:rPr>
        <w:t xml:space="preserve"> </w:t>
      </w:r>
      <w:r w:rsidRPr="008439CA">
        <w:rPr>
          <w:rFonts w:ascii="Times New Roman" w:hAnsi="Times New Roman"/>
          <w:sz w:val="28"/>
          <w:szCs w:val="28"/>
          <w:lang w:val="ru-RU"/>
        </w:rPr>
        <w:t>/ Л. С. Выготский. – Санкт-Петербург : Лань, 2003. – 654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rPr>
        <w:t>Гафиятуллина</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Г.</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Ш. Системный анализ психофизиологического развития детей с нейросенсорной тугоухостью /</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Г.</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Ш.</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Гафиятуллина, Е.</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В.</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Трофимова //</w:t>
      </w:r>
      <w:r w:rsidRPr="008439CA">
        <w:rPr>
          <w:rFonts w:ascii="Times New Roman" w:hAnsi="Times New Roman"/>
          <w:sz w:val="28"/>
          <w:szCs w:val="28"/>
          <w:lang w:val="ru-RU"/>
        </w:rPr>
        <w:t> </w:t>
      </w:r>
      <w:r w:rsidRPr="008439CA">
        <w:rPr>
          <w:rFonts w:ascii="Times New Roman" w:eastAsia="Times New Roman" w:hAnsi="Times New Roman"/>
          <w:bCs/>
          <w:sz w:val="28"/>
          <w:szCs w:val="28"/>
          <w:lang w:eastAsia="ru-RU"/>
        </w:rPr>
        <w:t>Известия Южного федерального университета. Технические науки</w:t>
      </w:r>
      <w:r w:rsidRPr="008439CA">
        <w:rPr>
          <w:rFonts w:ascii="Times New Roman" w:eastAsia="Times New Roman" w:hAnsi="Times New Roman"/>
          <w:sz w:val="28"/>
          <w:szCs w:val="28"/>
          <w:lang w:eastAsia="ru-RU"/>
        </w:rPr>
        <w:t>. – 2009. − №</w:t>
      </w:r>
      <w:r w:rsidRPr="008439CA">
        <w:rPr>
          <w:rFonts w:ascii="Times New Roman" w:eastAsia="Times New Roman" w:hAnsi="Times New Roman"/>
          <w:sz w:val="28"/>
          <w:szCs w:val="28"/>
          <w:lang w:val="ru-RU" w:eastAsia="ru-RU"/>
        </w:rPr>
        <w:t> </w:t>
      </w:r>
      <w:r w:rsidRPr="008439CA">
        <w:rPr>
          <w:rFonts w:ascii="Times New Roman" w:eastAsia="Times New Roman" w:hAnsi="Times New Roman"/>
          <w:sz w:val="28"/>
          <w:szCs w:val="28"/>
          <w:lang w:eastAsia="ru-RU"/>
        </w:rPr>
        <w:t>9. – С. 46−50.</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Горохівський В. Н. Ефективність дії адаптогенних препаратів на стоматологічний статус у дітей в різних зонах ендемічного флюорозу / В. Н. Горохівський, О. В. Дєньга // Вісник стоматології. – 2002. – № 3.</w:t>
      </w:r>
      <w:r w:rsidRPr="008439CA">
        <w:rPr>
          <w:rFonts w:ascii="Times New Roman" w:hAnsi="Times New Roman"/>
          <w:sz w:val="28"/>
          <w:szCs w:val="28"/>
          <w:lang w:val="ru-RU"/>
        </w:rPr>
        <w:t> </w:t>
      </w:r>
      <w:r w:rsidRPr="008439CA">
        <w:rPr>
          <w:rFonts w:ascii="Times New Roman" w:hAnsi="Times New Roman"/>
          <w:sz w:val="28"/>
          <w:szCs w:val="28"/>
        </w:rPr>
        <w:t>– С. 36−38.</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Давыдова Т. Р. К проблеме дисбактериоза в стоматологическ</w:t>
      </w:r>
      <w:r w:rsidRPr="008439CA">
        <w:rPr>
          <w:rFonts w:ascii="Times New Roman" w:hAnsi="Times New Roman"/>
          <w:sz w:val="28"/>
          <w:szCs w:val="28"/>
          <w:lang w:val="ru-RU" w:eastAsia="ru-RU"/>
        </w:rPr>
        <w:t>ой практике / Т. Р. Давыдова, Я. Н. Карасенкова, Е. Ю. Хавкина // Стоматология. − 2001. − № 2. − С. 23−24.</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color w:val="000000"/>
          <w:sz w:val="28"/>
          <w:szCs w:val="28"/>
          <w:shd w:val="clear" w:color="auto" w:fill="FFFFFF"/>
        </w:rPr>
        <w:t>Данилевский Н. Ф. Заболевания пародонта / Н. Ф. Данилевский, А. В. Борисенко. – Киев : Здоров’я, 2000. – 464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shd w:val="clear" w:color="auto" w:fill="FFFFFF"/>
          <w:lang w:val="ru-RU"/>
        </w:rPr>
        <w:t>Денисова Е. Г. Заболевания пародонта у детей : учебное пособие для врачей-интернов стоматологического профиля / Е. Г. Денисова. – Харьков : ХНМУ, 2008. – 113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Деньга</w:t>
      </w:r>
      <w:r w:rsidRPr="008439CA">
        <w:rPr>
          <w:rFonts w:ascii="Times New Roman" w:hAnsi="Times New Roman"/>
          <w:sz w:val="28"/>
          <w:szCs w:val="28"/>
          <w:lang w:val="ru-RU"/>
        </w:rPr>
        <w:t> </w:t>
      </w:r>
      <w:r w:rsidRPr="008439CA">
        <w:rPr>
          <w:rFonts w:ascii="Times New Roman" w:hAnsi="Times New Roman"/>
          <w:sz w:val="28"/>
          <w:szCs w:val="28"/>
        </w:rPr>
        <w:t>О.</w:t>
      </w:r>
      <w:r w:rsidRPr="008439CA">
        <w:rPr>
          <w:rFonts w:ascii="Times New Roman" w:hAnsi="Times New Roman"/>
          <w:sz w:val="28"/>
          <w:szCs w:val="28"/>
          <w:lang w:val="ru-RU"/>
        </w:rPr>
        <w:t> </w:t>
      </w:r>
      <w:r w:rsidRPr="008439CA">
        <w:rPr>
          <w:rFonts w:ascii="Times New Roman" w:hAnsi="Times New Roman"/>
          <w:sz w:val="28"/>
          <w:szCs w:val="28"/>
        </w:rPr>
        <w:t xml:space="preserve">В. Адаптационная концепция стоматологии детского </w:t>
      </w:r>
      <w:r w:rsidRPr="008439CA">
        <w:rPr>
          <w:rFonts w:ascii="Times New Roman" w:hAnsi="Times New Roman"/>
          <w:sz w:val="28"/>
          <w:szCs w:val="28"/>
        </w:rPr>
        <w:lastRenderedPageBreak/>
        <w:t>возраста /</w:t>
      </w:r>
      <w:r w:rsidRPr="008439CA">
        <w:rPr>
          <w:rFonts w:ascii="Times New Roman" w:hAnsi="Times New Roman"/>
          <w:sz w:val="28"/>
          <w:szCs w:val="28"/>
          <w:lang w:val="ru-RU"/>
        </w:rPr>
        <w:t> </w:t>
      </w:r>
      <w:r w:rsidRPr="008439CA">
        <w:rPr>
          <w:rFonts w:ascii="Times New Roman" w:hAnsi="Times New Roman"/>
          <w:sz w:val="28"/>
          <w:szCs w:val="28"/>
        </w:rPr>
        <w:t>О.</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Деньга //</w:t>
      </w:r>
      <w:r w:rsidRPr="008439CA">
        <w:rPr>
          <w:rFonts w:ascii="Times New Roman" w:hAnsi="Times New Roman"/>
          <w:sz w:val="28"/>
          <w:szCs w:val="28"/>
          <w:lang w:val="ru-RU"/>
        </w:rPr>
        <w:t> </w:t>
      </w:r>
      <w:r w:rsidRPr="008439CA">
        <w:rPr>
          <w:rFonts w:ascii="Times New Roman" w:hAnsi="Times New Roman"/>
          <w:sz w:val="28"/>
          <w:szCs w:val="28"/>
        </w:rPr>
        <w:t>Вісник стоматології. – 2000. – №</w:t>
      </w:r>
      <w:r w:rsidRPr="008439CA">
        <w:rPr>
          <w:rFonts w:ascii="Times New Roman" w:hAnsi="Times New Roman"/>
          <w:sz w:val="28"/>
          <w:szCs w:val="28"/>
          <w:lang w:val="ru-RU"/>
        </w:rPr>
        <w:t> </w:t>
      </w:r>
      <w:r w:rsidRPr="008439CA">
        <w:rPr>
          <w:rFonts w:ascii="Times New Roman" w:hAnsi="Times New Roman"/>
          <w:sz w:val="28"/>
          <w:szCs w:val="28"/>
        </w:rPr>
        <w:t>4. – С.</w:t>
      </w:r>
      <w:r w:rsidRPr="008439CA">
        <w:rPr>
          <w:rFonts w:ascii="Times New Roman" w:hAnsi="Times New Roman"/>
          <w:sz w:val="28"/>
          <w:szCs w:val="28"/>
          <w:lang w:val="ru-RU"/>
        </w:rPr>
        <w:t> </w:t>
      </w:r>
      <w:r w:rsidRPr="008439CA">
        <w:rPr>
          <w:rFonts w:ascii="Times New Roman" w:hAnsi="Times New Roman"/>
          <w:sz w:val="28"/>
          <w:szCs w:val="28"/>
        </w:rPr>
        <w:t>2−5.</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Style w:val="apple-style-span"/>
          <w:rFonts w:ascii="Times New Roman" w:hAnsi="Times New Roman"/>
          <w:sz w:val="28"/>
          <w:szCs w:val="28"/>
        </w:rPr>
        <w:t>Деньга</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О.</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В. Многофазовая профилактика кариеса зубов у детей /</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О.</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В</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Деньга, В.</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С</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 xml:space="preserve">Иванов </w:t>
      </w:r>
      <w:r w:rsidRPr="008439CA">
        <w:rPr>
          <w:rFonts w:ascii="Times New Roman" w:hAnsi="Times New Roman"/>
          <w:sz w:val="28"/>
          <w:szCs w:val="28"/>
        </w:rPr>
        <w:t>//</w:t>
      </w:r>
      <w:r w:rsidRPr="008439CA">
        <w:rPr>
          <w:rFonts w:ascii="Times New Roman" w:hAnsi="Times New Roman"/>
          <w:sz w:val="28"/>
          <w:szCs w:val="28"/>
          <w:lang w:val="ru-RU"/>
        </w:rPr>
        <w:t> </w:t>
      </w:r>
      <w:r w:rsidRPr="008439CA">
        <w:rPr>
          <w:rFonts w:ascii="Times New Roman" w:hAnsi="Times New Roman"/>
          <w:sz w:val="28"/>
          <w:szCs w:val="28"/>
        </w:rPr>
        <w:t>Вісник стоматології. – 2003. – № 1.</w:t>
      </w:r>
      <w:r w:rsidRPr="008439CA">
        <w:rPr>
          <w:rFonts w:ascii="Times New Roman" w:hAnsi="Times New Roman"/>
          <w:sz w:val="28"/>
          <w:szCs w:val="28"/>
          <w:lang w:val="ru-RU"/>
        </w:rPr>
        <w:t> </w:t>
      </w:r>
      <w:r w:rsidRPr="008439CA">
        <w:rPr>
          <w:rFonts w:ascii="Times New Roman" w:hAnsi="Times New Roman"/>
          <w:sz w:val="28"/>
          <w:szCs w:val="28"/>
        </w:rPr>
        <w:t>– С.</w:t>
      </w:r>
      <w:r w:rsidRPr="008439CA">
        <w:rPr>
          <w:rFonts w:ascii="Times New Roman" w:hAnsi="Times New Roman"/>
          <w:sz w:val="28"/>
          <w:szCs w:val="28"/>
          <w:lang w:val="ru-RU"/>
        </w:rPr>
        <w:t> </w:t>
      </w:r>
      <w:r w:rsidRPr="008439CA">
        <w:rPr>
          <w:rFonts w:ascii="Times New Roman" w:hAnsi="Times New Roman"/>
          <w:sz w:val="28"/>
          <w:szCs w:val="28"/>
        </w:rPr>
        <w:t>63−68.</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shd w:val="clear" w:color="auto" w:fill="FFFFFF"/>
        </w:rPr>
        <w:t>Деньга</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О.</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 Оценка адаптационно</w:t>
      </w:r>
      <w:r w:rsidRPr="008439CA">
        <w:rPr>
          <w:rFonts w:ascii="Times New Roman" w:hAnsi="Times New Roman"/>
          <w:color w:val="000000"/>
          <w:sz w:val="28"/>
          <w:szCs w:val="28"/>
          <w:shd w:val="clear" w:color="auto" w:fill="FFFFFF"/>
          <w:lang w:val="ru-RU"/>
        </w:rPr>
        <w:t>-</w:t>
      </w:r>
      <w:r w:rsidRPr="008439CA">
        <w:rPr>
          <w:rFonts w:ascii="Times New Roman" w:hAnsi="Times New Roman"/>
          <w:color w:val="000000"/>
          <w:sz w:val="28"/>
          <w:szCs w:val="28"/>
          <w:shd w:val="clear" w:color="auto" w:fill="FFFFFF"/>
        </w:rPr>
        <w:t>компенсаторных реакций при стоматологических заболеваниях у детей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О.</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Деньга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Вісник стоматології. − 1998. − № 1. − С. 93−96</w:t>
      </w:r>
      <w:r w:rsidRPr="008439CA">
        <w:rPr>
          <w:rFonts w:ascii="Times New Roman" w:hAnsi="Times New Roman"/>
          <w:color w:val="000000"/>
          <w:sz w:val="28"/>
          <w:szCs w:val="28"/>
          <w:shd w:val="clear" w:color="auto" w:fill="FFFFFF"/>
          <w:lang w:val="ru-RU"/>
        </w:rPr>
        <w:t>.</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bCs/>
          <w:sz w:val="28"/>
          <w:szCs w:val="28"/>
          <w:shd w:val="clear" w:color="auto" w:fill="FFFFFF"/>
          <w:lang w:val="ru-RU"/>
        </w:rPr>
        <w:t>Детская инвалидность и инвалидность с детства как медико-социальная проблема</w:t>
      </w:r>
      <w:r w:rsidRPr="008439CA">
        <w:rPr>
          <w:rStyle w:val="apple-converted-space"/>
          <w:rFonts w:ascii="Times New Roman" w:hAnsi="Times New Roman"/>
          <w:sz w:val="28"/>
          <w:szCs w:val="28"/>
          <w:shd w:val="clear" w:color="auto" w:fill="FFFFFF"/>
          <w:lang w:val="ru-RU"/>
        </w:rPr>
        <w:t xml:space="preserve"> </w:t>
      </w:r>
      <w:r w:rsidRPr="008439CA">
        <w:rPr>
          <w:rFonts w:ascii="Times New Roman" w:hAnsi="Times New Roman"/>
          <w:sz w:val="28"/>
          <w:szCs w:val="28"/>
          <w:shd w:val="clear" w:color="auto" w:fill="FFFFFF"/>
          <w:lang w:val="ru-RU"/>
        </w:rPr>
        <w:t>/</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Л.</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В.</w:t>
      </w:r>
      <w:r w:rsidRPr="008439CA">
        <w:rPr>
          <w:rFonts w:ascii="Times New Roman" w:hAnsi="Times New Roman"/>
          <w:sz w:val="28"/>
          <w:szCs w:val="28"/>
          <w:shd w:val="clear" w:color="auto" w:fill="FFFFFF"/>
          <w:lang w:val="en-US"/>
        </w:rPr>
        <w:t> </w:t>
      </w:r>
      <w:r w:rsidRPr="008439CA">
        <w:rPr>
          <w:rFonts w:ascii="Times New Roman" w:hAnsi="Times New Roman"/>
          <w:bCs/>
          <w:sz w:val="28"/>
          <w:szCs w:val="28"/>
          <w:shd w:val="clear" w:color="auto" w:fill="FFFFFF"/>
          <w:lang w:val="ru-RU"/>
        </w:rPr>
        <w:t>Ващенко</w:t>
      </w:r>
      <w:r w:rsidRPr="008439CA">
        <w:rPr>
          <w:rFonts w:ascii="Times New Roman" w:hAnsi="Times New Roman"/>
          <w:sz w:val="28"/>
          <w:szCs w:val="28"/>
          <w:shd w:val="clear" w:color="auto" w:fill="FFFFFF"/>
          <w:lang w:val="ru-RU"/>
        </w:rPr>
        <w:t>, А.</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А.</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Равлинко, О.</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Ф.</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Рубашная [и др.] //</w:t>
      </w:r>
      <w:r w:rsidRPr="008439CA">
        <w:rPr>
          <w:rFonts w:ascii="Times New Roman" w:hAnsi="Times New Roman"/>
          <w:bCs/>
          <w:sz w:val="28"/>
          <w:szCs w:val="28"/>
          <w:shd w:val="clear" w:color="auto" w:fill="FFFFFF"/>
          <w:lang w:val="en-US"/>
        </w:rPr>
        <w:t> </w:t>
      </w:r>
      <w:r w:rsidRPr="008439CA">
        <w:rPr>
          <w:rFonts w:ascii="Times New Roman" w:hAnsi="Times New Roman"/>
          <w:bCs/>
          <w:sz w:val="28"/>
          <w:szCs w:val="28"/>
          <w:shd w:val="clear" w:color="auto" w:fill="FFFFFF"/>
          <w:lang w:val="ru-RU"/>
        </w:rPr>
        <w:t>Здоровье ребенка</w:t>
      </w:r>
      <w:r w:rsidRPr="008439CA">
        <w:rPr>
          <w:rFonts w:ascii="Times New Roman" w:hAnsi="Times New Roman"/>
          <w:sz w:val="28"/>
          <w:szCs w:val="28"/>
          <w:shd w:val="clear" w:color="auto" w:fill="FFFFFF"/>
          <w:lang w:val="ru-RU"/>
        </w:rPr>
        <w:t>. – 2008. − №</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2. − С.</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14−18.</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bCs/>
          <w:color w:val="000000"/>
          <w:sz w:val="28"/>
          <w:szCs w:val="28"/>
          <w:shd w:val="clear" w:color="auto" w:fill="FFFFFF"/>
        </w:rPr>
        <w:t>Детск</w:t>
      </w:r>
      <w:r w:rsidRPr="008439CA">
        <w:rPr>
          <w:rFonts w:ascii="Times New Roman" w:hAnsi="Times New Roman"/>
          <w:color w:val="000000"/>
          <w:sz w:val="28"/>
          <w:szCs w:val="28"/>
          <w:shd w:val="clear" w:color="auto" w:fill="FFFFFF"/>
        </w:rPr>
        <w:t>ая</w:t>
      </w:r>
      <w:r w:rsidRPr="008439CA">
        <w:rPr>
          <w:rStyle w:val="apple-converted-space"/>
          <w:rFonts w:ascii="Times New Roman" w:hAnsi="Times New Roman"/>
          <w:color w:val="000000"/>
          <w:sz w:val="28"/>
          <w:szCs w:val="28"/>
          <w:shd w:val="clear" w:color="auto" w:fill="FFFFFF"/>
          <w:lang w:val="ru-RU"/>
        </w:rPr>
        <w:t xml:space="preserve"> </w:t>
      </w:r>
      <w:r w:rsidRPr="008439CA">
        <w:rPr>
          <w:rFonts w:ascii="Times New Roman" w:hAnsi="Times New Roman"/>
          <w:bCs/>
          <w:color w:val="000000"/>
          <w:sz w:val="28"/>
          <w:szCs w:val="28"/>
          <w:shd w:val="clear" w:color="auto" w:fill="FFFFFF"/>
        </w:rPr>
        <w:t>терапевтическ</w:t>
      </w:r>
      <w:r w:rsidRPr="008439CA">
        <w:rPr>
          <w:rFonts w:ascii="Times New Roman" w:hAnsi="Times New Roman"/>
          <w:color w:val="000000"/>
          <w:sz w:val="28"/>
          <w:szCs w:val="28"/>
          <w:shd w:val="clear" w:color="auto" w:fill="FFFFFF"/>
        </w:rPr>
        <w:t>ая</w:t>
      </w:r>
      <w:r w:rsidRPr="008439CA">
        <w:rPr>
          <w:rStyle w:val="apple-converted-space"/>
          <w:rFonts w:ascii="Times New Roman" w:hAnsi="Times New Roman"/>
          <w:color w:val="000000"/>
          <w:sz w:val="28"/>
          <w:szCs w:val="28"/>
          <w:shd w:val="clear" w:color="auto" w:fill="FFFFFF"/>
          <w:lang w:val="ru-RU"/>
        </w:rPr>
        <w:t xml:space="preserve"> </w:t>
      </w:r>
      <w:r w:rsidRPr="008439CA">
        <w:rPr>
          <w:rFonts w:ascii="Times New Roman" w:hAnsi="Times New Roman"/>
          <w:bCs/>
          <w:color w:val="000000"/>
          <w:sz w:val="28"/>
          <w:szCs w:val="28"/>
          <w:shd w:val="clear" w:color="auto" w:fill="FFFFFF"/>
        </w:rPr>
        <w:t>стоматологи</w:t>
      </w:r>
      <w:r w:rsidRPr="008439CA">
        <w:rPr>
          <w:rFonts w:ascii="Times New Roman" w:hAnsi="Times New Roman"/>
          <w:color w:val="000000"/>
          <w:sz w:val="28"/>
          <w:szCs w:val="28"/>
          <w:shd w:val="clear" w:color="auto" w:fill="FFFFFF"/>
        </w:rPr>
        <w:t>я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И.</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Куцевляк, В.</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Никонов, Е.</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Г.</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Денисова [и др.]. − Балаклея :</w:t>
      </w:r>
      <w:r w:rsidRPr="008439CA">
        <w:rPr>
          <w:rFonts w:ascii="Times New Roman" w:hAnsi="Times New Roman"/>
          <w:color w:val="000000"/>
          <w:sz w:val="28"/>
          <w:szCs w:val="28"/>
          <w:shd w:val="clear" w:color="auto" w:fill="FFFFFF"/>
          <w:lang w:val="ru-RU"/>
        </w:rPr>
        <w:t xml:space="preserve"> </w:t>
      </w:r>
      <w:r w:rsidRPr="008439CA">
        <w:rPr>
          <w:rFonts w:ascii="Times New Roman" w:hAnsi="Times New Roman"/>
          <w:color w:val="000000"/>
          <w:sz w:val="28"/>
          <w:szCs w:val="28"/>
          <w:shd w:val="clear" w:color="auto" w:fill="FFFFFF"/>
        </w:rPr>
        <w:t>Балаклейщина, 2002</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 xml:space="preserve"> 419</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Дєньга</w:t>
      </w:r>
      <w:r w:rsidRPr="008439CA">
        <w:rPr>
          <w:rFonts w:ascii="Times New Roman" w:hAnsi="Times New Roman"/>
          <w:sz w:val="28"/>
          <w:szCs w:val="28"/>
          <w:lang w:val="ru-RU"/>
        </w:rPr>
        <w:t> </w:t>
      </w:r>
      <w:r w:rsidRPr="008439CA">
        <w:rPr>
          <w:rFonts w:ascii="Times New Roman" w:hAnsi="Times New Roman"/>
          <w:sz w:val="28"/>
          <w:szCs w:val="28"/>
        </w:rPr>
        <w:t>О.</w:t>
      </w:r>
      <w:r w:rsidRPr="008439CA">
        <w:rPr>
          <w:rFonts w:ascii="Times New Roman" w:hAnsi="Times New Roman"/>
          <w:sz w:val="28"/>
          <w:szCs w:val="28"/>
          <w:lang w:val="ru-RU"/>
        </w:rPr>
        <w:t> </w:t>
      </w:r>
      <w:r w:rsidRPr="008439CA">
        <w:rPr>
          <w:rFonts w:ascii="Times New Roman" w:hAnsi="Times New Roman"/>
          <w:sz w:val="28"/>
          <w:szCs w:val="28"/>
        </w:rPr>
        <w:t>В. Адаптогенні профілактика та лікування основних стоматологічних захворювань у дітей : автореф. … дис. д-ра. мед. наук : 14.01.22 / Дєньга</w:t>
      </w:r>
      <w:r w:rsidRPr="008439CA">
        <w:rPr>
          <w:rFonts w:ascii="Times New Roman" w:hAnsi="Times New Roman"/>
          <w:snapToGrid w:val="0"/>
          <w:sz w:val="28"/>
          <w:szCs w:val="28"/>
        </w:rPr>
        <w:t xml:space="preserve"> </w:t>
      </w:r>
      <w:r w:rsidRPr="008439CA">
        <w:rPr>
          <w:rFonts w:ascii="Times New Roman" w:hAnsi="Times New Roman"/>
          <w:sz w:val="28"/>
          <w:szCs w:val="28"/>
        </w:rPr>
        <w:t>Оксана Василівна ; Національний медичний університет ім. О. О. Богомольця. – Київ, 2001. − 32</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 xml:space="preserve">Дяченко Ю. В. Оппортунистические инфекции в стоматологии / Ю. В. Дяченко </w:t>
      </w:r>
      <w:r w:rsidRPr="008439CA">
        <w:rPr>
          <w:rFonts w:ascii="Times New Roman" w:hAnsi="Times New Roman"/>
          <w:sz w:val="28"/>
          <w:szCs w:val="28"/>
        </w:rPr>
        <w:t>// Вісник стоматології</w:t>
      </w:r>
      <w:r w:rsidRPr="008439CA">
        <w:rPr>
          <w:rFonts w:ascii="Times New Roman" w:hAnsi="Times New Roman"/>
          <w:sz w:val="28"/>
          <w:szCs w:val="28"/>
          <w:lang w:val="ru-RU"/>
        </w:rPr>
        <w:t>. – 1996. – № 5. – С. 343−346.</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rPr>
        <w:t>Заболеваемость тканей пародонта и состояние гигиены полости рта у детей Одесской области /</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О.</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В.</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Деньга, И.</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А. Спичка, В.</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С.</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 xml:space="preserve">Иванов </w:t>
      </w:r>
      <w:r w:rsidRPr="008439CA">
        <w:rPr>
          <w:rFonts w:ascii="Times New Roman" w:hAnsi="Times New Roman"/>
          <w:color w:val="000000"/>
          <w:sz w:val="28"/>
          <w:szCs w:val="28"/>
          <w:shd w:val="clear" w:color="auto" w:fill="FFFFFF"/>
        </w:rPr>
        <w:t>[и др.]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Український стоматологічний альманах. – 2004. −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1</w:t>
      </w:r>
      <w:r w:rsidRPr="008439CA">
        <w:rPr>
          <w:rFonts w:ascii="Times New Roman" w:hAnsi="Times New Roman"/>
          <w:color w:val="000000"/>
          <w:sz w:val="28"/>
          <w:szCs w:val="28"/>
          <w:shd w:val="clear" w:color="auto" w:fill="FFFFFF"/>
          <w:lang w:val="ru-RU"/>
        </w:rPr>
        <w:t>/</w:t>
      </w:r>
      <w:r w:rsidRPr="008439CA">
        <w:rPr>
          <w:rFonts w:ascii="Times New Roman" w:hAnsi="Times New Roman"/>
          <w:color w:val="000000"/>
          <w:sz w:val="28"/>
          <w:szCs w:val="28"/>
          <w:shd w:val="clear" w:color="auto" w:fill="FFFFFF"/>
        </w:rPr>
        <w:t>2. – С.</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52−60.</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Загайнова Н. М. Порушення мікробіологічного та імунного гомеостазу ротової порожнини, показників мінерального обміну зубів та методи їх корекції при карієсі у дітей : автореф. … дис. канд. мед. наук : 14.03.04 / Загайнова Наталія Миколаївна ; Луганський державний медичний університет. – Луганськ, 2009. – 22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 xml:space="preserve">Изменения отдельных показателей ротовой жидкости, влияющих на состояние твердых тканей зубов и пародонта у детей с основными </w:t>
      </w:r>
      <w:r w:rsidRPr="008439CA">
        <w:rPr>
          <w:rFonts w:ascii="Times New Roman" w:hAnsi="Times New Roman"/>
          <w:sz w:val="28"/>
          <w:szCs w:val="28"/>
        </w:rPr>
        <w:lastRenderedPageBreak/>
        <w:t>стоматологическими заболеваниями /</w:t>
      </w:r>
      <w:r w:rsidRPr="008439CA">
        <w:rPr>
          <w:rFonts w:ascii="Times New Roman" w:hAnsi="Times New Roman"/>
          <w:sz w:val="28"/>
          <w:szCs w:val="28"/>
          <w:lang w:val="en-US"/>
        </w:rPr>
        <w:t> </w:t>
      </w:r>
      <w:r w:rsidRPr="008439CA">
        <w:rPr>
          <w:rFonts w:ascii="Times New Roman" w:hAnsi="Times New Roman"/>
          <w:sz w:val="28"/>
          <w:szCs w:val="28"/>
        </w:rPr>
        <w:t>И.</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Ковач, И.</w:t>
      </w:r>
      <w:r w:rsidRPr="008439CA">
        <w:rPr>
          <w:rFonts w:ascii="Times New Roman" w:hAnsi="Times New Roman"/>
          <w:sz w:val="28"/>
          <w:szCs w:val="28"/>
          <w:lang w:val="en-US"/>
        </w:rPr>
        <w:t> </w:t>
      </w:r>
      <w:r w:rsidRPr="008439CA">
        <w:rPr>
          <w:rFonts w:ascii="Times New Roman" w:hAnsi="Times New Roman"/>
          <w:sz w:val="28"/>
          <w:szCs w:val="28"/>
        </w:rPr>
        <w:t>Н.</w:t>
      </w:r>
      <w:r w:rsidRPr="008439CA">
        <w:rPr>
          <w:rFonts w:ascii="Times New Roman" w:hAnsi="Times New Roman"/>
          <w:sz w:val="28"/>
          <w:szCs w:val="28"/>
          <w:lang w:val="en-US"/>
        </w:rPr>
        <w:t> </w:t>
      </w:r>
      <w:r w:rsidRPr="008439CA">
        <w:rPr>
          <w:rFonts w:ascii="Times New Roman" w:hAnsi="Times New Roman"/>
          <w:sz w:val="28"/>
          <w:szCs w:val="28"/>
        </w:rPr>
        <w:t>Щербина, Н.</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Миротина, В.</w:t>
      </w:r>
      <w:r w:rsidRPr="008439CA">
        <w:rPr>
          <w:rFonts w:ascii="Times New Roman" w:hAnsi="Times New Roman"/>
          <w:sz w:val="28"/>
          <w:szCs w:val="28"/>
          <w:lang w:val="en-US"/>
        </w:rPr>
        <w:t> </w:t>
      </w:r>
      <w:r w:rsidRPr="008439CA">
        <w:rPr>
          <w:rFonts w:ascii="Times New Roman" w:hAnsi="Times New Roman"/>
          <w:sz w:val="28"/>
          <w:szCs w:val="28"/>
        </w:rPr>
        <w:t>П.</w:t>
      </w:r>
      <w:r w:rsidRPr="008439CA">
        <w:rPr>
          <w:rFonts w:ascii="Times New Roman" w:hAnsi="Times New Roman"/>
          <w:sz w:val="28"/>
          <w:szCs w:val="28"/>
          <w:lang w:val="en-US"/>
        </w:rPr>
        <w:t> </w:t>
      </w:r>
      <w:r w:rsidRPr="008439CA">
        <w:rPr>
          <w:rFonts w:ascii="Times New Roman" w:hAnsi="Times New Roman"/>
          <w:sz w:val="28"/>
          <w:szCs w:val="28"/>
        </w:rPr>
        <w:t>Корчак //</w:t>
      </w:r>
      <w:r w:rsidRPr="008439CA">
        <w:rPr>
          <w:rFonts w:ascii="Times New Roman" w:hAnsi="Times New Roman"/>
          <w:sz w:val="28"/>
          <w:szCs w:val="28"/>
          <w:lang w:val="en-US"/>
        </w:rPr>
        <w:t> </w:t>
      </w:r>
      <w:r w:rsidRPr="008439CA">
        <w:rPr>
          <w:rFonts w:ascii="Times New Roman" w:hAnsi="Times New Roman"/>
          <w:sz w:val="28"/>
          <w:szCs w:val="28"/>
        </w:rPr>
        <w:t>Вісник стоматології. – 2008. – №</w:t>
      </w:r>
      <w:r w:rsidRPr="008439CA">
        <w:rPr>
          <w:rFonts w:ascii="Times New Roman" w:hAnsi="Times New Roman"/>
          <w:sz w:val="28"/>
          <w:szCs w:val="28"/>
          <w:lang w:val="en-US"/>
        </w:rPr>
        <w:t> </w:t>
      </w:r>
      <w:r w:rsidRPr="008439CA">
        <w:rPr>
          <w:rFonts w:ascii="Times New Roman" w:hAnsi="Times New Roman"/>
          <w:sz w:val="28"/>
          <w:szCs w:val="28"/>
        </w:rPr>
        <w:t>1.</w:t>
      </w:r>
      <w:r w:rsidRPr="008439CA">
        <w:rPr>
          <w:rFonts w:ascii="Times New Roman" w:hAnsi="Times New Roman"/>
          <w:sz w:val="28"/>
          <w:szCs w:val="28"/>
          <w:lang w:val="ru-RU"/>
        </w:rPr>
        <w:t> </w:t>
      </w:r>
      <w:r w:rsidRPr="008439CA">
        <w:rPr>
          <w:rFonts w:ascii="Times New Roman" w:hAnsi="Times New Roman"/>
          <w:sz w:val="28"/>
          <w:szCs w:val="28"/>
        </w:rPr>
        <w:t>– С.</w:t>
      </w:r>
      <w:r w:rsidRPr="008439CA">
        <w:rPr>
          <w:rFonts w:ascii="Times New Roman" w:hAnsi="Times New Roman"/>
          <w:sz w:val="28"/>
          <w:szCs w:val="28"/>
          <w:lang w:val="en-US"/>
        </w:rPr>
        <w:t> </w:t>
      </w:r>
      <w:r w:rsidRPr="008439CA">
        <w:rPr>
          <w:rFonts w:ascii="Times New Roman" w:hAnsi="Times New Roman"/>
          <w:sz w:val="28"/>
          <w:szCs w:val="28"/>
        </w:rPr>
        <w:t>64−65.</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 xml:space="preserve">Изучение микробиоценоза при хронических заболеваниях слизистой оболочки полости рта / В. В. Хазанова, И. М. Рабинович, Е. А. Земская </w:t>
      </w:r>
      <w:r w:rsidRPr="008439CA">
        <w:rPr>
          <w:rFonts w:ascii="Times New Roman" w:hAnsi="Times New Roman"/>
          <w:sz w:val="28"/>
          <w:szCs w:val="28"/>
          <w:lang w:val="ru-RU"/>
        </w:rPr>
        <w:t>[</w:t>
      </w:r>
      <w:r w:rsidRPr="008439CA">
        <w:rPr>
          <w:rFonts w:ascii="Times New Roman" w:hAnsi="Times New Roman"/>
          <w:sz w:val="28"/>
          <w:szCs w:val="28"/>
        </w:rPr>
        <w:t>и др.</w:t>
      </w:r>
      <w:r w:rsidRPr="008439CA">
        <w:rPr>
          <w:rFonts w:ascii="Times New Roman" w:hAnsi="Times New Roman"/>
          <w:sz w:val="28"/>
          <w:szCs w:val="28"/>
          <w:lang w:val="ru-RU"/>
        </w:rPr>
        <w:t>]</w:t>
      </w:r>
      <w:r w:rsidRPr="008439CA">
        <w:rPr>
          <w:rFonts w:ascii="Times New Roman" w:hAnsi="Times New Roman"/>
          <w:sz w:val="28"/>
          <w:szCs w:val="28"/>
        </w:rPr>
        <w:t xml:space="preserve"> // Стоматология. – 1996.</w:t>
      </w:r>
      <w:r w:rsidRPr="008439CA">
        <w:rPr>
          <w:rFonts w:ascii="Times New Roman" w:hAnsi="Times New Roman"/>
          <w:sz w:val="28"/>
          <w:szCs w:val="28"/>
          <w:lang w:val="ru-RU"/>
        </w:rPr>
        <w:t xml:space="preserve"> </w:t>
      </w:r>
      <w:r w:rsidRPr="008439CA">
        <w:rPr>
          <w:rFonts w:ascii="Times New Roman" w:hAnsi="Times New Roman"/>
          <w:sz w:val="28"/>
          <w:szCs w:val="28"/>
        </w:rPr>
        <w:t>– Т. 76, № 2. – С. 26−27.</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Иманова Н. И. Побочные реакции при антибактериальной терапии / Н. И. Иманова // Клиническая антибиотикотерапия. – 2003. − № 5. – С. 12−16.</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eastAsia="Times New Roman CYR" w:hAnsi="Times New Roman"/>
          <w:sz w:val="28"/>
          <w:szCs w:val="28"/>
          <w:lang w:val="ru-RU"/>
        </w:rPr>
        <w:t>Информативность рН-теста слюны при проведении санационно-профилактических мероприятий у детей / О. В. Деньга, Э. М. Деньга, А. П. Левицкий, Е. В. Скоркина // Вісник стоматології. − 1995. − № 1. − С. 42−45.</w:t>
      </w:r>
    </w:p>
    <w:p w:rsidR="00534FB5" w:rsidRPr="008439CA" w:rsidRDefault="00534FB5" w:rsidP="008439CA">
      <w:pPr>
        <w:pStyle w:val="af8"/>
        <w:numPr>
          <w:ilvl w:val="0"/>
          <w:numId w:val="7"/>
        </w:numPr>
        <w:spacing w:after="0" w:line="360" w:lineRule="auto"/>
        <w:ind w:left="-142" w:firstLine="0"/>
        <w:jc w:val="both"/>
        <w:rPr>
          <w:rStyle w:val="apple-converted-space"/>
          <w:rFonts w:ascii="Times New Roman" w:hAnsi="Times New Roman"/>
          <w:sz w:val="28"/>
          <w:szCs w:val="28"/>
        </w:rPr>
      </w:pPr>
      <w:r w:rsidRPr="008439CA">
        <w:rPr>
          <w:rStyle w:val="apple-converted-space"/>
          <w:rFonts w:ascii="Times New Roman" w:hAnsi="Times New Roman"/>
          <w:color w:val="000000"/>
          <w:sz w:val="28"/>
          <w:szCs w:val="28"/>
          <w:shd w:val="clear" w:color="auto" w:fill="FFFFFF"/>
        </w:rPr>
        <w:t>Капітан</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Т.</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В. Пропедевтика дитячих хвороб з доглядом за дітьми /</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Т.</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В.</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Капітан. – Вінниця : ДП ДКФ, 2006. – 792</w:t>
      </w:r>
      <w:r w:rsidRPr="008439CA">
        <w:rPr>
          <w:rStyle w:val="apple-converted-space"/>
          <w:rFonts w:ascii="Times New Roman" w:hAnsi="Times New Roman"/>
          <w:color w:val="000000"/>
          <w:sz w:val="28"/>
          <w:szCs w:val="28"/>
          <w:shd w:val="clear" w:color="auto" w:fill="FFFFFF"/>
          <w:lang w:val="ru-RU"/>
        </w:rPr>
        <w:t> </w:t>
      </w:r>
      <w:r w:rsidRPr="008439CA">
        <w:rPr>
          <w:rStyle w:val="apple-converted-space"/>
          <w:rFonts w:ascii="Times New Roman" w:hAnsi="Times New Roman"/>
          <w:color w:val="000000"/>
          <w:sz w:val="28"/>
          <w:szCs w:val="28"/>
          <w:shd w:val="clear" w:color="auto" w:fill="FFFFFF"/>
        </w:rPr>
        <w:t>с.</w:t>
      </w:r>
    </w:p>
    <w:p w:rsidR="00534FB5" w:rsidRPr="008439CA" w:rsidRDefault="00534FB5" w:rsidP="008439CA">
      <w:pPr>
        <w:pStyle w:val="af8"/>
        <w:numPr>
          <w:ilvl w:val="0"/>
          <w:numId w:val="7"/>
        </w:numPr>
        <w:spacing w:after="0" w:line="360" w:lineRule="auto"/>
        <w:ind w:left="-142" w:firstLine="0"/>
        <w:jc w:val="both"/>
        <w:rPr>
          <w:rStyle w:val="apple-converted-space"/>
          <w:rFonts w:ascii="Times New Roman" w:hAnsi="Times New Roman"/>
          <w:sz w:val="28"/>
          <w:szCs w:val="28"/>
        </w:rPr>
      </w:pPr>
      <w:r w:rsidRPr="008439CA">
        <w:rPr>
          <w:rFonts w:ascii="Times New Roman" w:hAnsi="Times New Roman"/>
          <w:sz w:val="28"/>
          <w:szCs w:val="28"/>
        </w:rPr>
        <w:t>Коваль Ю. М. Фототерапія в комплексному лікуванні гінгівіту у дітей та підлітків : автореф. … дис. канд. мед. наук : 14.00.22 /</w:t>
      </w:r>
      <w:r w:rsidRPr="008439CA">
        <w:rPr>
          <w:rFonts w:ascii="Times New Roman" w:hAnsi="Times New Roman"/>
          <w:sz w:val="28"/>
          <w:szCs w:val="28"/>
          <w:lang w:val="en-US"/>
        </w:rPr>
        <w:t> </w:t>
      </w:r>
      <w:r w:rsidRPr="008439CA">
        <w:rPr>
          <w:rFonts w:ascii="Times New Roman" w:hAnsi="Times New Roman"/>
          <w:sz w:val="28"/>
          <w:szCs w:val="28"/>
        </w:rPr>
        <w:t>Коваль Юрій Миколайович ; Національний медичний університет ім.</w:t>
      </w:r>
      <w:r w:rsidRPr="008439CA">
        <w:rPr>
          <w:rFonts w:ascii="Times New Roman" w:hAnsi="Times New Roman"/>
          <w:sz w:val="28"/>
          <w:szCs w:val="28"/>
          <w:lang w:val="en-US"/>
        </w:rPr>
        <w:t> </w:t>
      </w:r>
      <w:r w:rsidRPr="008439CA">
        <w:rPr>
          <w:rFonts w:ascii="Times New Roman" w:hAnsi="Times New Roman"/>
          <w:sz w:val="28"/>
          <w:szCs w:val="28"/>
        </w:rPr>
        <w:t>О. О. Богомольця. – Київ, 2001. – 26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eastAsia="TimesNewRomanPSMT" w:hAnsi="Times New Roman"/>
          <w:sz w:val="28"/>
          <w:szCs w:val="28"/>
        </w:rPr>
        <w:t>Ковач</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И.</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В. Микроэкология полости рта у детей с расщелинами твердого и мягкого неба /</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И.</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В.</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Ковач, М.</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Ю.</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Пивоваров //</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Современная стоматология. – 2012. – №</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3. – С.</w:t>
      </w:r>
      <w:r w:rsidRPr="008439CA">
        <w:rPr>
          <w:rFonts w:ascii="Times New Roman" w:eastAsia="TimesNewRomanPSMT" w:hAnsi="Times New Roman"/>
          <w:sz w:val="28"/>
          <w:szCs w:val="28"/>
          <w:lang w:val="en-US"/>
        </w:rPr>
        <w:t> </w:t>
      </w:r>
      <w:r w:rsidRPr="008439CA">
        <w:rPr>
          <w:rFonts w:ascii="Times New Roman" w:eastAsia="TimesNewRomanPSMT" w:hAnsi="Times New Roman"/>
          <w:sz w:val="28"/>
          <w:szCs w:val="28"/>
        </w:rPr>
        <w:t>86−90.</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Коняева</w:t>
      </w:r>
      <w:r w:rsidRPr="008439CA">
        <w:rPr>
          <w:rFonts w:ascii="Times New Roman" w:hAnsi="Times New Roman"/>
          <w:sz w:val="28"/>
          <w:szCs w:val="28"/>
          <w:lang w:val="en-US"/>
        </w:rPr>
        <w:t> </w:t>
      </w:r>
      <w:r w:rsidRPr="008439CA">
        <w:rPr>
          <w:rFonts w:ascii="Times New Roman" w:hAnsi="Times New Roman"/>
          <w:sz w:val="28"/>
          <w:szCs w:val="28"/>
        </w:rPr>
        <w:t>Е. Лекарственная аллергия в Украине /</w:t>
      </w:r>
      <w:r w:rsidRPr="008439CA">
        <w:rPr>
          <w:rFonts w:ascii="Times New Roman" w:hAnsi="Times New Roman"/>
          <w:sz w:val="28"/>
          <w:szCs w:val="28"/>
          <w:lang w:val="en-US"/>
        </w:rPr>
        <w:t> </w:t>
      </w:r>
      <w:r w:rsidRPr="008439CA">
        <w:rPr>
          <w:rFonts w:ascii="Times New Roman" w:hAnsi="Times New Roman"/>
          <w:sz w:val="28"/>
          <w:szCs w:val="28"/>
        </w:rPr>
        <w:t>Е.</w:t>
      </w:r>
      <w:r w:rsidRPr="008439CA">
        <w:rPr>
          <w:rFonts w:ascii="Times New Roman" w:hAnsi="Times New Roman"/>
          <w:sz w:val="28"/>
          <w:szCs w:val="28"/>
          <w:lang w:val="en-US"/>
        </w:rPr>
        <w:t> </w:t>
      </w:r>
      <w:r w:rsidRPr="008439CA">
        <w:rPr>
          <w:rFonts w:ascii="Times New Roman" w:hAnsi="Times New Roman"/>
          <w:sz w:val="28"/>
          <w:szCs w:val="28"/>
        </w:rPr>
        <w:t>Коняева, М.</w:t>
      </w:r>
      <w:r w:rsidRPr="008439CA">
        <w:rPr>
          <w:rFonts w:ascii="Times New Roman" w:hAnsi="Times New Roman"/>
          <w:sz w:val="28"/>
          <w:szCs w:val="28"/>
          <w:lang w:val="en-US"/>
        </w:rPr>
        <w:t> </w:t>
      </w:r>
      <w:r w:rsidRPr="008439CA">
        <w:rPr>
          <w:rFonts w:ascii="Times New Roman" w:hAnsi="Times New Roman"/>
          <w:sz w:val="28"/>
          <w:szCs w:val="28"/>
        </w:rPr>
        <w:t>Шараева //</w:t>
      </w:r>
      <w:r w:rsidRPr="008439CA">
        <w:rPr>
          <w:rFonts w:ascii="Times New Roman" w:hAnsi="Times New Roman"/>
          <w:sz w:val="28"/>
          <w:szCs w:val="28"/>
          <w:lang w:val="en-US"/>
        </w:rPr>
        <w:t> </w:t>
      </w:r>
      <w:r w:rsidRPr="008439CA">
        <w:rPr>
          <w:rFonts w:ascii="Times New Roman" w:hAnsi="Times New Roman"/>
          <w:sz w:val="28"/>
          <w:szCs w:val="28"/>
        </w:rPr>
        <w:t>Вісник фармакології та фармації. – 2004. − №</w:t>
      </w:r>
      <w:r w:rsidRPr="008439CA">
        <w:rPr>
          <w:rFonts w:ascii="Times New Roman" w:hAnsi="Times New Roman"/>
          <w:sz w:val="28"/>
          <w:szCs w:val="28"/>
          <w:lang w:val="en-US"/>
        </w:rPr>
        <w:t> </w:t>
      </w:r>
      <w:r w:rsidRPr="008439CA">
        <w:rPr>
          <w:rFonts w:ascii="Times New Roman" w:hAnsi="Times New Roman"/>
          <w:sz w:val="28"/>
          <w:szCs w:val="28"/>
        </w:rPr>
        <w:t>1. – С.</w:t>
      </w:r>
      <w:r w:rsidRPr="008439CA">
        <w:rPr>
          <w:rFonts w:ascii="Times New Roman" w:hAnsi="Times New Roman"/>
          <w:sz w:val="28"/>
          <w:szCs w:val="28"/>
          <w:lang w:val="en-US"/>
        </w:rPr>
        <w:t> </w:t>
      </w:r>
      <w:r w:rsidRPr="008439CA">
        <w:rPr>
          <w:rFonts w:ascii="Times New Roman" w:hAnsi="Times New Roman"/>
          <w:sz w:val="28"/>
          <w:szCs w:val="28"/>
        </w:rPr>
        <w:t>14−17.</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lang w:val="ru-RU"/>
        </w:rPr>
        <w:t>Королюк</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Л.</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И. Метод определения каталазы /</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Л.</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И.</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Королюк, И.</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Г.</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Иванова, В.</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Е.</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Майорова //</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Лабораторное дело. − 1988. − №</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1. − С.</w:t>
      </w:r>
      <w:r w:rsidRPr="008439CA">
        <w:rPr>
          <w:rFonts w:ascii="Times New Roman" w:hAnsi="Times New Roman"/>
          <w:color w:val="000000"/>
          <w:sz w:val="28"/>
          <w:szCs w:val="28"/>
          <w:lang w:val="en-US"/>
        </w:rPr>
        <w:t> </w:t>
      </w:r>
      <w:r w:rsidRPr="008439CA">
        <w:rPr>
          <w:rFonts w:ascii="Times New Roman" w:hAnsi="Times New Roman"/>
          <w:color w:val="000000"/>
          <w:sz w:val="28"/>
          <w:szCs w:val="28"/>
          <w:lang w:val="ru-RU"/>
        </w:rPr>
        <w:t>16−19.</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ru-RU"/>
        </w:rPr>
        <w:t>Костюк</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 xml:space="preserve">А. Простой и чувствительный метод определения активности супероксиддисмутазы, основанный на реакции окисления </w:t>
      </w:r>
      <w:r w:rsidRPr="008439CA">
        <w:rPr>
          <w:rFonts w:ascii="Times New Roman" w:hAnsi="Times New Roman"/>
          <w:sz w:val="28"/>
          <w:szCs w:val="28"/>
          <w:lang w:val="ru-RU"/>
        </w:rPr>
        <w:lastRenderedPageBreak/>
        <w:t>кверцетина /</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Костюк, А.</w:t>
      </w:r>
      <w:r w:rsidRPr="008439CA">
        <w:rPr>
          <w:rFonts w:ascii="Times New Roman" w:hAnsi="Times New Roman"/>
          <w:sz w:val="28"/>
          <w:szCs w:val="28"/>
          <w:lang w:val="en-US"/>
        </w:rPr>
        <w:t> </w:t>
      </w:r>
      <w:r w:rsidRPr="008439CA">
        <w:rPr>
          <w:rFonts w:ascii="Times New Roman" w:hAnsi="Times New Roman"/>
          <w:sz w:val="28"/>
          <w:szCs w:val="28"/>
          <w:lang w:val="ru-RU"/>
        </w:rPr>
        <w:t>И.</w:t>
      </w:r>
      <w:r w:rsidRPr="008439CA">
        <w:rPr>
          <w:rFonts w:ascii="Times New Roman" w:hAnsi="Times New Roman"/>
          <w:sz w:val="28"/>
          <w:szCs w:val="28"/>
          <w:lang w:val="en-US"/>
        </w:rPr>
        <w:t> </w:t>
      </w:r>
      <w:r w:rsidRPr="008439CA">
        <w:rPr>
          <w:rFonts w:ascii="Times New Roman" w:hAnsi="Times New Roman"/>
          <w:sz w:val="28"/>
          <w:szCs w:val="28"/>
          <w:lang w:val="ru-RU"/>
        </w:rPr>
        <w:t>Потапович, Ж.</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Ковалева //</w:t>
      </w:r>
      <w:r w:rsidRPr="008439CA">
        <w:rPr>
          <w:rFonts w:ascii="Times New Roman" w:hAnsi="Times New Roman"/>
          <w:sz w:val="28"/>
          <w:szCs w:val="28"/>
          <w:lang w:val="en-US"/>
        </w:rPr>
        <w:t> </w:t>
      </w:r>
      <w:r w:rsidRPr="008439CA">
        <w:rPr>
          <w:rFonts w:ascii="Times New Roman" w:hAnsi="Times New Roman"/>
          <w:sz w:val="28"/>
          <w:szCs w:val="28"/>
          <w:lang w:val="ru-RU"/>
        </w:rPr>
        <w:t xml:space="preserve">Вопросы медицинской химии. − 1990. − </w:t>
      </w:r>
      <w:r w:rsidRPr="008439CA">
        <w:rPr>
          <w:rFonts w:ascii="Times New Roman" w:hAnsi="Times New Roman"/>
          <w:sz w:val="28"/>
          <w:szCs w:val="28"/>
        </w:rPr>
        <w:t>№</w:t>
      </w:r>
      <w:r w:rsidRPr="008439CA">
        <w:rPr>
          <w:rFonts w:ascii="Times New Roman" w:hAnsi="Times New Roman"/>
          <w:sz w:val="28"/>
          <w:szCs w:val="28"/>
          <w:lang w:val="en-US"/>
        </w:rPr>
        <w:t> </w:t>
      </w:r>
      <w:r w:rsidRPr="008439CA">
        <w:rPr>
          <w:rFonts w:ascii="Times New Roman" w:hAnsi="Times New Roman"/>
          <w:sz w:val="28"/>
          <w:szCs w:val="28"/>
          <w:lang w:val="ru-RU"/>
        </w:rPr>
        <w:t>2. − C. 88−91.</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Крыжановский</w:t>
      </w:r>
      <w:r w:rsidRPr="008439CA">
        <w:rPr>
          <w:rFonts w:ascii="Times New Roman" w:hAnsi="Times New Roman"/>
          <w:sz w:val="28"/>
          <w:szCs w:val="28"/>
          <w:lang w:val="ru-RU"/>
        </w:rPr>
        <w:t> </w:t>
      </w:r>
      <w:r w:rsidRPr="008439CA">
        <w:rPr>
          <w:rFonts w:ascii="Times New Roman" w:hAnsi="Times New Roman"/>
          <w:sz w:val="28"/>
          <w:szCs w:val="28"/>
        </w:rPr>
        <w:t>Г.</w:t>
      </w:r>
      <w:r w:rsidRPr="008439CA">
        <w:rPr>
          <w:rFonts w:ascii="Times New Roman" w:hAnsi="Times New Roman"/>
          <w:sz w:val="28"/>
          <w:szCs w:val="28"/>
          <w:lang w:val="ru-RU"/>
        </w:rPr>
        <w:t> </w:t>
      </w:r>
      <w:r w:rsidRPr="008439CA">
        <w:rPr>
          <w:rFonts w:ascii="Times New Roman" w:hAnsi="Times New Roman"/>
          <w:sz w:val="28"/>
          <w:szCs w:val="28"/>
        </w:rPr>
        <w:t>Н. Дизрегуяционная патология /</w:t>
      </w:r>
      <w:r w:rsidRPr="008439CA">
        <w:rPr>
          <w:rFonts w:ascii="Times New Roman" w:hAnsi="Times New Roman"/>
          <w:sz w:val="28"/>
          <w:szCs w:val="28"/>
          <w:lang w:val="ru-RU"/>
        </w:rPr>
        <w:t> </w:t>
      </w:r>
      <w:r w:rsidRPr="008439CA">
        <w:rPr>
          <w:rFonts w:ascii="Times New Roman" w:hAnsi="Times New Roman"/>
          <w:sz w:val="28"/>
          <w:szCs w:val="28"/>
        </w:rPr>
        <w:t>Г.</w:t>
      </w:r>
      <w:r w:rsidRPr="008439CA">
        <w:rPr>
          <w:rFonts w:ascii="Times New Roman" w:hAnsi="Times New Roman"/>
          <w:sz w:val="28"/>
          <w:szCs w:val="28"/>
          <w:lang w:val="ru-RU"/>
        </w:rPr>
        <w:t> </w:t>
      </w:r>
      <w:r w:rsidRPr="008439CA">
        <w:rPr>
          <w:rFonts w:ascii="Times New Roman" w:hAnsi="Times New Roman"/>
          <w:sz w:val="28"/>
          <w:szCs w:val="28"/>
        </w:rPr>
        <w:t>Н.</w:t>
      </w:r>
      <w:r w:rsidRPr="008439CA">
        <w:rPr>
          <w:rFonts w:ascii="Times New Roman" w:hAnsi="Times New Roman"/>
          <w:sz w:val="28"/>
          <w:szCs w:val="28"/>
          <w:lang w:val="ru-RU"/>
        </w:rPr>
        <w:t> </w:t>
      </w:r>
      <w:r w:rsidRPr="008439CA">
        <w:rPr>
          <w:rFonts w:ascii="Times New Roman" w:hAnsi="Times New Roman"/>
          <w:sz w:val="28"/>
          <w:szCs w:val="28"/>
        </w:rPr>
        <w:t>Крыжановский //</w:t>
      </w:r>
      <w:r w:rsidRPr="008439CA">
        <w:rPr>
          <w:rFonts w:ascii="Times New Roman" w:hAnsi="Times New Roman"/>
          <w:sz w:val="28"/>
          <w:szCs w:val="28"/>
          <w:lang w:val="ru-RU"/>
        </w:rPr>
        <w:t> </w:t>
      </w:r>
      <w:r w:rsidRPr="008439CA">
        <w:rPr>
          <w:rFonts w:ascii="Times New Roman" w:hAnsi="Times New Roman"/>
          <w:sz w:val="28"/>
          <w:szCs w:val="28"/>
        </w:rPr>
        <w:t>Пат</w:t>
      </w:r>
      <w:r w:rsidRPr="008439CA">
        <w:rPr>
          <w:rFonts w:ascii="Times New Roman" w:hAnsi="Times New Roman"/>
          <w:sz w:val="28"/>
          <w:szCs w:val="28"/>
          <w:lang w:val="ru-RU"/>
        </w:rPr>
        <w:t>ологическая</w:t>
      </w:r>
      <w:r w:rsidRPr="008439CA">
        <w:rPr>
          <w:rFonts w:ascii="Times New Roman" w:hAnsi="Times New Roman"/>
          <w:sz w:val="28"/>
          <w:szCs w:val="28"/>
        </w:rPr>
        <w:t xml:space="preserve"> физиология и эксперим</w:t>
      </w:r>
      <w:r w:rsidRPr="008439CA">
        <w:rPr>
          <w:rFonts w:ascii="Times New Roman" w:hAnsi="Times New Roman"/>
          <w:sz w:val="28"/>
          <w:szCs w:val="28"/>
          <w:lang w:val="ru-RU"/>
        </w:rPr>
        <w:t>ентальная</w:t>
      </w:r>
      <w:r w:rsidRPr="008439CA">
        <w:rPr>
          <w:rFonts w:ascii="Times New Roman" w:hAnsi="Times New Roman"/>
          <w:sz w:val="28"/>
          <w:szCs w:val="28"/>
        </w:rPr>
        <w:t xml:space="preserve"> терапия. – 2002.</w:t>
      </w:r>
      <w:r w:rsidRPr="008439CA">
        <w:rPr>
          <w:rFonts w:ascii="Times New Roman" w:hAnsi="Times New Roman"/>
          <w:sz w:val="28"/>
          <w:szCs w:val="28"/>
          <w:lang w:val="ru-RU"/>
        </w:rPr>
        <w:t> </w:t>
      </w:r>
      <w:r w:rsidRPr="008439CA">
        <w:rPr>
          <w:rFonts w:ascii="Times New Roman" w:hAnsi="Times New Roman"/>
          <w:sz w:val="28"/>
          <w:szCs w:val="28"/>
        </w:rPr>
        <w:t>− №</w:t>
      </w:r>
      <w:r w:rsidRPr="008439CA">
        <w:rPr>
          <w:rFonts w:ascii="Times New Roman" w:hAnsi="Times New Roman"/>
          <w:sz w:val="28"/>
          <w:szCs w:val="28"/>
          <w:lang w:val="ru-RU"/>
        </w:rPr>
        <w:t> </w:t>
      </w:r>
      <w:r w:rsidRPr="008439CA">
        <w:rPr>
          <w:rFonts w:ascii="Times New Roman" w:hAnsi="Times New Roman"/>
          <w:sz w:val="28"/>
          <w:szCs w:val="28"/>
        </w:rPr>
        <w:t>3. – С.</w:t>
      </w:r>
      <w:r w:rsidRPr="008439CA">
        <w:rPr>
          <w:rFonts w:ascii="Times New Roman" w:hAnsi="Times New Roman"/>
          <w:sz w:val="28"/>
          <w:szCs w:val="28"/>
          <w:lang w:val="ru-RU"/>
        </w:rPr>
        <w:t> </w:t>
      </w:r>
      <w:r w:rsidRPr="008439CA">
        <w:rPr>
          <w:rFonts w:ascii="Times New Roman" w:hAnsi="Times New Roman"/>
          <w:sz w:val="28"/>
          <w:szCs w:val="28"/>
        </w:rPr>
        <w:t>2−19.</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shd w:val="clear" w:color="auto" w:fill="FFFFFF"/>
        </w:rPr>
        <w:t>Куцевляк</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В.</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Ф. Індексна оцінка пародонтального статусу /</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В.</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Ф.</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Куцевляк, Ю.</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В.</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Лахтін. – Суми : ВВП «Мрія-1» ЛТД, 2002. – 80</w:t>
      </w:r>
      <w:r w:rsidRPr="008439CA">
        <w:rPr>
          <w:rFonts w:ascii="Times New Roman" w:hAnsi="Times New Roman"/>
          <w:sz w:val="28"/>
          <w:szCs w:val="28"/>
          <w:shd w:val="clear" w:color="auto" w:fill="FFFFFF"/>
          <w:lang w:val="ru-RU"/>
        </w:rPr>
        <w:t> </w:t>
      </w:r>
      <w:r w:rsidRPr="008439CA">
        <w:rPr>
          <w:rFonts w:ascii="Times New Roman" w:hAnsi="Times New Roman"/>
          <w:sz w:val="28"/>
          <w:szCs w:val="28"/>
          <w:shd w:val="clear" w:color="auto" w:fill="FFFFFF"/>
        </w:rPr>
        <w:t>с.</w:t>
      </w:r>
    </w:p>
    <w:p w:rsidR="00534FB5" w:rsidRPr="008439CA" w:rsidRDefault="00534FB5" w:rsidP="008439CA">
      <w:pPr>
        <w:pStyle w:val="af8"/>
        <w:numPr>
          <w:ilvl w:val="0"/>
          <w:numId w:val="7"/>
        </w:numPr>
        <w:spacing w:after="0" w:line="360" w:lineRule="auto"/>
        <w:ind w:left="-142" w:firstLine="0"/>
        <w:jc w:val="both"/>
        <w:rPr>
          <w:rStyle w:val="apple-style-span"/>
          <w:rFonts w:ascii="Times New Roman" w:hAnsi="Times New Roman"/>
          <w:sz w:val="28"/>
          <w:szCs w:val="28"/>
        </w:rPr>
      </w:pPr>
      <w:r w:rsidRPr="008439CA">
        <w:rPr>
          <w:rFonts w:ascii="Times New Roman" w:hAnsi="Times New Roman"/>
          <w:sz w:val="28"/>
          <w:szCs w:val="28"/>
          <w:lang w:val="ru-RU"/>
        </w:rPr>
        <w:t>Лангмейер Й. Психическая депривация в детском возрасте / Й. Лангмейер, З. Матейчек. – Прага : Авиценум, 1984 – 335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Style w:val="apple-style-span"/>
          <w:rFonts w:ascii="Times New Roman" w:hAnsi="Times New Roman"/>
          <w:sz w:val="28"/>
          <w:szCs w:val="28"/>
        </w:rPr>
        <w:t>Левицкий А. П. Биологические функции β-каротина и применение каротиновых препаратов в стоматологии / А. П. Левицкий // </w:t>
      </w:r>
      <w:r w:rsidRPr="008439CA">
        <w:rPr>
          <w:rFonts w:ascii="Times New Roman" w:hAnsi="Times New Roman"/>
          <w:sz w:val="28"/>
          <w:szCs w:val="28"/>
        </w:rPr>
        <w:t>Вісник стоматології. – 1996. – № 2. – С. 170−178.</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Левицкий А. П. Биотрит – новый пищевой адаптоген из проростков пшениц</w:t>
      </w:r>
      <w:r w:rsidRPr="008439CA">
        <w:rPr>
          <w:rFonts w:ascii="Times New Roman" w:hAnsi="Times New Roman"/>
          <w:sz w:val="28"/>
          <w:szCs w:val="28"/>
          <w:lang w:val="ru-RU"/>
        </w:rPr>
        <w:t>ы</w:t>
      </w:r>
      <w:r w:rsidRPr="008439CA">
        <w:rPr>
          <w:rFonts w:ascii="Times New Roman" w:hAnsi="Times New Roman"/>
          <w:sz w:val="28"/>
          <w:szCs w:val="28"/>
        </w:rPr>
        <w:t xml:space="preserve">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Левицкий, В.</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Соловьева, О.</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Макаренко //</w:t>
      </w:r>
      <w:r w:rsidRPr="008439CA">
        <w:rPr>
          <w:rFonts w:ascii="Times New Roman" w:hAnsi="Times New Roman"/>
          <w:sz w:val="28"/>
          <w:szCs w:val="28"/>
          <w:lang w:val="ru-RU"/>
        </w:rPr>
        <w:t> </w:t>
      </w:r>
      <w:r w:rsidRPr="008439CA">
        <w:rPr>
          <w:rFonts w:ascii="Times New Roman" w:hAnsi="Times New Roman"/>
          <w:sz w:val="28"/>
          <w:szCs w:val="28"/>
        </w:rPr>
        <w:t>Международ</w:t>
      </w:r>
      <w:r w:rsidRPr="008439CA">
        <w:rPr>
          <w:rFonts w:ascii="Times New Roman" w:hAnsi="Times New Roman"/>
          <w:sz w:val="28"/>
          <w:szCs w:val="28"/>
          <w:lang w:val="ru-RU"/>
        </w:rPr>
        <w:t>ная</w:t>
      </w:r>
      <w:r w:rsidRPr="008439CA">
        <w:rPr>
          <w:rFonts w:ascii="Times New Roman" w:hAnsi="Times New Roman"/>
          <w:sz w:val="28"/>
          <w:szCs w:val="28"/>
        </w:rPr>
        <w:t xml:space="preserve"> научн</w:t>
      </w:r>
      <w:r w:rsidRPr="008439CA">
        <w:rPr>
          <w:rFonts w:ascii="Times New Roman" w:hAnsi="Times New Roman"/>
          <w:sz w:val="28"/>
          <w:szCs w:val="28"/>
          <w:lang w:val="ru-RU"/>
        </w:rPr>
        <w:t>о-</w:t>
      </w:r>
      <w:r w:rsidRPr="008439CA">
        <w:rPr>
          <w:rFonts w:ascii="Times New Roman" w:hAnsi="Times New Roman"/>
          <w:sz w:val="28"/>
          <w:szCs w:val="28"/>
        </w:rPr>
        <w:t>техн</w:t>
      </w:r>
      <w:r w:rsidRPr="008439CA">
        <w:rPr>
          <w:rFonts w:ascii="Times New Roman" w:hAnsi="Times New Roman"/>
          <w:sz w:val="28"/>
          <w:szCs w:val="28"/>
          <w:lang w:val="ru-RU"/>
        </w:rPr>
        <w:t>ическая</w:t>
      </w:r>
      <w:r w:rsidRPr="008439CA">
        <w:rPr>
          <w:rFonts w:ascii="Times New Roman" w:hAnsi="Times New Roman"/>
          <w:sz w:val="28"/>
          <w:szCs w:val="28"/>
        </w:rPr>
        <w:t xml:space="preserve"> конф</w:t>
      </w:r>
      <w:r w:rsidRPr="008439CA">
        <w:rPr>
          <w:rFonts w:ascii="Times New Roman" w:hAnsi="Times New Roman"/>
          <w:sz w:val="28"/>
          <w:szCs w:val="28"/>
          <w:lang w:val="ru-RU"/>
        </w:rPr>
        <w:t>еренция</w:t>
      </w:r>
      <w:r w:rsidRPr="008439CA">
        <w:rPr>
          <w:rFonts w:ascii="Times New Roman" w:hAnsi="Times New Roman"/>
          <w:sz w:val="28"/>
          <w:szCs w:val="28"/>
        </w:rPr>
        <w:t xml:space="preserve"> «Пища. Экология. Человек». – Москва, 1995. – С. 118.</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Левицкий</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 xml:space="preserve">П. </w:t>
      </w:r>
      <w:r w:rsidRPr="008439CA">
        <w:rPr>
          <w:rStyle w:val="apple-style-span"/>
          <w:rFonts w:ascii="Times New Roman" w:hAnsi="Times New Roman"/>
          <w:sz w:val="28"/>
          <w:szCs w:val="28"/>
        </w:rPr>
        <w:t>Биофлавоноиды как регуляторы метаболизма /</w:t>
      </w:r>
      <w:r w:rsidRPr="008439CA">
        <w:rPr>
          <w:rStyle w:val="apple-style-span"/>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Левицкий</w:t>
      </w:r>
      <w:r w:rsidRPr="008439CA">
        <w:rPr>
          <w:rFonts w:ascii="Times New Roman" w:hAnsi="Times New Roman"/>
          <w:sz w:val="28"/>
          <w:szCs w:val="28"/>
          <w:lang w:val="ru-RU"/>
        </w:rPr>
        <w:t>,</w:t>
      </w:r>
      <w:r w:rsidRPr="008439CA">
        <w:rPr>
          <w:rStyle w:val="apple-style-span"/>
          <w:rFonts w:ascii="Times New Roman" w:hAnsi="Times New Roman"/>
          <w:sz w:val="28"/>
          <w:szCs w:val="28"/>
        </w:rPr>
        <w:t xml:space="preserve"> О.</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Н.</w:t>
      </w:r>
      <w:r w:rsidRPr="008439CA">
        <w:rPr>
          <w:rStyle w:val="apple-style-span"/>
          <w:rFonts w:ascii="Times New Roman" w:hAnsi="Times New Roman"/>
          <w:sz w:val="28"/>
          <w:szCs w:val="28"/>
          <w:lang w:val="ru-RU"/>
        </w:rPr>
        <w:t> </w:t>
      </w:r>
      <w:r w:rsidRPr="008439CA">
        <w:rPr>
          <w:rStyle w:val="apple-style-span"/>
          <w:rFonts w:ascii="Times New Roman" w:hAnsi="Times New Roman"/>
          <w:sz w:val="28"/>
          <w:szCs w:val="28"/>
        </w:rPr>
        <w:t>Воскресенский //</w:t>
      </w:r>
      <w:r w:rsidRPr="008439CA">
        <w:rPr>
          <w:rStyle w:val="apple-style-span"/>
          <w:rFonts w:ascii="Times New Roman" w:hAnsi="Times New Roman"/>
          <w:i/>
          <w:sz w:val="28"/>
          <w:szCs w:val="28"/>
          <w:lang w:val="ru-RU"/>
        </w:rPr>
        <w:t> </w:t>
      </w:r>
      <w:r w:rsidRPr="008439CA">
        <w:rPr>
          <w:rFonts w:ascii="Times New Roman" w:hAnsi="Times New Roman"/>
          <w:sz w:val="28"/>
          <w:szCs w:val="28"/>
        </w:rPr>
        <w:t>Растительные адаптогены : сборник научных трудов Одесского отделения УБО / Украинское биохимическое общество ; ред.: А. П. Левицкий, О. Н. Воскресенский. – Одесса : Астропринт, 2000. − С.</w:t>
      </w:r>
      <w:r w:rsidRPr="008439CA">
        <w:rPr>
          <w:rFonts w:ascii="Times New Roman" w:hAnsi="Times New Roman"/>
          <w:sz w:val="28"/>
          <w:szCs w:val="28"/>
          <w:lang w:val="ru-RU"/>
        </w:rPr>
        <w:t> </w:t>
      </w:r>
      <w:r w:rsidRPr="008439CA">
        <w:rPr>
          <w:rFonts w:ascii="Times New Roman" w:hAnsi="Times New Roman"/>
          <w:sz w:val="28"/>
          <w:szCs w:val="28"/>
        </w:rPr>
        <w:t>5−7.</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Левицкий</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 Кризис антимикробной терапии и профилактики в стоматологии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Левицкий //</w:t>
      </w:r>
      <w:r w:rsidRPr="008439CA">
        <w:rPr>
          <w:rFonts w:ascii="Times New Roman" w:hAnsi="Times New Roman"/>
          <w:sz w:val="28"/>
          <w:szCs w:val="28"/>
          <w:lang w:val="ru-RU"/>
        </w:rPr>
        <w:t> </w:t>
      </w:r>
      <w:r w:rsidRPr="008439CA">
        <w:rPr>
          <w:rFonts w:ascii="Times New Roman" w:hAnsi="Times New Roman"/>
          <w:sz w:val="28"/>
          <w:szCs w:val="28"/>
        </w:rPr>
        <w:t>Вісник стоматології. – 2005. – №</w:t>
      </w:r>
      <w:r w:rsidRPr="008439CA">
        <w:rPr>
          <w:rFonts w:ascii="Times New Roman" w:hAnsi="Times New Roman"/>
          <w:sz w:val="28"/>
          <w:szCs w:val="28"/>
          <w:lang w:val="ru-RU"/>
        </w:rPr>
        <w:t> </w:t>
      </w:r>
      <w:r w:rsidRPr="008439CA">
        <w:rPr>
          <w:rFonts w:ascii="Times New Roman" w:hAnsi="Times New Roman"/>
          <w:sz w:val="28"/>
          <w:szCs w:val="28"/>
        </w:rPr>
        <w:t>3.</w:t>
      </w:r>
      <w:r w:rsidRPr="008439CA">
        <w:rPr>
          <w:rFonts w:ascii="Times New Roman" w:hAnsi="Times New Roman"/>
          <w:sz w:val="28"/>
          <w:szCs w:val="28"/>
          <w:lang w:val="ru-RU"/>
        </w:rPr>
        <w:t> </w:t>
      </w:r>
      <w:r w:rsidRPr="008439CA">
        <w:rPr>
          <w:rFonts w:ascii="Times New Roman" w:hAnsi="Times New Roman"/>
          <w:sz w:val="28"/>
          <w:szCs w:val="28"/>
        </w:rPr>
        <w:t>– С.</w:t>
      </w:r>
      <w:r w:rsidRPr="008439CA">
        <w:rPr>
          <w:rFonts w:ascii="Times New Roman" w:hAnsi="Times New Roman"/>
          <w:sz w:val="28"/>
          <w:szCs w:val="28"/>
          <w:lang w:val="ru-RU"/>
        </w:rPr>
        <w:t> </w:t>
      </w:r>
      <w:r w:rsidRPr="008439CA">
        <w:rPr>
          <w:rFonts w:ascii="Times New Roman" w:hAnsi="Times New Roman"/>
          <w:sz w:val="28"/>
          <w:szCs w:val="28"/>
        </w:rPr>
        <w:t>66−69.</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shd w:val="clear" w:color="auto" w:fill="FFFFFF"/>
          <w:lang w:val="ru-RU"/>
        </w:rPr>
        <w:t>Левицкий А. П. Лизоцим вместо антибиотиков / А. П. Левицкий. – Одесса : КП ОГТ. – 2005. – 74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ru-RU"/>
        </w:rPr>
        <w:t>Левицкий А. П. Саливация у здоровых лиц разного возраста и у стоматологических больных / А. П. Левицкий, О. А. Макаренко, Л. Н. Россаханова // Вісник стоматології. – 2005. − № 2. – С. 7−8.</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lastRenderedPageBreak/>
        <w:t>Левицкий</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 Фитоэстрогены</w:t>
      </w:r>
      <w:r w:rsidRPr="008439CA">
        <w:rPr>
          <w:rFonts w:ascii="Times New Roman" w:hAnsi="Times New Roman"/>
          <w:sz w:val="28"/>
          <w:szCs w:val="28"/>
          <w:lang w:val="ru-RU"/>
        </w:rPr>
        <w:t>:</w:t>
      </w:r>
      <w:r w:rsidRPr="008439CA">
        <w:rPr>
          <w:rFonts w:ascii="Times New Roman" w:hAnsi="Times New Roman"/>
          <w:sz w:val="28"/>
          <w:szCs w:val="28"/>
        </w:rPr>
        <w:t xml:space="preserve"> (биохимия, фармакология, применение в медицине)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Левицкий, О.</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Макаренко, О.</w:t>
      </w:r>
      <w:r w:rsidRPr="008439CA">
        <w:rPr>
          <w:rFonts w:ascii="Times New Roman" w:hAnsi="Times New Roman"/>
          <w:sz w:val="28"/>
          <w:szCs w:val="28"/>
          <w:lang w:val="ru-RU"/>
        </w:rPr>
        <w:t> </w:t>
      </w:r>
      <w:r w:rsidRPr="008439CA">
        <w:rPr>
          <w:rFonts w:ascii="Times New Roman" w:hAnsi="Times New Roman"/>
          <w:sz w:val="28"/>
          <w:szCs w:val="28"/>
        </w:rPr>
        <w:t>И.</w:t>
      </w:r>
      <w:r w:rsidRPr="008439CA">
        <w:rPr>
          <w:rFonts w:ascii="Times New Roman" w:hAnsi="Times New Roman"/>
          <w:sz w:val="28"/>
          <w:szCs w:val="28"/>
          <w:lang w:val="ru-RU"/>
        </w:rPr>
        <w:t> </w:t>
      </w:r>
      <w:r w:rsidRPr="008439CA">
        <w:rPr>
          <w:rFonts w:ascii="Times New Roman" w:hAnsi="Times New Roman"/>
          <w:sz w:val="28"/>
          <w:szCs w:val="28"/>
        </w:rPr>
        <w:t>Сукманский.</w:t>
      </w:r>
      <w:r w:rsidRPr="008439CA">
        <w:rPr>
          <w:rFonts w:ascii="Times New Roman" w:hAnsi="Times New Roman"/>
          <w:sz w:val="28"/>
          <w:szCs w:val="28"/>
          <w:lang w:val="ru-RU"/>
        </w:rPr>
        <w:t> </w:t>
      </w:r>
      <w:r w:rsidRPr="008439CA">
        <w:rPr>
          <w:rFonts w:ascii="Times New Roman" w:hAnsi="Times New Roman"/>
          <w:sz w:val="28"/>
          <w:szCs w:val="28"/>
        </w:rPr>
        <w:t>– Одесса, 2002. – 95</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bCs/>
          <w:color w:val="000000"/>
          <w:sz w:val="28"/>
          <w:szCs w:val="28"/>
        </w:rPr>
        <w:t>Леонтьев</w:t>
      </w:r>
      <w:r w:rsidRPr="008439CA">
        <w:rPr>
          <w:rFonts w:ascii="Times New Roman" w:hAnsi="Times New Roman"/>
          <w:bCs/>
          <w:color w:val="000000"/>
          <w:sz w:val="28"/>
          <w:szCs w:val="28"/>
          <w:lang w:val="ru-RU"/>
        </w:rPr>
        <w:t> </w:t>
      </w:r>
      <w:r w:rsidRPr="008439CA">
        <w:rPr>
          <w:rFonts w:ascii="Times New Roman" w:hAnsi="Times New Roman"/>
          <w:bCs/>
          <w:color w:val="000000"/>
          <w:sz w:val="28"/>
          <w:szCs w:val="28"/>
        </w:rPr>
        <w:t>В.</w:t>
      </w:r>
      <w:r w:rsidRPr="008439CA">
        <w:rPr>
          <w:rFonts w:ascii="Times New Roman" w:hAnsi="Times New Roman"/>
          <w:bCs/>
          <w:color w:val="000000"/>
          <w:sz w:val="28"/>
          <w:szCs w:val="28"/>
          <w:lang w:val="ru-RU"/>
        </w:rPr>
        <w:t> </w:t>
      </w:r>
      <w:r w:rsidRPr="008439CA">
        <w:rPr>
          <w:rFonts w:ascii="Times New Roman" w:hAnsi="Times New Roman"/>
          <w:bCs/>
          <w:color w:val="000000"/>
          <w:sz w:val="28"/>
          <w:szCs w:val="28"/>
        </w:rPr>
        <w:t xml:space="preserve">К. </w:t>
      </w:r>
      <w:r w:rsidRPr="008439CA">
        <w:rPr>
          <w:rFonts w:ascii="Times New Roman" w:hAnsi="Times New Roman"/>
          <w:color w:val="000000"/>
          <w:sz w:val="28"/>
          <w:szCs w:val="28"/>
        </w:rPr>
        <w:t>Биохимические методы исследования в</w:t>
      </w:r>
      <w:r w:rsidRPr="008439CA">
        <w:rPr>
          <w:rFonts w:ascii="Times New Roman" w:hAnsi="Times New Roman"/>
          <w:bCs/>
          <w:color w:val="000000"/>
          <w:sz w:val="28"/>
          <w:szCs w:val="28"/>
        </w:rPr>
        <w:t xml:space="preserve"> </w:t>
      </w:r>
      <w:r w:rsidRPr="008439CA">
        <w:rPr>
          <w:rFonts w:ascii="Times New Roman" w:hAnsi="Times New Roman"/>
          <w:color w:val="000000"/>
          <w:sz w:val="28"/>
          <w:szCs w:val="28"/>
        </w:rPr>
        <w:t>клинической и экспериментальной стоматологии : метод</w:t>
      </w:r>
      <w:r w:rsidRPr="008439CA">
        <w:rPr>
          <w:rFonts w:ascii="Times New Roman" w:hAnsi="Times New Roman"/>
          <w:color w:val="000000"/>
          <w:sz w:val="28"/>
          <w:szCs w:val="28"/>
          <w:lang w:val="ru-RU"/>
        </w:rPr>
        <w:t>ическое</w:t>
      </w:r>
      <w:r w:rsidRPr="008439CA">
        <w:rPr>
          <w:rFonts w:ascii="Times New Roman" w:hAnsi="Times New Roman"/>
          <w:color w:val="000000"/>
          <w:sz w:val="28"/>
          <w:szCs w:val="28"/>
        </w:rPr>
        <w:t xml:space="preserve"> пособие /</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В.</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К.</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Леонтьев, Ю.</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А.</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Петрович. − Омск, 1976. – 93</w:t>
      </w:r>
      <w:r w:rsidRPr="008439CA">
        <w:rPr>
          <w:rFonts w:ascii="Times New Roman" w:hAnsi="Times New Roman"/>
          <w:color w:val="000000"/>
          <w:sz w:val="28"/>
          <w:szCs w:val="28"/>
          <w:lang w:val="ru-RU"/>
        </w:rPr>
        <w:t> </w:t>
      </w:r>
      <w:r w:rsidRPr="008439CA">
        <w:rPr>
          <w:rFonts w:ascii="Times New Roman" w:hAnsi="Times New Roman"/>
          <w:color w:val="000000"/>
          <w:sz w:val="28"/>
          <w:szCs w:val="28"/>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ru-RU"/>
        </w:rPr>
        <w:t>Леонтьев В. К. Биохимические методы исследования в клинической и экспериментальной стоматологии / В. К. Леонтьев, Ю. А. Петрович. – Омск : Омская правда, 1976. − 89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Леонтьев В. К. Изучение слюны в стоматологии / В. К. Леонтьев, В. Г. Сунцов. – Омск, 1974. – 14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Леонтьев В. К. Кариес и процессы минерализации: (Разработка методических подходов, молекулярные механизмы, патогенетическое обоснование принципов профилактики и лечения) : автореф. дис. … д-ра мед. наук : 14.01.22 / Леонтьев Валерий Константинович ; Московский медицинский стоматологический институт им. Н. А. Семашко. − Москва, 1978. – 45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Лисина</w:t>
      </w:r>
      <w:r w:rsidRPr="008439CA">
        <w:rPr>
          <w:rFonts w:ascii="Times New Roman" w:hAnsi="Times New Roman"/>
          <w:sz w:val="28"/>
          <w:szCs w:val="28"/>
          <w:lang w:val="ru-RU"/>
        </w:rPr>
        <w:t> </w:t>
      </w:r>
      <w:r w:rsidRPr="008439CA">
        <w:rPr>
          <w:rFonts w:ascii="Times New Roman" w:hAnsi="Times New Roman"/>
          <w:sz w:val="28"/>
          <w:szCs w:val="28"/>
        </w:rPr>
        <w:t>М.</w:t>
      </w:r>
      <w:r w:rsidRPr="008439CA">
        <w:rPr>
          <w:rFonts w:ascii="Times New Roman" w:hAnsi="Times New Roman"/>
          <w:sz w:val="28"/>
          <w:szCs w:val="28"/>
          <w:lang w:val="ru-RU"/>
        </w:rPr>
        <w:t> </w:t>
      </w:r>
      <w:r w:rsidRPr="008439CA">
        <w:rPr>
          <w:rFonts w:ascii="Times New Roman" w:hAnsi="Times New Roman"/>
          <w:sz w:val="28"/>
          <w:szCs w:val="28"/>
        </w:rPr>
        <w:t>И. Проблемы онтогенеза общения /</w:t>
      </w:r>
      <w:r w:rsidRPr="008439CA">
        <w:rPr>
          <w:rFonts w:ascii="Times New Roman" w:hAnsi="Times New Roman"/>
          <w:sz w:val="28"/>
          <w:szCs w:val="28"/>
          <w:lang w:val="ru-RU"/>
        </w:rPr>
        <w:t> </w:t>
      </w:r>
      <w:r w:rsidRPr="008439CA">
        <w:rPr>
          <w:rFonts w:ascii="Times New Roman" w:hAnsi="Times New Roman"/>
          <w:sz w:val="28"/>
          <w:szCs w:val="28"/>
        </w:rPr>
        <w:t>М.</w:t>
      </w:r>
      <w:r w:rsidRPr="008439CA">
        <w:rPr>
          <w:rFonts w:ascii="Times New Roman" w:hAnsi="Times New Roman"/>
          <w:sz w:val="28"/>
          <w:szCs w:val="28"/>
          <w:lang w:val="ru-RU"/>
        </w:rPr>
        <w:t> </w:t>
      </w:r>
      <w:r w:rsidRPr="008439CA">
        <w:rPr>
          <w:rFonts w:ascii="Times New Roman" w:hAnsi="Times New Roman"/>
          <w:sz w:val="28"/>
          <w:szCs w:val="28"/>
        </w:rPr>
        <w:t>И.</w:t>
      </w:r>
      <w:r w:rsidRPr="008439CA">
        <w:rPr>
          <w:rFonts w:ascii="Times New Roman" w:hAnsi="Times New Roman"/>
          <w:sz w:val="28"/>
          <w:szCs w:val="28"/>
          <w:lang w:val="ru-RU"/>
        </w:rPr>
        <w:t> </w:t>
      </w:r>
      <w:r w:rsidRPr="008439CA">
        <w:rPr>
          <w:rFonts w:ascii="Times New Roman" w:hAnsi="Times New Roman"/>
          <w:sz w:val="28"/>
          <w:szCs w:val="28"/>
        </w:rPr>
        <w:t>Лисина. – М</w:t>
      </w:r>
      <w:r w:rsidRPr="008439CA">
        <w:rPr>
          <w:rFonts w:ascii="Times New Roman" w:hAnsi="Times New Roman"/>
          <w:sz w:val="28"/>
          <w:szCs w:val="28"/>
          <w:lang w:val="ru-RU"/>
        </w:rPr>
        <w:t>осква</w:t>
      </w:r>
      <w:r w:rsidRPr="008439CA">
        <w:rPr>
          <w:rFonts w:ascii="Times New Roman" w:hAnsi="Times New Roman"/>
          <w:sz w:val="28"/>
          <w:szCs w:val="28"/>
        </w:rPr>
        <w:t> : Педагогика, 1986. – 144</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Лишенные родительского попечительства : хрестоматия /</w:t>
      </w:r>
      <w:r w:rsidRPr="008439CA">
        <w:rPr>
          <w:rFonts w:ascii="Times New Roman" w:hAnsi="Times New Roman"/>
          <w:sz w:val="28"/>
          <w:szCs w:val="28"/>
          <w:lang w:val="ru-RU"/>
        </w:rPr>
        <w:t> [</w:t>
      </w:r>
      <w:r w:rsidRPr="008439CA">
        <w:rPr>
          <w:rFonts w:ascii="Times New Roman" w:hAnsi="Times New Roman"/>
          <w:sz w:val="28"/>
          <w:szCs w:val="28"/>
        </w:rPr>
        <w:t>сост. В.</w:t>
      </w:r>
      <w:r w:rsidRPr="008439CA">
        <w:rPr>
          <w:rFonts w:ascii="Times New Roman" w:hAnsi="Times New Roman"/>
          <w:sz w:val="28"/>
          <w:szCs w:val="28"/>
          <w:lang w:val="ru-RU"/>
        </w:rPr>
        <w:t> </w:t>
      </w:r>
      <w:r w:rsidRPr="008439CA">
        <w:rPr>
          <w:rFonts w:ascii="Times New Roman" w:hAnsi="Times New Roman"/>
          <w:sz w:val="28"/>
          <w:szCs w:val="28"/>
        </w:rPr>
        <w:t>С.</w:t>
      </w:r>
      <w:r w:rsidRPr="008439CA">
        <w:rPr>
          <w:rFonts w:ascii="Times New Roman" w:hAnsi="Times New Roman"/>
          <w:sz w:val="28"/>
          <w:szCs w:val="28"/>
          <w:lang w:val="ru-RU"/>
        </w:rPr>
        <w:t> </w:t>
      </w:r>
      <w:r w:rsidRPr="008439CA">
        <w:rPr>
          <w:rFonts w:ascii="Times New Roman" w:hAnsi="Times New Roman"/>
          <w:sz w:val="28"/>
          <w:szCs w:val="28"/>
        </w:rPr>
        <w:t>Мухина]. – М</w:t>
      </w:r>
      <w:r w:rsidRPr="008439CA">
        <w:rPr>
          <w:rFonts w:ascii="Times New Roman" w:hAnsi="Times New Roman"/>
          <w:sz w:val="28"/>
          <w:szCs w:val="28"/>
          <w:lang w:val="ru-RU"/>
        </w:rPr>
        <w:t>осква</w:t>
      </w:r>
      <w:r w:rsidRPr="008439CA">
        <w:rPr>
          <w:rFonts w:ascii="Times New Roman" w:hAnsi="Times New Roman"/>
          <w:sz w:val="28"/>
          <w:szCs w:val="28"/>
        </w:rPr>
        <w:t xml:space="preserve"> : Просвещение, 1991. – 223</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4A2112" w:rsidRDefault="00534FB5" w:rsidP="008439CA">
      <w:pPr>
        <w:pStyle w:val="af8"/>
        <w:numPr>
          <w:ilvl w:val="0"/>
          <w:numId w:val="7"/>
        </w:numPr>
        <w:spacing w:after="0" w:line="360" w:lineRule="auto"/>
        <w:ind w:left="-142" w:firstLine="0"/>
        <w:jc w:val="both"/>
        <w:rPr>
          <w:rFonts w:ascii="Times New Roman" w:hAnsi="Times New Roman"/>
          <w:spacing w:val="-4"/>
          <w:sz w:val="28"/>
          <w:szCs w:val="28"/>
        </w:rPr>
      </w:pPr>
      <w:r w:rsidRPr="004A2112">
        <w:rPr>
          <w:rFonts w:ascii="Times New Roman" w:hAnsi="Times New Roman"/>
          <w:spacing w:val="-4"/>
          <w:sz w:val="28"/>
          <w:szCs w:val="28"/>
        </w:rPr>
        <w:t>Мащенко И. С. Дисбиоз полости рта у больных генерализованным пародонтитом с нестойкими результатами комплексной терапии / И. С. Мащенко, К. В. Скидан // Вісник стоматології. – 2006. – № 3. – С. 37–40.</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color w:val="000000"/>
          <w:sz w:val="28"/>
          <w:szCs w:val="28"/>
          <w:lang w:val="ru-RU"/>
        </w:rPr>
        <w:t>Медицинская лабораторная диагностика : программы и алгоритмы : руководство для врачей / под ред. А. И. Карпищенко. − 3-е изд., перераб. и доп. − Москва : ГЭОТАР-Медиа, 2014. − 696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eastAsia="Times New Roman" w:hAnsi="Times New Roman"/>
          <w:sz w:val="28"/>
          <w:szCs w:val="28"/>
          <w:lang w:eastAsia="uk-UA"/>
        </w:rPr>
      </w:pPr>
      <w:r w:rsidRPr="008439CA">
        <w:rPr>
          <w:rFonts w:ascii="Times New Roman" w:eastAsia="Times New Roman" w:hAnsi="Times New Roman"/>
          <w:sz w:val="28"/>
          <w:szCs w:val="28"/>
          <w:lang w:eastAsia="uk-UA"/>
        </w:rPr>
        <w:t>Методики эпидемиологического исследования нарушений слуха</w:t>
      </w:r>
      <w:r w:rsidRPr="008439CA">
        <w:rPr>
          <w:rFonts w:ascii="Times New Roman" w:eastAsia="Times New Roman" w:hAnsi="Times New Roman"/>
          <w:sz w:val="28"/>
          <w:szCs w:val="28"/>
          <w:lang w:val="ru-RU" w:eastAsia="uk-UA"/>
        </w:rPr>
        <w:t> </w:t>
      </w:r>
      <w:r w:rsidRPr="008439CA">
        <w:rPr>
          <w:rFonts w:ascii="Times New Roman" w:eastAsia="Times New Roman" w:hAnsi="Times New Roman"/>
          <w:sz w:val="28"/>
          <w:szCs w:val="28"/>
          <w:lang w:eastAsia="uk-UA"/>
        </w:rPr>
        <w:t xml:space="preserve">: </w:t>
      </w:r>
      <w:r w:rsidRPr="008439CA">
        <w:rPr>
          <w:rFonts w:ascii="Times New Roman" w:eastAsia="Times New Roman" w:hAnsi="Times New Roman"/>
          <w:sz w:val="28"/>
          <w:szCs w:val="28"/>
          <w:lang w:val="ru-RU" w:eastAsia="uk-UA"/>
        </w:rPr>
        <w:t>м</w:t>
      </w:r>
      <w:r w:rsidRPr="008439CA">
        <w:rPr>
          <w:rFonts w:ascii="Times New Roman" w:eastAsia="Times New Roman" w:hAnsi="Times New Roman"/>
          <w:sz w:val="28"/>
          <w:szCs w:val="28"/>
          <w:lang w:eastAsia="uk-UA"/>
        </w:rPr>
        <w:t>етод</w:t>
      </w:r>
      <w:r w:rsidRPr="008439CA">
        <w:rPr>
          <w:rFonts w:ascii="Times New Roman" w:eastAsia="Times New Roman" w:hAnsi="Times New Roman"/>
          <w:sz w:val="28"/>
          <w:szCs w:val="28"/>
          <w:lang w:val="ru-RU" w:eastAsia="uk-UA"/>
        </w:rPr>
        <w:t>ические</w:t>
      </w:r>
      <w:r w:rsidRPr="008439CA">
        <w:rPr>
          <w:rFonts w:ascii="Times New Roman" w:eastAsia="Times New Roman" w:hAnsi="Times New Roman"/>
          <w:sz w:val="28"/>
          <w:szCs w:val="28"/>
          <w:lang w:eastAsia="uk-UA"/>
        </w:rPr>
        <w:t xml:space="preserve"> рекомендации</w:t>
      </w:r>
      <w:r w:rsidRPr="008439CA">
        <w:rPr>
          <w:rFonts w:ascii="Times New Roman" w:eastAsia="Times New Roman" w:hAnsi="Times New Roman"/>
          <w:i/>
          <w:sz w:val="28"/>
          <w:szCs w:val="28"/>
          <w:lang w:val="ru-RU" w:eastAsia="uk-UA"/>
        </w:rPr>
        <w:t xml:space="preserve"> /</w:t>
      </w:r>
      <w:r w:rsidRPr="008439CA">
        <w:rPr>
          <w:rFonts w:ascii="Times New Roman" w:eastAsia="Times New Roman" w:hAnsi="Times New Roman"/>
          <w:i/>
          <w:sz w:val="28"/>
          <w:szCs w:val="28"/>
          <w:lang w:val="en-US" w:eastAsia="uk-UA"/>
        </w:rPr>
        <w:t> </w:t>
      </w:r>
      <w:r w:rsidRPr="008439CA">
        <w:rPr>
          <w:rStyle w:val="a9"/>
          <w:rFonts w:ascii="Times New Roman" w:hAnsi="Times New Roman"/>
          <w:i w:val="0"/>
          <w:sz w:val="28"/>
          <w:szCs w:val="28"/>
        </w:rPr>
        <w:t>Г.</w:t>
      </w:r>
      <w:r w:rsidRPr="008439CA">
        <w:rPr>
          <w:rStyle w:val="a9"/>
          <w:rFonts w:ascii="Times New Roman" w:hAnsi="Times New Roman"/>
          <w:i w:val="0"/>
          <w:sz w:val="28"/>
          <w:szCs w:val="28"/>
          <w:lang w:val="en-US"/>
        </w:rPr>
        <w:t> </w:t>
      </w:r>
      <w:r w:rsidRPr="008439CA">
        <w:rPr>
          <w:rStyle w:val="a9"/>
          <w:rFonts w:ascii="Times New Roman" w:hAnsi="Times New Roman"/>
          <w:i w:val="0"/>
          <w:sz w:val="28"/>
          <w:szCs w:val="28"/>
        </w:rPr>
        <w:t>А.</w:t>
      </w:r>
      <w:r w:rsidRPr="008439CA">
        <w:rPr>
          <w:rStyle w:val="a9"/>
          <w:rFonts w:ascii="Times New Roman" w:hAnsi="Times New Roman"/>
          <w:i w:val="0"/>
          <w:sz w:val="28"/>
          <w:szCs w:val="28"/>
          <w:lang w:val="ru-RU"/>
        </w:rPr>
        <w:t> </w:t>
      </w:r>
      <w:r w:rsidRPr="008439CA">
        <w:rPr>
          <w:rStyle w:val="a9"/>
          <w:rFonts w:ascii="Times New Roman" w:hAnsi="Times New Roman"/>
          <w:i w:val="0"/>
          <w:sz w:val="28"/>
          <w:szCs w:val="28"/>
        </w:rPr>
        <w:t>Таварткиладзе, М.</w:t>
      </w:r>
      <w:r w:rsidRPr="008439CA">
        <w:rPr>
          <w:rStyle w:val="a9"/>
          <w:rFonts w:ascii="Times New Roman" w:hAnsi="Times New Roman"/>
          <w:i w:val="0"/>
          <w:sz w:val="28"/>
          <w:szCs w:val="28"/>
          <w:lang w:val="ru-RU"/>
        </w:rPr>
        <w:t> </w:t>
      </w:r>
      <w:r w:rsidRPr="008439CA">
        <w:rPr>
          <w:rStyle w:val="a9"/>
          <w:rFonts w:ascii="Times New Roman" w:hAnsi="Times New Roman"/>
          <w:i w:val="0"/>
          <w:sz w:val="28"/>
          <w:szCs w:val="28"/>
        </w:rPr>
        <w:t>Е.</w:t>
      </w:r>
      <w:r w:rsidRPr="008439CA">
        <w:rPr>
          <w:rStyle w:val="a9"/>
          <w:rFonts w:ascii="Times New Roman" w:hAnsi="Times New Roman"/>
          <w:i w:val="0"/>
          <w:sz w:val="28"/>
          <w:szCs w:val="28"/>
          <w:lang w:val="ru-RU"/>
        </w:rPr>
        <w:t> </w:t>
      </w:r>
      <w:r w:rsidRPr="008439CA">
        <w:rPr>
          <w:rStyle w:val="a9"/>
          <w:rFonts w:ascii="Times New Roman" w:hAnsi="Times New Roman"/>
          <w:i w:val="0"/>
          <w:sz w:val="28"/>
          <w:szCs w:val="28"/>
        </w:rPr>
        <w:t xml:space="preserve">Загорянская, </w:t>
      </w:r>
      <w:r w:rsidRPr="008439CA">
        <w:rPr>
          <w:rStyle w:val="a9"/>
          <w:rFonts w:ascii="Times New Roman" w:hAnsi="Times New Roman"/>
          <w:i w:val="0"/>
          <w:sz w:val="28"/>
          <w:szCs w:val="28"/>
        </w:rPr>
        <w:lastRenderedPageBreak/>
        <w:t>М</w:t>
      </w:r>
      <w:r w:rsidRPr="008439CA">
        <w:rPr>
          <w:rFonts w:ascii="Times New Roman" w:eastAsia="Times New Roman" w:hAnsi="Times New Roman"/>
          <w:sz w:val="28"/>
          <w:szCs w:val="28"/>
          <w:lang w:eastAsia="uk-UA"/>
        </w:rPr>
        <w:t>. Г. Румянцева [и др.]. − Перераб. и доп. − Москва, 2006. – 23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Микадзе</w:t>
      </w:r>
      <w:r w:rsidRPr="008439CA">
        <w:rPr>
          <w:rFonts w:ascii="Times New Roman" w:hAnsi="Times New Roman"/>
          <w:sz w:val="28"/>
          <w:szCs w:val="28"/>
          <w:lang w:val="ru-RU"/>
        </w:rPr>
        <w:t> </w:t>
      </w:r>
      <w:r w:rsidRPr="008439CA">
        <w:rPr>
          <w:rFonts w:ascii="Times New Roman" w:hAnsi="Times New Roman"/>
          <w:sz w:val="28"/>
          <w:szCs w:val="28"/>
        </w:rPr>
        <w:t>Ю.</w:t>
      </w:r>
      <w:r w:rsidRPr="008439CA">
        <w:rPr>
          <w:rFonts w:ascii="Times New Roman" w:hAnsi="Times New Roman"/>
          <w:sz w:val="28"/>
          <w:szCs w:val="28"/>
          <w:lang w:val="ru-RU"/>
        </w:rPr>
        <w:t> </w:t>
      </w:r>
      <w:r w:rsidRPr="008439CA">
        <w:rPr>
          <w:rFonts w:ascii="Times New Roman" w:hAnsi="Times New Roman"/>
          <w:sz w:val="28"/>
          <w:szCs w:val="28"/>
        </w:rPr>
        <w:t>В. Нейропсихология детского возраста</w:t>
      </w:r>
      <w:r w:rsidRPr="008439CA">
        <w:rPr>
          <w:rFonts w:ascii="Times New Roman" w:hAnsi="Times New Roman"/>
          <w:sz w:val="28"/>
          <w:szCs w:val="28"/>
          <w:lang w:val="ru-RU"/>
        </w:rPr>
        <w:t xml:space="preserve"> </w:t>
      </w:r>
      <w:r w:rsidRPr="008439CA">
        <w:rPr>
          <w:rFonts w:ascii="Times New Roman" w:hAnsi="Times New Roman"/>
          <w:sz w:val="28"/>
          <w:szCs w:val="28"/>
        </w:rPr>
        <w:t>: учебное пособие /</w:t>
      </w:r>
      <w:r w:rsidRPr="008439CA">
        <w:rPr>
          <w:rFonts w:ascii="Times New Roman" w:hAnsi="Times New Roman"/>
          <w:sz w:val="28"/>
          <w:szCs w:val="28"/>
          <w:lang w:val="ru-RU"/>
        </w:rPr>
        <w:t> </w:t>
      </w:r>
      <w:r w:rsidRPr="008439CA">
        <w:rPr>
          <w:rFonts w:ascii="Times New Roman" w:hAnsi="Times New Roman"/>
          <w:sz w:val="28"/>
          <w:szCs w:val="28"/>
        </w:rPr>
        <w:t>Ю.</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Микадзе. – С</w:t>
      </w:r>
      <w:r w:rsidRPr="008439CA">
        <w:rPr>
          <w:rFonts w:ascii="Times New Roman" w:hAnsi="Times New Roman"/>
          <w:sz w:val="28"/>
          <w:szCs w:val="28"/>
          <w:lang w:val="ru-RU"/>
        </w:rPr>
        <w:t>анкт-</w:t>
      </w:r>
      <w:r w:rsidRPr="008439CA">
        <w:rPr>
          <w:rFonts w:ascii="Times New Roman" w:hAnsi="Times New Roman"/>
          <w:sz w:val="28"/>
          <w:szCs w:val="28"/>
        </w:rPr>
        <w:t>П</w:t>
      </w:r>
      <w:r w:rsidRPr="008439CA">
        <w:rPr>
          <w:rFonts w:ascii="Times New Roman" w:hAnsi="Times New Roman"/>
          <w:sz w:val="28"/>
          <w:szCs w:val="28"/>
          <w:lang w:val="ru-RU"/>
        </w:rPr>
        <w:t>етер</w:t>
      </w:r>
      <w:r w:rsidRPr="008439CA">
        <w:rPr>
          <w:rFonts w:ascii="Times New Roman" w:hAnsi="Times New Roman"/>
          <w:sz w:val="28"/>
          <w:szCs w:val="28"/>
        </w:rPr>
        <w:t>б</w:t>
      </w:r>
      <w:r w:rsidRPr="008439CA">
        <w:rPr>
          <w:rFonts w:ascii="Times New Roman" w:hAnsi="Times New Roman"/>
          <w:sz w:val="28"/>
          <w:szCs w:val="28"/>
          <w:lang w:val="ru-RU"/>
        </w:rPr>
        <w:t>ург</w:t>
      </w:r>
      <w:r w:rsidRPr="008439CA">
        <w:rPr>
          <w:rFonts w:ascii="Times New Roman" w:hAnsi="Times New Roman"/>
          <w:sz w:val="28"/>
          <w:szCs w:val="28"/>
        </w:rPr>
        <w:t xml:space="preserve"> : Питер, 2008. – 288</w:t>
      </w:r>
      <w:r w:rsidRPr="008439CA">
        <w:rPr>
          <w:rFonts w:ascii="Times New Roman" w:hAnsi="Times New Roman"/>
          <w:sz w:val="28"/>
          <w:szCs w:val="28"/>
          <w:lang w:val="ru-RU"/>
        </w:rPr>
        <w:t> </w:t>
      </w:r>
      <w:r w:rsidRPr="008439CA">
        <w:rPr>
          <w:rFonts w:ascii="Times New Roman" w:hAnsi="Times New Roman"/>
          <w:sz w:val="28"/>
          <w:szCs w:val="28"/>
        </w:rPr>
        <w:t>с</w:t>
      </w:r>
      <w:r w:rsidRPr="008439CA">
        <w:rPr>
          <w:rFonts w:ascii="Times New Roman" w:hAnsi="Times New Roman"/>
          <w:sz w:val="28"/>
          <w:szCs w:val="28"/>
          <w:lang w:val="ru-RU"/>
        </w:rPr>
        <w:t>.</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Микробиологические и нейроэндокринные аспекты патогенетического лечения пародонтита /</w:t>
      </w:r>
      <w:r w:rsidRPr="008439CA">
        <w:rPr>
          <w:rFonts w:ascii="Times New Roman" w:hAnsi="Times New Roman"/>
          <w:sz w:val="28"/>
          <w:szCs w:val="28"/>
          <w:lang w:val="ru-RU"/>
        </w:rPr>
        <w:t> </w:t>
      </w:r>
      <w:r w:rsidRPr="008439CA">
        <w:rPr>
          <w:rFonts w:ascii="Times New Roman" w:hAnsi="Times New Roman"/>
          <w:sz w:val="28"/>
          <w:szCs w:val="28"/>
        </w:rPr>
        <w:t>И.</w:t>
      </w:r>
      <w:r w:rsidRPr="008439CA">
        <w:rPr>
          <w:rFonts w:ascii="Times New Roman" w:hAnsi="Times New Roman"/>
          <w:sz w:val="28"/>
          <w:szCs w:val="28"/>
          <w:lang w:val="ru-RU"/>
        </w:rPr>
        <w:t> </w:t>
      </w:r>
      <w:r w:rsidRPr="008439CA">
        <w:rPr>
          <w:rFonts w:ascii="Times New Roman" w:hAnsi="Times New Roman"/>
          <w:sz w:val="28"/>
          <w:szCs w:val="28"/>
        </w:rPr>
        <w:t>С. Мащенко, К. В. Скидан, А. П. Левицкий, М. В. Лисничук // Вісник стоматології. – 2007. – № 4. – С. 140−141.</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rPr>
        <w:t>Микрофлора полости рта: норма и патология : учебное пособие / </w:t>
      </w:r>
      <w:r w:rsidRPr="008439CA">
        <w:rPr>
          <w:rFonts w:ascii="Times New Roman" w:hAnsi="Times New Roman"/>
          <w:bCs/>
          <w:sz w:val="28"/>
          <w:szCs w:val="28"/>
        </w:rPr>
        <w:t>Е.</w:t>
      </w:r>
      <w:r w:rsidRPr="008439CA">
        <w:rPr>
          <w:rFonts w:ascii="Times New Roman" w:hAnsi="Times New Roman"/>
          <w:bCs/>
          <w:sz w:val="28"/>
          <w:szCs w:val="28"/>
          <w:lang w:val="en-US"/>
        </w:rPr>
        <w:t> </w:t>
      </w:r>
      <w:r w:rsidRPr="008439CA">
        <w:rPr>
          <w:rFonts w:ascii="Times New Roman" w:hAnsi="Times New Roman"/>
          <w:bCs/>
          <w:sz w:val="28"/>
          <w:szCs w:val="28"/>
        </w:rPr>
        <w:t>Г.</w:t>
      </w:r>
      <w:r w:rsidRPr="008439CA">
        <w:rPr>
          <w:rFonts w:ascii="Times New Roman" w:hAnsi="Times New Roman"/>
          <w:bCs/>
          <w:sz w:val="28"/>
          <w:szCs w:val="28"/>
          <w:lang w:val="ru-RU"/>
        </w:rPr>
        <w:t> </w:t>
      </w:r>
      <w:r w:rsidRPr="008439CA">
        <w:rPr>
          <w:rFonts w:ascii="Times New Roman" w:hAnsi="Times New Roman"/>
          <w:bCs/>
          <w:sz w:val="28"/>
          <w:szCs w:val="28"/>
        </w:rPr>
        <w:t>Зеленова, М.</w:t>
      </w:r>
      <w:r w:rsidRPr="008439CA">
        <w:rPr>
          <w:rFonts w:ascii="Times New Roman" w:hAnsi="Times New Roman"/>
          <w:bCs/>
          <w:sz w:val="28"/>
          <w:szCs w:val="28"/>
          <w:lang w:val="ru-RU"/>
        </w:rPr>
        <w:t> </w:t>
      </w:r>
      <w:r w:rsidRPr="008439CA">
        <w:rPr>
          <w:rFonts w:ascii="Times New Roman" w:hAnsi="Times New Roman"/>
          <w:bCs/>
          <w:sz w:val="28"/>
          <w:szCs w:val="28"/>
        </w:rPr>
        <w:t>И.</w:t>
      </w:r>
      <w:r w:rsidRPr="008439CA">
        <w:rPr>
          <w:rFonts w:ascii="Times New Roman" w:hAnsi="Times New Roman"/>
          <w:bCs/>
          <w:sz w:val="28"/>
          <w:szCs w:val="28"/>
          <w:lang w:val="ru-RU"/>
        </w:rPr>
        <w:t> </w:t>
      </w:r>
      <w:r w:rsidRPr="008439CA">
        <w:rPr>
          <w:rFonts w:ascii="Times New Roman" w:hAnsi="Times New Roman"/>
          <w:bCs/>
          <w:sz w:val="28"/>
          <w:szCs w:val="28"/>
        </w:rPr>
        <w:t>Заславская, Е.</w:t>
      </w:r>
      <w:r w:rsidRPr="008439CA">
        <w:rPr>
          <w:rFonts w:ascii="Times New Roman" w:hAnsi="Times New Roman"/>
          <w:bCs/>
          <w:sz w:val="28"/>
          <w:szCs w:val="28"/>
          <w:lang w:val="ru-RU"/>
        </w:rPr>
        <w:t> </w:t>
      </w:r>
      <w:r w:rsidRPr="008439CA">
        <w:rPr>
          <w:rFonts w:ascii="Times New Roman" w:hAnsi="Times New Roman"/>
          <w:bCs/>
          <w:sz w:val="28"/>
          <w:szCs w:val="28"/>
        </w:rPr>
        <w:t>В.</w:t>
      </w:r>
      <w:r w:rsidRPr="008439CA">
        <w:rPr>
          <w:rFonts w:ascii="Times New Roman" w:hAnsi="Times New Roman"/>
          <w:bCs/>
          <w:sz w:val="28"/>
          <w:szCs w:val="28"/>
          <w:lang w:val="ru-RU"/>
        </w:rPr>
        <w:t> </w:t>
      </w:r>
      <w:r w:rsidRPr="008439CA">
        <w:rPr>
          <w:rFonts w:ascii="Times New Roman" w:hAnsi="Times New Roman"/>
          <w:bCs/>
          <w:sz w:val="28"/>
          <w:szCs w:val="28"/>
        </w:rPr>
        <w:t>Салина, С.</w:t>
      </w:r>
      <w:r w:rsidRPr="008439CA">
        <w:rPr>
          <w:rFonts w:ascii="Times New Roman" w:hAnsi="Times New Roman"/>
          <w:bCs/>
          <w:sz w:val="28"/>
          <w:szCs w:val="28"/>
          <w:lang w:val="ru-RU"/>
        </w:rPr>
        <w:t> </w:t>
      </w:r>
      <w:r w:rsidRPr="008439CA">
        <w:rPr>
          <w:rFonts w:ascii="Times New Roman" w:hAnsi="Times New Roman"/>
          <w:bCs/>
          <w:sz w:val="28"/>
          <w:szCs w:val="28"/>
        </w:rPr>
        <w:t>П.</w:t>
      </w:r>
      <w:r w:rsidRPr="008439CA">
        <w:rPr>
          <w:rFonts w:ascii="Times New Roman" w:hAnsi="Times New Roman"/>
          <w:bCs/>
          <w:sz w:val="28"/>
          <w:szCs w:val="28"/>
          <w:lang w:val="ru-RU"/>
        </w:rPr>
        <w:t> </w:t>
      </w:r>
      <w:r w:rsidRPr="008439CA">
        <w:rPr>
          <w:rFonts w:ascii="Times New Roman" w:hAnsi="Times New Roman"/>
          <w:bCs/>
          <w:sz w:val="28"/>
          <w:szCs w:val="28"/>
        </w:rPr>
        <w:t>Рассанов. –</w:t>
      </w:r>
      <w:r w:rsidRPr="008439CA">
        <w:rPr>
          <w:rFonts w:ascii="Times New Roman" w:hAnsi="Times New Roman"/>
          <w:sz w:val="28"/>
          <w:szCs w:val="28"/>
        </w:rPr>
        <w:t xml:space="preserve"> Нижний Новгород</w:t>
      </w:r>
      <w:r w:rsidRPr="008439CA">
        <w:rPr>
          <w:rFonts w:ascii="Times New Roman" w:hAnsi="Times New Roman"/>
          <w:sz w:val="28"/>
          <w:szCs w:val="28"/>
          <w:lang w:val="ru-RU"/>
        </w:rPr>
        <w:t xml:space="preserve"> </w:t>
      </w:r>
      <w:r w:rsidRPr="008439CA">
        <w:rPr>
          <w:rFonts w:ascii="Times New Roman" w:hAnsi="Times New Roman"/>
          <w:sz w:val="28"/>
          <w:szCs w:val="28"/>
        </w:rPr>
        <w:t>: Изд-во НГМА, 2004. – 158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Мірчук</w:t>
      </w:r>
      <w:r w:rsidRPr="008439CA">
        <w:rPr>
          <w:rFonts w:ascii="Times New Roman" w:hAnsi="Times New Roman"/>
          <w:sz w:val="28"/>
          <w:szCs w:val="28"/>
          <w:lang w:val="ru-RU"/>
        </w:rPr>
        <w:t> </w:t>
      </w:r>
      <w:r w:rsidRPr="008439CA">
        <w:rPr>
          <w:rFonts w:ascii="Times New Roman" w:hAnsi="Times New Roman"/>
          <w:sz w:val="28"/>
          <w:szCs w:val="28"/>
        </w:rPr>
        <w:t>Б. М. Оцінка стану неспецифічної резистентності ротової рідини у пацієнтів із зубо-щелепними аномаліями у період постійного прикусу /</w:t>
      </w:r>
      <w:r w:rsidRPr="008439CA">
        <w:rPr>
          <w:rFonts w:ascii="Times New Roman" w:hAnsi="Times New Roman"/>
          <w:sz w:val="28"/>
          <w:szCs w:val="28"/>
          <w:lang w:val="ru-RU"/>
        </w:rPr>
        <w:t> </w:t>
      </w:r>
      <w:r w:rsidRPr="008439CA">
        <w:rPr>
          <w:rFonts w:ascii="Times New Roman" w:hAnsi="Times New Roman"/>
          <w:sz w:val="28"/>
          <w:szCs w:val="28"/>
        </w:rPr>
        <w:t>Б. М. Мірчук, М. С. Дрогомирецька //</w:t>
      </w:r>
      <w:r w:rsidRPr="008439CA">
        <w:rPr>
          <w:rFonts w:ascii="Times New Roman" w:hAnsi="Times New Roman"/>
          <w:sz w:val="28"/>
          <w:szCs w:val="28"/>
          <w:lang w:val="ru-RU"/>
        </w:rPr>
        <w:t> </w:t>
      </w:r>
      <w:r w:rsidRPr="008439CA">
        <w:rPr>
          <w:rFonts w:ascii="Times New Roman" w:hAnsi="Times New Roman"/>
          <w:sz w:val="28"/>
          <w:szCs w:val="28"/>
        </w:rPr>
        <w:t>Вісник стоматології. – 2010.</w:t>
      </w:r>
      <w:r w:rsidRPr="008439CA">
        <w:rPr>
          <w:rFonts w:ascii="Times New Roman" w:hAnsi="Times New Roman"/>
          <w:sz w:val="28"/>
          <w:szCs w:val="28"/>
          <w:lang w:val="ru-RU"/>
        </w:rPr>
        <w:t> </w:t>
      </w:r>
      <w:r w:rsidRPr="008439CA">
        <w:rPr>
          <w:rFonts w:ascii="Times New Roman" w:hAnsi="Times New Roman"/>
          <w:sz w:val="28"/>
          <w:szCs w:val="28"/>
        </w:rPr>
        <w:t>− №</w:t>
      </w:r>
      <w:r w:rsidRPr="008439CA">
        <w:rPr>
          <w:rFonts w:ascii="Times New Roman" w:hAnsi="Times New Roman"/>
          <w:sz w:val="28"/>
          <w:szCs w:val="28"/>
          <w:lang w:val="ru-RU"/>
        </w:rPr>
        <w:t> </w:t>
      </w:r>
      <w:r w:rsidRPr="008439CA">
        <w:rPr>
          <w:rFonts w:ascii="Times New Roman" w:hAnsi="Times New Roman"/>
          <w:sz w:val="28"/>
          <w:szCs w:val="28"/>
        </w:rPr>
        <w:t>3. – С.</w:t>
      </w:r>
      <w:r w:rsidRPr="008439CA">
        <w:rPr>
          <w:rFonts w:ascii="Times New Roman" w:hAnsi="Times New Roman"/>
          <w:sz w:val="28"/>
          <w:szCs w:val="28"/>
          <w:lang w:val="ru-RU"/>
        </w:rPr>
        <w:t> </w:t>
      </w:r>
      <w:r w:rsidRPr="008439CA">
        <w:rPr>
          <w:rFonts w:ascii="Times New Roman" w:hAnsi="Times New Roman"/>
          <w:sz w:val="28"/>
          <w:szCs w:val="28"/>
        </w:rPr>
        <w:t>53−56.</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lang w:val="ru-RU"/>
        </w:rPr>
      </w:pPr>
      <w:r w:rsidRPr="008439CA">
        <w:rPr>
          <w:rFonts w:ascii="Times New Roman" w:eastAsia="TimesNewRomanPSMT" w:hAnsi="Times New Roman"/>
          <w:sz w:val="28"/>
          <w:szCs w:val="28"/>
        </w:rPr>
        <w:t>Мониторинг чувствительности к антибиотикам микрофлоры полости рта у практически здоровых детей и больных хроническим гастродуоденитом / О. А. Гаврилова, Б. Н. Давыдов, Ю. В. Червинец, В. М. Червинец // Стоматология. – 2009. – № 6. – С. 62−65.</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 xml:space="preserve">Новикова Л. А. </w:t>
      </w:r>
      <w:r w:rsidRPr="008439CA">
        <w:rPr>
          <w:rFonts w:ascii="Times New Roman" w:eastAsia="Times New Roman" w:hAnsi="Times New Roman"/>
          <w:sz w:val="28"/>
          <w:szCs w:val="28"/>
          <w:lang w:eastAsia="ru-RU"/>
        </w:rPr>
        <w:t>Нейросенсорные нарушения слуха у детей / Л. А. Новикова, Н. В. Рыбалко. –</w:t>
      </w:r>
      <w:r w:rsidRPr="008439CA">
        <w:rPr>
          <w:rStyle w:val="apple-style-span"/>
          <w:rFonts w:ascii="Times New Roman" w:hAnsi="Times New Roman"/>
          <w:color w:val="000000"/>
          <w:sz w:val="28"/>
          <w:szCs w:val="28"/>
        </w:rPr>
        <w:t xml:space="preserve"> Москва : Педагогика, 1987. – 127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ru-RU"/>
        </w:rPr>
        <w:t>Об унификации микробиологических (бактериологических) методов исследования, применяемых в клинико</w:t>
      </w:r>
      <w:r w:rsidRPr="008439CA">
        <w:rPr>
          <w:rFonts w:ascii="Times New Roman" w:hAnsi="Times New Roman"/>
          <w:color w:val="000000"/>
          <w:sz w:val="28"/>
          <w:szCs w:val="28"/>
          <w:lang w:val="ru-RU"/>
        </w:rPr>
        <w:t>-диагностических лабораториях лечебно-профилактических учреждений : приказ от 22.04.85 № 535 / Минздрава СССР. − Прилож. 1 : Методические указания по применению унифицированных микробиологических (бактериологических) методов исследования в клинико-диагностической лаборатории. Перечень унифицированных микробиологических методов исследования. − Москва, 1985. – 126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lastRenderedPageBreak/>
        <w:t>Окислительный стресс. Прооксиданты и антиоксиданты /</w:t>
      </w:r>
      <w:r w:rsidRPr="008439CA">
        <w:rPr>
          <w:rFonts w:ascii="Times New Roman" w:hAnsi="Times New Roman"/>
          <w:sz w:val="28"/>
          <w:szCs w:val="28"/>
          <w:lang w:val="en-US"/>
        </w:rPr>
        <w:t> </w:t>
      </w:r>
      <w:r w:rsidRPr="008439CA">
        <w:rPr>
          <w:rFonts w:ascii="Times New Roman" w:hAnsi="Times New Roman"/>
          <w:sz w:val="28"/>
          <w:szCs w:val="28"/>
        </w:rPr>
        <w:t>Е. Б. Меньшикова, В. З. Ланкин, Н. К. Зенков</w:t>
      </w:r>
      <w:r w:rsidRPr="008439CA">
        <w:rPr>
          <w:rFonts w:ascii="Times New Roman" w:hAnsi="Times New Roman"/>
          <w:sz w:val="28"/>
          <w:szCs w:val="28"/>
          <w:lang w:val="ru-RU"/>
        </w:rPr>
        <w:t xml:space="preserve"> [и др.]</w:t>
      </w:r>
      <w:r w:rsidRPr="008439CA">
        <w:rPr>
          <w:rFonts w:ascii="Times New Roman" w:hAnsi="Times New Roman"/>
          <w:sz w:val="28"/>
          <w:szCs w:val="28"/>
        </w:rPr>
        <w:t>. – М</w:t>
      </w:r>
      <w:r w:rsidRPr="008439CA">
        <w:rPr>
          <w:rFonts w:ascii="Times New Roman" w:hAnsi="Times New Roman"/>
          <w:sz w:val="28"/>
          <w:szCs w:val="28"/>
          <w:lang w:val="ru-RU"/>
        </w:rPr>
        <w:t xml:space="preserve">осква </w:t>
      </w:r>
      <w:r w:rsidRPr="008439CA">
        <w:rPr>
          <w:rFonts w:ascii="Times New Roman" w:hAnsi="Times New Roman"/>
          <w:sz w:val="28"/>
          <w:szCs w:val="28"/>
        </w:rPr>
        <w:t>: Слово, 2006. – 556</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Онищенко</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С. Современные стоматологические проблемы /</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С.</w:t>
      </w:r>
      <w:r w:rsidRPr="008439CA">
        <w:rPr>
          <w:rFonts w:ascii="Times New Roman" w:hAnsi="Times New Roman"/>
          <w:sz w:val="28"/>
          <w:szCs w:val="28"/>
          <w:lang w:val="en-US"/>
        </w:rPr>
        <w:t> </w:t>
      </w:r>
      <w:r w:rsidRPr="008439CA">
        <w:rPr>
          <w:rFonts w:ascii="Times New Roman" w:hAnsi="Times New Roman"/>
          <w:sz w:val="28"/>
          <w:szCs w:val="28"/>
        </w:rPr>
        <w:t>Онищенко //</w:t>
      </w:r>
      <w:r w:rsidRPr="008439CA">
        <w:rPr>
          <w:rFonts w:ascii="Times New Roman" w:hAnsi="Times New Roman"/>
          <w:sz w:val="28"/>
          <w:szCs w:val="28"/>
          <w:lang w:val="en-US"/>
        </w:rPr>
        <w:t> </w:t>
      </w:r>
      <w:r w:rsidRPr="008439CA">
        <w:rPr>
          <w:rFonts w:ascii="Times New Roman" w:hAnsi="Times New Roman"/>
          <w:sz w:val="28"/>
          <w:szCs w:val="28"/>
        </w:rPr>
        <w:t>Медичний всесвіт. − 2001. − Т.</w:t>
      </w:r>
      <w:r w:rsidRPr="008439CA">
        <w:rPr>
          <w:rFonts w:ascii="Times New Roman" w:hAnsi="Times New Roman"/>
          <w:sz w:val="28"/>
          <w:szCs w:val="28"/>
          <w:lang w:val="en-US"/>
        </w:rPr>
        <w:t> </w:t>
      </w:r>
      <w:r w:rsidRPr="008439CA">
        <w:rPr>
          <w:rFonts w:ascii="Times New Roman" w:hAnsi="Times New Roman"/>
          <w:sz w:val="28"/>
          <w:szCs w:val="28"/>
        </w:rPr>
        <w:t>1, №</w:t>
      </w:r>
      <w:r w:rsidRPr="008439CA">
        <w:rPr>
          <w:rFonts w:ascii="Times New Roman" w:hAnsi="Times New Roman"/>
          <w:sz w:val="28"/>
          <w:szCs w:val="28"/>
          <w:lang w:val="en-US"/>
        </w:rPr>
        <w:t> </w:t>
      </w:r>
      <w:r w:rsidRPr="008439CA">
        <w:rPr>
          <w:rFonts w:ascii="Times New Roman" w:hAnsi="Times New Roman"/>
          <w:sz w:val="28"/>
          <w:szCs w:val="28"/>
        </w:rPr>
        <w:t>1. − С.</w:t>
      </w:r>
      <w:r w:rsidRPr="008439CA">
        <w:rPr>
          <w:rFonts w:ascii="Times New Roman" w:hAnsi="Times New Roman"/>
          <w:sz w:val="28"/>
          <w:szCs w:val="28"/>
          <w:lang w:val="en-US"/>
        </w:rPr>
        <w:t> </w:t>
      </w:r>
      <w:r w:rsidRPr="008439CA">
        <w:rPr>
          <w:rFonts w:ascii="Times New Roman" w:hAnsi="Times New Roman"/>
          <w:sz w:val="28"/>
          <w:szCs w:val="28"/>
        </w:rPr>
        <w:t>120−122.</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Определитель бактерий Берджи : в 2 т. / Р. Беркли, Э. Бок, Бун Д. [и др.] ; под ред. Дж. Хоулта [и др.] ; пер. с англ. под ред. Г. А. Заварзина. – Москва : Мир. − Т. 1. – 429 с. ; Т. 2. – 799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Ославський</w:t>
      </w:r>
      <w:r w:rsidRPr="008439CA">
        <w:rPr>
          <w:rFonts w:ascii="Times New Roman" w:hAnsi="Times New Roman"/>
          <w:sz w:val="28"/>
          <w:szCs w:val="28"/>
          <w:lang w:val="ru-RU"/>
        </w:rPr>
        <w:t> </w:t>
      </w:r>
      <w:r w:rsidRPr="008439CA">
        <w:rPr>
          <w:rFonts w:ascii="Times New Roman" w:hAnsi="Times New Roman"/>
          <w:sz w:val="28"/>
          <w:szCs w:val="28"/>
        </w:rPr>
        <w:t>О. М. Вплив комплексної терапії на стан прооксидантних процесів у ротовій рідині дітей зі скупченим положенням зубів і катаральним гінгівітом /</w:t>
      </w:r>
      <w:r w:rsidRPr="008439CA">
        <w:rPr>
          <w:rFonts w:ascii="Times New Roman" w:hAnsi="Times New Roman"/>
          <w:sz w:val="28"/>
          <w:szCs w:val="28"/>
          <w:lang w:val="en-US"/>
        </w:rPr>
        <w:t> </w:t>
      </w:r>
      <w:r w:rsidRPr="008439CA">
        <w:rPr>
          <w:rFonts w:ascii="Times New Roman" w:hAnsi="Times New Roman"/>
          <w:sz w:val="28"/>
          <w:szCs w:val="28"/>
        </w:rPr>
        <w:t>О. М. Ославський //</w:t>
      </w:r>
      <w:r w:rsidRPr="008439CA">
        <w:rPr>
          <w:rFonts w:ascii="Times New Roman" w:hAnsi="Times New Roman"/>
          <w:sz w:val="28"/>
          <w:szCs w:val="28"/>
          <w:lang w:val="en-US"/>
        </w:rPr>
        <w:t> </w:t>
      </w:r>
      <w:r w:rsidRPr="008439CA">
        <w:rPr>
          <w:rFonts w:ascii="Times New Roman" w:hAnsi="Times New Roman"/>
          <w:sz w:val="28"/>
          <w:szCs w:val="28"/>
        </w:rPr>
        <w:t>Інтегративна антропологія.</w:t>
      </w:r>
      <w:r w:rsidRPr="008439CA">
        <w:rPr>
          <w:rFonts w:ascii="Times New Roman" w:hAnsi="Times New Roman"/>
          <w:sz w:val="28"/>
          <w:szCs w:val="28"/>
          <w:lang w:val="ru-RU"/>
        </w:rPr>
        <w:t> </w:t>
      </w:r>
      <w:r w:rsidRPr="008439CA">
        <w:rPr>
          <w:rFonts w:ascii="Times New Roman" w:hAnsi="Times New Roman"/>
          <w:sz w:val="28"/>
          <w:szCs w:val="28"/>
        </w:rPr>
        <w:t>– 2009. − № 2</w:t>
      </w:r>
      <w:r w:rsidRPr="008439CA">
        <w:rPr>
          <w:rFonts w:ascii="Times New Roman" w:hAnsi="Times New Roman"/>
          <w:sz w:val="28"/>
          <w:szCs w:val="28"/>
          <w:lang w:val="en-US"/>
        </w:rPr>
        <w:t> </w:t>
      </w:r>
      <w:r w:rsidRPr="008439CA">
        <w:rPr>
          <w:rFonts w:ascii="Times New Roman" w:hAnsi="Times New Roman"/>
          <w:sz w:val="28"/>
          <w:szCs w:val="28"/>
        </w:rPr>
        <w:t>(14). – С.</w:t>
      </w:r>
      <w:r w:rsidRPr="008439CA">
        <w:rPr>
          <w:rFonts w:ascii="Times New Roman" w:hAnsi="Times New Roman"/>
          <w:sz w:val="28"/>
          <w:szCs w:val="28"/>
          <w:lang w:val="en-US"/>
        </w:rPr>
        <w:t> </w:t>
      </w:r>
      <w:r w:rsidRPr="008439CA">
        <w:rPr>
          <w:rFonts w:ascii="Times New Roman" w:hAnsi="Times New Roman"/>
          <w:sz w:val="28"/>
          <w:szCs w:val="28"/>
        </w:rPr>
        <w:t>45−48.</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Особливості мікробіценозу ротової порожнини пацієнтів із стоматологічними захворюваннями з порушенням в системі місцевого імунітету /</w:t>
      </w:r>
      <w:r w:rsidRPr="008439CA">
        <w:rPr>
          <w:rFonts w:ascii="Times New Roman" w:hAnsi="Times New Roman"/>
          <w:sz w:val="28"/>
          <w:szCs w:val="28"/>
          <w:lang w:val="ru-RU"/>
        </w:rPr>
        <w:t> </w:t>
      </w:r>
      <w:r w:rsidRPr="008439CA">
        <w:rPr>
          <w:rFonts w:ascii="Times New Roman" w:hAnsi="Times New Roman"/>
          <w:sz w:val="28"/>
          <w:szCs w:val="28"/>
        </w:rPr>
        <w:t>У. Р. Никифорчин, Н. О. Гевкалюк, М. М. Рожко [та ін.] //</w:t>
      </w:r>
      <w:r w:rsidRPr="008439CA">
        <w:rPr>
          <w:rFonts w:ascii="Times New Roman" w:hAnsi="Times New Roman"/>
          <w:sz w:val="28"/>
          <w:szCs w:val="28"/>
          <w:lang w:val="ru-RU"/>
        </w:rPr>
        <w:t> </w:t>
      </w:r>
      <w:r w:rsidRPr="008439CA">
        <w:rPr>
          <w:rFonts w:ascii="Times New Roman" w:hAnsi="Times New Roman"/>
          <w:sz w:val="28"/>
          <w:szCs w:val="28"/>
        </w:rPr>
        <w:t>Мікробіологічний журнал. – 2004. – Т.</w:t>
      </w:r>
      <w:r w:rsidRPr="008439CA">
        <w:rPr>
          <w:rFonts w:ascii="Times New Roman" w:hAnsi="Times New Roman"/>
          <w:sz w:val="28"/>
          <w:szCs w:val="28"/>
          <w:lang w:val="ru-RU"/>
        </w:rPr>
        <w:t> </w:t>
      </w:r>
      <w:r w:rsidRPr="008439CA">
        <w:rPr>
          <w:rFonts w:ascii="Times New Roman" w:hAnsi="Times New Roman"/>
          <w:sz w:val="28"/>
          <w:szCs w:val="28"/>
        </w:rPr>
        <w:t>66, №</w:t>
      </w:r>
      <w:r w:rsidRPr="008439CA">
        <w:rPr>
          <w:rFonts w:ascii="Times New Roman" w:hAnsi="Times New Roman"/>
          <w:sz w:val="28"/>
          <w:szCs w:val="28"/>
          <w:lang w:val="ru-RU"/>
        </w:rPr>
        <w:t> </w:t>
      </w:r>
      <w:r w:rsidRPr="008439CA">
        <w:rPr>
          <w:rFonts w:ascii="Times New Roman" w:hAnsi="Times New Roman"/>
          <w:sz w:val="28"/>
          <w:szCs w:val="28"/>
        </w:rPr>
        <w:t>1. – С.</w:t>
      </w:r>
      <w:r w:rsidRPr="008439CA">
        <w:rPr>
          <w:rFonts w:ascii="Times New Roman" w:hAnsi="Times New Roman"/>
          <w:sz w:val="28"/>
          <w:szCs w:val="28"/>
          <w:lang w:val="ru-RU"/>
        </w:rPr>
        <w:t> </w:t>
      </w:r>
      <w:r w:rsidRPr="008439CA">
        <w:rPr>
          <w:rFonts w:ascii="Times New Roman" w:hAnsi="Times New Roman"/>
          <w:sz w:val="28"/>
          <w:szCs w:val="28"/>
        </w:rPr>
        <w:t>57−61.</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Остеотропная активность соевого препарата «ЕКСО»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Левицкий, О.</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Макаренко, Л.</w:t>
      </w:r>
      <w:r w:rsidRPr="008439CA">
        <w:rPr>
          <w:rFonts w:ascii="Times New Roman" w:hAnsi="Times New Roman"/>
          <w:sz w:val="28"/>
          <w:szCs w:val="28"/>
          <w:lang w:val="ru-RU"/>
        </w:rPr>
        <w:t> </w:t>
      </w:r>
      <w:r w:rsidRPr="008439CA">
        <w:rPr>
          <w:rFonts w:ascii="Times New Roman" w:hAnsi="Times New Roman"/>
          <w:sz w:val="28"/>
          <w:szCs w:val="28"/>
        </w:rPr>
        <w:t>Н.</w:t>
      </w:r>
      <w:r w:rsidRPr="008439CA">
        <w:rPr>
          <w:rFonts w:ascii="Times New Roman" w:hAnsi="Times New Roman"/>
          <w:sz w:val="28"/>
          <w:szCs w:val="28"/>
          <w:lang w:val="ru-RU"/>
        </w:rPr>
        <w:t> </w:t>
      </w:r>
      <w:r w:rsidRPr="008439CA">
        <w:rPr>
          <w:rFonts w:ascii="Times New Roman" w:hAnsi="Times New Roman"/>
          <w:sz w:val="28"/>
          <w:szCs w:val="28"/>
        </w:rPr>
        <w:t>Россоханова, Н.</w:t>
      </w:r>
      <w:r w:rsidRPr="008439CA">
        <w:rPr>
          <w:rFonts w:ascii="Times New Roman" w:hAnsi="Times New Roman"/>
          <w:sz w:val="28"/>
          <w:szCs w:val="28"/>
          <w:lang w:val="ru-RU"/>
        </w:rPr>
        <w:t> </w:t>
      </w:r>
      <w:r w:rsidRPr="008439CA">
        <w:rPr>
          <w:rFonts w:ascii="Times New Roman" w:hAnsi="Times New Roman"/>
          <w:sz w:val="28"/>
          <w:szCs w:val="28"/>
        </w:rPr>
        <w:t>Ю.</w:t>
      </w:r>
      <w:r w:rsidRPr="008439CA">
        <w:rPr>
          <w:rFonts w:ascii="Times New Roman" w:hAnsi="Times New Roman"/>
          <w:sz w:val="28"/>
          <w:szCs w:val="28"/>
          <w:lang w:val="ru-RU"/>
        </w:rPr>
        <w:t> </w:t>
      </w:r>
      <w:r w:rsidRPr="008439CA">
        <w:rPr>
          <w:rFonts w:ascii="Times New Roman" w:hAnsi="Times New Roman"/>
          <w:sz w:val="28"/>
          <w:szCs w:val="28"/>
        </w:rPr>
        <w:t>Лерфина //</w:t>
      </w:r>
      <w:r w:rsidRPr="008439CA">
        <w:rPr>
          <w:rFonts w:ascii="Times New Roman" w:hAnsi="Times New Roman"/>
          <w:sz w:val="28"/>
          <w:szCs w:val="28"/>
          <w:lang w:val="ru-RU"/>
        </w:rPr>
        <w:t> </w:t>
      </w:r>
      <w:r w:rsidRPr="008439CA">
        <w:rPr>
          <w:rFonts w:ascii="Times New Roman" w:hAnsi="Times New Roman"/>
          <w:sz w:val="28"/>
          <w:szCs w:val="28"/>
        </w:rPr>
        <w:t>Вісник стоматології. – 2000. – №</w:t>
      </w:r>
      <w:r w:rsidRPr="008439CA">
        <w:rPr>
          <w:rFonts w:ascii="Times New Roman" w:hAnsi="Times New Roman"/>
          <w:sz w:val="28"/>
          <w:szCs w:val="28"/>
          <w:lang w:val="ru-RU"/>
        </w:rPr>
        <w:t> </w:t>
      </w:r>
      <w:r w:rsidRPr="008439CA">
        <w:rPr>
          <w:rFonts w:ascii="Times New Roman" w:hAnsi="Times New Roman"/>
          <w:sz w:val="28"/>
          <w:szCs w:val="28"/>
        </w:rPr>
        <w:t>4. – С.</w:t>
      </w:r>
      <w:r w:rsidRPr="008439CA">
        <w:rPr>
          <w:rFonts w:ascii="Times New Roman" w:hAnsi="Times New Roman"/>
          <w:sz w:val="28"/>
          <w:szCs w:val="28"/>
          <w:lang w:val="ru-RU"/>
        </w:rPr>
        <w:t> </w:t>
      </w:r>
      <w:r w:rsidRPr="008439CA">
        <w:rPr>
          <w:rFonts w:ascii="Times New Roman" w:hAnsi="Times New Roman"/>
          <w:sz w:val="28"/>
          <w:szCs w:val="28"/>
        </w:rPr>
        <w:t>5−9.</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Оцінка психічної складової реабілітаційного потенціалу в системі психотерапевтичних і психокорекційних заходів для хворих та інвалідів з ураженням слухового та вестибулярного аналізаторів : учбово-методичний посібник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Іпатов, Е.</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Сергієні, Д.</w:t>
      </w:r>
      <w:r w:rsidRPr="008439CA">
        <w:rPr>
          <w:rFonts w:ascii="Times New Roman" w:hAnsi="Times New Roman"/>
          <w:sz w:val="28"/>
          <w:szCs w:val="28"/>
          <w:lang w:val="ru-RU"/>
        </w:rPr>
        <w:t> </w:t>
      </w:r>
      <w:r w:rsidRPr="008439CA">
        <w:rPr>
          <w:rFonts w:ascii="Times New Roman" w:hAnsi="Times New Roman"/>
          <w:sz w:val="28"/>
          <w:szCs w:val="28"/>
        </w:rPr>
        <w:t>І.</w:t>
      </w:r>
      <w:r w:rsidRPr="008439CA">
        <w:rPr>
          <w:rFonts w:ascii="Times New Roman" w:hAnsi="Times New Roman"/>
          <w:sz w:val="28"/>
          <w:szCs w:val="28"/>
          <w:lang w:val="ru-RU"/>
        </w:rPr>
        <w:t> </w:t>
      </w:r>
      <w:r w:rsidRPr="008439CA">
        <w:rPr>
          <w:rFonts w:ascii="Times New Roman" w:hAnsi="Times New Roman"/>
          <w:sz w:val="28"/>
          <w:szCs w:val="28"/>
        </w:rPr>
        <w:t>Клименко [та ін.].</w:t>
      </w:r>
      <w:r w:rsidRPr="008439CA">
        <w:rPr>
          <w:rFonts w:ascii="Times New Roman" w:hAnsi="Times New Roman"/>
          <w:sz w:val="28"/>
          <w:szCs w:val="28"/>
          <w:lang w:val="en-US"/>
        </w:rPr>
        <w:t> </w:t>
      </w:r>
      <w:r w:rsidRPr="008439CA">
        <w:rPr>
          <w:rFonts w:ascii="Times New Roman" w:hAnsi="Times New Roman"/>
          <w:sz w:val="28"/>
          <w:szCs w:val="28"/>
        </w:rPr>
        <w:t>– Дніпропетровськ : Пороги, 2005. – 42</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Пат. 43140 Україна, МПК G01N 33/48 (2009) Спосіб оцінки ступеня дисбіозу (дисбактеріозу) органів і тканин / Левицький А. П., Дєньга О. В., Селіванська І. О., Макаренко О. А., Дем’яненко С. О., Цісельский Ю. В. ; патентовласник ДУ «Інститут стоматології АМН України». − №</w:t>
      </w:r>
      <w:r w:rsidRPr="008439CA">
        <w:rPr>
          <w:rFonts w:ascii="Times New Roman" w:hAnsi="Times New Roman"/>
          <w:sz w:val="28"/>
          <w:szCs w:val="28"/>
          <w:lang w:val="ru-RU"/>
        </w:rPr>
        <w:t> </w:t>
      </w:r>
      <w:r w:rsidRPr="008439CA">
        <w:rPr>
          <w:rFonts w:ascii="Times New Roman" w:hAnsi="Times New Roman"/>
          <w:sz w:val="28"/>
          <w:szCs w:val="28"/>
        </w:rPr>
        <w:t>u200815092 ; заявл. 26.12.2008 ; опубл. 10.08.2009, Бюл. № 15. −3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lastRenderedPageBreak/>
        <w:t>Пат. 47093 Україна, МПК G09В 23/28. Спосіб прогнозування розвитку стоматологічних захворювань / Дєньга О. В., Дєньга Е. М., Дєньга А. Е. ; заявник та патентовласник Дєньга Оксана Василівна, Дєньга Едуард Михайлович, Дєньга Анастасія Едуардівна. – №</w:t>
      </w:r>
      <w:r w:rsidRPr="008439CA">
        <w:rPr>
          <w:rFonts w:ascii="Times New Roman" w:hAnsi="Times New Roman"/>
          <w:sz w:val="28"/>
          <w:szCs w:val="28"/>
          <w:lang w:val="ru-RU"/>
        </w:rPr>
        <w:t> </w:t>
      </w:r>
      <w:r w:rsidRPr="008439CA">
        <w:rPr>
          <w:rFonts w:ascii="Times New Roman" w:hAnsi="Times New Roman"/>
          <w:sz w:val="28"/>
          <w:szCs w:val="28"/>
        </w:rPr>
        <w:t>u200909524</w:t>
      </w:r>
      <w:r w:rsidRPr="008439CA">
        <w:rPr>
          <w:rFonts w:ascii="Times New Roman" w:hAnsi="Times New Roman"/>
          <w:sz w:val="28"/>
          <w:szCs w:val="28"/>
          <w:lang w:val="ru-RU"/>
        </w:rPr>
        <w:t> </w:t>
      </w:r>
      <w:r w:rsidRPr="008439CA">
        <w:rPr>
          <w:rFonts w:ascii="Times New Roman" w:hAnsi="Times New Roman"/>
          <w:sz w:val="28"/>
          <w:szCs w:val="28"/>
        </w:rPr>
        <w:t>; заявл.</w:t>
      </w:r>
      <w:r w:rsidRPr="008439CA">
        <w:rPr>
          <w:rFonts w:ascii="Times New Roman" w:hAnsi="Times New Roman"/>
          <w:sz w:val="28"/>
          <w:szCs w:val="28"/>
          <w:lang w:val="ru-RU"/>
        </w:rPr>
        <w:t> </w:t>
      </w:r>
      <w:r w:rsidRPr="008439CA">
        <w:rPr>
          <w:rFonts w:ascii="Times New Roman" w:hAnsi="Times New Roman"/>
          <w:sz w:val="28"/>
          <w:szCs w:val="28"/>
        </w:rPr>
        <w:t>17.09.2009 ; опубл. 11.01.10. – Бюл. №</w:t>
      </w:r>
      <w:r w:rsidRPr="008439CA">
        <w:rPr>
          <w:rFonts w:ascii="Times New Roman" w:hAnsi="Times New Roman"/>
          <w:sz w:val="28"/>
          <w:szCs w:val="28"/>
          <w:lang w:val="ru-RU"/>
        </w:rPr>
        <w:t> </w:t>
      </w:r>
      <w:r w:rsidRPr="008439CA">
        <w:rPr>
          <w:rFonts w:ascii="Times New Roman" w:hAnsi="Times New Roman"/>
          <w:sz w:val="28"/>
          <w:szCs w:val="28"/>
        </w:rPr>
        <w:t>1. – 2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color w:val="000000"/>
          <w:sz w:val="28"/>
          <w:szCs w:val="28"/>
          <w:shd w:val="clear" w:color="auto" w:fill="FFFFFF"/>
        </w:rPr>
      </w:pPr>
      <w:r w:rsidRPr="008439CA">
        <w:rPr>
          <w:rFonts w:ascii="Times New Roman" w:hAnsi="Times New Roman"/>
          <w:color w:val="000000"/>
          <w:sz w:val="28"/>
          <w:szCs w:val="28"/>
          <w:shd w:val="clear" w:color="auto" w:fill="FFFFFF"/>
        </w:rPr>
        <w:t>Петшак</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В. Эмоциональное развитие глухих детей : автореф.</w:t>
      </w:r>
      <w:r w:rsidRPr="008439CA">
        <w:rPr>
          <w:rFonts w:ascii="Times New Roman" w:hAnsi="Times New Roman"/>
          <w:color w:val="000000"/>
          <w:sz w:val="28"/>
          <w:szCs w:val="28"/>
          <w:shd w:val="clear" w:color="auto" w:fill="FFFFFF"/>
          <w:lang w:val="ru-RU"/>
        </w:rPr>
        <w:t xml:space="preserve"> </w:t>
      </w:r>
      <w:r w:rsidRPr="008439CA">
        <w:rPr>
          <w:rFonts w:ascii="Times New Roman" w:hAnsi="Times New Roman"/>
          <w:color w:val="000000"/>
          <w:sz w:val="28"/>
          <w:szCs w:val="28"/>
          <w:shd w:val="clear" w:color="auto" w:fill="FFFFFF"/>
        </w:rPr>
        <w:t>д</w:t>
      </w:r>
      <w:r w:rsidRPr="008439CA">
        <w:rPr>
          <w:rFonts w:ascii="Times New Roman" w:hAnsi="Times New Roman"/>
          <w:color w:val="000000"/>
          <w:sz w:val="28"/>
          <w:szCs w:val="28"/>
          <w:shd w:val="clear" w:color="auto" w:fill="FFFFFF"/>
          <w:lang w:val="ru-RU"/>
        </w:rPr>
        <w:t>-</w:t>
      </w:r>
      <w:r w:rsidRPr="008439CA">
        <w:rPr>
          <w:rFonts w:ascii="Times New Roman" w:hAnsi="Times New Roman"/>
          <w:color w:val="000000"/>
          <w:sz w:val="28"/>
          <w:szCs w:val="28"/>
          <w:shd w:val="clear" w:color="auto" w:fill="FFFFFF"/>
        </w:rPr>
        <w:t>ра пс</w:t>
      </w:r>
      <w:r w:rsidRPr="008439CA">
        <w:rPr>
          <w:rFonts w:ascii="Times New Roman" w:hAnsi="Times New Roman"/>
          <w:color w:val="000000"/>
          <w:sz w:val="28"/>
          <w:szCs w:val="28"/>
          <w:shd w:val="clear" w:color="auto" w:fill="FFFFFF"/>
          <w:lang w:val="ru-RU"/>
        </w:rPr>
        <w:t>ихолог. н</w:t>
      </w:r>
      <w:r w:rsidRPr="008439CA">
        <w:rPr>
          <w:rFonts w:ascii="Times New Roman" w:hAnsi="Times New Roman"/>
          <w:color w:val="000000"/>
          <w:sz w:val="28"/>
          <w:szCs w:val="28"/>
          <w:shd w:val="clear" w:color="auto" w:fill="FFFFFF"/>
        </w:rPr>
        <w:t>аук</w:t>
      </w:r>
      <w:r w:rsidRPr="008439CA">
        <w:rPr>
          <w:rFonts w:ascii="Times New Roman" w:hAnsi="Times New Roman"/>
          <w:color w:val="000000"/>
          <w:sz w:val="28"/>
          <w:szCs w:val="28"/>
          <w:shd w:val="clear" w:color="auto" w:fill="FFFFFF"/>
          <w:lang w:val="ru-RU"/>
        </w:rPr>
        <w:t xml:space="preserve"> </w:t>
      </w:r>
      <w:r w:rsidRPr="008439CA">
        <w:rPr>
          <w:rFonts w:ascii="Times New Roman" w:hAnsi="Times New Roman"/>
          <w:color w:val="000000"/>
          <w:sz w:val="28"/>
          <w:szCs w:val="28"/>
          <w:shd w:val="clear" w:color="auto" w:fill="FFFFFF"/>
        </w:rPr>
        <w:t>: 19.00.10 /</w:t>
      </w:r>
      <w:r w:rsidRPr="008439CA">
        <w:rPr>
          <w:rFonts w:ascii="Times New Roman" w:hAnsi="Times New Roman"/>
          <w:color w:val="000000"/>
          <w:sz w:val="28"/>
          <w:szCs w:val="28"/>
          <w:shd w:val="clear" w:color="auto" w:fill="FFFFFF"/>
          <w:lang w:val="ru-RU"/>
        </w:rPr>
        <w:t> </w:t>
      </w:r>
      <w:r w:rsidRPr="008439CA">
        <w:rPr>
          <w:rFonts w:ascii="Times New Roman" w:hAnsi="Times New Roman"/>
          <w:color w:val="000000"/>
          <w:sz w:val="28"/>
          <w:szCs w:val="28"/>
          <w:shd w:val="clear" w:color="auto" w:fill="FFFFFF"/>
        </w:rPr>
        <w:t>Петшак Влодимеж ; НИИ дефектологии. − Москва, 1991. – 38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color w:val="000000"/>
          <w:sz w:val="28"/>
          <w:szCs w:val="28"/>
          <w:shd w:val="clear" w:color="auto" w:fill="FFFFFF"/>
        </w:rPr>
      </w:pPr>
      <w:r w:rsidRPr="008439CA">
        <w:rPr>
          <w:rFonts w:ascii="Times New Roman" w:hAnsi="Times New Roman"/>
          <w:bCs/>
          <w:color w:val="000000"/>
          <w:sz w:val="28"/>
          <w:szCs w:val="28"/>
        </w:rPr>
        <w:t>Подильчак</w:t>
      </w:r>
      <w:r w:rsidRPr="008439CA">
        <w:rPr>
          <w:rFonts w:ascii="Times New Roman" w:hAnsi="Times New Roman"/>
          <w:bCs/>
          <w:color w:val="000000"/>
          <w:sz w:val="28"/>
          <w:szCs w:val="28"/>
          <w:lang w:val="ru-RU"/>
        </w:rPr>
        <w:t> </w:t>
      </w:r>
      <w:r w:rsidRPr="008439CA">
        <w:rPr>
          <w:rFonts w:ascii="Times New Roman" w:hAnsi="Times New Roman"/>
          <w:bCs/>
          <w:color w:val="000000"/>
          <w:sz w:val="28"/>
          <w:szCs w:val="28"/>
        </w:rPr>
        <w:t>М.</w:t>
      </w:r>
      <w:r w:rsidRPr="008439CA">
        <w:rPr>
          <w:rFonts w:ascii="Times New Roman" w:hAnsi="Times New Roman"/>
          <w:bCs/>
          <w:color w:val="000000"/>
          <w:sz w:val="28"/>
          <w:szCs w:val="28"/>
          <w:lang w:val="ru-RU"/>
        </w:rPr>
        <w:t> </w:t>
      </w:r>
      <w:r w:rsidRPr="008439CA">
        <w:rPr>
          <w:rFonts w:ascii="Times New Roman" w:hAnsi="Times New Roman"/>
          <w:bCs/>
          <w:color w:val="000000"/>
          <w:sz w:val="28"/>
          <w:szCs w:val="28"/>
        </w:rPr>
        <w:t xml:space="preserve">Д. </w:t>
      </w:r>
      <w:r w:rsidRPr="008439CA">
        <w:rPr>
          <w:rFonts w:ascii="Times New Roman" w:hAnsi="Times New Roman"/>
          <w:color w:val="000000"/>
          <w:sz w:val="28"/>
          <w:szCs w:val="28"/>
        </w:rPr>
        <w:t xml:space="preserve">Клиническая </w:t>
      </w:r>
      <w:r w:rsidRPr="008439CA">
        <w:rPr>
          <w:rFonts w:ascii="Times New Roman" w:hAnsi="Times New Roman"/>
          <w:color w:val="000000"/>
          <w:sz w:val="28"/>
          <w:szCs w:val="28"/>
          <w:shd w:val="clear" w:color="auto" w:fill="FFFFFF"/>
        </w:rPr>
        <w:t>энзимология : монография / М. Д. Подильчак</w:t>
      </w:r>
      <w:r w:rsidRPr="008439CA">
        <w:rPr>
          <w:rFonts w:ascii="Times New Roman" w:hAnsi="Times New Roman"/>
          <w:color w:val="000000"/>
          <w:sz w:val="28"/>
          <w:szCs w:val="28"/>
          <w:shd w:val="clear" w:color="auto" w:fill="FFFFFF"/>
          <w:lang w:val="ru-RU"/>
        </w:rPr>
        <w:t>.</w:t>
      </w:r>
      <w:r w:rsidRPr="008439CA">
        <w:rPr>
          <w:rFonts w:ascii="Times New Roman" w:hAnsi="Times New Roman"/>
          <w:color w:val="000000"/>
          <w:sz w:val="28"/>
          <w:szCs w:val="28"/>
          <w:shd w:val="clear" w:color="auto" w:fill="FFFFFF"/>
        </w:rPr>
        <w:t xml:space="preserve"> – Киев : Здоров’я, 1967. – 292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Поляник Н. Я. Особливості стоматологічного здоров’я дітей з вадами слуху : автореф. дис. … канд. мед. наук : 14.01.22 / Поляник Наталя Ярославівна ; Національна медична академія післядипломної освіти ім.</w:t>
      </w:r>
      <w:r w:rsidRPr="008439CA">
        <w:rPr>
          <w:rFonts w:ascii="Times New Roman" w:hAnsi="Times New Roman"/>
          <w:sz w:val="28"/>
          <w:szCs w:val="28"/>
          <w:lang w:val="ru-RU"/>
        </w:rPr>
        <w:t> </w:t>
      </w:r>
      <w:r w:rsidRPr="008439CA">
        <w:rPr>
          <w:rFonts w:ascii="Times New Roman" w:hAnsi="Times New Roman"/>
          <w:sz w:val="28"/>
          <w:szCs w:val="28"/>
        </w:rPr>
        <w:t>П.</w:t>
      </w:r>
      <w:r w:rsidRPr="008439CA">
        <w:rPr>
          <w:rFonts w:ascii="Times New Roman" w:hAnsi="Times New Roman"/>
          <w:sz w:val="28"/>
          <w:szCs w:val="28"/>
          <w:lang w:val="ru-RU"/>
        </w:rPr>
        <w:t> </w:t>
      </w:r>
      <w:r w:rsidRPr="008439CA">
        <w:rPr>
          <w:rFonts w:ascii="Times New Roman" w:hAnsi="Times New Roman"/>
          <w:sz w:val="28"/>
          <w:szCs w:val="28"/>
        </w:rPr>
        <w:t>Л.</w:t>
      </w:r>
      <w:r w:rsidRPr="008439CA">
        <w:rPr>
          <w:rFonts w:ascii="Times New Roman" w:hAnsi="Times New Roman"/>
          <w:sz w:val="28"/>
          <w:szCs w:val="28"/>
          <w:lang w:val="ru-RU"/>
        </w:rPr>
        <w:t> </w:t>
      </w:r>
      <w:r w:rsidRPr="008439CA">
        <w:rPr>
          <w:rFonts w:ascii="Times New Roman" w:hAnsi="Times New Roman"/>
          <w:sz w:val="28"/>
          <w:szCs w:val="28"/>
        </w:rPr>
        <w:t>Шупика. – Київ, 2008. − 18 с.</w:t>
      </w:r>
    </w:p>
    <w:p w:rsidR="00534FB5" w:rsidRPr="008439CA" w:rsidRDefault="00534FB5" w:rsidP="008439CA">
      <w:pPr>
        <w:pStyle w:val="af8"/>
        <w:numPr>
          <w:ilvl w:val="0"/>
          <w:numId w:val="7"/>
        </w:numPr>
        <w:spacing w:after="0" w:line="360" w:lineRule="auto"/>
        <w:ind w:left="-142" w:firstLine="0"/>
        <w:jc w:val="both"/>
        <w:rPr>
          <w:rStyle w:val="apple-style-span"/>
          <w:rFonts w:ascii="Times New Roman" w:hAnsi="Times New Roman"/>
          <w:sz w:val="28"/>
          <w:szCs w:val="28"/>
        </w:rPr>
      </w:pPr>
      <w:r w:rsidRPr="008439CA">
        <w:rPr>
          <w:rFonts w:ascii="Times New Roman" w:hAnsi="Times New Roman"/>
          <w:sz w:val="28"/>
          <w:szCs w:val="28"/>
        </w:rPr>
        <w:t>Прихожан</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М. Психология сиротства /</w:t>
      </w:r>
      <w:r w:rsidRPr="008439CA">
        <w:rPr>
          <w:rFonts w:ascii="Times New Roman" w:hAnsi="Times New Roman"/>
          <w:sz w:val="28"/>
          <w:szCs w:val="28"/>
          <w:lang w:val="ru-RU"/>
        </w:rPr>
        <w:t> </w:t>
      </w:r>
      <w:r w:rsidRPr="008439CA">
        <w:rPr>
          <w:rFonts w:ascii="Times New Roman" w:hAnsi="Times New Roman"/>
          <w:sz w:val="28"/>
          <w:szCs w:val="28"/>
        </w:rPr>
        <w:t>А.</w:t>
      </w:r>
      <w:r w:rsidRPr="008439CA">
        <w:rPr>
          <w:rFonts w:ascii="Times New Roman" w:hAnsi="Times New Roman"/>
          <w:sz w:val="28"/>
          <w:szCs w:val="28"/>
          <w:lang w:val="ru-RU"/>
        </w:rPr>
        <w:t> </w:t>
      </w:r>
      <w:r w:rsidRPr="008439CA">
        <w:rPr>
          <w:rFonts w:ascii="Times New Roman" w:hAnsi="Times New Roman"/>
          <w:sz w:val="28"/>
          <w:szCs w:val="28"/>
        </w:rPr>
        <w:t>М.</w:t>
      </w:r>
      <w:r w:rsidRPr="008439CA">
        <w:rPr>
          <w:rFonts w:ascii="Times New Roman" w:hAnsi="Times New Roman"/>
          <w:sz w:val="28"/>
          <w:szCs w:val="28"/>
          <w:lang w:val="ru-RU"/>
        </w:rPr>
        <w:t> </w:t>
      </w:r>
      <w:r w:rsidRPr="008439CA">
        <w:rPr>
          <w:rFonts w:ascii="Times New Roman" w:hAnsi="Times New Roman"/>
          <w:sz w:val="28"/>
          <w:szCs w:val="28"/>
        </w:rPr>
        <w:t>Прихожан, Н.</w:t>
      </w:r>
      <w:r w:rsidRPr="008439CA">
        <w:rPr>
          <w:rFonts w:ascii="Times New Roman" w:hAnsi="Times New Roman"/>
          <w:sz w:val="28"/>
          <w:szCs w:val="28"/>
          <w:lang w:val="ru-RU"/>
        </w:rPr>
        <w:t> </w:t>
      </w:r>
      <w:r w:rsidRPr="008439CA">
        <w:rPr>
          <w:rFonts w:ascii="Times New Roman" w:hAnsi="Times New Roman"/>
          <w:sz w:val="28"/>
          <w:szCs w:val="28"/>
        </w:rPr>
        <w:t>Н.</w:t>
      </w:r>
      <w:r w:rsidRPr="008439CA">
        <w:rPr>
          <w:rFonts w:ascii="Times New Roman" w:hAnsi="Times New Roman"/>
          <w:sz w:val="28"/>
          <w:szCs w:val="28"/>
          <w:lang w:val="ru-RU"/>
        </w:rPr>
        <w:t> </w:t>
      </w:r>
      <w:r w:rsidRPr="008439CA">
        <w:rPr>
          <w:rFonts w:ascii="Times New Roman" w:hAnsi="Times New Roman"/>
          <w:sz w:val="28"/>
          <w:szCs w:val="28"/>
        </w:rPr>
        <w:t>Толстых.</w:t>
      </w:r>
      <w:r w:rsidRPr="008439CA">
        <w:rPr>
          <w:rFonts w:ascii="Times New Roman" w:hAnsi="Times New Roman"/>
          <w:sz w:val="28"/>
          <w:szCs w:val="28"/>
          <w:lang w:val="ru-RU"/>
        </w:rPr>
        <w:t> </w:t>
      </w:r>
      <w:r w:rsidRPr="008439CA">
        <w:rPr>
          <w:rFonts w:ascii="Times New Roman" w:hAnsi="Times New Roman"/>
          <w:sz w:val="28"/>
          <w:szCs w:val="28"/>
        </w:rPr>
        <w:t>– С</w:t>
      </w:r>
      <w:r w:rsidRPr="008439CA">
        <w:rPr>
          <w:rFonts w:ascii="Times New Roman" w:hAnsi="Times New Roman"/>
          <w:sz w:val="28"/>
          <w:szCs w:val="28"/>
          <w:lang w:val="ru-RU"/>
        </w:rPr>
        <w:t>анкт-</w:t>
      </w:r>
      <w:r w:rsidRPr="008439CA">
        <w:rPr>
          <w:rFonts w:ascii="Times New Roman" w:hAnsi="Times New Roman"/>
          <w:sz w:val="28"/>
          <w:szCs w:val="28"/>
        </w:rPr>
        <w:t>П</w:t>
      </w:r>
      <w:r w:rsidRPr="008439CA">
        <w:rPr>
          <w:rFonts w:ascii="Times New Roman" w:hAnsi="Times New Roman"/>
          <w:sz w:val="28"/>
          <w:szCs w:val="28"/>
          <w:lang w:val="ru-RU"/>
        </w:rPr>
        <w:t>етер</w:t>
      </w:r>
      <w:r w:rsidRPr="008439CA">
        <w:rPr>
          <w:rFonts w:ascii="Times New Roman" w:hAnsi="Times New Roman"/>
          <w:sz w:val="28"/>
          <w:szCs w:val="28"/>
        </w:rPr>
        <w:t>б</w:t>
      </w:r>
      <w:r w:rsidRPr="008439CA">
        <w:rPr>
          <w:rFonts w:ascii="Times New Roman" w:hAnsi="Times New Roman"/>
          <w:sz w:val="28"/>
          <w:szCs w:val="28"/>
          <w:lang w:val="ru-RU"/>
        </w:rPr>
        <w:t>ург</w:t>
      </w:r>
      <w:r w:rsidRPr="008439CA">
        <w:rPr>
          <w:rFonts w:ascii="Times New Roman" w:hAnsi="Times New Roman"/>
          <w:sz w:val="28"/>
          <w:szCs w:val="28"/>
        </w:rPr>
        <w:t xml:space="preserve"> : Питер, 2007</w:t>
      </w:r>
      <w:r w:rsidRPr="008439CA">
        <w:rPr>
          <w:rFonts w:ascii="Times New Roman" w:hAnsi="Times New Roman"/>
          <w:sz w:val="28"/>
          <w:szCs w:val="28"/>
          <w:lang w:val="ru-RU"/>
        </w:rPr>
        <w:t xml:space="preserve">. – </w:t>
      </w:r>
      <w:r w:rsidRPr="008439CA">
        <w:rPr>
          <w:rFonts w:ascii="Times New Roman" w:hAnsi="Times New Roman"/>
          <w:sz w:val="28"/>
          <w:szCs w:val="28"/>
        </w:rPr>
        <w:t>416</w:t>
      </w:r>
      <w:r w:rsidRPr="008439CA">
        <w:rPr>
          <w:rFonts w:ascii="Times New Roman" w:hAnsi="Times New Roman"/>
          <w:sz w:val="28"/>
          <w:szCs w:val="28"/>
          <w:lang w:val="ru-RU"/>
        </w:rPr>
        <w:t> </w:t>
      </w:r>
      <w:r w:rsidRPr="008439CA">
        <w:rPr>
          <w:rFonts w:ascii="Times New Roman" w:hAnsi="Times New Roman"/>
          <w:sz w:val="28"/>
          <w:szCs w:val="28"/>
        </w:rPr>
        <w:t>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bCs/>
          <w:sz w:val="28"/>
          <w:szCs w:val="28"/>
          <w:shd w:val="clear" w:color="auto" w:fill="FFFFFF"/>
          <w:lang w:val="ru-RU"/>
        </w:rPr>
        <w:t>Профилактика</w:t>
      </w:r>
      <w:r w:rsidRPr="008439CA">
        <w:rPr>
          <w:rStyle w:val="apple-converted-space"/>
          <w:rFonts w:ascii="Times New Roman" w:hAnsi="Times New Roman"/>
          <w:bCs/>
          <w:sz w:val="28"/>
          <w:szCs w:val="28"/>
          <w:shd w:val="clear" w:color="auto" w:fill="FFFFFF"/>
          <w:lang w:val="ru-RU"/>
        </w:rPr>
        <w:t xml:space="preserve"> </w:t>
      </w:r>
      <w:r w:rsidRPr="008439CA">
        <w:rPr>
          <w:rFonts w:ascii="Times New Roman" w:hAnsi="Times New Roman"/>
          <w:bCs/>
          <w:sz w:val="28"/>
          <w:szCs w:val="28"/>
          <w:shd w:val="clear" w:color="auto" w:fill="FFFFFF"/>
          <w:lang w:val="ru-RU"/>
        </w:rPr>
        <w:t>стоматологических</w:t>
      </w:r>
      <w:r w:rsidRPr="008439CA">
        <w:rPr>
          <w:rStyle w:val="apple-converted-space"/>
          <w:rFonts w:ascii="Times New Roman" w:hAnsi="Times New Roman"/>
          <w:bCs/>
          <w:sz w:val="28"/>
          <w:szCs w:val="28"/>
          <w:shd w:val="clear" w:color="auto" w:fill="FFFFFF"/>
          <w:lang w:val="ru-RU"/>
        </w:rPr>
        <w:t xml:space="preserve"> </w:t>
      </w:r>
      <w:r w:rsidRPr="008439CA">
        <w:rPr>
          <w:rFonts w:ascii="Times New Roman" w:hAnsi="Times New Roman"/>
          <w:bCs/>
          <w:sz w:val="28"/>
          <w:szCs w:val="28"/>
          <w:shd w:val="clear" w:color="auto" w:fill="FFFFFF"/>
          <w:lang w:val="ru-RU"/>
        </w:rPr>
        <w:t>заболеваний</w:t>
      </w:r>
      <w:r w:rsidRPr="008439CA">
        <w:rPr>
          <w:rStyle w:val="apple-converted-space"/>
          <w:rFonts w:ascii="Times New Roman" w:hAnsi="Times New Roman"/>
          <w:sz w:val="28"/>
          <w:szCs w:val="28"/>
          <w:shd w:val="clear" w:color="auto" w:fill="FFFFFF"/>
          <w:lang w:val="ru-RU"/>
        </w:rPr>
        <w:t xml:space="preserve"> </w:t>
      </w:r>
      <w:r w:rsidRPr="008439CA">
        <w:rPr>
          <w:rFonts w:ascii="Times New Roman" w:hAnsi="Times New Roman"/>
          <w:sz w:val="28"/>
          <w:szCs w:val="28"/>
          <w:shd w:val="clear" w:color="auto" w:fill="FFFFFF"/>
          <w:lang w:val="ru-RU"/>
        </w:rPr>
        <w:t>: учебное пособие для студентов стоматологического факультета, врачей-интернов / МОЗ Украины, Харьковский государственный медицинский университет ; под ред. В. И. Куцевляка. – 2-е изд., стереотип. − Харьков : ХГМУ, 2004. – 216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Психическая депривация : хрестоматия / сост. Н. Н. Крыгина.</w:t>
      </w:r>
      <w:r w:rsidRPr="008439CA">
        <w:rPr>
          <w:rFonts w:ascii="Times New Roman" w:hAnsi="Times New Roman"/>
          <w:sz w:val="28"/>
          <w:szCs w:val="28"/>
          <w:lang w:val="ru-RU"/>
        </w:rPr>
        <w:t> </w:t>
      </w:r>
      <w:r w:rsidRPr="008439CA">
        <w:rPr>
          <w:rFonts w:ascii="Times New Roman" w:hAnsi="Times New Roman"/>
          <w:sz w:val="28"/>
          <w:szCs w:val="28"/>
        </w:rPr>
        <w:t>− Магнитогорск : МаГУ, 2003. – 132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Психосоматическая патология как результат психологического стресса и незавершенной психофизиологической адаптации /</w:t>
      </w:r>
      <w:r w:rsidRPr="008439CA">
        <w:rPr>
          <w:rFonts w:ascii="Times New Roman" w:hAnsi="Times New Roman"/>
          <w:sz w:val="28"/>
          <w:szCs w:val="28"/>
          <w:lang w:val="en-US"/>
        </w:rPr>
        <w:t> </w:t>
      </w:r>
      <w:r w:rsidRPr="008439CA">
        <w:rPr>
          <w:rFonts w:ascii="Times New Roman" w:hAnsi="Times New Roman"/>
          <w:sz w:val="28"/>
          <w:szCs w:val="28"/>
        </w:rPr>
        <w:t>Е.</w:t>
      </w:r>
      <w:r w:rsidRPr="008439CA">
        <w:rPr>
          <w:rFonts w:ascii="Times New Roman" w:hAnsi="Times New Roman"/>
          <w:sz w:val="28"/>
          <w:szCs w:val="28"/>
          <w:lang w:val="en-US"/>
        </w:rPr>
        <w:t> </w:t>
      </w:r>
      <w:r w:rsidRPr="008439CA">
        <w:rPr>
          <w:rFonts w:ascii="Times New Roman" w:hAnsi="Times New Roman"/>
          <w:sz w:val="28"/>
          <w:szCs w:val="28"/>
        </w:rPr>
        <w:t>С.</w:t>
      </w:r>
      <w:r w:rsidRPr="008439CA">
        <w:rPr>
          <w:rFonts w:ascii="Times New Roman" w:hAnsi="Times New Roman"/>
          <w:sz w:val="28"/>
          <w:szCs w:val="28"/>
          <w:lang w:val="en-US"/>
        </w:rPr>
        <w:t> </w:t>
      </w:r>
      <w:r w:rsidRPr="008439CA">
        <w:rPr>
          <w:rFonts w:ascii="Times New Roman" w:hAnsi="Times New Roman"/>
          <w:sz w:val="28"/>
          <w:szCs w:val="28"/>
        </w:rPr>
        <w:t>Оленко, В.</w:t>
      </w:r>
      <w:r w:rsidRPr="008439CA">
        <w:rPr>
          <w:rFonts w:ascii="Times New Roman" w:hAnsi="Times New Roman"/>
          <w:sz w:val="28"/>
          <w:szCs w:val="28"/>
          <w:lang w:val="en-US"/>
        </w:rPr>
        <w:t> </w:t>
      </w:r>
      <w:r w:rsidRPr="008439CA">
        <w:rPr>
          <w:rFonts w:ascii="Times New Roman" w:hAnsi="Times New Roman"/>
          <w:sz w:val="28"/>
          <w:szCs w:val="28"/>
        </w:rPr>
        <w:t>Ф.</w:t>
      </w:r>
      <w:r w:rsidRPr="008439CA">
        <w:rPr>
          <w:rFonts w:ascii="Times New Roman" w:hAnsi="Times New Roman"/>
          <w:sz w:val="28"/>
          <w:szCs w:val="28"/>
          <w:lang w:val="en-US"/>
        </w:rPr>
        <w:t> </w:t>
      </w:r>
      <w:r w:rsidRPr="008439CA">
        <w:rPr>
          <w:rFonts w:ascii="Times New Roman" w:hAnsi="Times New Roman"/>
          <w:sz w:val="28"/>
          <w:szCs w:val="28"/>
        </w:rPr>
        <w:t>Киричук, С.</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 xml:space="preserve">Сачков </w:t>
      </w:r>
      <w:r w:rsidRPr="008439CA">
        <w:rPr>
          <w:rFonts w:ascii="Times New Roman" w:hAnsi="Times New Roman"/>
          <w:sz w:val="28"/>
          <w:szCs w:val="28"/>
          <w:lang w:val="ru-RU"/>
        </w:rPr>
        <w:t xml:space="preserve">[и др.] </w:t>
      </w:r>
      <w:r w:rsidRPr="008439CA">
        <w:rPr>
          <w:rFonts w:ascii="Times New Roman" w:hAnsi="Times New Roman"/>
          <w:sz w:val="28"/>
          <w:szCs w:val="28"/>
        </w:rPr>
        <w:t>// Успехи современного естествознания. – 2009. − № 3. – С. 27.</w:t>
      </w:r>
    </w:p>
    <w:p w:rsidR="00534FB5" w:rsidRPr="008439CA" w:rsidRDefault="00534FB5" w:rsidP="008439CA">
      <w:pPr>
        <w:pStyle w:val="af8"/>
        <w:numPr>
          <w:ilvl w:val="0"/>
          <w:numId w:val="7"/>
        </w:numPr>
        <w:spacing w:after="0" w:line="360" w:lineRule="auto"/>
        <w:ind w:left="-142" w:firstLine="0"/>
        <w:jc w:val="both"/>
        <w:rPr>
          <w:rStyle w:val="apple-style-span"/>
          <w:rFonts w:ascii="Times New Roman" w:hAnsi="Times New Roman"/>
          <w:color w:val="000000"/>
          <w:sz w:val="28"/>
          <w:szCs w:val="28"/>
        </w:rPr>
      </w:pPr>
      <w:r w:rsidRPr="008439CA">
        <w:rPr>
          <w:rStyle w:val="apple-style-span"/>
          <w:rFonts w:ascii="Times New Roman" w:hAnsi="Times New Roman"/>
          <w:color w:val="000000"/>
          <w:sz w:val="28"/>
          <w:szCs w:val="28"/>
        </w:rPr>
        <w:t>Пушкар В. А. Особливості розвитку образу "Я" дітей-сиріт у навчальних закладах інтернатного типу : дис. ... канд. психол. наук</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 xml:space="preserve">: </w:t>
      </w:r>
      <w:r w:rsidRPr="008439CA">
        <w:rPr>
          <w:rStyle w:val="apple-style-span"/>
          <w:rFonts w:ascii="Times New Roman" w:hAnsi="Times New Roman"/>
          <w:color w:val="000000"/>
          <w:sz w:val="28"/>
          <w:szCs w:val="28"/>
        </w:rPr>
        <w:lastRenderedPageBreak/>
        <w:t>19.00.07 /</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Пушкар Вікторія Анатоліївна ; Ін-т психології ім.</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Г.</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С.</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Костюка АПН України. − Київ, 2007. – 191 с.</w:t>
      </w:r>
    </w:p>
    <w:p w:rsidR="00534FB5" w:rsidRPr="008439CA" w:rsidRDefault="00534FB5" w:rsidP="008439CA">
      <w:pPr>
        <w:pStyle w:val="af8"/>
        <w:numPr>
          <w:ilvl w:val="0"/>
          <w:numId w:val="7"/>
        </w:numPr>
        <w:spacing w:after="0" w:line="360" w:lineRule="auto"/>
        <w:ind w:left="-142" w:firstLine="0"/>
        <w:jc w:val="both"/>
        <w:rPr>
          <w:rStyle w:val="apple-style-span"/>
          <w:rFonts w:ascii="Times New Roman" w:hAnsi="Times New Roman"/>
          <w:sz w:val="28"/>
          <w:szCs w:val="28"/>
        </w:rPr>
      </w:pPr>
      <w:r w:rsidRPr="008439CA">
        <w:rPr>
          <w:rStyle w:val="apple-style-span"/>
          <w:rFonts w:ascii="Times New Roman" w:hAnsi="Times New Roman"/>
          <w:color w:val="000000"/>
          <w:sz w:val="28"/>
          <w:szCs w:val="28"/>
        </w:rPr>
        <w:t>Развитие личности ребенка в условиях депривации : сборник научн</w:t>
      </w:r>
      <w:r w:rsidRPr="008439CA">
        <w:rPr>
          <w:rStyle w:val="apple-style-span"/>
          <w:rFonts w:ascii="Times New Roman" w:hAnsi="Times New Roman"/>
          <w:color w:val="000000"/>
          <w:sz w:val="28"/>
          <w:szCs w:val="28"/>
          <w:lang w:val="ru-RU"/>
        </w:rPr>
        <w:t>ых</w:t>
      </w:r>
      <w:r w:rsidRPr="008439CA">
        <w:rPr>
          <w:rStyle w:val="apple-style-span"/>
          <w:rFonts w:ascii="Times New Roman" w:hAnsi="Times New Roman"/>
          <w:color w:val="000000"/>
          <w:sz w:val="28"/>
          <w:szCs w:val="28"/>
        </w:rPr>
        <w:t xml:space="preserve"> тр</w:t>
      </w:r>
      <w:r w:rsidRPr="008439CA">
        <w:rPr>
          <w:rStyle w:val="apple-style-span"/>
          <w:rFonts w:ascii="Times New Roman" w:hAnsi="Times New Roman"/>
          <w:color w:val="000000"/>
          <w:sz w:val="28"/>
          <w:szCs w:val="28"/>
          <w:lang w:val="ru-RU"/>
        </w:rPr>
        <w:t>удов</w:t>
      </w:r>
      <w:r w:rsidRPr="008439CA">
        <w:rPr>
          <w:rStyle w:val="apple-style-span"/>
          <w:rFonts w:ascii="Times New Roman" w:hAnsi="Times New Roman"/>
          <w:color w:val="000000"/>
          <w:sz w:val="28"/>
          <w:szCs w:val="28"/>
        </w:rPr>
        <w:t xml:space="preserve"> / МО РФ, РИПКРО, Лаборатория психологической диагностики и коррекции ; под общ. ред. проф. B.</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C.</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 xml:space="preserve">Мухиной. – Москва </w:t>
      </w:r>
      <w:r w:rsidRPr="008439CA">
        <w:rPr>
          <w:rFonts w:ascii="Times New Roman" w:hAnsi="Times New Roman"/>
          <w:sz w:val="28"/>
          <w:szCs w:val="28"/>
        </w:rPr>
        <w:t>: РИПКРО, 1994</w:t>
      </w:r>
      <w:r w:rsidRPr="008439CA">
        <w:rPr>
          <w:rStyle w:val="apple-style-span"/>
          <w:rFonts w:ascii="Times New Roman" w:hAnsi="Times New Roman"/>
          <w:color w:val="000000"/>
          <w:sz w:val="28"/>
          <w:szCs w:val="28"/>
        </w:rPr>
        <w:t>. – 60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shd w:val="clear" w:color="auto" w:fill="FFFFFF"/>
          <w:lang w:val="ru-RU"/>
        </w:rPr>
        <w:t>Разумеева</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Г.</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И. Первичная профилактика стоматологических заболеваний у детей /</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Г.</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И.</w:t>
      </w:r>
      <w:r w:rsidRPr="008439CA">
        <w:rPr>
          <w:rFonts w:ascii="Times New Roman" w:hAnsi="Times New Roman"/>
          <w:sz w:val="28"/>
          <w:szCs w:val="28"/>
          <w:shd w:val="clear" w:color="auto" w:fill="FFFFFF"/>
          <w:lang w:val="en-US"/>
        </w:rPr>
        <w:t> </w:t>
      </w:r>
      <w:r w:rsidRPr="008439CA">
        <w:rPr>
          <w:rFonts w:ascii="Times New Roman" w:hAnsi="Times New Roman"/>
          <w:sz w:val="28"/>
          <w:szCs w:val="28"/>
          <w:shd w:val="clear" w:color="auto" w:fill="FFFFFF"/>
          <w:lang w:val="ru-RU"/>
        </w:rPr>
        <w:t>Разумеева, Е. В Удовицкая, Н. М. Букреева. – К</w:t>
      </w:r>
      <w:r w:rsidRPr="008439CA">
        <w:rPr>
          <w:rFonts w:ascii="Times New Roman" w:hAnsi="Times New Roman"/>
          <w:sz w:val="28"/>
          <w:szCs w:val="28"/>
          <w:shd w:val="clear" w:color="auto" w:fill="FFFFFF"/>
        </w:rPr>
        <w:t>иїв </w:t>
      </w:r>
      <w:r w:rsidRPr="008439CA">
        <w:rPr>
          <w:rFonts w:ascii="Times New Roman" w:hAnsi="Times New Roman"/>
          <w:sz w:val="28"/>
          <w:szCs w:val="28"/>
          <w:shd w:val="clear" w:color="auto" w:fill="FFFFFF"/>
          <w:lang w:val="ru-RU"/>
        </w:rPr>
        <w:t>: Здоров’я, 1987. – 152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Растительные адаптогены в профилактике и лечении стоматологических заболеваний /</w:t>
      </w:r>
      <w:r w:rsidRPr="008439CA">
        <w:rPr>
          <w:rFonts w:ascii="Times New Roman" w:hAnsi="Times New Roman"/>
          <w:sz w:val="28"/>
          <w:szCs w:val="28"/>
          <w:lang w:val="en-US"/>
        </w:rPr>
        <w:t> </w:t>
      </w:r>
      <w:r w:rsidRPr="008439CA">
        <w:rPr>
          <w:rFonts w:ascii="Times New Roman" w:hAnsi="Times New Roman"/>
          <w:sz w:val="28"/>
          <w:szCs w:val="28"/>
        </w:rPr>
        <w:t>К.</w:t>
      </w:r>
      <w:r w:rsidRPr="008439CA">
        <w:rPr>
          <w:rFonts w:ascii="Times New Roman" w:hAnsi="Times New Roman"/>
          <w:sz w:val="28"/>
          <w:szCs w:val="28"/>
          <w:lang w:val="en-US"/>
        </w:rPr>
        <w:t> </w:t>
      </w:r>
      <w:r w:rsidRPr="008439CA">
        <w:rPr>
          <w:rFonts w:ascii="Times New Roman" w:hAnsi="Times New Roman"/>
          <w:sz w:val="28"/>
          <w:szCs w:val="28"/>
        </w:rPr>
        <w:t>Н.</w:t>
      </w:r>
      <w:r w:rsidRPr="008439CA">
        <w:rPr>
          <w:rFonts w:ascii="Times New Roman" w:hAnsi="Times New Roman"/>
          <w:sz w:val="28"/>
          <w:szCs w:val="28"/>
          <w:lang w:val="en-US"/>
        </w:rPr>
        <w:t> </w:t>
      </w:r>
      <w:r w:rsidRPr="008439CA">
        <w:rPr>
          <w:rFonts w:ascii="Times New Roman" w:hAnsi="Times New Roman"/>
          <w:sz w:val="28"/>
          <w:szCs w:val="28"/>
        </w:rPr>
        <w:t>Косенко, О.</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Деньга, А.</w:t>
      </w:r>
      <w:r w:rsidRPr="008439CA">
        <w:rPr>
          <w:rFonts w:ascii="Times New Roman" w:hAnsi="Times New Roman"/>
          <w:sz w:val="28"/>
          <w:szCs w:val="28"/>
          <w:lang w:val="en-US"/>
        </w:rPr>
        <w:t> </w:t>
      </w:r>
      <w:r w:rsidRPr="008439CA">
        <w:rPr>
          <w:rFonts w:ascii="Times New Roman" w:hAnsi="Times New Roman"/>
          <w:sz w:val="28"/>
          <w:szCs w:val="28"/>
        </w:rPr>
        <w:t>П.</w:t>
      </w:r>
      <w:r w:rsidRPr="008439CA">
        <w:rPr>
          <w:rFonts w:ascii="Times New Roman" w:hAnsi="Times New Roman"/>
          <w:sz w:val="28"/>
          <w:szCs w:val="28"/>
          <w:lang w:val="en-US"/>
        </w:rPr>
        <w:t> </w:t>
      </w:r>
      <w:r w:rsidRPr="008439CA">
        <w:rPr>
          <w:rFonts w:ascii="Times New Roman" w:hAnsi="Times New Roman"/>
          <w:sz w:val="28"/>
          <w:szCs w:val="28"/>
        </w:rPr>
        <w:t>Левицкий, О.</w:t>
      </w:r>
      <w:r w:rsidRPr="008439CA">
        <w:rPr>
          <w:rFonts w:ascii="Times New Roman" w:hAnsi="Times New Roman"/>
          <w:sz w:val="28"/>
          <w:szCs w:val="28"/>
          <w:lang w:val="en-US"/>
        </w:rPr>
        <w:t> </w:t>
      </w:r>
      <w:r w:rsidRPr="008439CA">
        <w:rPr>
          <w:rFonts w:ascii="Times New Roman" w:hAnsi="Times New Roman"/>
          <w:sz w:val="28"/>
          <w:szCs w:val="28"/>
        </w:rPr>
        <w:t>Н.</w:t>
      </w:r>
      <w:r w:rsidRPr="008439CA">
        <w:rPr>
          <w:rFonts w:ascii="Times New Roman" w:hAnsi="Times New Roman"/>
          <w:sz w:val="28"/>
          <w:szCs w:val="28"/>
          <w:lang w:val="en-US"/>
        </w:rPr>
        <w:t> </w:t>
      </w:r>
      <w:r w:rsidRPr="008439CA">
        <w:rPr>
          <w:rFonts w:ascii="Times New Roman" w:hAnsi="Times New Roman"/>
          <w:sz w:val="28"/>
          <w:szCs w:val="28"/>
        </w:rPr>
        <w:t>Воскресенский //</w:t>
      </w:r>
      <w:r w:rsidRPr="008439CA">
        <w:rPr>
          <w:rFonts w:ascii="Times New Roman" w:hAnsi="Times New Roman"/>
          <w:sz w:val="28"/>
          <w:szCs w:val="28"/>
          <w:lang w:val="en-US"/>
        </w:rPr>
        <w:t> </w:t>
      </w:r>
      <w:r w:rsidRPr="008439CA">
        <w:rPr>
          <w:rFonts w:ascii="Times New Roman" w:hAnsi="Times New Roman"/>
          <w:sz w:val="28"/>
          <w:szCs w:val="28"/>
        </w:rPr>
        <w:t>Вісник стоматології. – 2004. – №</w:t>
      </w:r>
      <w:r w:rsidRPr="008439CA">
        <w:rPr>
          <w:rFonts w:ascii="Times New Roman" w:hAnsi="Times New Roman"/>
          <w:sz w:val="28"/>
          <w:szCs w:val="28"/>
          <w:lang w:val="en-US"/>
        </w:rPr>
        <w:t> </w:t>
      </w:r>
      <w:r w:rsidRPr="008439CA">
        <w:rPr>
          <w:rFonts w:ascii="Times New Roman" w:hAnsi="Times New Roman"/>
          <w:sz w:val="28"/>
          <w:szCs w:val="28"/>
        </w:rPr>
        <w:t>1. – С.</w:t>
      </w:r>
      <w:r w:rsidRPr="008439CA">
        <w:rPr>
          <w:rFonts w:ascii="Times New Roman" w:hAnsi="Times New Roman"/>
          <w:sz w:val="28"/>
          <w:szCs w:val="28"/>
          <w:lang w:val="en-US"/>
        </w:rPr>
        <w:t> </w:t>
      </w:r>
      <w:r w:rsidRPr="008439CA">
        <w:rPr>
          <w:rFonts w:ascii="Times New Roman" w:hAnsi="Times New Roman"/>
          <w:sz w:val="28"/>
          <w:szCs w:val="28"/>
        </w:rPr>
        <w:t>108−115.</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Рахманов В. М. Психотерапия в сурдологии / В. М. Рахманов. – Киев : Здоров’я, 1988. – 168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Рахманов</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М. Психофізіологічний реабілітаційний потенціал хворих із сенсоневральною приглухуватістю та шляхи його оптимізації /</w:t>
      </w:r>
      <w:r w:rsidRPr="008439CA">
        <w:rPr>
          <w:rFonts w:ascii="Times New Roman" w:hAnsi="Times New Roman"/>
          <w:sz w:val="28"/>
          <w:szCs w:val="28"/>
          <w:lang w:val="en-US"/>
        </w:rPr>
        <w:t> </w:t>
      </w:r>
      <w:r w:rsidRPr="008439CA">
        <w:rPr>
          <w:rFonts w:ascii="Times New Roman" w:hAnsi="Times New Roman"/>
          <w:sz w:val="28"/>
          <w:szCs w:val="28"/>
        </w:rPr>
        <w:t>В.</w:t>
      </w:r>
      <w:r w:rsidRPr="008439CA">
        <w:rPr>
          <w:rFonts w:ascii="Times New Roman" w:hAnsi="Times New Roman"/>
          <w:sz w:val="28"/>
          <w:szCs w:val="28"/>
          <w:lang w:val="en-US"/>
        </w:rPr>
        <w:t> </w:t>
      </w:r>
      <w:r w:rsidRPr="008439CA">
        <w:rPr>
          <w:rFonts w:ascii="Times New Roman" w:hAnsi="Times New Roman"/>
          <w:sz w:val="28"/>
          <w:szCs w:val="28"/>
        </w:rPr>
        <w:t>М.</w:t>
      </w:r>
      <w:r w:rsidRPr="008439CA">
        <w:rPr>
          <w:rFonts w:ascii="Times New Roman" w:hAnsi="Times New Roman"/>
          <w:sz w:val="28"/>
          <w:szCs w:val="28"/>
          <w:lang w:val="en-US"/>
        </w:rPr>
        <w:t> </w:t>
      </w:r>
      <w:r w:rsidRPr="008439CA">
        <w:rPr>
          <w:rFonts w:ascii="Times New Roman" w:hAnsi="Times New Roman"/>
          <w:sz w:val="28"/>
          <w:szCs w:val="28"/>
        </w:rPr>
        <w:t>Рахманов, Д.</w:t>
      </w:r>
      <w:r w:rsidRPr="008439CA">
        <w:rPr>
          <w:rFonts w:ascii="Times New Roman" w:hAnsi="Times New Roman"/>
          <w:sz w:val="28"/>
          <w:szCs w:val="28"/>
          <w:lang w:val="en-US"/>
        </w:rPr>
        <w:t> </w:t>
      </w:r>
      <w:r w:rsidRPr="008439CA">
        <w:rPr>
          <w:rFonts w:ascii="Times New Roman" w:hAnsi="Times New Roman"/>
          <w:sz w:val="28"/>
          <w:szCs w:val="28"/>
        </w:rPr>
        <w:t>І.</w:t>
      </w:r>
      <w:r w:rsidRPr="008439CA">
        <w:rPr>
          <w:rFonts w:ascii="Times New Roman" w:hAnsi="Times New Roman"/>
          <w:sz w:val="28"/>
          <w:szCs w:val="28"/>
          <w:lang w:val="en-US"/>
        </w:rPr>
        <w:t> </w:t>
      </w:r>
      <w:r w:rsidRPr="008439CA">
        <w:rPr>
          <w:rFonts w:ascii="Times New Roman" w:hAnsi="Times New Roman"/>
          <w:sz w:val="28"/>
          <w:szCs w:val="28"/>
        </w:rPr>
        <w:t>Клименко //</w:t>
      </w:r>
      <w:r w:rsidRPr="008439CA">
        <w:rPr>
          <w:rFonts w:ascii="Times New Roman" w:hAnsi="Times New Roman"/>
          <w:sz w:val="28"/>
          <w:szCs w:val="28"/>
          <w:lang w:val="en-US"/>
        </w:rPr>
        <w:t> </w:t>
      </w:r>
      <w:r w:rsidRPr="008439CA">
        <w:rPr>
          <w:rFonts w:ascii="Times New Roman" w:hAnsi="Times New Roman"/>
          <w:sz w:val="28"/>
          <w:szCs w:val="28"/>
        </w:rPr>
        <w:t>Журнал вушних, носових і горлових хвороб.</w:t>
      </w:r>
      <w:r w:rsidRPr="008439CA">
        <w:rPr>
          <w:rFonts w:ascii="Times New Roman" w:hAnsi="Times New Roman"/>
          <w:sz w:val="28"/>
          <w:szCs w:val="28"/>
          <w:lang w:val="en-US"/>
        </w:rPr>
        <w:t> </w:t>
      </w:r>
      <w:r w:rsidRPr="008439CA">
        <w:rPr>
          <w:rFonts w:ascii="Times New Roman" w:hAnsi="Times New Roman"/>
          <w:sz w:val="28"/>
          <w:szCs w:val="28"/>
        </w:rPr>
        <w:t>− 2009. − №</w:t>
      </w:r>
      <w:r w:rsidRPr="008439CA">
        <w:rPr>
          <w:rFonts w:ascii="Times New Roman" w:hAnsi="Times New Roman"/>
          <w:sz w:val="28"/>
          <w:szCs w:val="28"/>
          <w:lang w:val="en-US"/>
        </w:rPr>
        <w:t> </w:t>
      </w:r>
      <w:r w:rsidRPr="008439CA">
        <w:rPr>
          <w:rFonts w:ascii="Times New Roman" w:hAnsi="Times New Roman"/>
          <w:sz w:val="28"/>
          <w:szCs w:val="28"/>
        </w:rPr>
        <w:t>1. – С.</w:t>
      </w:r>
      <w:r w:rsidRPr="008439CA">
        <w:rPr>
          <w:rFonts w:ascii="Times New Roman" w:hAnsi="Times New Roman"/>
          <w:sz w:val="28"/>
          <w:szCs w:val="28"/>
          <w:lang w:val="en-US"/>
        </w:rPr>
        <w:t> </w:t>
      </w:r>
      <w:r w:rsidRPr="008439CA">
        <w:rPr>
          <w:rFonts w:ascii="Times New Roman" w:hAnsi="Times New Roman"/>
          <w:sz w:val="28"/>
          <w:szCs w:val="28"/>
        </w:rPr>
        <w:t>7−11.</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Style w:val="search-keyword-match"/>
          <w:rFonts w:ascii="Times New Roman" w:hAnsi="Times New Roman"/>
          <w:color w:val="000000"/>
          <w:sz w:val="28"/>
          <w:szCs w:val="28"/>
          <w:lang w:val="ru-RU"/>
        </w:rPr>
        <w:t>Руководство по ортодонтии / З. М. Акодис, Г. А. Анжеркушян, О. И. Арсенина</w:t>
      </w:r>
      <w:r w:rsidRPr="008439CA">
        <w:rPr>
          <w:rFonts w:ascii="Times New Roman" w:hAnsi="Times New Roman"/>
          <w:color w:val="000000"/>
          <w:sz w:val="28"/>
          <w:szCs w:val="28"/>
          <w:shd w:val="clear" w:color="auto" w:fill="FFFFFF"/>
          <w:lang w:val="ru-RU"/>
        </w:rPr>
        <w:t xml:space="preserve"> [и др.] ; под ред.</w:t>
      </w:r>
      <w:r w:rsidRPr="008439CA">
        <w:rPr>
          <w:rStyle w:val="search-keyword-match"/>
          <w:rFonts w:ascii="Times New Roman" w:hAnsi="Times New Roman"/>
          <w:color w:val="000000"/>
          <w:sz w:val="28"/>
          <w:szCs w:val="28"/>
          <w:lang w:val="ru-RU"/>
        </w:rPr>
        <w:t xml:space="preserve"> </w:t>
      </w:r>
      <w:r w:rsidRPr="008439CA">
        <w:rPr>
          <w:rFonts w:ascii="Times New Roman" w:hAnsi="Times New Roman"/>
          <w:color w:val="000000"/>
          <w:sz w:val="28"/>
          <w:szCs w:val="28"/>
          <w:shd w:val="clear" w:color="auto" w:fill="FFFFFF"/>
          <w:lang w:val="ru-RU"/>
        </w:rPr>
        <w:t>Ф. А. </w:t>
      </w:r>
      <w:r w:rsidRPr="008439CA">
        <w:rPr>
          <w:rStyle w:val="search-keyword-match"/>
          <w:rFonts w:ascii="Times New Roman" w:hAnsi="Times New Roman"/>
          <w:color w:val="000000"/>
          <w:sz w:val="28"/>
          <w:szCs w:val="28"/>
          <w:lang w:val="ru-RU"/>
        </w:rPr>
        <w:t>Хорошилкина</w:t>
      </w:r>
      <w:r w:rsidRPr="008439CA">
        <w:rPr>
          <w:rFonts w:ascii="Times New Roman" w:hAnsi="Times New Roman"/>
          <w:color w:val="000000"/>
          <w:sz w:val="28"/>
          <w:szCs w:val="28"/>
          <w:shd w:val="clear" w:color="auto" w:fill="FFFFFF"/>
          <w:lang w:val="ru-RU"/>
        </w:rPr>
        <w:t>. – Москва : Медицина, 1999. – 800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Рыженко И. Анализ побочных реакций, вызываемых химиотерапевтическими препаратами / И. Рыженко, Е. Горбань // Вісник фармакології та фармації. – 2004. − № 3. – С. 23−25.</w:t>
      </w:r>
    </w:p>
    <w:p w:rsidR="00534FB5" w:rsidRPr="008439CA" w:rsidRDefault="00534FB5" w:rsidP="008439CA">
      <w:pPr>
        <w:pStyle w:val="af8"/>
        <w:numPr>
          <w:ilvl w:val="0"/>
          <w:numId w:val="7"/>
        </w:numPr>
        <w:spacing w:after="0" w:line="360" w:lineRule="auto"/>
        <w:ind w:left="-142" w:firstLine="0"/>
        <w:jc w:val="both"/>
        <w:rPr>
          <w:rStyle w:val="apple-converted-space"/>
          <w:rFonts w:ascii="Times New Roman" w:hAnsi="Times New Roman"/>
          <w:sz w:val="28"/>
          <w:szCs w:val="28"/>
        </w:rPr>
      </w:pPr>
      <w:r w:rsidRPr="008439CA">
        <w:rPr>
          <w:rFonts w:ascii="Times New Roman" w:hAnsi="Times New Roman"/>
          <w:sz w:val="28"/>
          <w:szCs w:val="28"/>
        </w:rPr>
        <w:t>Савичук О. В. Сучасні особливості стану тканин пародонту у дітей / О. В. Савичук, О. О. Тимофєєва, Л.</w:t>
      </w:r>
      <w:r w:rsidRPr="008439CA">
        <w:rPr>
          <w:rFonts w:ascii="Times New Roman" w:hAnsi="Times New Roman"/>
          <w:sz w:val="28"/>
          <w:szCs w:val="28"/>
          <w:lang w:val="en-US"/>
        </w:rPr>
        <w:t> </w:t>
      </w:r>
      <w:r w:rsidRPr="008439CA">
        <w:rPr>
          <w:rFonts w:ascii="Times New Roman" w:hAnsi="Times New Roman"/>
          <w:sz w:val="28"/>
          <w:szCs w:val="28"/>
        </w:rPr>
        <w:t>О.</w:t>
      </w:r>
      <w:r w:rsidRPr="008439CA">
        <w:rPr>
          <w:rFonts w:ascii="Times New Roman" w:hAnsi="Times New Roman"/>
          <w:sz w:val="28"/>
          <w:szCs w:val="28"/>
          <w:lang w:val="en-US"/>
        </w:rPr>
        <w:t> </w:t>
      </w:r>
      <w:r w:rsidRPr="008439CA">
        <w:rPr>
          <w:rFonts w:ascii="Times New Roman" w:hAnsi="Times New Roman"/>
          <w:sz w:val="28"/>
          <w:szCs w:val="28"/>
        </w:rPr>
        <w:t>Хоменко // Ліки України.</w:t>
      </w:r>
      <w:r w:rsidRPr="008439CA">
        <w:rPr>
          <w:rFonts w:ascii="Times New Roman" w:hAnsi="Times New Roman"/>
          <w:sz w:val="28"/>
          <w:szCs w:val="28"/>
          <w:lang w:val="en-US"/>
        </w:rPr>
        <w:t> </w:t>
      </w:r>
      <w:r w:rsidRPr="008439CA">
        <w:rPr>
          <w:rFonts w:ascii="Times New Roman" w:hAnsi="Times New Roman"/>
          <w:sz w:val="28"/>
          <w:szCs w:val="28"/>
        </w:rPr>
        <w:t>– 2010. − № 3 (12). – С.</w:t>
      </w:r>
      <w:r w:rsidRPr="008439CA">
        <w:rPr>
          <w:rStyle w:val="apple-converted-space"/>
          <w:rFonts w:ascii="Times New Roman" w:hAnsi="Times New Roman"/>
          <w:sz w:val="28"/>
          <w:szCs w:val="28"/>
          <w:shd w:val="clear" w:color="auto" w:fill="FFFFFF"/>
          <w:lang w:val="ru-RU"/>
        </w:rPr>
        <w:t> </w:t>
      </w:r>
      <w:r w:rsidRPr="008439CA">
        <w:rPr>
          <w:rStyle w:val="apple-converted-space"/>
          <w:rFonts w:ascii="Times New Roman" w:hAnsi="Times New Roman"/>
          <w:sz w:val="28"/>
          <w:szCs w:val="28"/>
          <w:shd w:val="clear" w:color="auto" w:fill="FFFFFF"/>
        </w:rPr>
        <w:t>54−56.</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 xml:space="preserve">Савченкова Л. Пеніциліни і побічні ефекти на ускладнення </w:t>
      </w:r>
      <w:r w:rsidRPr="008439CA">
        <w:rPr>
          <w:rFonts w:ascii="Times New Roman" w:hAnsi="Times New Roman"/>
          <w:sz w:val="28"/>
          <w:szCs w:val="28"/>
        </w:rPr>
        <w:lastRenderedPageBreak/>
        <w:t>фармакотерапії / Л. Савченкова, В. Лук’янчук, О. Вікторов // Вісник фармакології та фармації. – 2004. − № 5. – С. 4−7.</w:t>
      </w:r>
    </w:p>
    <w:p w:rsidR="00534FB5" w:rsidRPr="004A2112" w:rsidRDefault="00534FB5" w:rsidP="008439CA">
      <w:pPr>
        <w:pStyle w:val="af8"/>
        <w:numPr>
          <w:ilvl w:val="0"/>
          <w:numId w:val="7"/>
        </w:numPr>
        <w:spacing w:after="0" w:line="360" w:lineRule="auto"/>
        <w:ind w:left="-142" w:firstLine="0"/>
        <w:jc w:val="both"/>
        <w:rPr>
          <w:rFonts w:ascii="Times New Roman" w:hAnsi="Times New Roman"/>
          <w:spacing w:val="-4"/>
          <w:sz w:val="28"/>
          <w:szCs w:val="28"/>
        </w:rPr>
      </w:pPr>
      <w:r w:rsidRPr="004A2112">
        <w:rPr>
          <w:rFonts w:ascii="Times New Roman" w:hAnsi="Times New Roman"/>
          <w:spacing w:val="-4"/>
          <w:sz w:val="28"/>
          <w:szCs w:val="28"/>
        </w:rPr>
        <w:t>Савчук</w:t>
      </w:r>
      <w:r w:rsidRPr="004A2112">
        <w:rPr>
          <w:rFonts w:ascii="Times New Roman" w:hAnsi="Times New Roman"/>
          <w:spacing w:val="-4"/>
          <w:sz w:val="28"/>
          <w:szCs w:val="28"/>
          <w:lang w:val="ru-RU"/>
        </w:rPr>
        <w:t> </w:t>
      </w:r>
      <w:r w:rsidRPr="004A2112">
        <w:rPr>
          <w:rFonts w:ascii="Times New Roman" w:hAnsi="Times New Roman"/>
          <w:spacing w:val="-4"/>
          <w:sz w:val="28"/>
          <w:szCs w:val="28"/>
        </w:rPr>
        <w:t>Н. О. Клініко-патогенетичне обґрунтування комплексного лікування хронічної кандидо-герпетичної інфекції порожнини рота у дітей : автореф. … дис. д-ра мед. наук : 14.01.22 / Савичук Наталія Олегівна ; Національний медичний університет ім. О. О. Богомольця.</w:t>
      </w:r>
      <w:r w:rsidRPr="004A2112">
        <w:rPr>
          <w:rFonts w:ascii="Times New Roman" w:hAnsi="Times New Roman"/>
          <w:spacing w:val="-4"/>
          <w:sz w:val="28"/>
          <w:szCs w:val="28"/>
          <w:lang w:val="ru-RU"/>
        </w:rPr>
        <w:t> </w:t>
      </w:r>
      <w:r w:rsidRPr="004A2112">
        <w:rPr>
          <w:rFonts w:ascii="Times New Roman" w:hAnsi="Times New Roman"/>
          <w:spacing w:val="-4"/>
          <w:sz w:val="28"/>
          <w:szCs w:val="28"/>
        </w:rPr>
        <w:t>– Київ, 2001. – 39 с.</w:t>
      </w:r>
    </w:p>
    <w:p w:rsidR="00534FB5" w:rsidRPr="008439CA" w:rsidRDefault="00534FB5" w:rsidP="008439CA">
      <w:pPr>
        <w:pStyle w:val="af8"/>
        <w:numPr>
          <w:ilvl w:val="0"/>
          <w:numId w:val="7"/>
        </w:numPr>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Семенов</w:t>
      </w:r>
      <w:r w:rsidRPr="008439CA">
        <w:rPr>
          <w:rFonts w:ascii="Times New Roman" w:hAnsi="Times New Roman"/>
          <w:sz w:val="28"/>
          <w:szCs w:val="28"/>
          <w:lang w:val="ru-RU"/>
        </w:rPr>
        <w:t> </w:t>
      </w:r>
      <w:r w:rsidRPr="008439CA">
        <w:rPr>
          <w:rFonts w:ascii="Times New Roman" w:hAnsi="Times New Roman"/>
          <w:sz w:val="28"/>
          <w:szCs w:val="28"/>
        </w:rPr>
        <w:t>К.</w:t>
      </w:r>
      <w:r w:rsidRPr="008439CA">
        <w:rPr>
          <w:rFonts w:ascii="Times New Roman" w:hAnsi="Times New Roman"/>
          <w:sz w:val="28"/>
          <w:szCs w:val="28"/>
          <w:lang w:val="ru-RU"/>
        </w:rPr>
        <w:t> </w:t>
      </w:r>
      <w:r w:rsidRPr="008439CA">
        <w:rPr>
          <w:rFonts w:ascii="Times New Roman" w:hAnsi="Times New Roman"/>
          <w:sz w:val="28"/>
          <w:szCs w:val="28"/>
        </w:rPr>
        <w:t>А. Профілактика карієсу зубів у дітей з різними психоемоційними типами : автореф. … дис. канд. мед. наук : 14.01.22 / Семенов Костянтин Арнольдович ; Інститут стоматології АМН України. – Київ, 2006. – 20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Скидан</w:t>
      </w:r>
      <w:r w:rsidRPr="008439CA">
        <w:rPr>
          <w:rFonts w:ascii="Times New Roman" w:hAnsi="Times New Roman"/>
          <w:sz w:val="28"/>
          <w:szCs w:val="28"/>
          <w:lang w:val="ru-RU"/>
        </w:rPr>
        <w:t> </w:t>
      </w:r>
      <w:r w:rsidRPr="008439CA">
        <w:rPr>
          <w:rFonts w:ascii="Times New Roman" w:hAnsi="Times New Roman"/>
          <w:sz w:val="28"/>
          <w:szCs w:val="28"/>
        </w:rPr>
        <w:t>К.</w:t>
      </w:r>
      <w:r w:rsidRPr="008439CA">
        <w:rPr>
          <w:rFonts w:ascii="Times New Roman" w:hAnsi="Times New Roman"/>
          <w:sz w:val="28"/>
          <w:szCs w:val="28"/>
          <w:lang w:val="ru-RU"/>
        </w:rPr>
        <w:t> </w:t>
      </w:r>
      <w:r w:rsidRPr="008439CA">
        <w:rPr>
          <w:rFonts w:ascii="Times New Roman" w:hAnsi="Times New Roman"/>
          <w:sz w:val="28"/>
          <w:szCs w:val="28"/>
        </w:rPr>
        <w:t>В. Обґрунтування застосування пробіотиків для профілактики загострення генералізованного пародонтиту : автореф. дис. … канд. мед. наук : 14.01.21 /</w:t>
      </w:r>
      <w:r w:rsidRPr="008439CA">
        <w:rPr>
          <w:rFonts w:ascii="Times New Roman" w:hAnsi="Times New Roman"/>
          <w:sz w:val="28"/>
          <w:szCs w:val="28"/>
          <w:lang w:val="ru-RU"/>
        </w:rPr>
        <w:t> </w:t>
      </w:r>
      <w:r w:rsidRPr="008439CA">
        <w:rPr>
          <w:rFonts w:ascii="Times New Roman" w:hAnsi="Times New Roman"/>
          <w:sz w:val="28"/>
          <w:szCs w:val="28"/>
        </w:rPr>
        <w:t>Скидан Каріна Володимирівна ; Інститут стоматології АМН України. – Одеса, 2007.</w:t>
      </w:r>
      <w:r w:rsidRPr="008439CA">
        <w:rPr>
          <w:rFonts w:ascii="Times New Roman" w:hAnsi="Times New Roman"/>
          <w:sz w:val="28"/>
          <w:szCs w:val="28"/>
          <w:lang w:val="ru-RU"/>
        </w:rPr>
        <w:t xml:space="preserve"> </w:t>
      </w:r>
      <w:r w:rsidRPr="008439CA">
        <w:rPr>
          <w:rFonts w:ascii="Times New Roman" w:hAnsi="Times New Roman"/>
          <w:sz w:val="28"/>
          <w:szCs w:val="28"/>
        </w:rPr>
        <w:t>– 20 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sz w:val="28"/>
          <w:szCs w:val="28"/>
        </w:rPr>
        <w:t>Смирнов</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В. Антибиотики и/или пробиотики: размышления и факты /</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В.</w:t>
      </w:r>
      <w:r w:rsidRPr="008439CA">
        <w:rPr>
          <w:rFonts w:ascii="Times New Roman" w:hAnsi="Times New Roman"/>
          <w:sz w:val="28"/>
          <w:szCs w:val="28"/>
          <w:lang w:val="ru-RU"/>
        </w:rPr>
        <w:t> </w:t>
      </w:r>
      <w:r w:rsidRPr="008439CA">
        <w:rPr>
          <w:rFonts w:ascii="Times New Roman" w:hAnsi="Times New Roman"/>
          <w:sz w:val="28"/>
          <w:szCs w:val="28"/>
        </w:rPr>
        <w:t>Смирнов // Лікування та діагностика. – 1998. − №</w:t>
      </w:r>
      <w:r w:rsidRPr="008439CA">
        <w:rPr>
          <w:rFonts w:ascii="Times New Roman" w:hAnsi="Times New Roman"/>
          <w:sz w:val="28"/>
          <w:szCs w:val="28"/>
          <w:lang w:val="ru-RU"/>
        </w:rPr>
        <w:t> </w:t>
      </w:r>
      <w:r w:rsidRPr="008439CA">
        <w:rPr>
          <w:rFonts w:ascii="Times New Roman" w:hAnsi="Times New Roman"/>
          <w:sz w:val="28"/>
          <w:szCs w:val="28"/>
        </w:rPr>
        <w:t>2</w:t>
      </w:r>
      <w:r w:rsidRPr="008439CA">
        <w:rPr>
          <w:rFonts w:ascii="Times New Roman" w:hAnsi="Times New Roman"/>
          <w:sz w:val="28"/>
          <w:szCs w:val="28"/>
          <w:lang w:val="ru-RU"/>
        </w:rPr>
        <w:t> </w:t>
      </w:r>
      <w:r w:rsidRPr="008439CA">
        <w:rPr>
          <w:rFonts w:ascii="Times New Roman" w:hAnsi="Times New Roman"/>
          <w:sz w:val="28"/>
          <w:szCs w:val="28"/>
        </w:rPr>
        <w:t>(10). – С.</w:t>
      </w:r>
      <w:r w:rsidRPr="008439CA">
        <w:rPr>
          <w:rFonts w:ascii="Times New Roman" w:hAnsi="Times New Roman"/>
          <w:sz w:val="28"/>
          <w:szCs w:val="28"/>
          <w:lang w:val="ru-RU"/>
        </w:rPr>
        <w:t> </w:t>
      </w:r>
      <w:r w:rsidRPr="008439CA">
        <w:rPr>
          <w:rFonts w:ascii="Times New Roman" w:hAnsi="Times New Roman"/>
          <w:sz w:val="28"/>
          <w:szCs w:val="28"/>
        </w:rPr>
        <w:t>8−10.</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Style w:val="apple-style-span"/>
          <w:rFonts w:ascii="Times New Roman" w:hAnsi="Times New Roman"/>
          <w:color w:val="000000"/>
          <w:sz w:val="28"/>
          <w:szCs w:val="28"/>
        </w:rPr>
      </w:pPr>
      <w:r w:rsidRPr="008439CA">
        <w:rPr>
          <w:rStyle w:val="apple-style-span"/>
          <w:rFonts w:ascii="Times New Roman" w:hAnsi="Times New Roman"/>
          <w:color w:val="000000"/>
          <w:sz w:val="28"/>
          <w:szCs w:val="28"/>
        </w:rPr>
        <w:t>Соловых Е. А. Врачебная тактика при оказании стоматологической помощи глухонемым пациентам : автореф. … дис. канд. мед. наук</w:t>
      </w:r>
      <w:r w:rsidRPr="008439CA">
        <w:rPr>
          <w:rStyle w:val="apple-style-span"/>
          <w:rFonts w:ascii="Times New Roman" w:hAnsi="Times New Roman"/>
          <w:color w:val="000000"/>
          <w:sz w:val="28"/>
          <w:szCs w:val="28"/>
          <w:lang w:val="ru-RU"/>
        </w:rPr>
        <w:t> </w:t>
      </w:r>
      <w:r w:rsidRPr="008439CA">
        <w:rPr>
          <w:rStyle w:val="apple-style-span"/>
          <w:rFonts w:ascii="Times New Roman" w:hAnsi="Times New Roman"/>
          <w:color w:val="000000"/>
          <w:sz w:val="28"/>
          <w:szCs w:val="28"/>
        </w:rPr>
        <w:t>: 14.00.21 / Соловых Евгений Анатольевич ; Московский государственный медико-стоматологический университет</w:t>
      </w:r>
      <w:r w:rsidRPr="008439CA">
        <w:rPr>
          <w:rStyle w:val="apple-style-span"/>
          <w:rFonts w:ascii="Times New Roman" w:hAnsi="Times New Roman"/>
          <w:color w:val="000000"/>
          <w:sz w:val="28"/>
          <w:szCs w:val="28"/>
          <w:lang w:val="ru-RU"/>
        </w:rPr>
        <w:t>.</w:t>
      </w:r>
      <w:r w:rsidRPr="008439CA">
        <w:rPr>
          <w:rStyle w:val="apple-style-span"/>
          <w:rFonts w:ascii="Times New Roman" w:hAnsi="Times New Roman"/>
          <w:color w:val="000000"/>
          <w:sz w:val="28"/>
          <w:szCs w:val="28"/>
        </w:rPr>
        <w:t xml:space="preserve"> – Москва, 2003. – 20 с.</w:t>
      </w:r>
    </w:p>
    <w:p w:rsidR="00534FB5" w:rsidRPr="008439CA" w:rsidRDefault="00534FB5" w:rsidP="008439CA">
      <w:pPr>
        <w:pStyle w:val="af8"/>
        <w:numPr>
          <w:ilvl w:val="0"/>
          <w:numId w:val="7"/>
        </w:numPr>
        <w:spacing w:after="0" w:line="360" w:lineRule="auto"/>
        <w:ind w:left="-142" w:firstLine="0"/>
        <w:jc w:val="both"/>
        <w:rPr>
          <w:rFonts w:ascii="Times New Roman" w:eastAsia="Times New Roman CYR" w:hAnsi="Times New Roman"/>
          <w:sz w:val="28"/>
          <w:szCs w:val="28"/>
        </w:rPr>
      </w:pPr>
      <w:r w:rsidRPr="008439CA">
        <w:rPr>
          <w:rFonts w:ascii="Times New Roman" w:eastAsia="Times New Roman CYR" w:hAnsi="Times New Roman"/>
          <w:sz w:val="28"/>
          <w:szCs w:val="28"/>
        </w:rPr>
        <w:t>Стан функціональних реакцій і неспецифічної резистентності у дітей із зубощелепними аномаліями / Б. М. Мірчук, О. В. Дєньга, О. А. Макаренко, А. Е. Дєньга // Інтегративна антропологія. − 2011. − № 2 (18). – С. 41−46.</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sz w:val="28"/>
          <w:szCs w:val="28"/>
        </w:rPr>
      </w:pPr>
      <w:r w:rsidRPr="008439CA">
        <w:rPr>
          <w:rFonts w:ascii="Times New Roman" w:hAnsi="Times New Roman"/>
          <w:bCs/>
          <w:color w:val="000000"/>
          <w:sz w:val="28"/>
          <w:szCs w:val="28"/>
          <w:shd w:val="clear" w:color="auto" w:fill="FFFFFF"/>
        </w:rPr>
        <w:t>Стоматологическая профилактика у детей /</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В.</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Г.</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Сунцов, В.</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К.</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Леонтьев, В.</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А.</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Дистель, В.</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Д.</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Вагнер. – Москва</w:t>
      </w:r>
      <w:r w:rsidRPr="008439CA">
        <w:rPr>
          <w:rFonts w:ascii="Times New Roman" w:hAnsi="Times New Roman"/>
          <w:bCs/>
          <w:color w:val="000000"/>
          <w:sz w:val="28"/>
          <w:szCs w:val="28"/>
          <w:shd w:val="clear" w:color="auto" w:fill="FFFFFF"/>
          <w:lang w:val="ru-RU"/>
        </w:rPr>
        <w:t xml:space="preserve"> </w:t>
      </w:r>
      <w:r w:rsidRPr="008439CA">
        <w:rPr>
          <w:rFonts w:ascii="Times New Roman" w:hAnsi="Times New Roman"/>
          <w:bCs/>
          <w:color w:val="000000"/>
          <w:sz w:val="28"/>
          <w:szCs w:val="28"/>
          <w:shd w:val="clear" w:color="auto" w:fill="FFFFFF"/>
        </w:rPr>
        <w:t>: Мед. книга</w:t>
      </w:r>
      <w:r w:rsidRPr="008439CA">
        <w:rPr>
          <w:rFonts w:ascii="Times New Roman" w:hAnsi="Times New Roman"/>
          <w:bCs/>
          <w:color w:val="000000"/>
          <w:sz w:val="28"/>
          <w:szCs w:val="28"/>
          <w:shd w:val="clear" w:color="auto" w:fill="FFFFFF"/>
          <w:lang w:val="ru-RU"/>
        </w:rPr>
        <w:t xml:space="preserve"> </w:t>
      </w:r>
      <w:r w:rsidRPr="008439CA">
        <w:rPr>
          <w:rFonts w:ascii="Times New Roman" w:hAnsi="Times New Roman"/>
          <w:bCs/>
          <w:color w:val="000000"/>
          <w:sz w:val="28"/>
          <w:szCs w:val="28"/>
          <w:shd w:val="clear" w:color="auto" w:fill="FFFFFF"/>
        </w:rPr>
        <w:t>; Н.</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Новгород</w:t>
      </w:r>
      <w:r w:rsidRPr="008439CA">
        <w:rPr>
          <w:rFonts w:ascii="Times New Roman" w:hAnsi="Times New Roman"/>
          <w:bCs/>
          <w:color w:val="000000"/>
          <w:sz w:val="28"/>
          <w:szCs w:val="28"/>
          <w:shd w:val="clear" w:color="auto" w:fill="FFFFFF"/>
          <w:lang w:val="ru-RU"/>
        </w:rPr>
        <w:t xml:space="preserve"> </w:t>
      </w:r>
      <w:r w:rsidRPr="008439CA">
        <w:rPr>
          <w:rFonts w:ascii="Times New Roman" w:hAnsi="Times New Roman"/>
          <w:bCs/>
          <w:color w:val="000000"/>
          <w:sz w:val="28"/>
          <w:szCs w:val="28"/>
          <w:shd w:val="clear" w:color="auto" w:fill="FFFFFF"/>
        </w:rPr>
        <w:t>: Изд</w:t>
      </w:r>
      <w:r w:rsidRPr="008439CA">
        <w:rPr>
          <w:rFonts w:ascii="Times New Roman" w:hAnsi="Times New Roman"/>
          <w:bCs/>
          <w:color w:val="000000"/>
          <w:sz w:val="28"/>
          <w:szCs w:val="28"/>
          <w:shd w:val="clear" w:color="auto" w:fill="FFFFFF"/>
          <w:lang w:val="ru-RU"/>
        </w:rPr>
        <w:t>-</w:t>
      </w:r>
      <w:r w:rsidRPr="008439CA">
        <w:rPr>
          <w:rFonts w:ascii="Times New Roman" w:hAnsi="Times New Roman"/>
          <w:bCs/>
          <w:color w:val="000000"/>
          <w:sz w:val="28"/>
          <w:szCs w:val="28"/>
          <w:shd w:val="clear" w:color="auto" w:fill="FFFFFF"/>
        </w:rPr>
        <w:t>во НГМА, 2001. – 344</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eastAsia="Times New Roman" w:hAnsi="Times New Roman"/>
          <w:sz w:val="28"/>
          <w:szCs w:val="28"/>
          <w:lang w:eastAsia="uk-UA"/>
        </w:rPr>
      </w:pPr>
      <w:r w:rsidRPr="008439CA">
        <w:rPr>
          <w:rFonts w:ascii="Times New Roman" w:hAnsi="Times New Roman"/>
          <w:color w:val="000000"/>
          <w:sz w:val="28"/>
          <w:szCs w:val="28"/>
          <w:shd w:val="clear" w:color="auto" w:fill="FFFFFF"/>
        </w:rPr>
        <w:t>Стоматологічна профілактика у дітей /</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Л.</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О.</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Хоменко, В.</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І.</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 xml:space="preserve">Шматко, </w:t>
      </w:r>
      <w:r w:rsidRPr="008439CA">
        <w:rPr>
          <w:rFonts w:ascii="Times New Roman" w:hAnsi="Times New Roman"/>
          <w:color w:val="000000"/>
          <w:sz w:val="28"/>
          <w:szCs w:val="28"/>
          <w:shd w:val="clear" w:color="auto" w:fill="FFFFFF"/>
        </w:rPr>
        <w:lastRenderedPageBreak/>
        <w:t>О.</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І.</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Остапко [та ін.]. – Київ : ІСДО, 1993. – 192</w:t>
      </w:r>
      <w:r w:rsidRPr="008439CA">
        <w:rPr>
          <w:rFonts w:ascii="Times New Roman" w:hAnsi="Times New Roman"/>
          <w:color w:val="000000"/>
          <w:sz w:val="28"/>
          <w:szCs w:val="28"/>
          <w:shd w:val="clear" w:color="auto" w:fill="FFFFFF"/>
          <w:lang w:val="en-US"/>
        </w:rPr>
        <w:t> </w:t>
      </w:r>
      <w:r w:rsidRPr="008439CA">
        <w:rPr>
          <w:rFonts w:ascii="Times New Roman" w:hAnsi="Times New Roman"/>
          <w:color w:val="000000"/>
          <w:sz w:val="28"/>
          <w:szCs w:val="28"/>
          <w:shd w:val="clear" w:color="auto" w:fill="FFFFFF"/>
        </w:rPr>
        <w:t>с.</w:t>
      </w:r>
    </w:p>
    <w:p w:rsidR="00534FB5" w:rsidRPr="008439CA" w:rsidRDefault="00534FB5" w:rsidP="008439CA">
      <w:pPr>
        <w:pStyle w:val="af8"/>
        <w:widowControl w:val="0"/>
        <w:numPr>
          <w:ilvl w:val="0"/>
          <w:numId w:val="7"/>
        </w:numPr>
        <w:autoSpaceDE w:val="0"/>
        <w:autoSpaceDN w:val="0"/>
        <w:adjustRightInd w:val="0"/>
        <w:spacing w:after="0" w:line="360" w:lineRule="auto"/>
        <w:ind w:left="-142" w:firstLine="0"/>
        <w:jc w:val="both"/>
        <w:rPr>
          <w:rFonts w:ascii="Times New Roman" w:hAnsi="Times New Roman"/>
          <w:bCs/>
          <w:color w:val="000000"/>
          <w:sz w:val="28"/>
          <w:szCs w:val="28"/>
          <w:shd w:val="clear" w:color="auto" w:fill="FFFFFF"/>
        </w:rPr>
      </w:pPr>
      <w:r w:rsidRPr="008439CA">
        <w:rPr>
          <w:rFonts w:ascii="Times New Roman" w:hAnsi="Times New Roman"/>
          <w:bCs/>
          <w:color w:val="000000"/>
          <w:sz w:val="28"/>
          <w:szCs w:val="28"/>
          <w:shd w:val="clear" w:color="auto" w:fill="FFFFFF"/>
        </w:rPr>
        <w:t>Сурдопедагогіка : хрестоматія : в 2 т. / ред. Л.</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І.</w:t>
      </w:r>
      <w:r w:rsidRPr="008439CA">
        <w:rPr>
          <w:rFonts w:ascii="Times New Roman" w:hAnsi="Times New Roman"/>
          <w:bCs/>
          <w:color w:val="000000"/>
          <w:sz w:val="28"/>
          <w:szCs w:val="28"/>
          <w:shd w:val="clear" w:color="auto" w:fill="FFFFFF"/>
          <w:lang w:val="ru-RU"/>
        </w:rPr>
        <w:t> </w:t>
      </w:r>
      <w:r w:rsidRPr="008439CA">
        <w:rPr>
          <w:rFonts w:ascii="Times New Roman" w:hAnsi="Times New Roman"/>
          <w:bCs/>
          <w:color w:val="000000"/>
          <w:sz w:val="28"/>
          <w:szCs w:val="28"/>
          <w:shd w:val="clear" w:color="auto" w:fill="FFFFFF"/>
        </w:rPr>
        <w:t>Фомічова ; Національний педагогічний ун-т ім. М. П. Драгоманова. − Київ : НПУ ім. М. П. Драгоманова, 2005. − Т. 1. − 174 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Тарасенко</w:t>
      </w:r>
      <w:r w:rsidRPr="008439CA">
        <w:rPr>
          <w:rFonts w:ascii="Times New Roman" w:hAnsi="Times New Roman"/>
          <w:sz w:val="28"/>
          <w:szCs w:val="28"/>
          <w:lang w:val="en-US"/>
        </w:rPr>
        <w:t> </w:t>
      </w:r>
      <w:r w:rsidRPr="008439CA">
        <w:rPr>
          <w:rFonts w:ascii="Times New Roman" w:hAnsi="Times New Roman"/>
          <w:sz w:val="28"/>
          <w:szCs w:val="28"/>
          <w:lang w:val="ru-RU"/>
        </w:rPr>
        <w:t>Л.</w:t>
      </w:r>
      <w:r w:rsidRPr="008439CA">
        <w:rPr>
          <w:rFonts w:ascii="Times New Roman" w:hAnsi="Times New Roman"/>
          <w:sz w:val="28"/>
          <w:szCs w:val="28"/>
          <w:lang w:val="en-US"/>
        </w:rPr>
        <w:t> </w:t>
      </w:r>
      <w:r w:rsidRPr="008439CA">
        <w:rPr>
          <w:rFonts w:ascii="Times New Roman" w:hAnsi="Times New Roman"/>
          <w:sz w:val="28"/>
          <w:szCs w:val="28"/>
          <w:lang w:val="ru-RU"/>
        </w:rPr>
        <w:t>М. Биохимия органов полости рта : учебное пособие /</w:t>
      </w:r>
      <w:r w:rsidRPr="008439CA">
        <w:rPr>
          <w:rFonts w:ascii="Times New Roman" w:hAnsi="Times New Roman"/>
          <w:sz w:val="28"/>
          <w:szCs w:val="28"/>
          <w:lang w:val="en-US"/>
        </w:rPr>
        <w:t> </w:t>
      </w:r>
      <w:r w:rsidRPr="008439CA">
        <w:rPr>
          <w:rFonts w:ascii="Times New Roman" w:hAnsi="Times New Roman"/>
          <w:sz w:val="28"/>
          <w:szCs w:val="28"/>
          <w:lang w:val="ru-RU"/>
        </w:rPr>
        <w:t>Л.</w:t>
      </w:r>
      <w:r w:rsidRPr="008439CA">
        <w:rPr>
          <w:rFonts w:ascii="Times New Roman" w:hAnsi="Times New Roman"/>
          <w:sz w:val="28"/>
          <w:szCs w:val="28"/>
          <w:lang w:val="en-US"/>
        </w:rPr>
        <w:t> </w:t>
      </w:r>
      <w:r w:rsidRPr="008439CA">
        <w:rPr>
          <w:rFonts w:ascii="Times New Roman" w:hAnsi="Times New Roman"/>
          <w:sz w:val="28"/>
          <w:szCs w:val="28"/>
          <w:lang w:val="ru-RU"/>
        </w:rPr>
        <w:t>М.</w:t>
      </w:r>
      <w:r w:rsidRPr="008439CA">
        <w:rPr>
          <w:rFonts w:ascii="Times New Roman" w:hAnsi="Times New Roman"/>
          <w:sz w:val="28"/>
          <w:szCs w:val="28"/>
          <w:lang w:val="en-US"/>
        </w:rPr>
        <w:t> </w:t>
      </w:r>
      <w:r w:rsidRPr="008439CA">
        <w:rPr>
          <w:rFonts w:ascii="Times New Roman" w:hAnsi="Times New Roman"/>
          <w:sz w:val="28"/>
          <w:szCs w:val="28"/>
          <w:lang w:val="ru-RU"/>
        </w:rPr>
        <w:t>Тарасенко, К.</w:t>
      </w:r>
      <w:r w:rsidRPr="008439CA">
        <w:rPr>
          <w:rFonts w:ascii="Times New Roman" w:hAnsi="Times New Roman"/>
          <w:sz w:val="28"/>
          <w:szCs w:val="28"/>
          <w:lang w:val="en-US"/>
        </w:rPr>
        <w:t> </w:t>
      </w:r>
      <w:r w:rsidRPr="008439CA">
        <w:rPr>
          <w:rFonts w:ascii="Times New Roman" w:hAnsi="Times New Roman"/>
          <w:sz w:val="28"/>
          <w:szCs w:val="28"/>
          <w:lang w:val="ru-RU"/>
        </w:rPr>
        <w:t>С.</w:t>
      </w:r>
      <w:r w:rsidRPr="008439CA">
        <w:rPr>
          <w:rFonts w:ascii="Times New Roman" w:hAnsi="Times New Roman"/>
          <w:sz w:val="28"/>
          <w:szCs w:val="28"/>
          <w:lang w:val="en-US"/>
        </w:rPr>
        <w:t> </w:t>
      </w:r>
      <w:r w:rsidRPr="008439CA">
        <w:rPr>
          <w:rFonts w:ascii="Times New Roman" w:hAnsi="Times New Roman"/>
          <w:sz w:val="28"/>
          <w:szCs w:val="28"/>
          <w:lang w:val="ru-RU"/>
        </w:rPr>
        <w:t>Непорада. – Полтава : Полтава, 2008. – 70</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Терапевтическая стоматология детского возраста /</w:t>
      </w:r>
      <w:r w:rsidRPr="008439CA">
        <w:rPr>
          <w:rFonts w:ascii="Times New Roman" w:hAnsi="Times New Roman"/>
          <w:sz w:val="28"/>
          <w:szCs w:val="28"/>
          <w:lang w:val="en-US"/>
        </w:rPr>
        <w:t> </w:t>
      </w:r>
      <w:r w:rsidRPr="008439CA">
        <w:rPr>
          <w:rFonts w:ascii="Times New Roman" w:hAnsi="Times New Roman"/>
          <w:sz w:val="28"/>
          <w:szCs w:val="28"/>
          <w:lang w:val="ru-RU"/>
        </w:rPr>
        <w:t>Л.</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Хоменко, Ю.</w:t>
      </w:r>
      <w:r w:rsidRPr="008439CA">
        <w:rPr>
          <w:rFonts w:ascii="Times New Roman" w:hAnsi="Times New Roman"/>
          <w:sz w:val="28"/>
          <w:szCs w:val="28"/>
          <w:lang w:val="en-US"/>
        </w:rPr>
        <w:t> </w:t>
      </w:r>
      <w:r w:rsidRPr="008439CA">
        <w:rPr>
          <w:rFonts w:ascii="Times New Roman" w:hAnsi="Times New Roman"/>
          <w:sz w:val="28"/>
          <w:szCs w:val="28"/>
          <w:lang w:val="ru-RU"/>
        </w:rPr>
        <w:t>Б.</w:t>
      </w:r>
      <w:r w:rsidRPr="008439CA">
        <w:rPr>
          <w:rFonts w:ascii="Times New Roman" w:hAnsi="Times New Roman"/>
          <w:sz w:val="28"/>
          <w:szCs w:val="28"/>
          <w:lang w:val="en-US"/>
        </w:rPr>
        <w:t> </w:t>
      </w:r>
      <w:r w:rsidRPr="008439CA">
        <w:rPr>
          <w:rFonts w:ascii="Times New Roman" w:hAnsi="Times New Roman"/>
          <w:sz w:val="28"/>
          <w:szCs w:val="28"/>
          <w:lang w:val="ru-RU"/>
        </w:rPr>
        <w:t>Чайковский, А.</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Савичук, [и др.]. – Киев : Книга плюс, 2007.</w:t>
      </w:r>
      <w:r w:rsidRPr="008439CA">
        <w:rPr>
          <w:rFonts w:ascii="Times New Roman" w:hAnsi="Times New Roman"/>
          <w:sz w:val="28"/>
          <w:szCs w:val="28"/>
          <w:lang w:val="en-US"/>
        </w:rPr>
        <w:t> </w:t>
      </w:r>
      <w:r w:rsidRPr="008439CA">
        <w:rPr>
          <w:rFonts w:ascii="Times New Roman" w:hAnsi="Times New Roman"/>
          <w:sz w:val="28"/>
          <w:szCs w:val="28"/>
          <w:lang w:val="ru-RU"/>
        </w:rPr>
        <w:t>– 816</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Ферментативный метод определения дисбиоза полости рта для скрининга про- и пребиотиков : методические рекомендации /</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П.</w:t>
      </w:r>
      <w:r w:rsidRPr="008439CA">
        <w:rPr>
          <w:rFonts w:ascii="Times New Roman" w:hAnsi="Times New Roman"/>
          <w:sz w:val="28"/>
          <w:szCs w:val="28"/>
          <w:lang w:val="en-US"/>
        </w:rPr>
        <w:t> </w:t>
      </w:r>
      <w:r w:rsidRPr="008439CA">
        <w:rPr>
          <w:rFonts w:ascii="Times New Roman" w:hAnsi="Times New Roman"/>
          <w:sz w:val="28"/>
          <w:szCs w:val="28"/>
          <w:lang w:val="ru-RU"/>
        </w:rPr>
        <w:t>Левицкий, О.</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Макаренко, И.</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Селиванская [и др.]. – Киев</w:t>
      </w:r>
      <w:r w:rsidRPr="008439CA">
        <w:rPr>
          <w:rFonts w:ascii="Times New Roman" w:hAnsi="Times New Roman"/>
          <w:sz w:val="28"/>
          <w:szCs w:val="28"/>
          <w:lang w:val="en-US"/>
        </w:rPr>
        <w:t> </w:t>
      </w:r>
      <w:r w:rsidRPr="008439CA">
        <w:rPr>
          <w:rFonts w:ascii="Times New Roman" w:hAnsi="Times New Roman"/>
          <w:sz w:val="28"/>
          <w:szCs w:val="28"/>
          <w:lang w:val="ru-RU"/>
        </w:rPr>
        <w:t>: ГФЦ, 2007. – 26</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Хазанова</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В. Клинико-микробиологическое исследование при пародонтитах</w:t>
      </w:r>
      <w:r w:rsidRPr="008439CA">
        <w:rPr>
          <w:rFonts w:ascii="Times New Roman" w:hAnsi="Times New Roman"/>
          <w:sz w:val="28"/>
          <w:szCs w:val="28"/>
          <w:lang w:val="en-US"/>
        </w:rPr>
        <w:t> </w:t>
      </w:r>
      <w:r w:rsidRPr="008439CA">
        <w:rPr>
          <w:rFonts w:ascii="Times New Roman" w:hAnsi="Times New Roman"/>
          <w:sz w:val="28"/>
          <w:szCs w:val="28"/>
          <w:lang w:val="ru-RU"/>
        </w:rPr>
        <w:t>: методические рекомендации /</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Хазанова, В.</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Никитин, В.</w:t>
      </w:r>
      <w:r w:rsidRPr="008439CA">
        <w:rPr>
          <w:rFonts w:ascii="Times New Roman" w:hAnsi="Times New Roman"/>
          <w:sz w:val="28"/>
          <w:szCs w:val="28"/>
          <w:lang w:val="en-US"/>
        </w:rPr>
        <w:t> </w:t>
      </w:r>
      <w:r w:rsidRPr="008439CA">
        <w:rPr>
          <w:rFonts w:ascii="Times New Roman" w:hAnsi="Times New Roman"/>
          <w:sz w:val="28"/>
          <w:szCs w:val="28"/>
          <w:lang w:val="ru-RU"/>
        </w:rPr>
        <w:t>Ф.</w:t>
      </w:r>
      <w:r w:rsidRPr="008439CA">
        <w:rPr>
          <w:rFonts w:ascii="Times New Roman" w:hAnsi="Times New Roman"/>
          <w:sz w:val="28"/>
          <w:szCs w:val="28"/>
          <w:lang w:val="en-US"/>
        </w:rPr>
        <w:t> </w:t>
      </w:r>
      <w:r w:rsidRPr="008439CA">
        <w:rPr>
          <w:rFonts w:ascii="Times New Roman" w:hAnsi="Times New Roman"/>
          <w:sz w:val="28"/>
          <w:szCs w:val="28"/>
          <w:lang w:val="ru-RU"/>
        </w:rPr>
        <w:t>Куцевляк. − Москва, 1987. – 22</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Характеристика временного сменного и постоянного прикусов. Физиологические виды прикусов : методические указания для студентов /</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И.</w:t>
      </w:r>
      <w:r w:rsidRPr="008439CA">
        <w:rPr>
          <w:rFonts w:ascii="Times New Roman" w:hAnsi="Times New Roman"/>
          <w:sz w:val="28"/>
          <w:szCs w:val="28"/>
          <w:lang w:val="en-US"/>
        </w:rPr>
        <w:t> </w:t>
      </w:r>
      <w:r w:rsidRPr="008439CA">
        <w:rPr>
          <w:rFonts w:ascii="Times New Roman" w:hAnsi="Times New Roman"/>
          <w:sz w:val="28"/>
          <w:szCs w:val="28"/>
          <w:lang w:val="ru-RU"/>
        </w:rPr>
        <w:t>Куцевляк, А.</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Самсонов, С.</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Алтунина, Ю.</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Ткаченко.</w:t>
      </w:r>
      <w:r w:rsidRPr="008439CA">
        <w:rPr>
          <w:rFonts w:ascii="Times New Roman" w:hAnsi="Times New Roman"/>
          <w:sz w:val="28"/>
          <w:szCs w:val="28"/>
          <w:lang w:val="en-US"/>
        </w:rPr>
        <w:t> </w:t>
      </w:r>
      <w:r w:rsidRPr="008439CA">
        <w:rPr>
          <w:rFonts w:ascii="Times New Roman" w:hAnsi="Times New Roman"/>
          <w:sz w:val="28"/>
          <w:szCs w:val="28"/>
          <w:lang w:val="ru-RU"/>
        </w:rPr>
        <w:t>– Харьков : ХГМУ, 2005. – 19</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Шендеров</w:t>
      </w:r>
      <w:r w:rsidRPr="008439CA">
        <w:rPr>
          <w:rFonts w:ascii="Times New Roman" w:hAnsi="Times New Roman"/>
          <w:sz w:val="28"/>
          <w:szCs w:val="28"/>
          <w:lang w:val="en-US"/>
        </w:rPr>
        <w:t> </w:t>
      </w:r>
      <w:r w:rsidRPr="008439CA">
        <w:rPr>
          <w:rFonts w:ascii="Times New Roman" w:hAnsi="Times New Roman"/>
          <w:sz w:val="28"/>
          <w:szCs w:val="28"/>
          <w:lang w:val="ru-RU"/>
        </w:rPr>
        <w:t>Б.</w:t>
      </w:r>
      <w:r w:rsidRPr="008439CA">
        <w:rPr>
          <w:rFonts w:ascii="Times New Roman" w:hAnsi="Times New Roman"/>
          <w:sz w:val="28"/>
          <w:szCs w:val="28"/>
          <w:lang w:val="en-US"/>
        </w:rPr>
        <w:t> </w:t>
      </w:r>
      <w:r w:rsidRPr="008439CA">
        <w:rPr>
          <w:rFonts w:ascii="Times New Roman" w:hAnsi="Times New Roman"/>
          <w:sz w:val="28"/>
          <w:szCs w:val="28"/>
          <w:lang w:val="ru-RU"/>
        </w:rPr>
        <w:t>А. Нормальная микрофлора и её роль в поддержании здоровья человека /</w:t>
      </w:r>
      <w:r w:rsidRPr="008439CA">
        <w:rPr>
          <w:rFonts w:ascii="Times New Roman" w:hAnsi="Times New Roman"/>
          <w:sz w:val="28"/>
          <w:szCs w:val="28"/>
          <w:lang w:val="en-US"/>
        </w:rPr>
        <w:t> </w:t>
      </w:r>
      <w:r w:rsidRPr="008439CA">
        <w:rPr>
          <w:rFonts w:ascii="Times New Roman" w:hAnsi="Times New Roman"/>
          <w:sz w:val="28"/>
          <w:szCs w:val="28"/>
          <w:lang w:val="ru-RU"/>
        </w:rPr>
        <w:t>Б.</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Шендеров //</w:t>
      </w:r>
      <w:r w:rsidRPr="008439CA">
        <w:rPr>
          <w:rFonts w:ascii="Times New Roman" w:hAnsi="Times New Roman"/>
          <w:sz w:val="28"/>
          <w:szCs w:val="28"/>
          <w:lang w:val="en-US"/>
        </w:rPr>
        <w:t> </w:t>
      </w:r>
      <w:r w:rsidRPr="008439CA">
        <w:rPr>
          <w:rFonts w:ascii="Times New Roman" w:hAnsi="Times New Roman"/>
          <w:sz w:val="28"/>
          <w:szCs w:val="28"/>
          <w:lang w:val="ru-RU"/>
        </w:rPr>
        <w:t>Российский журнал гастроэнтерологии, гепатологии и колопроктологии. – 1998. − №</w:t>
      </w:r>
      <w:r w:rsidRPr="008439CA">
        <w:rPr>
          <w:rFonts w:ascii="Times New Roman" w:hAnsi="Times New Roman"/>
          <w:sz w:val="28"/>
          <w:szCs w:val="28"/>
          <w:lang w:val="en-US"/>
        </w:rPr>
        <w:t> </w:t>
      </w:r>
      <w:r w:rsidRPr="008439CA">
        <w:rPr>
          <w:rFonts w:ascii="Times New Roman" w:hAnsi="Times New Roman"/>
          <w:sz w:val="28"/>
          <w:szCs w:val="28"/>
          <w:lang w:val="ru-RU"/>
        </w:rPr>
        <w:t>1.</w:t>
      </w:r>
      <w:r w:rsidRPr="008439CA">
        <w:rPr>
          <w:rFonts w:ascii="Times New Roman" w:hAnsi="Times New Roman"/>
          <w:sz w:val="28"/>
          <w:szCs w:val="28"/>
          <w:lang w:val="en-US"/>
        </w:rPr>
        <w:t> </w:t>
      </w:r>
      <w:r w:rsidRPr="008439CA">
        <w:rPr>
          <w:rFonts w:ascii="Times New Roman" w:hAnsi="Times New Roman"/>
          <w:sz w:val="28"/>
          <w:szCs w:val="28"/>
          <w:lang w:val="ru-RU"/>
        </w:rPr>
        <w:t>– С.</w:t>
      </w:r>
      <w:r w:rsidRPr="008439CA">
        <w:rPr>
          <w:rFonts w:ascii="Times New Roman" w:hAnsi="Times New Roman"/>
          <w:sz w:val="28"/>
          <w:szCs w:val="28"/>
          <w:lang w:val="en-US"/>
        </w:rPr>
        <w:t> </w:t>
      </w:r>
      <w:r w:rsidRPr="008439CA">
        <w:rPr>
          <w:rFonts w:ascii="Times New Roman" w:hAnsi="Times New Roman"/>
          <w:sz w:val="28"/>
          <w:szCs w:val="28"/>
          <w:lang w:val="ru-RU"/>
        </w:rPr>
        <w:t>61−65.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Элларян</w:t>
      </w:r>
      <w:r w:rsidRPr="008439CA">
        <w:rPr>
          <w:rFonts w:ascii="Times New Roman" w:hAnsi="Times New Roman"/>
          <w:sz w:val="28"/>
          <w:szCs w:val="28"/>
          <w:lang w:val="en-US"/>
        </w:rPr>
        <w:t> </w:t>
      </w:r>
      <w:r w:rsidRPr="008439CA">
        <w:rPr>
          <w:rFonts w:ascii="Times New Roman" w:hAnsi="Times New Roman"/>
          <w:sz w:val="28"/>
          <w:szCs w:val="28"/>
          <w:lang w:val="ru-RU"/>
        </w:rPr>
        <w:t>Л.</w:t>
      </w:r>
      <w:r w:rsidRPr="008439CA">
        <w:rPr>
          <w:rFonts w:ascii="Times New Roman" w:hAnsi="Times New Roman"/>
          <w:sz w:val="28"/>
          <w:szCs w:val="28"/>
          <w:lang w:val="en-US"/>
        </w:rPr>
        <w:t> </w:t>
      </w:r>
      <w:r w:rsidRPr="008439CA">
        <w:rPr>
          <w:rFonts w:ascii="Times New Roman" w:hAnsi="Times New Roman"/>
          <w:sz w:val="28"/>
          <w:szCs w:val="28"/>
          <w:lang w:val="ru-RU"/>
        </w:rPr>
        <w:t>К. Эффективность сочетанного применения "Метрогил Дента" и "Мексидол Дент актив" при хроническом катаральном гингивите : автореф. … дис. канд. мед. наук : 14.00.25 /</w:t>
      </w:r>
      <w:r w:rsidRPr="008439CA">
        <w:rPr>
          <w:rFonts w:ascii="Times New Roman" w:hAnsi="Times New Roman"/>
          <w:sz w:val="28"/>
          <w:szCs w:val="28"/>
          <w:lang w:val="en-US"/>
        </w:rPr>
        <w:t> </w:t>
      </w:r>
      <w:r w:rsidRPr="008439CA">
        <w:rPr>
          <w:rFonts w:ascii="Times New Roman" w:hAnsi="Times New Roman"/>
          <w:sz w:val="28"/>
          <w:szCs w:val="28"/>
          <w:lang w:val="ru-RU"/>
        </w:rPr>
        <w:t>Элларян Лианна Коляевна ; Саранский медицинский институт. – Саранск, 2006. – 22</w:t>
      </w:r>
      <w:r w:rsidRPr="008439CA">
        <w:rPr>
          <w:rFonts w:ascii="Times New Roman" w:hAnsi="Times New Roman"/>
          <w:sz w:val="28"/>
          <w:szCs w:val="28"/>
          <w:lang w:val="en-US"/>
        </w:rPr>
        <w:t> </w:t>
      </w:r>
      <w:r w:rsidRPr="008439CA">
        <w:rPr>
          <w:rFonts w:ascii="Times New Roman" w:hAnsi="Times New Roman"/>
          <w:sz w:val="28"/>
          <w:szCs w:val="28"/>
          <w:lang w:val="ru-RU"/>
        </w:rPr>
        <w:t>с.</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ru-RU"/>
        </w:rPr>
      </w:pPr>
      <w:r w:rsidRPr="008439CA">
        <w:rPr>
          <w:rFonts w:ascii="Times New Roman" w:hAnsi="Times New Roman"/>
          <w:sz w:val="28"/>
          <w:szCs w:val="28"/>
          <w:lang w:val="ru-RU"/>
        </w:rPr>
        <w:t xml:space="preserve">Эффективность зубных паст с различными активными компонентами в профилактике и лечении стоматологических заболеваний </w:t>
      </w:r>
      <w:r w:rsidRPr="008439CA">
        <w:rPr>
          <w:rFonts w:ascii="Times New Roman" w:hAnsi="Times New Roman"/>
          <w:sz w:val="28"/>
          <w:szCs w:val="28"/>
          <w:lang w:val="ru-RU"/>
        </w:rPr>
        <w:lastRenderedPageBreak/>
        <w:t>/</w:t>
      </w:r>
      <w:r w:rsidRPr="008439CA">
        <w:rPr>
          <w:rFonts w:ascii="Times New Roman" w:hAnsi="Times New Roman"/>
          <w:sz w:val="28"/>
          <w:szCs w:val="28"/>
          <w:lang w:val="en-US"/>
        </w:rPr>
        <w:t> </w:t>
      </w:r>
      <w:r w:rsidRPr="008439CA">
        <w:rPr>
          <w:rFonts w:ascii="Times New Roman" w:hAnsi="Times New Roman"/>
          <w:sz w:val="28"/>
          <w:szCs w:val="28"/>
          <w:lang w:val="ru-RU"/>
        </w:rPr>
        <w:t>Н.</w:t>
      </w:r>
      <w:r w:rsidRPr="008439CA">
        <w:rPr>
          <w:rFonts w:ascii="Times New Roman" w:hAnsi="Times New Roman"/>
          <w:sz w:val="28"/>
          <w:szCs w:val="28"/>
          <w:lang w:val="en-US"/>
        </w:rPr>
        <w:t> </w:t>
      </w:r>
      <w:r w:rsidRPr="008439CA">
        <w:rPr>
          <w:rFonts w:ascii="Times New Roman" w:hAnsi="Times New Roman"/>
          <w:sz w:val="28"/>
          <w:szCs w:val="28"/>
          <w:lang w:val="ru-RU"/>
        </w:rPr>
        <w:t>А.</w:t>
      </w:r>
      <w:r w:rsidRPr="008439CA">
        <w:rPr>
          <w:rFonts w:ascii="Times New Roman" w:hAnsi="Times New Roman"/>
          <w:sz w:val="28"/>
          <w:szCs w:val="28"/>
          <w:lang w:val="en-US"/>
        </w:rPr>
        <w:t> </w:t>
      </w:r>
      <w:r w:rsidRPr="008439CA">
        <w:rPr>
          <w:rFonts w:ascii="Times New Roman" w:hAnsi="Times New Roman"/>
          <w:sz w:val="28"/>
          <w:szCs w:val="28"/>
          <w:lang w:val="ru-RU"/>
        </w:rPr>
        <w:t>Юдина, Н.</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Терехова, О.</w:t>
      </w:r>
      <w:r w:rsidRPr="008439CA">
        <w:rPr>
          <w:rFonts w:ascii="Times New Roman" w:hAnsi="Times New Roman"/>
          <w:sz w:val="28"/>
          <w:szCs w:val="28"/>
          <w:lang w:val="en-US"/>
        </w:rPr>
        <w:t> </w:t>
      </w:r>
      <w:r w:rsidRPr="008439CA">
        <w:rPr>
          <w:rFonts w:ascii="Times New Roman" w:hAnsi="Times New Roman"/>
          <w:sz w:val="28"/>
          <w:szCs w:val="28"/>
          <w:lang w:val="ru-RU"/>
        </w:rPr>
        <w:t>В.</w:t>
      </w:r>
      <w:r w:rsidRPr="008439CA">
        <w:rPr>
          <w:rFonts w:ascii="Times New Roman" w:hAnsi="Times New Roman"/>
          <w:sz w:val="28"/>
          <w:szCs w:val="28"/>
          <w:lang w:val="en-US"/>
        </w:rPr>
        <w:t> </w:t>
      </w:r>
      <w:r w:rsidRPr="008439CA">
        <w:rPr>
          <w:rFonts w:ascii="Times New Roman" w:hAnsi="Times New Roman"/>
          <w:sz w:val="28"/>
          <w:szCs w:val="28"/>
          <w:lang w:val="ru-RU"/>
        </w:rPr>
        <w:t>Юрис [и др.] //</w:t>
      </w:r>
      <w:r w:rsidRPr="008439CA">
        <w:rPr>
          <w:rFonts w:ascii="Times New Roman" w:hAnsi="Times New Roman"/>
          <w:sz w:val="28"/>
          <w:szCs w:val="28"/>
          <w:lang w:val="en-US"/>
        </w:rPr>
        <w:t> </w:t>
      </w:r>
      <w:r w:rsidRPr="008439CA">
        <w:rPr>
          <w:rFonts w:ascii="Times New Roman" w:hAnsi="Times New Roman"/>
          <w:sz w:val="28"/>
          <w:szCs w:val="28"/>
          <w:lang w:val="ru-RU"/>
        </w:rPr>
        <w:t>Современная стоматология.</w:t>
      </w:r>
      <w:r w:rsidRPr="008439CA">
        <w:rPr>
          <w:rFonts w:ascii="Times New Roman" w:hAnsi="Times New Roman"/>
          <w:sz w:val="28"/>
          <w:szCs w:val="28"/>
          <w:lang w:val="en-US"/>
        </w:rPr>
        <w:t> </w:t>
      </w:r>
      <w:r w:rsidRPr="008439CA">
        <w:rPr>
          <w:rFonts w:ascii="Times New Roman" w:hAnsi="Times New Roman"/>
          <w:sz w:val="28"/>
          <w:szCs w:val="28"/>
          <w:lang w:val="ru-RU"/>
        </w:rPr>
        <w:t>– 2009.</w:t>
      </w:r>
      <w:r w:rsidRPr="008439CA">
        <w:rPr>
          <w:rFonts w:ascii="Times New Roman" w:hAnsi="Times New Roman"/>
          <w:sz w:val="28"/>
          <w:szCs w:val="28"/>
          <w:lang w:val="en-US"/>
        </w:rPr>
        <w:t> </w:t>
      </w:r>
      <w:r w:rsidRPr="008439CA">
        <w:rPr>
          <w:rFonts w:ascii="Times New Roman" w:hAnsi="Times New Roman"/>
          <w:sz w:val="28"/>
          <w:szCs w:val="28"/>
          <w:lang w:val="ru-RU"/>
        </w:rPr>
        <w:t>− №</w:t>
      </w:r>
      <w:r w:rsidRPr="008439CA">
        <w:rPr>
          <w:rFonts w:ascii="Times New Roman" w:hAnsi="Times New Roman"/>
          <w:sz w:val="28"/>
          <w:szCs w:val="28"/>
          <w:lang w:val="en-US"/>
        </w:rPr>
        <w:t> </w:t>
      </w:r>
      <w:r w:rsidRPr="008439CA">
        <w:rPr>
          <w:rFonts w:ascii="Times New Roman" w:hAnsi="Times New Roman"/>
          <w:sz w:val="28"/>
          <w:szCs w:val="28"/>
          <w:lang w:val="ru-RU"/>
        </w:rPr>
        <w:t>3/4. – С.</w:t>
      </w:r>
      <w:r w:rsidRPr="008439CA">
        <w:rPr>
          <w:rFonts w:ascii="Times New Roman" w:hAnsi="Times New Roman"/>
          <w:sz w:val="28"/>
          <w:szCs w:val="28"/>
          <w:lang w:val="en-US"/>
        </w:rPr>
        <w:t> </w:t>
      </w:r>
      <w:r w:rsidRPr="008439CA">
        <w:rPr>
          <w:rFonts w:ascii="Times New Roman" w:hAnsi="Times New Roman"/>
          <w:sz w:val="28"/>
          <w:szCs w:val="28"/>
          <w:lang w:val="ru-RU"/>
        </w:rPr>
        <w:t>74−78.</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Al-Qahtani Z. Caries experience and oral hygiene status of blind, deaf and mentally retarded female children in Riyadh, Saudi Arabia / Z. Al-Qahtani, A. H. Wyne // Odontostomatol. Trop. − 2004. – Vol. 27, N 105. − P. 37−40.</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Assessment of the state of dentition and oral hygiene in 16-25-year-old young people with mild and moderate mental disability / P. Stachurski, M. Warsz, K. Rudnicka-Siwek, A. Ziolo // Adv. Med. Sci. − 2006. – Vol. 51. Suppl. 1. − P. 200−203.</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Bacteria of dental caries in primary and permanent teeth in children and young adults / J. A. Aas, A. L. Griffen, S. R. Dardis [et al.] // J. Clin. Microbiol. – 2008. – Vol. 46, N 4. – Р. 1407−1417.</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Boj J. R. Differences between normal and developmentally disabled children in a first dental visits / J. R. Boj, J. M. Davila // ASDC J. Dent. Child. − 1995. – Vol. 62, N 1. − P. 52−56.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Brown A. Caries prevalence and treatment needs of healthy and medically compromised children at a tertiary care institution in Saudi Arabia / A. Brown // East. Mediterr. Health J. − 2009. – Vol. 15, N 2. − P. 378−386.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Caries prevalence and treatment needs of rural school children in Chidambaram Taluk, Tamil Nadu, South India / S. Saravanan, V. </w:t>
      </w:r>
      <w:hyperlink r:id="rId76" w:history="1">
        <w:r w:rsidRPr="008439CA">
          <w:rPr>
            <w:rFonts w:ascii="Times New Roman" w:hAnsi="Times New Roman"/>
            <w:sz w:val="28"/>
            <w:szCs w:val="28"/>
            <w:lang w:val="en-US"/>
          </w:rPr>
          <w:t xml:space="preserve">Kalyani, </w:t>
        </w:r>
      </w:hyperlink>
      <w:r w:rsidRPr="008439CA">
        <w:rPr>
          <w:rFonts w:ascii="Times New Roman" w:hAnsi="Times New Roman"/>
          <w:sz w:val="28"/>
          <w:szCs w:val="28"/>
          <w:lang w:val="en-US"/>
        </w:rPr>
        <w:t>M. P. </w:t>
      </w:r>
      <w:hyperlink r:id="rId77" w:history="1">
        <w:r w:rsidRPr="008439CA">
          <w:rPr>
            <w:rFonts w:ascii="Times New Roman" w:hAnsi="Times New Roman"/>
            <w:sz w:val="28"/>
            <w:szCs w:val="28"/>
            <w:lang w:val="en-US"/>
          </w:rPr>
          <w:t xml:space="preserve">Vijayarani </w:t>
        </w:r>
      </w:hyperlink>
      <w:r w:rsidRPr="008439CA">
        <w:rPr>
          <w:rFonts w:ascii="Times New Roman" w:hAnsi="Times New Roman"/>
          <w:sz w:val="28"/>
          <w:szCs w:val="28"/>
          <w:lang w:val="en-US"/>
        </w:rPr>
        <w:t>[et al.] // Indian J. Dent. Res. − 2008. – Vol. 19, N 3. − P. 186−190.</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Chatufale J. D. A cross - sectional study of factors related to oral health in rural area of loni, western Maharashtra / J. D. Chatufale, R. C. Goyal // Indian J. Community Med</w:t>
      </w:r>
      <w:r w:rsidRPr="008439CA">
        <w:rPr>
          <w:rFonts w:ascii="Times New Roman" w:hAnsi="Times New Roman"/>
          <w:sz w:val="28"/>
          <w:szCs w:val="28"/>
        </w:rPr>
        <w:t>.</w:t>
      </w:r>
      <w:r w:rsidRPr="008439CA">
        <w:rPr>
          <w:rFonts w:ascii="Times New Roman" w:hAnsi="Times New Roman"/>
          <w:sz w:val="28"/>
          <w:szCs w:val="28"/>
          <w:lang w:val="en-US"/>
        </w:rPr>
        <w:t xml:space="preserve"> − 2002. – Vol. 27, N 2. − P. 74−76.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Court S. D. M. Fit for the Future: Report of the Committee on Child Health Services. Vol. 2. / S. D. M. Court. – London : H.M.S.O., 1976. – 222 p.</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 xml:space="preserve">Deinzer R. Dynamics of stress-related decrease of salivary immunoglobulin A (sIgA): relationship to symptoms of common cold and </w:t>
      </w:r>
      <w:r w:rsidRPr="008439CA">
        <w:rPr>
          <w:rFonts w:ascii="Times New Roman" w:hAnsi="Times New Roman"/>
          <w:sz w:val="28"/>
          <w:szCs w:val="28"/>
          <w:lang w:val="en-US"/>
        </w:rPr>
        <w:lastRenderedPageBreak/>
        <w:t>studying behavior / R. Deinzer, N. Schuller // Behav. Med. – 1998. – Vol. 23, N 4. – P. 161−169.</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Dental caries experience of disabled children and young adults in Kuwait / M. Shyama, S. A. Al-Mutawa, R. E. Morris [et al.] // Community Dent. Health. − 2001. – Vol. 18, N 3. − P. 181−186.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Dental caries in disabled children / J. N Ivancić, M. Majstorovic, D. Bakarcic [et al.] // Coll. Antropol. − 2007. – Vol. 31, N 1. − P. 321−324.</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Dental health and dental care in severely mentally retarded children / H. Forsberg, I. Quick-Nilsson, K. H. Gustavson, S. Jaqell // Swed. Dent. J. − 1985. – Vol. 9, N 1. − P. 15−28.</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Dental Treatment Needs with Disabilities / B. A. Ajami, M. Shabzendedar, Y. A. Rezay, M. Asgary // J. Dent. Res. Dent. Clin. Dent. Prospects. − 2007. – Vol. 1, N 2. − P. 93−98.</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Dentition status and treatment needs among children with impaired hearing attending a special school for the deaf and mute in Udaipur, India / M.</w:t>
      </w:r>
      <w:r w:rsidRPr="008439CA">
        <w:rPr>
          <w:rFonts w:ascii="Times New Roman" w:hAnsi="Times New Roman"/>
          <w:sz w:val="28"/>
          <w:szCs w:val="28"/>
        </w:rPr>
        <w:t> Jain,</w:t>
      </w:r>
      <w:r w:rsidRPr="008439CA">
        <w:rPr>
          <w:rFonts w:ascii="Times New Roman" w:hAnsi="Times New Roman"/>
          <w:sz w:val="28"/>
          <w:szCs w:val="28"/>
          <w:lang w:val="en-US"/>
        </w:rPr>
        <w:t xml:space="preserve"> A. Mathur, S. Kumar [et al.] // J. Oral Sci. – 2008. – Vol. 50, N 2. – P. 161−165.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Dhar V. Dental caries and treatment needs of children (6-10 years) in rural Udaipur, Rajasthan / V. Dhar, M. Bhatnagar // Indian J. Dent. Res.</w:t>
      </w:r>
      <w:r w:rsidRPr="008439CA">
        <w:rPr>
          <w:rFonts w:ascii="Times New Roman" w:hAnsi="Times New Roman"/>
          <w:sz w:val="28"/>
          <w:szCs w:val="28"/>
        </w:rPr>
        <w:t xml:space="preserve"> </w:t>
      </w:r>
      <w:r w:rsidRPr="008439CA">
        <w:rPr>
          <w:rFonts w:ascii="Times New Roman" w:hAnsi="Times New Roman"/>
          <w:sz w:val="28"/>
          <w:szCs w:val="28"/>
          <w:lang w:val="en-US"/>
        </w:rPr>
        <w:t>− 2009. – Vol. 20, N 3. − P. 256−260.</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Hennequin M. Accuracy of estimation of dental treatment need in special care patient / M. Hennequin, D. Faulks, D. Roux // J. Dent. − 2000. – Vol. 28, N 2. − P. 131−136.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rPr>
        <w:t xml:space="preserve"> </w:t>
      </w:r>
      <w:r w:rsidR="003B2153" w:rsidRPr="008439CA">
        <w:rPr>
          <w:rFonts w:ascii="Times New Roman" w:hAnsi="Times New Roman"/>
          <w:sz w:val="28"/>
          <w:szCs w:val="28"/>
          <w:lang w:val="en-US"/>
        </w:rPr>
        <w:t>H</w:t>
      </w:r>
      <w:r w:rsidRPr="008439CA">
        <w:rPr>
          <w:rFonts w:ascii="Times New Roman" w:hAnsi="Times New Roman"/>
          <w:sz w:val="28"/>
          <w:szCs w:val="28"/>
          <w:lang w:val="en-US"/>
        </w:rPr>
        <w:t>ow to improve communication with deaf children in the dental clinic / S. S. Alsmark, J. Garcia, M. Martinez, N. Lopez // Med. Oral. Patol. Oral. Cir. Bucal. − 2007. – Vol. 12, N 8. − P. E576−E571.</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Jemmott J. B. Secretory IgA as a measure of resistance of infectious disease: comments of Stone, Cox, Valdimarsdottir, and Neale / J. B. Jemmott, D. C. McClelland // Behav. Med. – 1989. – Vol. 15, N 2. – P. 63−71.</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lastRenderedPageBreak/>
        <w:t>Kenkre A. M. Oral health and treatment needs in institutionalized patients in India / A. M. Kenkre, A. E. Spadigam // Indian J. Dent. Res. − 2000. – Vol. 11, N 1. − P. 5−11.</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Merchant A. T. Researching periodontitis: challenges and opportunities / A. T. Merchant, W. Pitiphat // J. Clin. Periodontol. – 2007. – Vol. 34, N 12. − P. 1007−1015.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Murray J. J. The dental condition of severely subnormal children in three London boroughs / J. J. Murray, J. P. MacLeod // Br. Dent. J. – 1973. – Vol. 134, N 9. – P. 380−385.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National oral health survey and fluoride mapping 2002-2003 / R. K. Bali, V. B. Mathur, P. P. Talwar, H. B. Chanana // Rajasthan. − 1st ed. − New Delhi : Dental Council of India, 2004. − P. 104−106.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en-US"/>
        </w:rPr>
        <w:t>Neonatal hearing screening / A. M. Oudesluys-Murphy,</w:t>
      </w:r>
      <w:r w:rsidRPr="008439CA">
        <w:rPr>
          <w:rFonts w:ascii="Times New Roman" w:hAnsi="Times New Roman"/>
          <w:sz w:val="28"/>
          <w:szCs w:val="28"/>
        </w:rPr>
        <w:t xml:space="preserve"> </w:t>
      </w:r>
      <w:r w:rsidRPr="008439CA">
        <w:rPr>
          <w:rFonts w:ascii="Times New Roman" w:hAnsi="Times New Roman"/>
          <w:sz w:val="28"/>
          <w:szCs w:val="28"/>
          <w:lang w:val="en-US"/>
        </w:rPr>
        <w:t>H. L. van Straaten,</w:t>
      </w:r>
      <w:r w:rsidRPr="008439CA">
        <w:rPr>
          <w:rFonts w:ascii="Times New Roman" w:hAnsi="Times New Roman"/>
          <w:sz w:val="28"/>
          <w:szCs w:val="28"/>
        </w:rPr>
        <w:t> R. </w:t>
      </w:r>
      <w:r w:rsidRPr="008439CA">
        <w:rPr>
          <w:rFonts w:ascii="Times New Roman" w:hAnsi="Times New Roman"/>
          <w:sz w:val="28"/>
          <w:szCs w:val="28"/>
          <w:lang w:val="en-US"/>
        </w:rPr>
        <w:t>Bholasingh,</w:t>
      </w:r>
      <w:r w:rsidRPr="008439CA">
        <w:rPr>
          <w:rFonts w:ascii="Times New Roman" w:hAnsi="Times New Roman"/>
          <w:sz w:val="28"/>
          <w:szCs w:val="28"/>
        </w:rPr>
        <w:t> G. A. </w:t>
      </w:r>
      <w:r w:rsidRPr="008439CA">
        <w:rPr>
          <w:rFonts w:ascii="Times New Roman" w:hAnsi="Times New Roman"/>
          <w:sz w:val="28"/>
          <w:szCs w:val="28"/>
          <w:lang w:val="en-US"/>
        </w:rPr>
        <w:t>van Zanten //</w:t>
      </w:r>
      <w:r w:rsidRPr="008439CA">
        <w:rPr>
          <w:rFonts w:ascii="Times New Roman" w:hAnsi="Times New Roman"/>
          <w:sz w:val="28"/>
          <w:szCs w:val="28"/>
        </w:rPr>
        <w:t> </w:t>
      </w:r>
      <w:r w:rsidRPr="008439CA">
        <w:rPr>
          <w:rFonts w:ascii="Times New Roman" w:hAnsi="Times New Roman"/>
          <w:sz w:val="28"/>
          <w:szCs w:val="28"/>
          <w:lang w:val="en-US"/>
        </w:rPr>
        <w:t>Eur. J. Pediatr</w:t>
      </w:r>
      <w:r w:rsidRPr="008439CA">
        <w:rPr>
          <w:rFonts w:ascii="Times New Roman" w:hAnsi="Times New Roman"/>
          <w:sz w:val="28"/>
          <w:szCs w:val="28"/>
        </w:rPr>
        <w:t>. – 1996. – Vol. 155, N </w:t>
      </w:r>
      <w:r w:rsidRPr="008439CA">
        <w:rPr>
          <w:rFonts w:ascii="Times New Roman" w:hAnsi="Times New Roman"/>
          <w:sz w:val="28"/>
          <w:szCs w:val="28"/>
          <w:lang w:val="en-US"/>
        </w:rPr>
        <w:t>6. – P.</w:t>
      </w:r>
      <w:r w:rsidRPr="008439CA">
        <w:rPr>
          <w:rFonts w:ascii="Times New Roman" w:hAnsi="Times New Roman"/>
          <w:sz w:val="28"/>
          <w:szCs w:val="28"/>
        </w:rPr>
        <w:t> 429−435.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rPr>
      </w:pPr>
      <w:r w:rsidRPr="008439CA">
        <w:rPr>
          <w:rFonts w:ascii="Times New Roman" w:hAnsi="Times New Roman"/>
          <w:sz w:val="28"/>
          <w:szCs w:val="28"/>
          <w:lang w:val="en-US"/>
        </w:rPr>
        <w:t>Nielsen L. A. Plaque and gingivitis in children with cerebral palsy: relation to CP-diagnosis, mental and motor handicap / L. A. Nielsen // Tandlaegernes Tidsskr. − 1990. – Vol. 5</w:t>
      </w:r>
      <w:r w:rsidRPr="008439CA">
        <w:rPr>
          <w:rFonts w:ascii="Times New Roman" w:hAnsi="Times New Roman"/>
          <w:sz w:val="28"/>
          <w:szCs w:val="28"/>
        </w:rPr>
        <w:t xml:space="preserve">, </w:t>
      </w:r>
      <w:r w:rsidRPr="008439CA">
        <w:rPr>
          <w:rFonts w:ascii="Times New Roman" w:hAnsi="Times New Roman"/>
          <w:sz w:val="28"/>
          <w:szCs w:val="28"/>
          <w:lang w:val="en-US"/>
        </w:rPr>
        <w:t>N</w:t>
      </w:r>
      <w:r w:rsidRPr="008439CA">
        <w:rPr>
          <w:rFonts w:ascii="Times New Roman" w:hAnsi="Times New Roman"/>
          <w:sz w:val="28"/>
          <w:szCs w:val="28"/>
        </w:rPr>
        <w:t> </w:t>
      </w:r>
      <w:r w:rsidRPr="008439CA">
        <w:rPr>
          <w:rFonts w:ascii="Times New Roman" w:hAnsi="Times New Roman"/>
          <w:sz w:val="28"/>
          <w:szCs w:val="28"/>
          <w:lang w:val="en-US"/>
        </w:rPr>
        <w:t>11.</w:t>
      </w:r>
      <w:r w:rsidRPr="008439CA">
        <w:rPr>
          <w:rFonts w:ascii="Times New Roman" w:hAnsi="Times New Roman"/>
          <w:sz w:val="28"/>
          <w:szCs w:val="28"/>
        </w:rPr>
        <w:t xml:space="preserve"> </w:t>
      </w:r>
      <w:r w:rsidRPr="008439CA">
        <w:rPr>
          <w:rFonts w:ascii="Times New Roman" w:hAnsi="Times New Roman"/>
          <w:sz w:val="28"/>
          <w:szCs w:val="28"/>
          <w:lang w:val="en-US"/>
        </w:rPr>
        <w:t>−</w:t>
      </w:r>
      <w:r w:rsidRPr="008439CA">
        <w:rPr>
          <w:rFonts w:ascii="Times New Roman" w:hAnsi="Times New Roman"/>
          <w:sz w:val="28"/>
          <w:szCs w:val="28"/>
        </w:rPr>
        <w:t xml:space="preserve"> P. 316−320.</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Oral Health Surveys : basic methods / World Health Organization. − 4th ed. − Geneva : World Health Organization, 2013. – 137 p.</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eastAsia="Times New Roman" w:hAnsi="Times New Roman"/>
          <w:sz w:val="28"/>
          <w:szCs w:val="28"/>
          <w:lang w:eastAsia="uk-UA"/>
        </w:rPr>
      </w:pPr>
      <w:r w:rsidRPr="008439CA">
        <w:rPr>
          <w:rFonts w:ascii="Times New Roman" w:hAnsi="Times New Roman"/>
          <w:sz w:val="28"/>
          <w:szCs w:val="28"/>
          <w:lang w:val="en-US"/>
        </w:rPr>
        <w:t>Pat. CN1593663 A China, Int. Cl. A61K48/00, A61P1/02, C12N15/62, A61K48/00, C112N15/62. Target directional DNA vaccine for preventing caries and preparation method thereof / Rong Jia, Jihua Guo ; applicant University Wuhan (CN). – N CN20041013318</w:t>
      </w:r>
      <w:r w:rsidR="00597E77" w:rsidRPr="00597E77">
        <w:rPr>
          <w:sz w:val="28"/>
          <w:szCs w:val="28"/>
        </w:rPr>
      </w:r>
      <w:r w:rsidR="00597E77" w:rsidRPr="00597E77">
        <w:rPr>
          <w:sz w:val="28"/>
          <w:szCs w:val="28"/>
        </w:rPr>
        <w:pict>
          <v:rect id="Прямоугольник 3" o:spid="_x0000_s1117"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BzfII40wIAAMQFAAAOAAAAAAAAAAAAAAAAAC4CAABkcnMvZTJvRG9jLnht&#10;bFBLAQItABQABgAIAAAAIQDUCNk32AAAAAEBAAAPAAAAAAAAAAAAAAAAAC0FAABkcnMvZG93bnJl&#10;di54bWxQSwUGAAAAAAQABADzAAAAMgYAAAAA&#10;" filled="f" stroked="f">
            <o:lock v:ext="edit" aspectratio="t"/>
            <w10:wrap type="none"/>
            <w10:anchorlock/>
          </v:rect>
        </w:pict>
      </w:r>
      <w:r w:rsidRPr="008439CA">
        <w:rPr>
          <w:rFonts w:ascii="Times New Roman" w:hAnsi="Times New Roman"/>
          <w:sz w:val="28"/>
          <w:szCs w:val="28"/>
          <w:lang w:val="en-US"/>
        </w:rPr>
        <w:t xml:space="preserve"> ; filed 18.06.2004 ; pub. date 16.03.2005.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 xml:space="preserve">Pat. GB1343755 A, Int. Cl. A61K31/715, A61K35/74, A61K39/09, A61K39/385, A61K8/73, A61K8/99, A61Q11/00, C12P19/04, C12R1/4, A61K. Vaccine for dental caries / applicants </w:t>
      </w:r>
      <w:hyperlink r:id="rId78" w:history="1">
        <w:r w:rsidRPr="008439CA">
          <w:rPr>
            <w:rFonts w:ascii="Times New Roman" w:hAnsi="Times New Roman"/>
            <w:sz w:val="28"/>
            <w:szCs w:val="28"/>
            <w:lang w:val="en-US"/>
          </w:rPr>
          <w:t>Colgate Palmolive Co</w:t>
        </w:r>
      </w:hyperlink>
      <w:r w:rsidRPr="008439CA">
        <w:rPr>
          <w:rFonts w:ascii="Times New Roman" w:hAnsi="Times New Roman"/>
          <w:sz w:val="28"/>
          <w:szCs w:val="28"/>
          <w:lang w:val="en-US"/>
        </w:rPr>
        <w:t>. – N GB19720012408</w:t>
      </w:r>
      <w:r w:rsidRPr="008439CA">
        <w:rPr>
          <w:rFonts w:ascii="Times New Roman" w:hAnsi="Times New Roman"/>
          <w:sz w:val="28"/>
          <w:szCs w:val="28"/>
        </w:rPr>
        <w:t> </w:t>
      </w:r>
      <w:r w:rsidRPr="008439CA">
        <w:rPr>
          <w:rFonts w:ascii="Times New Roman" w:hAnsi="Times New Roman"/>
          <w:sz w:val="28"/>
          <w:szCs w:val="28"/>
          <w:lang w:val="en-US"/>
        </w:rPr>
        <w:t>; filed 16.03.1972 ; pub. date 16.01.1974.</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lastRenderedPageBreak/>
        <w:t>Pat. PT102907 A, Int. Cl. A61K39/09, A61P1/02, C07K14/315. Extracellular protein based dental caries vaccine, isolated from Streptococcus sobrinus includes anti-inflammatory IL-10 supressing immune response, for e.g. oral administration / Cabrita Antonio Manuel Silveri (PT), Gomes Maria Delfina da Conceic (PT), Silva Paula Maria das Neves Fe (PT), Vilanova Manuel Joao Rua (PT), Rodrigues Adilia de Lurdes Dos (PT), Lima Maria Margarida Carvalho (PT), Fonseca Antonio Jose de Meneze (PT), Coutinho Antonio Manuel Pinto (PT) ; applicant Universidad do Porto (PT). – N PT20030102907 ; filed 05.02.2003 ; pub. date 31.08.2004.</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eastAsia="Times New Roman" w:hAnsi="Times New Roman"/>
          <w:sz w:val="28"/>
          <w:szCs w:val="28"/>
          <w:lang w:val="en-US" w:eastAsia="uk-UA"/>
        </w:rPr>
      </w:pPr>
      <w:r w:rsidRPr="008439CA">
        <w:rPr>
          <w:rFonts w:ascii="Times New Roman" w:hAnsi="Times New Roman"/>
          <w:sz w:val="28"/>
          <w:szCs w:val="28"/>
          <w:lang w:val="en-US"/>
        </w:rPr>
        <w:t>Pat. US 2006029618A1 United States, Int. Cl. A61K39/205. Vaccine against dental caries based on virulence-associated immunomodulatory extracellular proteins producted by the cariogenic bacteria Streptococcus sobrinus and Streptococcus mutans / Maria Delfina da Conceicao Tavares Gomes (PT), Porto (PT), Paula Maria das Neves Ferreira da Silva, Maia (PT); Manuel Joao Rua Vilanova, Couto St. Tirso (PT); Antonio Jose de Meneses Moreira da Fonseca, Coimbra (PT); Antonio Manuel Silverio Cabrita, Coimbra (PT); Antonio Manuel Pinto do Amara Coutinho, Lisboa (PT) ; applicants Da Conceicao Tavares Gome</w:t>
      </w:r>
      <w:r w:rsidRPr="008439CA">
        <w:rPr>
          <w:rFonts w:ascii="Times New Roman" w:hAnsi="Times New Roman"/>
          <w:sz w:val="28"/>
          <w:szCs w:val="28"/>
        </w:rPr>
        <w:t xml:space="preserve">. </w:t>
      </w:r>
      <w:r w:rsidRPr="008439CA">
        <w:rPr>
          <w:rFonts w:ascii="Times New Roman" w:hAnsi="Times New Roman"/>
          <w:sz w:val="28"/>
          <w:szCs w:val="28"/>
          <w:lang w:val="en-US"/>
        </w:rPr>
        <w:t>–</w:t>
      </w:r>
      <w:r w:rsidRPr="008439CA">
        <w:rPr>
          <w:sz w:val="28"/>
          <w:szCs w:val="28"/>
        </w:rPr>
        <w:t xml:space="preserve"> </w:t>
      </w:r>
      <w:r w:rsidRPr="008439CA">
        <w:rPr>
          <w:rFonts w:ascii="Times New Roman" w:hAnsi="Times New Roman"/>
          <w:sz w:val="28"/>
          <w:szCs w:val="28"/>
          <w:lang w:val="en-US"/>
        </w:rPr>
        <w:t>N 10/913,723 ; filed 06.08.2004 ; pub. date 09.02.2006.</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Pat. US2007065465 United States, Int. Cl. A61K 39/09 Conjugate vaccines for prevention of dental caries / </w:t>
      </w:r>
      <w:r w:rsidRPr="008439CA">
        <w:rPr>
          <w:rFonts w:ascii="Times New Roman" w:hAnsi="Times New Roman"/>
          <w:sz w:val="28"/>
          <w:szCs w:val="28"/>
        </w:rPr>
        <w:t>Lee Andrew</w:t>
      </w:r>
      <w:r w:rsidRPr="008439CA">
        <w:rPr>
          <w:rFonts w:ascii="Times New Roman" w:hAnsi="Times New Roman"/>
          <w:sz w:val="28"/>
          <w:szCs w:val="28"/>
          <w:lang w:val="en-US"/>
        </w:rPr>
        <w:t xml:space="preserve"> (US)</w:t>
      </w:r>
      <w:r w:rsidRPr="008439CA">
        <w:rPr>
          <w:rFonts w:ascii="Times New Roman" w:hAnsi="Times New Roman"/>
          <w:sz w:val="28"/>
          <w:szCs w:val="28"/>
        </w:rPr>
        <w:t xml:space="preserve">, </w:t>
      </w:r>
      <w:r w:rsidRPr="008439CA">
        <w:rPr>
          <w:rFonts w:ascii="Times New Roman" w:hAnsi="Times New Roman"/>
          <w:sz w:val="28"/>
          <w:szCs w:val="28"/>
          <w:lang w:val="en-US"/>
        </w:rPr>
        <w:t>Taubman</w:t>
      </w:r>
      <w:r w:rsidRPr="008439CA">
        <w:rPr>
          <w:rFonts w:ascii="Times New Roman" w:hAnsi="Times New Roman"/>
          <w:sz w:val="28"/>
          <w:szCs w:val="28"/>
        </w:rPr>
        <w:t xml:space="preserve"> </w:t>
      </w:r>
      <w:r w:rsidRPr="008439CA">
        <w:rPr>
          <w:rFonts w:ascii="Times New Roman" w:hAnsi="Times New Roman"/>
          <w:sz w:val="28"/>
          <w:szCs w:val="28"/>
          <w:lang w:val="en-US"/>
        </w:rPr>
        <w:t>Martin</w:t>
      </w:r>
      <w:r w:rsidRPr="008439CA">
        <w:rPr>
          <w:rFonts w:ascii="Times New Roman" w:hAnsi="Times New Roman"/>
          <w:sz w:val="28"/>
          <w:szCs w:val="28"/>
        </w:rPr>
        <w:t xml:space="preserve"> </w:t>
      </w:r>
      <w:r w:rsidRPr="008439CA">
        <w:rPr>
          <w:rFonts w:ascii="Times New Roman" w:hAnsi="Times New Roman"/>
          <w:sz w:val="28"/>
          <w:szCs w:val="28"/>
          <w:lang w:val="en-US"/>
        </w:rPr>
        <w:t>A. (US)</w:t>
      </w:r>
      <w:r w:rsidRPr="008439CA">
        <w:rPr>
          <w:rFonts w:ascii="Times New Roman" w:hAnsi="Times New Roman"/>
          <w:sz w:val="28"/>
          <w:szCs w:val="28"/>
        </w:rPr>
        <w:t xml:space="preserve">, </w:t>
      </w:r>
      <w:r w:rsidRPr="008439CA">
        <w:rPr>
          <w:rFonts w:ascii="Times New Roman" w:hAnsi="Times New Roman"/>
          <w:sz w:val="28"/>
          <w:szCs w:val="28"/>
          <w:lang w:val="en-US"/>
        </w:rPr>
        <w:t>Smiyh</w:t>
      </w:r>
      <w:r w:rsidRPr="008439CA">
        <w:rPr>
          <w:rFonts w:ascii="Times New Roman" w:hAnsi="Times New Roman"/>
          <w:sz w:val="28"/>
          <w:szCs w:val="28"/>
        </w:rPr>
        <w:t xml:space="preserve"> </w:t>
      </w:r>
      <w:r w:rsidRPr="008439CA">
        <w:rPr>
          <w:rFonts w:ascii="Times New Roman" w:hAnsi="Times New Roman"/>
          <w:sz w:val="28"/>
          <w:szCs w:val="28"/>
          <w:lang w:val="en-US"/>
        </w:rPr>
        <w:t>Daniel</w:t>
      </w:r>
      <w:r w:rsidRPr="008439CA">
        <w:rPr>
          <w:rFonts w:ascii="Times New Roman" w:hAnsi="Times New Roman"/>
          <w:sz w:val="28"/>
          <w:szCs w:val="28"/>
        </w:rPr>
        <w:t xml:space="preserve"> </w:t>
      </w:r>
      <w:r w:rsidRPr="008439CA">
        <w:rPr>
          <w:rFonts w:ascii="Times New Roman" w:hAnsi="Times New Roman"/>
          <w:sz w:val="28"/>
          <w:szCs w:val="28"/>
          <w:lang w:val="en-US"/>
        </w:rPr>
        <w:t>J. (US) ; applicants Andrew Lees, Smith Daniel J., Taubman Martin A. – N US11/516,353 ; filed 5.09.2006 ; pub. date 22.03.2007.</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Pezzementi M. L. Oral health status of people with intellectual disabilities in the southeastern United States / M. L. Pezzementi, M. A. Fisher // J. Am. Dent. Assoc. − 2005. – Vol. 136, N 7. − P. 903−912.</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Pope J. E. The dental status of cerebral palsied children / J. E. Pope, M. E. Curzon // Pediatr. Dent. – 1991. – Vol. 13, N 3. − P. 156−162.</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lastRenderedPageBreak/>
        <w:t>Prevalence and severity of dental caries and treatment needs among population in the Eastern states of India / K. P. Mandal, A. B. Tewari, H. S. Chawla, K. D. Gauba // J. Indian Soc. Pedod. Prev. Dent. – 2001. – Vol. 19, N 3. – P. 85−91.</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Rao D. B. Caries prevalence amongst handicapped children of South Canara district, Karnataka / D. B. Rao, A. M. Hegde, A. K. Munshi // J. Indian Soc. Pedod. Prev. Dent. − 2001. – Vol. 19, N 2. − P. 67−75.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Rao D. B. Oral hygiene status of disabled children and adolescents attending special schools of South Canara, India / D. B. Rao, H. M. Amitha, A. K. Munshi // Hong Kong Dent. J</w:t>
      </w:r>
      <w:r w:rsidRPr="008439CA">
        <w:rPr>
          <w:rFonts w:ascii="Times New Roman" w:hAnsi="Times New Roman"/>
          <w:sz w:val="28"/>
          <w:szCs w:val="28"/>
        </w:rPr>
        <w:t>.</w:t>
      </w:r>
      <w:r w:rsidRPr="008439CA">
        <w:rPr>
          <w:rFonts w:ascii="Times New Roman" w:hAnsi="Times New Roman"/>
          <w:sz w:val="28"/>
          <w:szCs w:val="28"/>
          <w:lang w:val="en-US"/>
        </w:rPr>
        <w:t xml:space="preserve"> − 2005. – Vol. 2, N 2. − P. 107−113.</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Salivary IgA secretion rate in young and elderly parsons / I. D. Miletic, S. S. Schiffman, V. D. Miletic, E. A. Sattely-Miller // Psychol. Behav. – 1996. – Vol. 60, N 1. – P. 243−248.</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Schall C. M. The Americans with Disabilities Act − are we keeping our promise? An analysis of the effect of the ADA on the employment of persons with disabilities / M. C. Schall // J. Vocat. Rehabil. − 1998. – Vol. 10, N 3. − P. 191–203.</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Schwarz E. Provision of dental services for handicapped children in Denmark / E. Schwarz, M. Viqild // Community Dent. Health. − 1987. – Vol. 4, N 1. − P. 35−42.</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Secretory IgA as a measure of immunocompetence / A. A. Stone, D. S. Cox, H. Valdimarsdottir, J. M. Neale // J. Human Stress. – 1987. – Vol. 13, N3. – P. 136−140.</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Shaw L. Dental study of handicapped children attending special schools in Birmingham, UK / L. Shaw, E. T. Maclaurin, T. D. Foster // Community Dent. Oral Epidemiol. − 1986. – Vol. 14, N 1. − P. 24−27.</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Simon E. N. M. Oral health care status of handicapped primary school pupils in Dar es Salaam, Tanzania / E. N. M. Simon, M. I. Matee, F. Scheutz // East African Medical Journal. − 2008. – Vol. 85, N 3. − P. 113−117.</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lastRenderedPageBreak/>
        <w:t>Swallow J. N. The dental problems of handicapped children / J. N. Swallow // R. Soc. Health J. – 1965. – Vol. 85. – Р. 152−157.</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The influence of type-1 diabetes mellitus on dentition and oral health in children and adolescents / R. Orbak, S. Simsek, Z. Orbak [et al.] // Yonsei Med. J. – 2008. – Vol. 49, N 3. – Р. 357−365.</w:t>
      </w:r>
    </w:p>
    <w:p w:rsidR="00534FB5" w:rsidRPr="008439CA" w:rsidRDefault="00534FB5" w:rsidP="008439CA">
      <w:pPr>
        <w:pStyle w:val="af8"/>
        <w:numPr>
          <w:ilvl w:val="0"/>
          <w:numId w:val="7"/>
        </w:numPr>
        <w:tabs>
          <w:tab w:val="left" w:pos="851"/>
        </w:tabs>
        <w:spacing w:after="0" w:line="360" w:lineRule="auto"/>
        <w:ind w:left="-142" w:firstLine="0"/>
        <w:jc w:val="both"/>
        <w:rPr>
          <w:rFonts w:ascii="Times New Roman" w:hAnsi="Times New Roman"/>
          <w:sz w:val="28"/>
          <w:szCs w:val="28"/>
          <w:lang w:val="en-US"/>
        </w:rPr>
      </w:pPr>
      <w:r w:rsidRPr="008439CA">
        <w:rPr>
          <w:rFonts w:ascii="Times New Roman" w:hAnsi="Times New Roman"/>
          <w:sz w:val="28"/>
          <w:szCs w:val="28"/>
          <w:lang w:val="en-US"/>
        </w:rPr>
        <w:t>Tsujita S. Secretory IgA in saliva can be useful stress marker / S. Tsujita, K. Morimoto // Environ. Health Prev. Med. – 1999. – Vol. 4, N 1. – P. 1−8.</w:t>
      </w:r>
    </w:p>
    <w:p w:rsidR="00391693" w:rsidRDefault="00391693">
      <w:pPr>
        <w:widowControl/>
        <w:autoSpaceDE/>
        <w:autoSpaceDN/>
        <w:adjustRightInd/>
        <w:spacing w:line="240" w:lineRule="auto"/>
        <w:jc w:val="left"/>
        <w:rPr>
          <w:rFonts w:ascii="Arial" w:hAnsi="Arial" w:cs="Arial"/>
          <w:color w:val="000000"/>
          <w:sz w:val="26"/>
          <w:szCs w:val="26"/>
          <w:shd w:val="clear" w:color="auto" w:fill="EEEEEE"/>
        </w:rPr>
      </w:pPr>
      <w:r>
        <w:rPr>
          <w:rFonts w:ascii="Arial" w:hAnsi="Arial" w:cs="Arial"/>
          <w:color w:val="000000"/>
          <w:sz w:val="26"/>
          <w:szCs w:val="26"/>
          <w:shd w:val="clear" w:color="auto" w:fill="EEEEEE"/>
        </w:rPr>
        <w:br w:type="page"/>
      </w:r>
    </w:p>
    <w:p w:rsidR="00391693" w:rsidRDefault="00391693">
      <w:pPr>
        <w:widowControl/>
        <w:autoSpaceDE/>
        <w:autoSpaceDN/>
        <w:adjustRightInd/>
        <w:spacing w:line="240" w:lineRule="auto"/>
        <w:jc w:val="left"/>
        <w:rPr>
          <w:rFonts w:ascii="Arial" w:hAnsi="Arial" w:cs="Arial"/>
          <w:color w:val="000000"/>
          <w:sz w:val="26"/>
          <w:szCs w:val="26"/>
          <w:shd w:val="clear" w:color="auto" w:fill="EEEEEE"/>
        </w:rPr>
      </w:pPr>
      <w:r>
        <w:rPr>
          <w:rFonts w:ascii="Arial" w:hAnsi="Arial" w:cs="Arial"/>
          <w:color w:val="000000"/>
          <w:sz w:val="26"/>
          <w:szCs w:val="26"/>
          <w:shd w:val="clear" w:color="auto" w:fill="EEEEEE"/>
        </w:rPr>
        <w:lastRenderedPageBreak/>
        <w:br w:type="page"/>
      </w:r>
    </w:p>
    <w:p w:rsidR="00534FB5" w:rsidRDefault="00534FB5" w:rsidP="00534FB5">
      <w:pPr>
        <w:pStyle w:val="af8"/>
        <w:widowControl w:val="0"/>
        <w:tabs>
          <w:tab w:val="left" w:pos="0"/>
        </w:tabs>
        <w:autoSpaceDE w:val="0"/>
        <w:autoSpaceDN w:val="0"/>
        <w:adjustRightInd w:val="0"/>
        <w:spacing w:after="0" w:line="360" w:lineRule="auto"/>
        <w:ind w:left="0"/>
        <w:jc w:val="both"/>
        <w:rPr>
          <w:rFonts w:ascii="Arial" w:eastAsia="Times New Roman" w:hAnsi="Arial" w:cs="Arial"/>
          <w:color w:val="000000"/>
          <w:sz w:val="26"/>
          <w:szCs w:val="26"/>
          <w:shd w:val="clear" w:color="auto" w:fill="EEEEEE"/>
          <w:lang w:eastAsia="ru-RU"/>
        </w:rPr>
        <w:sectPr w:rsidR="00534FB5" w:rsidSect="008439CA">
          <w:pgSz w:w="11906" w:h="16838"/>
          <w:pgMar w:top="-1701" w:right="850" w:bottom="1134" w:left="1985" w:header="1020" w:footer="708" w:gutter="0"/>
          <w:cols w:space="708"/>
          <w:docGrid w:linePitch="381"/>
        </w:sectPr>
      </w:pPr>
    </w:p>
    <w:p w:rsidR="00534FB5" w:rsidRPr="00E40BFA" w:rsidRDefault="00534FB5" w:rsidP="00391693">
      <w:pPr>
        <w:spacing w:line="480" w:lineRule="auto"/>
      </w:pPr>
    </w:p>
    <w:sectPr w:rsidR="00534FB5" w:rsidRPr="00E40BFA" w:rsidSect="00534FB5">
      <w:headerReference w:type="even" r:id="rId79"/>
      <w:pgSz w:w="16838" w:h="11906" w:orient="landscape"/>
      <w:pgMar w:top="-1702" w:right="1057" w:bottom="850"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5E" w:rsidRDefault="0043025E">
      <w:r>
        <w:separator/>
      </w:r>
    </w:p>
    <w:p w:rsidR="0043025E" w:rsidRDefault="0043025E"/>
    <w:p w:rsidR="0043025E" w:rsidRDefault="0043025E" w:rsidP="003B69E8"/>
    <w:p w:rsidR="0043025E" w:rsidRDefault="0043025E" w:rsidP="00E02FFB"/>
    <w:p w:rsidR="0043025E" w:rsidRDefault="0043025E" w:rsidP="00A03F16"/>
    <w:p w:rsidR="0043025E" w:rsidRDefault="0043025E" w:rsidP="00FD5F75"/>
    <w:p w:rsidR="0043025E" w:rsidRDefault="0043025E" w:rsidP="00842725"/>
    <w:p w:rsidR="0043025E" w:rsidRDefault="0043025E" w:rsidP="00FF68E1"/>
    <w:p w:rsidR="0043025E" w:rsidRDefault="0043025E" w:rsidP="00FF68E1"/>
    <w:p w:rsidR="0043025E" w:rsidRDefault="0043025E" w:rsidP="00C973D3"/>
    <w:p w:rsidR="0043025E" w:rsidRDefault="0043025E" w:rsidP="00B6779E"/>
    <w:p w:rsidR="0043025E" w:rsidRDefault="0043025E" w:rsidP="0057105F"/>
    <w:p w:rsidR="0043025E" w:rsidRDefault="0043025E" w:rsidP="0057105F"/>
    <w:p w:rsidR="0043025E" w:rsidRDefault="0043025E" w:rsidP="0057105F"/>
    <w:p w:rsidR="0043025E" w:rsidRDefault="0043025E" w:rsidP="006602F6"/>
    <w:p w:rsidR="0043025E" w:rsidRDefault="0043025E" w:rsidP="006D7EDB"/>
    <w:p w:rsidR="0043025E" w:rsidRDefault="0043025E" w:rsidP="006D7EDB"/>
    <w:p w:rsidR="0043025E" w:rsidRDefault="0043025E" w:rsidP="006D7EDB"/>
    <w:p w:rsidR="0043025E" w:rsidRDefault="0043025E" w:rsidP="006D7EDB"/>
    <w:p w:rsidR="0043025E" w:rsidRDefault="0043025E" w:rsidP="002C53D9"/>
    <w:p w:rsidR="0043025E" w:rsidRDefault="0043025E" w:rsidP="002C53D9"/>
    <w:p w:rsidR="0043025E" w:rsidRDefault="0043025E" w:rsidP="008270D1"/>
    <w:p w:rsidR="0043025E" w:rsidRDefault="0043025E" w:rsidP="00A94469"/>
    <w:p w:rsidR="0043025E" w:rsidRDefault="0043025E" w:rsidP="00A94469"/>
    <w:p w:rsidR="0043025E" w:rsidRDefault="0043025E" w:rsidP="0013707C"/>
    <w:p w:rsidR="0043025E" w:rsidRDefault="0043025E" w:rsidP="00D30B7B"/>
    <w:p w:rsidR="0043025E" w:rsidRDefault="0043025E" w:rsidP="00D30B7B"/>
    <w:p w:rsidR="0043025E" w:rsidRDefault="0043025E" w:rsidP="005032B9"/>
    <w:p w:rsidR="0043025E" w:rsidRDefault="0043025E" w:rsidP="005032B9"/>
    <w:p w:rsidR="0043025E" w:rsidRDefault="0043025E" w:rsidP="005032B9"/>
    <w:p w:rsidR="0043025E" w:rsidRDefault="0043025E" w:rsidP="005032B9"/>
    <w:p w:rsidR="0043025E" w:rsidRDefault="0043025E" w:rsidP="00723969"/>
    <w:p w:rsidR="0043025E" w:rsidRDefault="0043025E" w:rsidP="008E3F81"/>
    <w:p w:rsidR="0043025E" w:rsidRDefault="0043025E" w:rsidP="008E3F81"/>
    <w:p w:rsidR="0043025E" w:rsidRDefault="0043025E" w:rsidP="00C87193"/>
    <w:p w:rsidR="0043025E" w:rsidRDefault="0043025E" w:rsidP="00C012DE"/>
    <w:p w:rsidR="0043025E" w:rsidRDefault="0043025E" w:rsidP="00004D15"/>
    <w:p w:rsidR="0043025E" w:rsidRDefault="0043025E" w:rsidP="00004D15"/>
    <w:p w:rsidR="0043025E" w:rsidRDefault="0043025E" w:rsidP="00435332"/>
    <w:p w:rsidR="0043025E" w:rsidRDefault="0043025E" w:rsidP="00435332"/>
    <w:p w:rsidR="0043025E" w:rsidRDefault="0043025E" w:rsidP="00DC567E"/>
    <w:p w:rsidR="0043025E" w:rsidRDefault="0043025E" w:rsidP="00DC567E"/>
    <w:p w:rsidR="0043025E" w:rsidRDefault="0043025E" w:rsidP="005C3666"/>
    <w:p w:rsidR="0043025E" w:rsidRDefault="0043025E"/>
    <w:p w:rsidR="0043025E" w:rsidRDefault="0043025E"/>
    <w:p w:rsidR="0043025E" w:rsidRDefault="0043025E" w:rsidP="000061A9"/>
    <w:p w:rsidR="0043025E" w:rsidRDefault="0043025E" w:rsidP="00491057"/>
    <w:p w:rsidR="0043025E" w:rsidRDefault="0043025E" w:rsidP="00B80A2D"/>
    <w:p w:rsidR="0043025E" w:rsidRDefault="0043025E" w:rsidP="00B80A2D"/>
    <w:p w:rsidR="0043025E" w:rsidRDefault="0043025E" w:rsidP="00B14A7C"/>
    <w:p w:rsidR="0043025E" w:rsidRDefault="0043025E" w:rsidP="00825204"/>
    <w:p w:rsidR="0043025E" w:rsidRDefault="0043025E"/>
    <w:p w:rsidR="0043025E" w:rsidRDefault="0043025E" w:rsidP="00D87508"/>
    <w:p w:rsidR="0043025E" w:rsidRDefault="0043025E" w:rsidP="00D87508"/>
    <w:p w:rsidR="0043025E" w:rsidRDefault="0043025E" w:rsidP="00477DAE"/>
    <w:p w:rsidR="0043025E" w:rsidRDefault="0043025E" w:rsidP="00477DAE"/>
    <w:p w:rsidR="0043025E" w:rsidRDefault="0043025E" w:rsidP="00477DAE"/>
    <w:p w:rsidR="0043025E" w:rsidRDefault="0043025E" w:rsidP="00477DAE"/>
    <w:p w:rsidR="0043025E" w:rsidRDefault="0043025E" w:rsidP="00477DAE"/>
    <w:p w:rsidR="0043025E" w:rsidRDefault="0043025E"/>
    <w:p w:rsidR="0043025E" w:rsidRDefault="0043025E" w:rsidP="004C6935"/>
    <w:p w:rsidR="0043025E" w:rsidRDefault="0043025E" w:rsidP="004C6935"/>
    <w:p w:rsidR="0043025E" w:rsidRDefault="0043025E" w:rsidP="004C6935"/>
    <w:p w:rsidR="0043025E" w:rsidRDefault="0043025E" w:rsidP="000718C0"/>
    <w:p w:rsidR="0043025E" w:rsidRDefault="0043025E" w:rsidP="000718C0"/>
    <w:p w:rsidR="0043025E" w:rsidRDefault="0043025E" w:rsidP="000718C0"/>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6816E1"/>
    <w:p w:rsidR="0043025E" w:rsidRDefault="0043025E" w:rsidP="006816E1"/>
    <w:p w:rsidR="0043025E" w:rsidRDefault="0043025E" w:rsidP="006816E1"/>
    <w:p w:rsidR="0043025E" w:rsidRDefault="0043025E" w:rsidP="006816E1"/>
    <w:p w:rsidR="0043025E" w:rsidRDefault="0043025E" w:rsidP="006816E1"/>
    <w:p w:rsidR="0043025E" w:rsidRDefault="0043025E" w:rsidP="004856E2"/>
    <w:p w:rsidR="0043025E" w:rsidRDefault="0043025E" w:rsidP="00520949"/>
    <w:p w:rsidR="0043025E" w:rsidRDefault="0043025E" w:rsidP="00CB09F0"/>
    <w:p w:rsidR="0043025E" w:rsidRDefault="0043025E" w:rsidP="00CB09F0"/>
    <w:p w:rsidR="0043025E" w:rsidRDefault="0043025E" w:rsidP="004B6E52"/>
    <w:p w:rsidR="0043025E" w:rsidRDefault="0043025E" w:rsidP="004B6E52"/>
    <w:p w:rsidR="0043025E" w:rsidRDefault="0043025E" w:rsidP="00700988"/>
    <w:p w:rsidR="0043025E" w:rsidRDefault="0043025E" w:rsidP="0091771E"/>
    <w:p w:rsidR="0043025E" w:rsidRDefault="0043025E" w:rsidP="0091771E"/>
    <w:p w:rsidR="0043025E" w:rsidRDefault="0043025E" w:rsidP="0091771E"/>
    <w:p w:rsidR="0043025E" w:rsidRDefault="0043025E"/>
    <w:p w:rsidR="0043025E" w:rsidRDefault="0043025E" w:rsidP="00E12E05"/>
    <w:p w:rsidR="0043025E" w:rsidRDefault="0043025E" w:rsidP="00455991"/>
    <w:p w:rsidR="0043025E" w:rsidRDefault="0043025E" w:rsidP="00F67279"/>
    <w:p w:rsidR="0043025E" w:rsidRDefault="0043025E" w:rsidP="00F67279"/>
    <w:p w:rsidR="0043025E" w:rsidRDefault="0043025E" w:rsidP="00147CAA"/>
    <w:p w:rsidR="0043025E" w:rsidRDefault="0043025E" w:rsidP="00147CAA"/>
    <w:p w:rsidR="0043025E" w:rsidRDefault="0043025E" w:rsidP="00434502"/>
    <w:p w:rsidR="0043025E" w:rsidRDefault="0043025E"/>
    <w:p w:rsidR="0043025E" w:rsidRDefault="0043025E" w:rsidP="005832B3"/>
    <w:p w:rsidR="0043025E" w:rsidRDefault="0043025E"/>
    <w:p w:rsidR="0043025E" w:rsidRDefault="0043025E" w:rsidP="00C1156D"/>
    <w:p w:rsidR="0043025E" w:rsidRDefault="0043025E" w:rsidP="00765003"/>
    <w:p w:rsidR="0043025E" w:rsidRDefault="0043025E"/>
  </w:endnote>
  <w:endnote w:type="continuationSeparator" w:id="1">
    <w:p w:rsidR="0043025E" w:rsidRDefault="0043025E">
      <w:r>
        <w:continuationSeparator/>
      </w:r>
    </w:p>
    <w:p w:rsidR="0043025E" w:rsidRDefault="0043025E"/>
    <w:p w:rsidR="0043025E" w:rsidRDefault="0043025E" w:rsidP="003B69E8"/>
    <w:p w:rsidR="0043025E" w:rsidRDefault="0043025E" w:rsidP="00E02FFB"/>
    <w:p w:rsidR="0043025E" w:rsidRDefault="0043025E" w:rsidP="00A03F16"/>
    <w:p w:rsidR="0043025E" w:rsidRDefault="0043025E" w:rsidP="00FD5F75"/>
    <w:p w:rsidR="0043025E" w:rsidRDefault="0043025E" w:rsidP="00842725"/>
    <w:p w:rsidR="0043025E" w:rsidRDefault="0043025E" w:rsidP="00FF68E1"/>
    <w:p w:rsidR="0043025E" w:rsidRDefault="0043025E" w:rsidP="00FF68E1"/>
    <w:p w:rsidR="0043025E" w:rsidRDefault="0043025E" w:rsidP="00C973D3"/>
    <w:p w:rsidR="0043025E" w:rsidRDefault="0043025E" w:rsidP="00B6779E"/>
    <w:p w:rsidR="0043025E" w:rsidRDefault="0043025E" w:rsidP="0057105F"/>
    <w:p w:rsidR="0043025E" w:rsidRDefault="0043025E" w:rsidP="0057105F"/>
    <w:p w:rsidR="0043025E" w:rsidRDefault="0043025E" w:rsidP="0057105F"/>
    <w:p w:rsidR="0043025E" w:rsidRDefault="0043025E" w:rsidP="006602F6"/>
    <w:p w:rsidR="0043025E" w:rsidRDefault="0043025E" w:rsidP="006D7EDB"/>
    <w:p w:rsidR="0043025E" w:rsidRDefault="0043025E" w:rsidP="006D7EDB"/>
    <w:p w:rsidR="0043025E" w:rsidRDefault="0043025E" w:rsidP="006D7EDB"/>
    <w:p w:rsidR="0043025E" w:rsidRDefault="0043025E" w:rsidP="006D7EDB"/>
    <w:p w:rsidR="0043025E" w:rsidRDefault="0043025E" w:rsidP="002C53D9"/>
    <w:p w:rsidR="0043025E" w:rsidRDefault="0043025E" w:rsidP="002C53D9"/>
    <w:p w:rsidR="0043025E" w:rsidRDefault="0043025E" w:rsidP="008270D1"/>
    <w:p w:rsidR="0043025E" w:rsidRDefault="0043025E" w:rsidP="00A94469"/>
    <w:p w:rsidR="0043025E" w:rsidRDefault="0043025E" w:rsidP="00A94469"/>
    <w:p w:rsidR="0043025E" w:rsidRDefault="0043025E" w:rsidP="0013707C"/>
    <w:p w:rsidR="0043025E" w:rsidRDefault="0043025E" w:rsidP="00D30B7B"/>
    <w:p w:rsidR="0043025E" w:rsidRDefault="0043025E" w:rsidP="00D30B7B"/>
    <w:p w:rsidR="0043025E" w:rsidRDefault="0043025E" w:rsidP="005032B9"/>
    <w:p w:rsidR="0043025E" w:rsidRDefault="0043025E" w:rsidP="005032B9"/>
    <w:p w:rsidR="0043025E" w:rsidRDefault="0043025E" w:rsidP="005032B9"/>
    <w:p w:rsidR="0043025E" w:rsidRDefault="0043025E" w:rsidP="005032B9"/>
    <w:p w:rsidR="0043025E" w:rsidRDefault="0043025E" w:rsidP="00723969"/>
    <w:p w:rsidR="0043025E" w:rsidRDefault="0043025E" w:rsidP="008E3F81"/>
    <w:p w:rsidR="0043025E" w:rsidRDefault="0043025E" w:rsidP="008E3F81"/>
    <w:p w:rsidR="0043025E" w:rsidRDefault="0043025E" w:rsidP="00C87193"/>
    <w:p w:rsidR="0043025E" w:rsidRDefault="0043025E" w:rsidP="00C012DE"/>
    <w:p w:rsidR="0043025E" w:rsidRDefault="0043025E" w:rsidP="00004D15"/>
    <w:p w:rsidR="0043025E" w:rsidRDefault="0043025E" w:rsidP="00004D15"/>
    <w:p w:rsidR="0043025E" w:rsidRDefault="0043025E" w:rsidP="00435332"/>
    <w:p w:rsidR="0043025E" w:rsidRDefault="0043025E" w:rsidP="00435332"/>
    <w:p w:rsidR="0043025E" w:rsidRDefault="0043025E" w:rsidP="00DC567E"/>
    <w:p w:rsidR="0043025E" w:rsidRDefault="0043025E" w:rsidP="00DC567E"/>
    <w:p w:rsidR="0043025E" w:rsidRDefault="0043025E" w:rsidP="005C3666"/>
    <w:p w:rsidR="0043025E" w:rsidRDefault="0043025E"/>
    <w:p w:rsidR="0043025E" w:rsidRDefault="0043025E"/>
    <w:p w:rsidR="0043025E" w:rsidRDefault="0043025E" w:rsidP="000061A9"/>
    <w:p w:rsidR="0043025E" w:rsidRDefault="0043025E" w:rsidP="00491057"/>
    <w:p w:rsidR="0043025E" w:rsidRDefault="0043025E" w:rsidP="00B80A2D"/>
    <w:p w:rsidR="0043025E" w:rsidRDefault="0043025E" w:rsidP="00B80A2D"/>
    <w:p w:rsidR="0043025E" w:rsidRDefault="0043025E" w:rsidP="00B14A7C"/>
    <w:p w:rsidR="0043025E" w:rsidRDefault="0043025E" w:rsidP="00825204"/>
    <w:p w:rsidR="0043025E" w:rsidRDefault="0043025E"/>
    <w:p w:rsidR="0043025E" w:rsidRDefault="0043025E" w:rsidP="00D87508"/>
    <w:p w:rsidR="0043025E" w:rsidRDefault="0043025E" w:rsidP="00D87508"/>
    <w:p w:rsidR="0043025E" w:rsidRDefault="0043025E" w:rsidP="00477DAE"/>
    <w:p w:rsidR="0043025E" w:rsidRDefault="0043025E" w:rsidP="00477DAE"/>
    <w:p w:rsidR="0043025E" w:rsidRDefault="0043025E" w:rsidP="00477DAE"/>
    <w:p w:rsidR="0043025E" w:rsidRDefault="0043025E" w:rsidP="00477DAE"/>
    <w:p w:rsidR="0043025E" w:rsidRDefault="0043025E" w:rsidP="00477DAE"/>
    <w:p w:rsidR="0043025E" w:rsidRDefault="0043025E"/>
    <w:p w:rsidR="0043025E" w:rsidRDefault="0043025E" w:rsidP="004C6935"/>
    <w:p w:rsidR="0043025E" w:rsidRDefault="0043025E" w:rsidP="004C6935"/>
    <w:p w:rsidR="0043025E" w:rsidRDefault="0043025E" w:rsidP="004C6935"/>
    <w:p w:rsidR="0043025E" w:rsidRDefault="0043025E" w:rsidP="000718C0"/>
    <w:p w:rsidR="0043025E" w:rsidRDefault="0043025E" w:rsidP="000718C0"/>
    <w:p w:rsidR="0043025E" w:rsidRDefault="0043025E" w:rsidP="000718C0"/>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6816E1"/>
    <w:p w:rsidR="0043025E" w:rsidRDefault="0043025E" w:rsidP="006816E1"/>
    <w:p w:rsidR="0043025E" w:rsidRDefault="0043025E" w:rsidP="006816E1"/>
    <w:p w:rsidR="0043025E" w:rsidRDefault="0043025E" w:rsidP="006816E1"/>
    <w:p w:rsidR="0043025E" w:rsidRDefault="0043025E" w:rsidP="006816E1"/>
    <w:p w:rsidR="0043025E" w:rsidRDefault="0043025E" w:rsidP="004856E2"/>
    <w:p w:rsidR="0043025E" w:rsidRDefault="0043025E" w:rsidP="00520949"/>
    <w:p w:rsidR="0043025E" w:rsidRDefault="0043025E" w:rsidP="00CB09F0"/>
    <w:p w:rsidR="0043025E" w:rsidRDefault="0043025E" w:rsidP="00CB09F0"/>
    <w:p w:rsidR="0043025E" w:rsidRDefault="0043025E" w:rsidP="004B6E52"/>
    <w:p w:rsidR="0043025E" w:rsidRDefault="0043025E" w:rsidP="004B6E52"/>
    <w:p w:rsidR="0043025E" w:rsidRDefault="0043025E" w:rsidP="00700988"/>
    <w:p w:rsidR="0043025E" w:rsidRDefault="0043025E" w:rsidP="0091771E"/>
    <w:p w:rsidR="0043025E" w:rsidRDefault="0043025E" w:rsidP="0091771E"/>
    <w:p w:rsidR="0043025E" w:rsidRDefault="0043025E" w:rsidP="0091771E"/>
    <w:p w:rsidR="0043025E" w:rsidRDefault="0043025E"/>
    <w:p w:rsidR="0043025E" w:rsidRDefault="0043025E" w:rsidP="00E12E05"/>
    <w:p w:rsidR="0043025E" w:rsidRDefault="0043025E" w:rsidP="00455991"/>
    <w:p w:rsidR="0043025E" w:rsidRDefault="0043025E" w:rsidP="00F67279"/>
    <w:p w:rsidR="0043025E" w:rsidRDefault="0043025E" w:rsidP="00F67279"/>
    <w:p w:rsidR="0043025E" w:rsidRDefault="0043025E" w:rsidP="00147CAA"/>
    <w:p w:rsidR="0043025E" w:rsidRDefault="0043025E" w:rsidP="00147CAA"/>
    <w:p w:rsidR="0043025E" w:rsidRDefault="0043025E" w:rsidP="00434502"/>
    <w:p w:rsidR="0043025E" w:rsidRDefault="0043025E"/>
    <w:p w:rsidR="0043025E" w:rsidRDefault="0043025E" w:rsidP="005832B3"/>
    <w:p w:rsidR="0043025E" w:rsidRDefault="0043025E"/>
    <w:p w:rsidR="0043025E" w:rsidRDefault="0043025E" w:rsidP="00C1156D"/>
    <w:p w:rsidR="0043025E" w:rsidRDefault="0043025E" w:rsidP="00765003"/>
    <w:p w:rsidR="0043025E" w:rsidRDefault="004302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5E" w:rsidRDefault="0043025E">
      <w:r>
        <w:separator/>
      </w:r>
    </w:p>
    <w:p w:rsidR="0043025E" w:rsidRDefault="0043025E"/>
    <w:p w:rsidR="0043025E" w:rsidRDefault="0043025E" w:rsidP="003B69E8"/>
    <w:p w:rsidR="0043025E" w:rsidRDefault="0043025E" w:rsidP="00E02FFB"/>
    <w:p w:rsidR="0043025E" w:rsidRDefault="0043025E" w:rsidP="00A03F16"/>
    <w:p w:rsidR="0043025E" w:rsidRDefault="0043025E" w:rsidP="00FD5F75"/>
    <w:p w:rsidR="0043025E" w:rsidRDefault="0043025E" w:rsidP="00842725"/>
    <w:p w:rsidR="0043025E" w:rsidRDefault="0043025E" w:rsidP="00FF68E1"/>
    <w:p w:rsidR="0043025E" w:rsidRDefault="0043025E" w:rsidP="00FF68E1"/>
    <w:p w:rsidR="0043025E" w:rsidRDefault="0043025E" w:rsidP="00C973D3"/>
    <w:p w:rsidR="0043025E" w:rsidRDefault="0043025E" w:rsidP="00B6779E"/>
    <w:p w:rsidR="0043025E" w:rsidRDefault="0043025E" w:rsidP="0057105F"/>
    <w:p w:rsidR="0043025E" w:rsidRDefault="0043025E" w:rsidP="0057105F"/>
    <w:p w:rsidR="0043025E" w:rsidRDefault="0043025E" w:rsidP="0057105F"/>
    <w:p w:rsidR="0043025E" w:rsidRDefault="0043025E" w:rsidP="006602F6"/>
    <w:p w:rsidR="0043025E" w:rsidRDefault="0043025E" w:rsidP="006D7EDB"/>
    <w:p w:rsidR="0043025E" w:rsidRDefault="0043025E" w:rsidP="006D7EDB"/>
    <w:p w:rsidR="0043025E" w:rsidRDefault="0043025E" w:rsidP="006D7EDB"/>
    <w:p w:rsidR="0043025E" w:rsidRDefault="0043025E" w:rsidP="006D7EDB"/>
    <w:p w:rsidR="0043025E" w:rsidRDefault="0043025E" w:rsidP="002C53D9"/>
    <w:p w:rsidR="0043025E" w:rsidRDefault="0043025E" w:rsidP="002C53D9"/>
    <w:p w:rsidR="0043025E" w:rsidRDefault="0043025E" w:rsidP="008270D1"/>
    <w:p w:rsidR="0043025E" w:rsidRDefault="0043025E" w:rsidP="00A94469"/>
    <w:p w:rsidR="0043025E" w:rsidRDefault="0043025E" w:rsidP="00A94469"/>
    <w:p w:rsidR="0043025E" w:rsidRDefault="0043025E" w:rsidP="0013707C"/>
    <w:p w:rsidR="0043025E" w:rsidRDefault="0043025E" w:rsidP="00D30B7B"/>
    <w:p w:rsidR="0043025E" w:rsidRDefault="0043025E" w:rsidP="00D30B7B"/>
    <w:p w:rsidR="0043025E" w:rsidRDefault="0043025E" w:rsidP="005032B9"/>
    <w:p w:rsidR="0043025E" w:rsidRDefault="0043025E" w:rsidP="005032B9"/>
    <w:p w:rsidR="0043025E" w:rsidRDefault="0043025E" w:rsidP="005032B9"/>
    <w:p w:rsidR="0043025E" w:rsidRDefault="0043025E" w:rsidP="005032B9"/>
    <w:p w:rsidR="0043025E" w:rsidRDefault="0043025E" w:rsidP="00723969"/>
    <w:p w:rsidR="0043025E" w:rsidRDefault="0043025E" w:rsidP="008E3F81"/>
    <w:p w:rsidR="0043025E" w:rsidRDefault="0043025E" w:rsidP="008E3F81"/>
    <w:p w:rsidR="0043025E" w:rsidRDefault="0043025E" w:rsidP="00C87193"/>
    <w:p w:rsidR="0043025E" w:rsidRDefault="0043025E" w:rsidP="00C012DE"/>
    <w:p w:rsidR="0043025E" w:rsidRDefault="0043025E" w:rsidP="00004D15"/>
    <w:p w:rsidR="0043025E" w:rsidRDefault="0043025E" w:rsidP="00004D15"/>
    <w:p w:rsidR="0043025E" w:rsidRDefault="0043025E" w:rsidP="00435332"/>
    <w:p w:rsidR="0043025E" w:rsidRDefault="0043025E" w:rsidP="00435332"/>
    <w:p w:rsidR="0043025E" w:rsidRDefault="0043025E" w:rsidP="00DC567E"/>
    <w:p w:rsidR="0043025E" w:rsidRDefault="0043025E" w:rsidP="00DC567E"/>
    <w:p w:rsidR="0043025E" w:rsidRDefault="0043025E" w:rsidP="005C3666"/>
    <w:p w:rsidR="0043025E" w:rsidRDefault="0043025E"/>
    <w:p w:rsidR="0043025E" w:rsidRDefault="0043025E"/>
    <w:p w:rsidR="0043025E" w:rsidRDefault="0043025E" w:rsidP="000061A9"/>
    <w:p w:rsidR="0043025E" w:rsidRDefault="0043025E" w:rsidP="00491057"/>
    <w:p w:rsidR="0043025E" w:rsidRDefault="0043025E" w:rsidP="00B80A2D"/>
    <w:p w:rsidR="0043025E" w:rsidRDefault="0043025E" w:rsidP="00B80A2D"/>
    <w:p w:rsidR="0043025E" w:rsidRDefault="0043025E" w:rsidP="00B14A7C"/>
    <w:p w:rsidR="0043025E" w:rsidRDefault="0043025E" w:rsidP="00825204"/>
    <w:p w:rsidR="0043025E" w:rsidRDefault="0043025E"/>
    <w:p w:rsidR="0043025E" w:rsidRDefault="0043025E" w:rsidP="00D87508"/>
    <w:p w:rsidR="0043025E" w:rsidRDefault="0043025E" w:rsidP="00D87508"/>
    <w:p w:rsidR="0043025E" w:rsidRDefault="0043025E" w:rsidP="00477DAE"/>
    <w:p w:rsidR="0043025E" w:rsidRDefault="0043025E" w:rsidP="00477DAE"/>
    <w:p w:rsidR="0043025E" w:rsidRDefault="0043025E" w:rsidP="00477DAE"/>
    <w:p w:rsidR="0043025E" w:rsidRDefault="0043025E" w:rsidP="00477DAE"/>
    <w:p w:rsidR="0043025E" w:rsidRDefault="0043025E" w:rsidP="00477DAE"/>
    <w:p w:rsidR="0043025E" w:rsidRDefault="0043025E"/>
    <w:p w:rsidR="0043025E" w:rsidRDefault="0043025E" w:rsidP="004C6935"/>
    <w:p w:rsidR="0043025E" w:rsidRDefault="0043025E" w:rsidP="004C6935"/>
    <w:p w:rsidR="0043025E" w:rsidRDefault="0043025E" w:rsidP="004C6935"/>
    <w:p w:rsidR="0043025E" w:rsidRDefault="0043025E" w:rsidP="000718C0"/>
    <w:p w:rsidR="0043025E" w:rsidRDefault="0043025E" w:rsidP="000718C0"/>
    <w:p w:rsidR="0043025E" w:rsidRDefault="0043025E" w:rsidP="000718C0"/>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6816E1"/>
    <w:p w:rsidR="0043025E" w:rsidRDefault="0043025E" w:rsidP="006816E1"/>
    <w:p w:rsidR="0043025E" w:rsidRDefault="0043025E" w:rsidP="006816E1"/>
    <w:p w:rsidR="0043025E" w:rsidRDefault="0043025E" w:rsidP="006816E1"/>
    <w:p w:rsidR="0043025E" w:rsidRDefault="0043025E" w:rsidP="006816E1"/>
    <w:p w:rsidR="0043025E" w:rsidRDefault="0043025E" w:rsidP="004856E2"/>
    <w:p w:rsidR="0043025E" w:rsidRDefault="0043025E" w:rsidP="00520949"/>
    <w:p w:rsidR="0043025E" w:rsidRDefault="0043025E" w:rsidP="00CB09F0"/>
    <w:p w:rsidR="0043025E" w:rsidRDefault="0043025E" w:rsidP="00CB09F0"/>
    <w:p w:rsidR="0043025E" w:rsidRDefault="0043025E" w:rsidP="004B6E52"/>
    <w:p w:rsidR="0043025E" w:rsidRDefault="0043025E" w:rsidP="004B6E52"/>
    <w:p w:rsidR="0043025E" w:rsidRDefault="0043025E" w:rsidP="00700988"/>
    <w:p w:rsidR="0043025E" w:rsidRDefault="0043025E" w:rsidP="0091771E"/>
    <w:p w:rsidR="0043025E" w:rsidRDefault="0043025E" w:rsidP="0091771E"/>
    <w:p w:rsidR="0043025E" w:rsidRDefault="0043025E" w:rsidP="0091771E"/>
    <w:p w:rsidR="0043025E" w:rsidRDefault="0043025E"/>
    <w:p w:rsidR="0043025E" w:rsidRDefault="0043025E" w:rsidP="00E12E05"/>
    <w:p w:rsidR="0043025E" w:rsidRDefault="0043025E" w:rsidP="00455991"/>
    <w:p w:rsidR="0043025E" w:rsidRDefault="0043025E" w:rsidP="00F67279"/>
    <w:p w:rsidR="0043025E" w:rsidRDefault="0043025E" w:rsidP="00F67279"/>
    <w:p w:rsidR="0043025E" w:rsidRDefault="0043025E" w:rsidP="00147CAA"/>
    <w:p w:rsidR="0043025E" w:rsidRDefault="0043025E" w:rsidP="00147CAA"/>
    <w:p w:rsidR="0043025E" w:rsidRDefault="0043025E" w:rsidP="00434502"/>
    <w:p w:rsidR="0043025E" w:rsidRDefault="0043025E"/>
    <w:p w:rsidR="0043025E" w:rsidRDefault="0043025E" w:rsidP="005832B3"/>
    <w:p w:rsidR="0043025E" w:rsidRDefault="0043025E"/>
    <w:p w:rsidR="0043025E" w:rsidRDefault="0043025E" w:rsidP="00C1156D"/>
    <w:p w:rsidR="0043025E" w:rsidRDefault="0043025E" w:rsidP="00765003"/>
    <w:p w:rsidR="0043025E" w:rsidRDefault="0043025E"/>
  </w:footnote>
  <w:footnote w:type="continuationSeparator" w:id="1">
    <w:p w:rsidR="0043025E" w:rsidRDefault="0043025E">
      <w:r>
        <w:continuationSeparator/>
      </w:r>
    </w:p>
    <w:p w:rsidR="0043025E" w:rsidRDefault="0043025E"/>
    <w:p w:rsidR="0043025E" w:rsidRDefault="0043025E" w:rsidP="003B69E8"/>
    <w:p w:rsidR="0043025E" w:rsidRDefault="0043025E" w:rsidP="00E02FFB"/>
    <w:p w:rsidR="0043025E" w:rsidRDefault="0043025E" w:rsidP="00A03F16"/>
    <w:p w:rsidR="0043025E" w:rsidRDefault="0043025E" w:rsidP="00FD5F75"/>
    <w:p w:rsidR="0043025E" w:rsidRDefault="0043025E" w:rsidP="00842725"/>
    <w:p w:rsidR="0043025E" w:rsidRDefault="0043025E" w:rsidP="00FF68E1"/>
    <w:p w:rsidR="0043025E" w:rsidRDefault="0043025E" w:rsidP="00FF68E1"/>
    <w:p w:rsidR="0043025E" w:rsidRDefault="0043025E" w:rsidP="00C973D3"/>
    <w:p w:rsidR="0043025E" w:rsidRDefault="0043025E" w:rsidP="00B6779E"/>
    <w:p w:rsidR="0043025E" w:rsidRDefault="0043025E" w:rsidP="0057105F"/>
    <w:p w:rsidR="0043025E" w:rsidRDefault="0043025E" w:rsidP="0057105F"/>
    <w:p w:rsidR="0043025E" w:rsidRDefault="0043025E" w:rsidP="0057105F"/>
    <w:p w:rsidR="0043025E" w:rsidRDefault="0043025E" w:rsidP="006602F6"/>
    <w:p w:rsidR="0043025E" w:rsidRDefault="0043025E" w:rsidP="006D7EDB"/>
    <w:p w:rsidR="0043025E" w:rsidRDefault="0043025E" w:rsidP="006D7EDB"/>
    <w:p w:rsidR="0043025E" w:rsidRDefault="0043025E" w:rsidP="006D7EDB"/>
    <w:p w:rsidR="0043025E" w:rsidRDefault="0043025E" w:rsidP="006D7EDB"/>
    <w:p w:rsidR="0043025E" w:rsidRDefault="0043025E" w:rsidP="002C53D9"/>
    <w:p w:rsidR="0043025E" w:rsidRDefault="0043025E" w:rsidP="002C53D9"/>
    <w:p w:rsidR="0043025E" w:rsidRDefault="0043025E" w:rsidP="008270D1"/>
    <w:p w:rsidR="0043025E" w:rsidRDefault="0043025E" w:rsidP="00A94469"/>
    <w:p w:rsidR="0043025E" w:rsidRDefault="0043025E" w:rsidP="00A94469"/>
    <w:p w:rsidR="0043025E" w:rsidRDefault="0043025E" w:rsidP="0013707C"/>
    <w:p w:rsidR="0043025E" w:rsidRDefault="0043025E" w:rsidP="00D30B7B"/>
    <w:p w:rsidR="0043025E" w:rsidRDefault="0043025E" w:rsidP="00D30B7B"/>
    <w:p w:rsidR="0043025E" w:rsidRDefault="0043025E" w:rsidP="005032B9"/>
    <w:p w:rsidR="0043025E" w:rsidRDefault="0043025E" w:rsidP="005032B9"/>
    <w:p w:rsidR="0043025E" w:rsidRDefault="0043025E" w:rsidP="005032B9"/>
    <w:p w:rsidR="0043025E" w:rsidRDefault="0043025E" w:rsidP="005032B9"/>
    <w:p w:rsidR="0043025E" w:rsidRDefault="0043025E" w:rsidP="00723969"/>
    <w:p w:rsidR="0043025E" w:rsidRDefault="0043025E" w:rsidP="008E3F81"/>
    <w:p w:rsidR="0043025E" w:rsidRDefault="0043025E" w:rsidP="008E3F81"/>
    <w:p w:rsidR="0043025E" w:rsidRDefault="0043025E" w:rsidP="00C87193"/>
    <w:p w:rsidR="0043025E" w:rsidRDefault="0043025E" w:rsidP="00C012DE"/>
    <w:p w:rsidR="0043025E" w:rsidRDefault="0043025E" w:rsidP="00004D15"/>
    <w:p w:rsidR="0043025E" w:rsidRDefault="0043025E" w:rsidP="00004D15"/>
    <w:p w:rsidR="0043025E" w:rsidRDefault="0043025E" w:rsidP="00435332"/>
    <w:p w:rsidR="0043025E" w:rsidRDefault="0043025E" w:rsidP="00435332"/>
    <w:p w:rsidR="0043025E" w:rsidRDefault="0043025E" w:rsidP="00DC567E"/>
    <w:p w:rsidR="0043025E" w:rsidRDefault="0043025E" w:rsidP="00DC567E"/>
    <w:p w:rsidR="0043025E" w:rsidRDefault="0043025E" w:rsidP="005C3666"/>
    <w:p w:rsidR="0043025E" w:rsidRDefault="0043025E"/>
    <w:p w:rsidR="0043025E" w:rsidRDefault="0043025E"/>
    <w:p w:rsidR="0043025E" w:rsidRDefault="0043025E" w:rsidP="000061A9"/>
    <w:p w:rsidR="0043025E" w:rsidRDefault="0043025E" w:rsidP="00491057"/>
    <w:p w:rsidR="0043025E" w:rsidRDefault="0043025E" w:rsidP="00B80A2D"/>
    <w:p w:rsidR="0043025E" w:rsidRDefault="0043025E" w:rsidP="00B80A2D"/>
    <w:p w:rsidR="0043025E" w:rsidRDefault="0043025E" w:rsidP="00B14A7C"/>
    <w:p w:rsidR="0043025E" w:rsidRDefault="0043025E" w:rsidP="00825204"/>
    <w:p w:rsidR="0043025E" w:rsidRDefault="0043025E"/>
    <w:p w:rsidR="0043025E" w:rsidRDefault="0043025E" w:rsidP="00D87508"/>
    <w:p w:rsidR="0043025E" w:rsidRDefault="0043025E" w:rsidP="00D87508"/>
    <w:p w:rsidR="0043025E" w:rsidRDefault="0043025E" w:rsidP="00477DAE"/>
    <w:p w:rsidR="0043025E" w:rsidRDefault="0043025E" w:rsidP="00477DAE"/>
    <w:p w:rsidR="0043025E" w:rsidRDefault="0043025E" w:rsidP="00477DAE"/>
    <w:p w:rsidR="0043025E" w:rsidRDefault="0043025E" w:rsidP="00477DAE"/>
    <w:p w:rsidR="0043025E" w:rsidRDefault="0043025E" w:rsidP="00477DAE"/>
    <w:p w:rsidR="0043025E" w:rsidRDefault="0043025E"/>
    <w:p w:rsidR="0043025E" w:rsidRDefault="0043025E" w:rsidP="004C6935"/>
    <w:p w:rsidR="0043025E" w:rsidRDefault="0043025E" w:rsidP="004C6935"/>
    <w:p w:rsidR="0043025E" w:rsidRDefault="0043025E" w:rsidP="004C6935"/>
    <w:p w:rsidR="0043025E" w:rsidRDefault="0043025E" w:rsidP="000718C0"/>
    <w:p w:rsidR="0043025E" w:rsidRDefault="0043025E" w:rsidP="000718C0"/>
    <w:p w:rsidR="0043025E" w:rsidRDefault="0043025E" w:rsidP="000718C0"/>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1309DA"/>
    <w:p w:rsidR="0043025E" w:rsidRDefault="0043025E" w:rsidP="006816E1"/>
    <w:p w:rsidR="0043025E" w:rsidRDefault="0043025E" w:rsidP="006816E1"/>
    <w:p w:rsidR="0043025E" w:rsidRDefault="0043025E" w:rsidP="006816E1"/>
    <w:p w:rsidR="0043025E" w:rsidRDefault="0043025E" w:rsidP="006816E1"/>
    <w:p w:rsidR="0043025E" w:rsidRDefault="0043025E" w:rsidP="006816E1"/>
    <w:p w:rsidR="0043025E" w:rsidRDefault="0043025E" w:rsidP="004856E2"/>
    <w:p w:rsidR="0043025E" w:rsidRDefault="0043025E" w:rsidP="00520949"/>
    <w:p w:rsidR="0043025E" w:rsidRDefault="0043025E" w:rsidP="00CB09F0"/>
    <w:p w:rsidR="0043025E" w:rsidRDefault="0043025E" w:rsidP="00CB09F0"/>
    <w:p w:rsidR="0043025E" w:rsidRDefault="0043025E" w:rsidP="004B6E52"/>
    <w:p w:rsidR="0043025E" w:rsidRDefault="0043025E" w:rsidP="004B6E52"/>
    <w:p w:rsidR="0043025E" w:rsidRDefault="0043025E" w:rsidP="00700988"/>
    <w:p w:rsidR="0043025E" w:rsidRDefault="0043025E" w:rsidP="0091771E"/>
    <w:p w:rsidR="0043025E" w:rsidRDefault="0043025E" w:rsidP="0091771E"/>
    <w:p w:rsidR="0043025E" w:rsidRDefault="0043025E" w:rsidP="0091771E"/>
    <w:p w:rsidR="0043025E" w:rsidRDefault="0043025E"/>
    <w:p w:rsidR="0043025E" w:rsidRDefault="0043025E" w:rsidP="00E12E05"/>
    <w:p w:rsidR="0043025E" w:rsidRDefault="0043025E" w:rsidP="00455991"/>
    <w:p w:rsidR="0043025E" w:rsidRDefault="0043025E" w:rsidP="00F67279"/>
    <w:p w:rsidR="0043025E" w:rsidRDefault="0043025E" w:rsidP="00F67279"/>
    <w:p w:rsidR="0043025E" w:rsidRDefault="0043025E" w:rsidP="00147CAA"/>
    <w:p w:rsidR="0043025E" w:rsidRDefault="0043025E" w:rsidP="00147CAA"/>
    <w:p w:rsidR="0043025E" w:rsidRDefault="0043025E" w:rsidP="00434502"/>
    <w:p w:rsidR="0043025E" w:rsidRDefault="0043025E"/>
    <w:p w:rsidR="0043025E" w:rsidRDefault="0043025E" w:rsidP="005832B3"/>
    <w:p w:rsidR="0043025E" w:rsidRDefault="0043025E"/>
    <w:p w:rsidR="0043025E" w:rsidRDefault="0043025E" w:rsidP="00C1156D"/>
    <w:p w:rsidR="0043025E" w:rsidRDefault="0043025E" w:rsidP="00765003"/>
    <w:p w:rsidR="0043025E" w:rsidRDefault="004302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33" w:rsidRPr="002D565F" w:rsidRDefault="004B1F33" w:rsidP="00534FB5">
    <w:pPr>
      <w:pStyle w:val="ac"/>
      <w:rPr>
        <w:lang w:val="ru-RU"/>
      </w:rPr>
    </w:pPr>
  </w:p>
  <w:p w:rsidR="004B1F33" w:rsidRDefault="004B1F33" w:rsidP="00534FB5">
    <w:pPr>
      <w:pStyle w:val="ac"/>
      <w:jc w:val="right"/>
    </w:pPr>
    <w:fldSimple w:instr=" PAGE   \* MERGEFORMAT ">
      <w:r w:rsidR="00391693">
        <w:rPr>
          <w:noProof/>
        </w:rPr>
        <w:t>97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33" w:rsidRDefault="004B1F33">
    <w:pPr>
      <w:pStyle w:val="ac"/>
      <w:jc w:val="right"/>
    </w:pPr>
    <w:fldSimple w:instr=" PAGE   \* MERGEFORMAT ">
      <w:r w:rsidR="00391693">
        <w:rPr>
          <w:noProof/>
        </w:rPr>
        <w:t>203</w:t>
      </w:r>
    </w:fldSimple>
  </w:p>
  <w:p w:rsidR="004B1F33" w:rsidRDefault="004B1F33" w:rsidP="00534F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33" w:rsidRDefault="004B1F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508"/>
    <w:multiLevelType w:val="hybridMultilevel"/>
    <w:tmpl w:val="4C525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86D9B"/>
    <w:multiLevelType w:val="hybridMultilevel"/>
    <w:tmpl w:val="424E159E"/>
    <w:lvl w:ilvl="0" w:tplc="C4FEB8A8">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A51AA5"/>
    <w:multiLevelType w:val="multilevel"/>
    <w:tmpl w:val="21A8924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025903"/>
    <w:multiLevelType w:val="hybridMultilevel"/>
    <w:tmpl w:val="21C01A02"/>
    <w:lvl w:ilvl="0" w:tplc="5A78FF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252BA"/>
    <w:multiLevelType w:val="hybridMultilevel"/>
    <w:tmpl w:val="CC100944"/>
    <w:lvl w:ilvl="0" w:tplc="9D7296A6">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9F101D0"/>
    <w:multiLevelType w:val="hybridMultilevel"/>
    <w:tmpl w:val="78863CF4"/>
    <w:lvl w:ilvl="0" w:tplc="E44AAA8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F3F23E3"/>
    <w:multiLevelType w:val="hybridMultilevel"/>
    <w:tmpl w:val="20608B48"/>
    <w:lvl w:ilvl="0" w:tplc="AB22A826">
      <w:start w:val="1"/>
      <w:numFmt w:val="decimal"/>
      <w:lvlText w:val="%1."/>
      <w:lvlJc w:val="left"/>
      <w:pPr>
        <w:ind w:left="927" w:hanging="360"/>
      </w:pPr>
      <w:rPr>
        <w:rFonts w:ascii="Times New Roman" w:hAnsi="Times New Roman" w:cs="Times New Roman" w:hint="default"/>
        <w:b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B1B15EA"/>
    <w:multiLevelType w:val="hybridMultilevel"/>
    <w:tmpl w:val="B38232DC"/>
    <w:lvl w:ilvl="0" w:tplc="914CAB80">
      <w:start w:val="1"/>
      <w:numFmt w:val="decimal"/>
      <w:lvlText w:val="%1."/>
      <w:lvlJc w:val="left"/>
      <w:pPr>
        <w:tabs>
          <w:tab w:val="num" w:pos="720"/>
        </w:tabs>
        <w:ind w:left="720" w:hanging="360"/>
      </w:pPr>
    </w:lvl>
    <w:lvl w:ilvl="1" w:tplc="DF905204" w:tentative="1">
      <w:start w:val="1"/>
      <w:numFmt w:val="decimal"/>
      <w:lvlText w:val="%2."/>
      <w:lvlJc w:val="left"/>
      <w:pPr>
        <w:tabs>
          <w:tab w:val="num" w:pos="1440"/>
        </w:tabs>
        <w:ind w:left="1440" w:hanging="360"/>
      </w:pPr>
    </w:lvl>
    <w:lvl w:ilvl="2" w:tplc="D800F25C" w:tentative="1">
      <w:start w:val="1"/>
      <w:numFmt w:val="decimal"/>
      <w:lvlText w:val="%3."/>
      <w:lvlJc w:val="left"/>
      <w:pPr>
        <w:tabs>
          <w:tab w:val="num" w:pos="2160"/>
        </w:tabs>
        <w:ind w:left="2160" w:hanging="360"/>
      </w:pPr>
    </w:lvl>
    <w:lvl w:ilvl="3" w:tplc="6BB0B194" w:tentative="1">
      <w:start w:val="1"/>
      <w:numFmt w:val="decimal"/>
      <w:lvlText w:val="%4."/>
      <w:lvlJc w:val="left"/>
      <w:pPr>
        <w:tabs>
          <w:tab w:val="num" w:pos="2880"/>
        </w:tabs>
        <w:ind w:left="2880" w:hanging="360"/>
      </w:pPr>
    </w:lvl>
    <w:lvl w:ilvl="4" w:tplc="1F963772" w:tentative="1">
      <w:start w:val="1"/>
      <w:numFmt w:val="decimal"/>
      <w:lvlText w:val="%5."/>
      <w:lvlJc w:val="left"/>
      <w:pPr>
        <w:tabs>
          <w:tab w:val="num" w:pos="3600"/>
        </w:tabs>
        <w:ind w:left="3600" w:hanging="360"/>
      </w:pPr>
    </w:lvl>
    <w:lvl w:ilvl="5" w:tplc="65A60BEC" w:tentative="1">
      <w:start w:val="1"/>
      <w:numFmt w:val="decimal"/>
      <w:lvlText w:val="%6."/>
      <w:lvlJc w:val="left"/>
      <w:pPr>
        <w:tabs>
          <w:tab w:val="num" w:pos="4320"/>
        </w:tabs>
        <w:ind w:left="4320" w:hanging="360"/>
      </w:pPr>
    </w:lvl>
    <w:lvl w:ilvl="6" w:tplc="D4705BA2" w:tentative="1">
      <w:start w:val="1"/>
      <w:numFmt w:val="decimal"/>
      <w:lvlText w:val="%7."/>
      <w:lvlJc w:val="left"/>
      <w:pPr>
        <w:tabs>
          <w:tab w:val="num" w:pos="5040"/>
        </w:tabs>
        <w:ind w:left="5040" w:hanging="360"/>
      </w:pPr>
    </w:lvl>
    <w:lvl w:ilvl="7" w:tplc="DD00F3C4" w:tentative="1">
      <w:start w:val="1"/>
      <w:numFmt w:val="decimal"/>
      <w:lvlText w:val="%8."/>
      <w:lvlJc w:val="left"/>
      <w:pPr>
        <w:tabs>
          <w:tab w:val="num" w:pos="5760"/>
        </w:tabs>
        <w:ind w:left="5760" w:hanging="360"/>
      </w:pPr>
    </w:lvl>
    <w:lvl w:ilvl="8" w:tplc="6D245FAC" w:tentative="1">
      <w:start w:val="1"/>
      <w:numFmt w:val="decimal"/>
      <w:lvlText w:val="%9."/>
      <w:lvlJc w:val="left"/>
      <w:pPr>
        <w:tabs>
          <w:tab w:val="num" w:pos="6480"/>
        </w:tabs>
        <w:ind w:left="6480" w:hanging="360"/>
      </w:pPr>
    </w:lvl>
  </w:abstractNum>
  <w:abstractNum w:abstractNumId="8">
    <w:nsid w:val="5E4B268A"/>
    <w:multiLevelType w:val="hybridMultilevel"/>
    <w:tmpl w:val="D8445B8A"/>
    <w:lvl w:ilvl="0" w:tplc="5510BE4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7D699C"/>
    <w:multiLevelType w:val="hybridMultilevel"/>
    <w:tmpl w:val="75F494AA"/>
    <w:lvl w:ilvl="0" w:tplc="C3F2A2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AD62824"/>
    <w:multiLevelType w:val="hybridMultilevel"/>
    <w:tmpl w:val="CC100944"/>
    <w:lvl w:ilvl="0" w:tplc="9D7296A6">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7"/>
  </w:num>
  <w:num w:numId="3">
    <w:abstractNumId w:val="6"/>
  </w:num>
  <w:num w:numId="4">
    <w:abstractNumId w:val="8"/>
  </w:num>
  <w:num w:numId="5">
    <w:abstractNumId w:val="10"/>
  </w:num>
  <w:num w:numId="6">
    <w:abstractNumId w:val="9"/>
  </w:num>
  <w:num w:numId="7">
    <w:abstractNumId w:val="1"/>
  </w:num>
  <w:num w:numId="8">
    <w:abstractNumId w:val="5"/>
  </w:num>
  <w:num w:numId="9">
    <w:abstractNumId w:val="0"/>
  </w:num>
  <w:num w:numId="10">
    <w:abstractNumId w:val="3"/>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534FB5"/>
    <w:rsid w:val="00004A4E"/>
    <w:rsid w:val="00004D15"/>
    <w:rsid w:val="000061A9"/>
    <w:rsid w:val="0001401C"/>
    <w:rsid w:val="0002243A"/>
    <w:rsid w:val="00031AEB"/>
    <w:rsid w:val="00043256"/>
    <w:rsid w:val="00045D33"/>
    <w:rsid w:val="00045FF4"/>
    <w:rsid w:val="00055FF5"/>
    <w:rsid w:val="00067050"/>
    <w:rsid w:val="000718C0"/>
    <w:rsid w:val="00072C9D"/>
    <w:rsid w:val="00073D80"/>
    <w:rsid w:val="00077349"/>
    <w:rsid w:val="00086F08"/>
    <w:rsid w:val="00095C0B"/>
    <w:rsid w:val="0009771A"/>
    <w:rsid w:val="000B21AC"/>
    <w:rsid w:val="000C20C5"/>
    <w:rsid w:val="000F20AC"/>
    <w:rsid w:val="000F7B34"/>
    <w:rsid w:val="00101FBD"/>
    <w:rsid w:val="00102697"/>
    <w:rsid w:val="001309DA"/>
    <w:rsid w:val="00131149"/>
    <w:rsid w:val="00133DBD"/>
    <w:rsid w:val="0013707C"/>
    <w:rsid w:val="00140864"/>
    <w:rsid w:val="00145565"/>
    <w:rsid w:val="00146C1B"/>
    <w:rsid w:val="00147CAA"/>
    <w:rsid w:val="001649A2"/>
    <w:rsid w:val="0017392F"/>
    <w:rsid w:val="001751A7"/>
    <w:rsid w:val="00181506"/>
    <w:rsid w:val="00185C39"/>
    <w:rsid w:val="001A2203"/>
    <w:rsid w:val="001A55B1"/>
    <w:rsid w:val="001B048C"/>
    <w:rsid w:val="001B6158"/>
    <w:rsid w:val="001D2DAC"/>
    <w:rsid w:val="001D7E95"/>
    <w:rsid w:val="0020435D"/>
    <w:rsid w:val="00206AAF"/>
    <w:rsid w:val="00216232"/>
    <w:rsid w:val="002259AA"/>
    <w:rsid w:val="002352D7"/>
    <w:rsid w:val="00241AE3"/>
    <w:rsid w:val="00251F62"/>
    <w:rsid w:val="00253E9B"/>
    <w:rsid w:val="002711C6"/>
    <w:rsid w:val="002837E5"/>
    <w:rsid w:val="00284849"/>
    <w:rsid w:val="002875F3"/>
    <w:rsid w:val="00294ED8"/>
    <w:rsid w:val="002A3A19"/>
    <w:rsid w:val="002A4EBF"/>
    <w:rsid w:val="002C53D9"/>
    <w:rsid w:val="002E237D"/>
    <w:rsid w:val="002E7181"/>
    <w:rsid w:val="002F035B"/>
    <w:rsid w:val="00306B2B"/>
    <w:rsid w:val="003146FF"/>
    <w:rsid w:val="003246BC"/>
    <w:rsid w:val="0032545B"/>
    <w:rsid w:val="0032675F"/>
    <w:rsid w:val="00345EEC"/>
    <w:rsid w:val="0036355C"/>
    <w:rsid w:val="003670D1"/>
    <w:rsid w:val="00376EE1"/>
    <w:rsid w:val="00384442"/>
    <w:rsid w:val="00390AB7"/>
    <w:rsid w:val="00391693"/>
    <w:rsid w:val="00393CDF"/>
    <w:rsid w:val="003A306D"/>
    <w:rsid w:val="003A3AEA"/>
    <w:rsid w:val="003B0C8E"/>
    <w:rsid w:val="003B2112"/>
    <w:rsid w:val="003B2153"/>
    <w:rsid w:val="003B4E9F"/>
    <w:rsid w:val="003B69A0"/>
    <w:rsid w:val="003B69E8"/>
    <w:rsid w:val="003D356F"/>
    <w:rsid w:val="003E2970"/>
    <w:rsid w:val="003E67A2"/>
    <w:rsid w:val="003F196D"/>
    <w:rsid w:val="003F3858"/>
    <w:rsid w:val="004019CB"/>
    <w:rsid w:val="00401DCB"/>
    <w:rsid w:val="00406AB1"/>
    <w:rsid w:val="004113F9"/>
    <w:rsid w:val="00412A80"/>
    <w:rsid w:val="004139E2"/>
    <w:rsid w:val="0043025E"/>
    <w:rsid w:val="00434502"/>
    <w:rsid w:val="00435332"/>
    <w:rsid w:val="00455991"/>
    <w:rsid w:val="00467F46"/>
    <w:rsid w:val="00477DAE"/>
    <w:rsid w:val="00481016"/>
    <w:rsid w:val="00482648"/>
    <w:rsid w:val="004856E2"/>
    <w:rsid w:val="00490188"/>
    <w:rsid w:val="00491057"/>
    <w:rsid w:val="00493F99"/>
    <w:rsid w:val="004941E5"/>
    <w:rsid w:val="004A2112"/>
    <w:rsid w:val="004A5F7A"/>
    <w:rsid w:val="004B1F33"/>
    <w:rsid w:val="004B6E52"/>
    <w:rsid w:val="004B7C60"/>
    <w:rsid w:val="004C2D4A"/>
    <w:rsid w:val="004C3349"/>
    <w:rsid w:val="004C6935"/>
    <w:rsid w:val="004E0EA2"/>
    <w:rsid w:val="004E2D25"/>
    <w:rsid w:val="004E3473"/>
    <w:rsid w:val="004E5E5A"/>
    <w:rsid w:val="004E7F28"/>
    <w:rsid w:val="005032B9"/>
    <w:rsid w:val="00512C3D"/>
    <w:rsid w:val="0051612A"/>
    <w:rsid w:val="005207A5"/>
    <w:rsid w:val="00520949"/>
    <w:rsid w:val="0052272D"/>
    <w:rsid w:val="00526914"/>
    <w:rsid w:val="00526DDC"/>
    <w:rsid w:val="0053452F"/>
    <w:rsid w:val="00534FB5"/>
    <w:rsid w:val="00542F22"/>
    <w:rsid w:val="005436A3"/>
    <w:rsid w:val="00543CE7"/>
    <w:rsid w:val="0057105F"/>
    <w:rsid w:val="00574A62"/>
    <w:rsid w:val="0058021A"/>
    <w:rsid w:val="005832B3"/>
    <w:rsid w:val="005840BB"/>
    <w:rsid w:val="00590D2F"/>
    <w:rsid w:val="00595C89"/>
    <w:rsid w:val="00596B5D"/>
    <w:rsid w:val="00597E77"/>
    <w:rsid w:val="005A44D7"/>
    <w:rsid w:val="005A49D6"/>
    <w:rsid w:val="005A5B6A"/>
    <w:rsid w:val="005B68C8"/>
    <w:rsid w:val="005C3666"/>
    <w:rsid w:val="005D42D6"/>
    <w:rsid w:val="005D57A1"/>
    <w:rsid w:val="00600751"/>
    <w:rsid w:val="006118A0"/>
    <w:rsid w:val="006175CB"/>
    <w:rsid w:val="00626E0C"/>
    <w:rsid w:val="00631305"/>
    <w:rsid w:val="006326AD"/>
    <w:rsid w:val="006461E4"/>
    <w:rsid w:val="006602F6"/>
    <w:rsid w:val="0066651B"/>
    <w:rsid w:val="0067071F"/>
    <w:rsid w:val="00670D7C"/>
    <w:rsid w:val="00676A5D"/>
    <w:rsid w:val="00676FBD"/>
    <w:rsid w:val="00677BB4"/>
    <w:rsid w:val="006816E1"/>
    <w:rsid w:val="00692980"/>
    <w:rsid w:val="00695826"/>
    <w:rsid w:val="006A0B11"/>
    <w:rsid w:val="006B0FF1"/>
    <w:rsid w:val="006B1AB3"/>
    <w:rsid w:val="006B2854"/>
    <w:rsid w:val="006C493E"/>
    <w:rsid w:val="006D0331"/>
    <w:rsid w:val="006D7EDB"/>
    <w:rsid w:val="006E401B"/>
    <w:rsid w:val="006F55A9"/>
    <w:rsid w:val="00700988"/>
    <w:rsid w:val="00707363"/>
    <w:rsid w:val="00716486"/>
    <w:rsid w:val="00717BA8"/>
    <w:rsid w:val="00720D4A"/>
    <w:rsid w:val="00723169"/>
    <w:rsid w:val="00723969"/>
    <w:rsid w:val="007258A5"/>
    <w:rsid w:val="0073260E"/>
    <w:rsid w:val="00736C70"/>
    <w:rsid w:val="00752CB5"/>
    <w:rsid w:val="00753586"/>
    <w:rsid w:val="007609E3"/>
    <w:rsid w:val="007626D6"/>
    <w:rsid w:val="00765003"/>
    <w:rsid w:val="00766C80"/>
    <w:rsid w:val="00781ED2"/>
    <w:rsid w:val="00795605"/>
    <w:rsid w:val="007A6750"/>
    <w:rsid w:val="007A7823"/>
    <w:rsid w:val="007B3A2D"/>
    <w:rsid w:val="007B3DC2"/>
    <w:rsid w:val="007C16D7"/>
    <w:rsid w:val="007D09FC"/>
    <w:rsid w:val="007D67A0"/>
    <w:rsid w:val="007E645E"/>
    <w:rsid w:val="007E65A3"/>
    <w:rsid w:val="00801491"/>
    <w:rsid w:val="00812D21"/>
    <w:rsid w:val="008153B4"/>
    <w:rsid w:val="00821AA6"/>
    <w:rsid w:val="00822BD7"/>
    <w:rsid w:val="00823C00"/>
    <w:rsid w:val="00825204"/>
    <w:rsid w:val="00826B6C"/>
    <w:rsid w:val="008270D1"/>
    <w:rsid w:val="00827FF1"/>
    <w:rsid w:val="00831DE1"/>
    <w:rsid w:val="008342CD"/>
    <w:rsid w:val="00841EC0"/>
    <w:rsid w:val="00842725"/>
    <w:rsid w:val="008439CA"/>
    <w:rsid w:val="0084525B"/>
    <w:rsid w:val="00854C47"/>
    <w:rsid w:val="008653C6"/>
    <w:rsid w:val="008655E0"/>
    <w:rsid w:val="00876051"/>
    <w:rsid w:val="00887FA5"/>
    <w:rsid w:val="0089238F"/>
    <w:rsid w:val="008A392B"/>
    <w:rsid w:val="008A5E05"/>
    <w:rsid w:val="008B27F6"/>
    <w:rsid w:val="008B7888"/>
    <w:rsid w:val="008C4F20"/>
    <w:rsid w:val="008E3F81"/>
    <w:rsid w:val="008E4D7E"/>
    <w:rsid w:val="008F1D8E"/>
    <w:rsid w:val="008F2563"/>
    <w:rsid w:val="008F6649"/>
    <w:rsid w:val="008F6DAE"/>
    <w:rsid w:val="00916758"/>
    <w:rsid w:val="0091675F"/>
    <w:rsid w:val="0091771E"/>
    <w:rsid w:val="00921685"/>
    <w:rsid w:val="00922B21"/>
    <w:rsid w:val="00957F97"/>
    <w:rsid w:val="00960320"/>
    <w:rsid w:val="00963341"/>
    <w:rsid w:val="009667DE"/>
    <w:rsid w:val="009756C9"/>
    <w:rsid w:val="0098748C"/>
    <w:rsid w:val="009938DA"/>
    <w:rsid w:val="009B269D"/>
    <w:rsid w:val="009B58F6"/>
    <w:rsid w:val="009C42EA"/>
    <w:rsid w:val="009C4B42"/>
    <w:rsid w:val="009E0EAD"/>
    <w:rsid w:val="009E13B3"/>
    <w:rsid w:val="009F0BCA"/>
    <w:rsid w:val="009F1F2D"/>
    <w:rsid w:val="00A00836"/>
    <w:rsid w:val="00A03F16"/>
    <w:rsid w:val="00A123B6"/>
    <w:rsid w:val="00A15B28"/>
    <w:rsid w:val="00A21924"/>
    <w:rsid w:val="00A22083"/>
    <w:rsid w:val="00A220F5"/>
    <w:rsid w:val="00A3254D"/>
    <w:rsid w:val="00A44CC1"/>
    <w:rsid w:val="00A455C8"/>
    <w:rsid w:val="00A507EB"/>
    <w:rsid w:val="00A5221F"/>
    <w:rsid w:val="00A55FB6"/>
    <w:rsid w:val="00A56A14"/>
    <w:rsid w:val="00A60596"/>
    <w:rsid w:val="00A62B9C"/>
    <w:rsid w:val="00A75816"/>
    <w:rsid w:val="00A75C92"/>
    <w:rsid w:val="00A85195"/>
    <w:rsid w:val="00A85A82"/>
    <w:rsid w:val="00A86BBE"/>
    <w:rsid w:val="00A94469"/>
    <w:rsid w:val="00AA499D"/>
    <w:rsid w:val="00AB2E90"/>
    <w:rsid w:val="00AC01A6"/>
    <w:rsid w:val="00AC1EF3"/>
    <w:rsid w:val="00AF21FD"/>
    <w:rsid w:val="00AF57A2"/>
    <w:rsid w:val="00B01D66"/>
    <w:rsid w:val="00B04040"/>
    <w:rsid w:val="00B14A7C"/>
    <w:rsid w:val="00B21183"/>
    <w:rsid w:val="00B25494"/>
    <w:rsid w:val="00B278D7"/>
    <w:rsid w:val="00B27994"/>
    <w:rsid w:val="00B3351A"/>
    <w:rsid w:val="00B33964"/>
    <w:rsid w:val="00B34F3F"/>
    <w:rsid w:val="00B42657"/>
    <w:rsid w:val="00B556EE"/>
    <w:rsid w:val="00B6632E"/>
    <w:rsid w:val="00B669C3"/>
    <w:rsid w:val="00B673E9"/>
    <w:rsid w:val="00B6779E"/>
    <w:rsid w:val="00B6790C"/>
    <w:rsid w:val="00B7479E"/>
    <w:rsid w:val="00B80A2D"/>
    <w:rsid w:val="00B8322E"/>
    <w:rsid w:val="00B84A5C"/>
    <w:rsid w:val="00B946B3"/>
    <w:rsid w:val="00B9625C"/>
    <w:rsid w:val="00BA7B70"/>
    <w:rsid w:val="00BB1289"/>
    <w:rsid w:val="00BC370E"/>
    <w:rsid w:val="00BC677D"/>
    <w:rsid w:val="00BD0886"/>
    <w:rsid w:val="00BD6432"/>
    <w:rsid w:val="00BE37AF"/>
    <w:rsid w:val="00BE6D69"/>
    <w:rsid w:val="00BE791D"/>
    <w:rsid w:val="00BE7DFF"/>
    <w:rsid w:val="00BF1DBA"/>
    <w:rsid w:val="00BF3D98"/>
    <w:rsid w:val="00C012DE"/>
    <w:rsid w:val="00C1156D"/>
    <w:rsid w:val="00C174A0"/>
    <w:rsid w:val="00C26C8C"/>
    <w:rsid w:val="00C45585"/>
    <w:rsid w:val="00C619CF"/>
    <w:rsid w:val="00C664D7"/>
    <w:rsid w:val="00C7391D"/>
    <w:rsid w:val="00C87193"/>
    <w:rsid w:val="00C95EEC"/>
    <w:rsid w:val="00C9696B"/>
    <w:rsid w:val="00C973D3"/>
    <w:rsid w:val="00CA1CC6"/>
    <w:rsid w:val="00CA5833"/>
    <w:rsid w:val="00CB09F0"/>
    <w:rsid w:val="00CB42F2"/>
    <w:rsid w:val="00CB78C0"/>
    <w:rsid w:val="00CC55C5"/>
    <w:rsid w:val="00CD5485"/>
    <w:rsid w:val="00CF1E33"/>
    <w:rsid w:val="00CF5817"/>
    <w:rsid w:val="00D01443"/>
    <w:rsid w:val="00D06C88"/>
    <w:rsid w:val="00D25ABF"/>
    <w:rsid w:val="00D30B7B"/>
    <w:rsid w:val="00D320EC"/>
    <w:rsid w:val="00D3483A"/>
    <w:rsid w:val="00D408FF"/>
    <w:rsid w:val="00D43CD6"/>
    <w:rsid w:val="00D450C1"/>
    <w:rsid w:val="00D45509"/>
    <w:rsid w:val="00D4707C"/>
    <w:rsid w:val="00D50EC2"/>
    <w:rsid w:val="00D569F4"/>
    <w:rsid w:val="00D60F9F"/>
    <w:rsid w:val="00D6210C"/>
    <w:rsid w:val="00D703E5"/>
    <w:rsid w:val="00D70F1A"/>
    <w:rsid w:val="00D72C17"/>
    <w:rsid w:val="00D75E9C"/>
    <w:rsid w:val="00D767D9"/>
    <w:rsid w:val="00D81C50"/>
    <w:rsid w:val="00D8361A"/>
    <w:rsid w:val="00D83F18"/>
    <w:rsid w:val="00D858DE"/>
    <w:rsid w:val="00D864D4"/>
    <w:rsid w:val="00D87508"/>
    <w:rsid w:val="00D93EFF"/>
    <w:rsid w:val="00DA4AE3"/>
    <w:rsid w:val="00DA6D76"/>
    <w:rsid w:val="00DA7846"/>
    <w:rsid w:val="00DC0124"/>
    <w:rsid w:val="00DC567E"/>
    <w:rsid w:val="00DD04CA"/>
    <w:rsid w:val="00DD0A46"/>
    <w:rsid w:val="00DD59FF"/>
    <w:rsid w:val="00DE1C8B"/>
    <w:rsid w:val="00DE3778"/>
    <w:rsid w:val="00DF5851"/>
    <w:rsid w:val="00E00472"/>
    <w:rsid w:val="00E02FFB"/>
    <w:rsid w:val="00E04CF5"/>
    <w:rsid w:val="00E0772A"/>
    <w:rsid w:val="00E12E05"/>
    <w:rsid w:val="00E14118"/>
    <w:rsid w:val="00E14F11"/>
    <w:rsid w:val="00E24A5E"/>
    <w:rsid w:val="00E3178A"/>
    <w:rsid w:val="00E33F8C"/>
    <w:rsid w:val="00E34ACB"/>
    <w:rsid w:val="00E5345D"/>
    <w:rsid w:val="00E64380"/>
    <w:rsid w:val="00E643D3"/>
    <w:rsid w:val="00E64E37"/>
    <w:rsid w:val="00E66209"/>
    <w:rsid w:val="00E71CE6"/>
    <w:rsid w:val="00E87B06"/>
    <w:rsid w:val="00E9481A"/>
    <w:rsid w:val="00EA2B23"/>
    <w:rsid w:val="00EB6AE8"/>
    <w:rsid w:val="00EB72B7"/>
    <w:rsid w:val="00ED3810"/>
    <w:rsid w:val="00EE179A"/>
    <w:rsid w:val="00EE1C96"/>
    <w:rsid w:val="00EF61AC"/>
    <w:rsid w:val="00F06CDB"/>
    <w:rsid w:val="00F0702C"/>
    <w:rsid w:val="00F0756D"/>
    <w:rsid w:val="00F1209D"/>
    <w:rsid w:val="00F13550"/>
    <w:rsid w:val="00F37AD0"/>
    <w:rsid w:val="00F4048F"/>
    <w:rsid w:val="00F41074"/>
    <w:rsid w:val="00F470B5"/>
    <w:rsid w:val="00F66B98"/>
    <w:rsid w:val="00F67279"/>
    <w:rsid w:val="00F7280B"/>
    <w:rsid w:val="00F73D79"/>
    <w:rsid w:val="00F75DBB"/>
    <w:rsid w:val="00F83152"/>
    <w:rsid w:val="00F90FD7"/>
    <w:rsid w:val="00FA1570"/>
    <w:rsid w:val="00FA68BC"/>
    <w:rsid w:val="00FB0E9D"/>
    <w:rsid w:val="00FB50C0"/>
    <w:rsid w:val="00FD5F75"/>
    <w:rsid w:val="00FD609C"/>
    <w:rsid w:val="00FF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colormenu v:ext="edit" fillcolor="none [2732]" strokecolor="none"/>
    </o:shapedefaults>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534FB5"/>
    <w:pPr>
      <w:widowControl w:val="0"/>
      <w:autoSpaceDE w:val="0"/>
      <w:autoSpaceDN w:val="0"/>
      <w:adjustRightInd w:val="0"/>
      <w:spacing w:line="360" w:lineRule="auto"/>
      <w:jc w:val="both"/>
    </w:pPr>
    <w:rPr>
      <w:sz w:val="28"/>
      <w:szCs w:val="28"/>
      <w:lang w:val="uk-UA"/>
    </w:rPr>
  </w:style>
  <w:style w:type="paragraph" w:styleId="1">
    <w:name w:val="heading 1"/>
    <w:basedOn w:val="a"/>
    <w:next w:val="a"/>
    <w:link w:val="10"/>
    <w:qFormat/>
    <w:rsid w:val="00534FB5"/>
    <w:pPr>
      <w:keepNext/>
      <w:spacing w:before="240" w:after="60"/>
      <w:jc w:val="center"/>
      <w:outlineLvl w:val="0"/>
    </w:pPr>
    <w:rPr>
      <w:rFonts w:ascii="Arial" w:hAnsi="Arial"/>
      <w:b/>
      <w:bCs/>
      <w:kern w:val="32"/>
      <w:sz w:val="32"/>
      <w:szCs w:val="32"/>
    </w:rPr>
  </w:style>
  <w:style w:type="paragraph" w:styleId="2">
    <w:name w:val="heading 2"/>
    <w:basedOn w:val="a"/>
    <w:next w:val="a"/>
    <w:link w:val="20"/>
    <w:qFormat/>
    <w:rsid w:val="00534FB5"/>
    <w:pPr>
      <w:keepNext/>
      <w:spacing w:before="240" w:after="60"/>
      <w:jc w:val="center"/>
      <w:outlineLvl w:val="1"/>
    </w:pPr>
    <w:rPr>
      <w:rFonts w:ascii="Arial" w:hAnsi="Arial"/>
      <w:b/>
      <w:bCs/>
      <w:i/>
      <w:iCs/>
    </w:rPr>
  </w:style>
  <w:style w:type="paragraph" w:styleId="3">
    <w:name w:val="heading 3"/>
    <w:basedOn w:val="a"/>
    <w:next w:val="a"/>
    <w:link w:val="30"/>
    <w:qFormat/>
    <w:rsid w:val="00534FB5"/>
    <w:pPr>
      <w:keepNext/>
      <w:autoSpaceDE/>
      <w:autoSpaceDN/>
      <w:adjustRightInd/>
      <w:spacing w:before="120" w:after="120"/>
      <w:jc w:val="center"/>
      <w:outlineLvl w:val="2"/>
    </w:pPr>
    <w:rPr>
      <w:b/>
    </w:rPr>
  </w:style>
  <w:style w:type="paragraph" w:styleId="4">
    <w:name w:val="heading 4"/>
    <w:basedOn w:val="a"/>
    <w:next w:val="a"/>
    <w:link w:val="40"/>
    <w:qFormat/>
    <w:rsid w:val="00534FB5"/>
    <w:pPr>
      <w:keepNext/>
      <w:spacing w:before="240" w:after="60"/>
      <w:jc w:val="center"/>
      <w:outlineLvl w:val="3"/>
    </w:pPr>
    <w:rPr>
      <w:b/>
      <w:bCs/>
    </w:rPr>
  </w:style>
  <w:style w:type="paragraph" w:styleId="5">
    <w:name w:val="heading 5"/>
    <w:basedOn w:val="a"/>
    <w:next w:val="a"/>
    <w:link w:val="50"/>
    <w:qFormat/>
    <w:rsid w:val="00534FB5"/>
    <w:pPr>
      <w:spacing w:before="240" w:after="60"/>
      <w:jc w:val="center"/>
      <w:outlineLvl w:val="4"/>
    </w:pPr>
    <w:rPr>
      <w:b/>
      <w:bCs/>
      <w:i/>
      <w:iCs/>
      <w:sz w:val="26"/>
      <w:szCs w:val="26"/>
    </w:rPr>
  </w:style>
  <w:style w:type="paragraph" w:styleId="6">
    <w:name w:val="heading 6"/>
    <w:basedOn w:val="a"/>
    <w:next w:val="a"/>
    <w:link w:val="60"/>
    <w:qFormat/>
    <w:rsid w:val="00534FB5"/>
    <w:pPr>
      <w:keepNext/>
      <w:autoSpaceDE/>
      <w:autoSpaceDN/>
      <w:adjustRightInd/>
      <w:outlineLvl w:val="5"/>
    </w:pPr>
  </w:style>
  <w:style w:type="paragraph" w:styleId="7">
    <w:name w:val="heading 7"/>
    <w:basedOn w:val="a"/>
    <w:next w:val="a"/>
    <w:link w:val="70"/>
    <w:qFormat/>
    <w:rsid w:val="00534FB5"/>
    <w:pPr>
      <w:keepNext/>
      <w:jc w:val="center"/>
      <w:outlineLvl w:val="6"/>
    </w:pPr>
    <w:rPr>
      <w:i/>
      <w:iCs/>
    </w:rPr>
  </w:style>
  <w:style w:type="paragraph" w:styleId="9">
    <w:name w:val="heading 9"/>
    <w:basedOn w:val="a"/>
    <w:next w:val="a"/>
    <w:link w:val="90"/>
    <w:qFormat/>
    <w:rsid w:val="00534FB5"/>
    <w:pPr>
      <w:keepNext/>
      <w:widowControl/>
      <w:autoSpaceDE/>
      <w:autoSpaceDN/>
      <w:adjustRightInd/>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34FB5"/>
    <w:rPr>
      <w:rFonts w:ascii="Arial" w:hAnsi="Arial"/>
      <w:b/>
      <w:bCs/>
      <w:kern w:val="32"/>
      <w:sz w:val="32"/>
      <w:szCs w:val="32"/>
      <w:lang w:eastAsia="ru-RU" w:bidi="ar-SA"/>
    </w:rPr>
  </w:style>
  <w:style w:type="character" w:customStyle="1" w:styleId="20">
    <w:name w:val="Заголовок 2 Знак"/>
    <w:link w:val="2"/>
    <w:rsid w:val="00534FB5"/>
    <w:rPr>
      <w:rFonts w:ascii="Arial" w:hAnsi="Arial"/>
      <w:b/>
      <w:bCs/>
      <w:i/>
      <w:iCs/>
      <w:sz w:val="28"/>
      <w:szCs w:val="28"/>
      <w:lang w:eastAsia="ru-RU" w:bidi="ar-SA"/>
    </w:rPr>
  </w:style>
  <w:style w:type="character" w:customStyle="1" w:styleId="30">
    <w:name w:val="Заголовок 3 Знак"/>
    <w:link w:val="3"/>
    <w:rsid w:val="00534FB5"/>
    <w:rPr>
      <w:b/>
      <w:sz w:val="28"/>
      <w:szCs w:val="28"/>
      <w:lang w:eastAsia="ru-RU" w:bidi="ar-SA"/>
    </w:rPr>
  </w:style>
  <w:style w:type="character" w:customStyle="1" w:styleId="40">
    <w:name w:val="Заголовок 4 Знак"/>
    <w:link w:val="4"/>
    <w:rsid w:val="00534FB5"/>
    <w:rPr>
      <w:b/>
      <w:bCs/>
      <w:sz w:val="28"/>
      <w:szCs w:val="28"/>
      <w:lang w:eastAsia="ru-RU" w:bidi="ar-SA"/>
    </w:rPr>
  </w:style>
  <w:style w:type="character" w:customStyle="1" w:styleId="50">
    <w:name w:val="Заголовок 5 Знак"/>
    <w:link w:val="5"/>
    <w:rsid w:val="00534FB5"/>
    <w:rPr>
      <w:b/>
      <w:bCs/>
      <w:i/>
      <w:iCs/>
      <w:sz w:val="26"/>
      <w:szCs w:val="26"/>
      <w:lang w:eastAsia="ru-RU" w:bidi="ar-SA"/>
    </w:rPr>
  </w:style>
  <w:style w:type="character" w:customStyle="1" w:styleId="60">
    <w:name w:val="Заголовок 6 Знак"/>
    <w:link w:val="6"/>
    <w:locked/>
    <w:rsid w:val="00534FB5"/>
    <w:rPr>
      <w:sz w:val="28"/>
      <w:szCs w:val="28"/>
      <w:lang w:val="uk-UA" w:eastAsia="ru-RU" w:bidi="ar-SA"/>
    </w:rPr>
  </w:style>
  <w:style w:type="character" w:customStyle="1" w:styleId="70">
    <w:name w:val="Заголовок 7 Знак"/>
    <w:link w:val="7"/>
    <w:rsid w:val="00534FB5"/>
    <w:rPr>
      <w:i/>
      <w:iCs/>
      <w:sz w:val="28"/>
      <w:szCs w:val="28"/>
      <w:lang w:eastAsia="ru-RU" w:bidi="ar-SA"/>
    </w:rPr>
  </w:style>
  <w:style w:type="character" w:customStyle="1" w:styleId="90">
    <w:name w:val="Заголовок 9 Знак"/>
    <w:link w:val="9"/>
    <w:rsid w:val="00534FB5"/>
    <w:rPr>
      <w:b/>
      <w:bCs/>
      <w:sz w:val="28"/>
      <w:szCs w:val="24"/>
      <w:lang w:eastAsia="ru-RU" w:bidi="ar-SA"/>
    </w:rPr>
  </w:style>
  <w:style w:type="paragraph" w:styleId="a3">
    <w:name w:val="Subtitle"/>
    <w:basedOn w:val="a"/>
    <w:link w:val="a4"/>
    <w:qFormat/>
    <w:rsid w:val="00534FB5"/>
    <w:pPr>
      <w:spacing w:after="60"/>
      <w:outlineLvl w:val="1"/>
    </w:pPr>
    <w:rPr>
      <w:rFonts w:cs="Arial"/>
      <w:spacing w:val="-3"/>
      <w:szCs w:val="24"/>
    </w:rPr>
  </w:style>
  <w:style w:type="character" w:customStyle="1" w:styleId="a4">
    <w:name w:val="Подзаголовок Знак"/>
    <w:link w:val="a3"/>
    <w:locked/>
    <w:rsid w:val="00534FB5"/>
    <w:rPr>
      <w:rFonts w:cs="Arial"/>
      <w:spacing w:val="-3"/>
      <w:sz w:val="28"/>
      <w:szCs w:val="24"/>
      <w:lang w:val="uk-UA" w:eastAsia="ru-RU" w:bidi="ar-SA"/>
    </w:rPr>
  </w:style>
  <w:style w:type="paragraph" w:styleId="a5">
    <w:name w:val="Title"/>
    <w:basedOn w:val="a"/>
    <w:link w:val="a6"/>
    <w:qFormat/>
    <w:rsid w:val="00534FB5"/>
    <w:pPr>
      <w:widowControl/>
      <w:autoSpaceDE/>
      <w:autoSpaceDN/>
      <w:adjustRightInd/>
      <w:spacing w:before="240" w:after="60"/>
      <w:outlineLvl w:val="0"/>
    </w:pPr>
    <w:rPr>
      <w:rFonts w:cs="Arial"/>
      <w:b/>
      <w:bCs/>
      <w:caps/>
      <w:kern w:val="28"/>
      <w:sz w:val="32"/>
      <w:szCs w:val="32"/>
    </w:rPr>
  </w:style>
  <w:style w:type="character" w:customStyle="1" w:styleId="a6">
    <w:name w:val="Название Знак"/>
    <w:link w:val="a5"/>
    <w:locked/>
    <w:rsid w:val="00534FB5"/>
    <w:rPr>
      <w:rFonts w:cs="Arial"/>
      <w:b/>
      <w:bCs/>
      <w:caps/>
      <w:kern w:val="28"/>
      <w:sz w:val="32"/>
      <w:szCs w:val="32"/>
      <w:lang w:val="uk-UA" w:eastAsia="ru-RU" w:bidi="ar-SA"/>
    </w:rPr>
  </w:style>
  <w:style w:type="paragraph" w:customStyle="1" w:styleId="a7">
    <w:name w:val="Таблица номер"/>
    <w:basedOn w:val="a"/>
    <w:autoRedefine/>
    <w:rsid w:val="00534FB5"/>
    <w:pPr>
      <w:widowControl/>
      <w:autoSpaceDE/>
      <w:autoSpaceDN/>
      <w:adjustRightInd/>
      <w:jc w:val="right"/>
    </w:pPr>
  </w:style>
  <w:style w:type="paragraph" w:customStyle="1" w:styleId="a8">
    <w:name w:val="Условные обозначения"/>
    <w:basedOn w:val="a"/>
    <w:autoRedefine/>
    <w:rsid w:val="00534FB5"/>
    <w:pPr>
      <w:widowControl/>
      <w:tabs>
        <w:tab w:val="left" w:pos="1491"/>
      </w:tabs>
      <w:autoSpaceDE/>
      <w:autoSpaceDN/>
      <w:adjustRightInd/>
      <w:ind w:right="-9"/>
    </w:pPr>
    <w:rPr>
      <w:szCs w:val="24"/>
    </w:rPr>
  </w:style>
  <w:style w:type="character" w:styleId="a9">
    <w:name w:val="Emphasis"/>
    <w:uiPriority w:val="20"/>
    <w:qFormat/>
    <w:rsid w:val="00534FB5"/>
    <w:rPr>
      <w:rFonts w:cs="Times New Roman"/>
      <w:i/>
      <w:iCs/>
    </w:rPr>
  </w:style>
  <w:style w:type="paragraph" w:styleId="aa">
    <w:name w:val="Balloon Text"/>
    <w:basedOn w:val="a"/>
    <w:link w:val="ab"/>
    <w:rsid w:val="00534FB5"/>
    <w:pPr>
      <w:spacing w:line="240" w:lineRule="auto"/>
    </w:pPr>
    <w:rPr>
      <w:rFonts w:ascii="Segoe UI" w:hAnsi="Segoe UI"/>
      <w:sz w:val="18"/>
      <w:szCs w:val="18"/>
    </w:rPr>
  </w:style>
  <w:style w:type="character" w:customStyle="1" w:styleId="ab">
    <w:name w:val="Текст выноски Знак"/>
    <w:link w:val="aa"/>
    <w:rsid w:val="00534FB5"/>
    <w:rPr>
      <w:rFonts w:ascii="Segoe UI" w:hAnsi="Segoe UI"/>
      <w:sz w:val="18"/>
      <w:szCs w:val="18"/>
      <w:lang w:eastAsia="ru-RU" w:bidi="ar-SA"/>
    </w:rPr>
  </w:style>
  <w:style w:type="paragraph" w:styleId="ac">
    <w:name w:val="header"/>
    <w:basedOn w:val="a"/>
    <w:link w:val="ad"/>
    <w:rsid w:val="00534FB5"/>
    <w:pPr>
      <w:tabs>
        <w:tab w:val="center" w:pos="4819"/>
        <w:tab w:val="right" w:pos="9639"/>
      </w:tabs>
    </w:pPr>
  </w:style>
  <w:style w:type="character" w:customStyle="1" w:styleId="ad">
    <w:name w:val="Верхний колонтитул Знак"/>
    <w:link w:val="ac"/>
    <w:rsid w:val="00534FB5"/>
    <w:rPr>
      <w:sz w:val="28"/>
      <w:szCs w:val="28"/>
      <w:lang w:eastAsia="ru-RU" w:bidi="ar-SA"/>
    </w:rPr>
  </w:style>
  <w:style w:type="paragraph" w:styleId="ae">
    <w:name w:val="footer"/>
    <w:basedOn w:val="a"/>
    <w:link w:val="af"/>
    <w:rsid w:val="00534FB5"/>
    <w:pPr>
      <w:tabs>
        <w:tab w:val="center" w:pos="4819"/>
        <w:tab w:val="right" w:pos="9639"/>
      </w:tabs>
    </w:pPr>
  </w:style>
  <w:style w:type="character" w:customStyle="1" w:styleId="af">
    <w:name w:val="Нижний колонтитул Знак"/>
    <w:link w:val="ae"/>
    <w:rsid w:val="00534FB5"/>
    <w:rPr>
      <w:sz w:val="28"/>
      <w:szCs w:val="28"/>
      <w:lang w:eastAsia="ru-RU" w:bidi="ar-SA"/>
    </w:rPr>
  </w:style>
  <w:style w:type="character" w:styleId="af0">
    <w:name w:val="Hyperlink"/>
    <w:rsid w:val="00534FB5"/>
    <w:rPr>
      <w:rFonts w:cs="Times New Roman"/>
      <w:color w:val="0000FF"/>
      <w:u w:val="single"/>
    </w:rPr>
  </w:style>
  <w:style w:type="character" w:customStyle="1" w:styleId="apple-converted-space">
    <w:name w:val="apple-converted-space"/>
    <w:rsid w:val="00534FB5"/>
    <w:rPr>
      <w:rFonts w:cs="Times New Roman"/>
    </w:rPr>
  </w:style>
  <w:style w:type="character" w:customStyle="1" w:styleId="apple-style-span">
    <w:name w:val="apple-style-span"/>
    <w:rsid w:val="00534FB5"/>
    <w:rPr>
      <w:rFonts w:cs="Times New Roman"/>
    </w:rPr>
  </w:style>
  <w:style w:type="paragraph" w:customStyle="1" w:styleId="11">
    <w:name w:val="Абзац списка1"/>
    <w:basedOn w:val="a"/>
    <w:rsid w:val="00534FB5"/>
    <w:pPr>
      <w:ind w:left="720"/>
      <w:contextualSpacing/>
      <w:jc w:val="center"/>
    </w:pPr>
  </w:style>
  <w:style w:type="paragraph" w:styleId="af1">
    <w:name w:val="Body Text Indent"/>
    <w:basedOn w:val="a"/>
    <w:link w:val="af2"/>
    <w:rsid w:val="00534FB5"/>
    <w:pPr>
      <w:spacing w:after="120"/>
      <w:ind w:left="283"/>
      <w:jc w:val="center"/>
    </w:pPr>
  </w:style>
  <w:style w:type="character" w:customStyle="1" w:styleId="af2">
    <w:name w:val="Основной текст с отступом Знак"/>
    <w:link w:val="af1"/>
    <w:rsid w:val="00534FB5"/>
    <w:rPr>
      <w:sz w:val="28"/>
      <w:szCs w:val="28"/>
      <w:lang w:eastAsia="ru-RU" w:bidi="ar-SA"/>
    </w:rPr>
  </w:style>
  <w:style w:type="paragraph" w:styleId="af3">
    <w:name w:val="Plain Text"/>
    <w:basedOn w:val="a"/>
    <w:link w:val="af4"/>
    <w:rsid w:val="00534FB5"/>
    <w:pPr>
      <w:jc w:val="center"/>
    </w:pPr>
    <w:rPr>
      <w:rFonts w:ascii="Courier New" w:hAnsi="Courier New"/>
      <w:sz w:val="20"/>
    </w:rPr>
  </w:style>
  <w:style w:type="character" w:customStyle="1" w:styleId="af4">
    <w:name w:val="Текст Знак"/>
    <w:link w:val="af3"/>
    <w:rsid w:val="00534FB5"/>
    <w:rPr>
      <w:rFonts w:ascii="Courier New" w:hAnsi="Courier New"/>
      <w:szCs w:val="28"/>
      <w:lang w:eastAsia="ru-RU" w:bidi="ar-SA"/>
    </w:rPr>
  </w:style>
  <w:style w:type="paragraph" w:styleId="31">
    <w:name w:val="Body Text Indent 3"/>
    <w:basedOn w:val="a"/>
    <w:link w:val="32"/>
    <w:rsid w:val="00534FB5"/>
    <w:pPr>
      <w:suppressAutoHyphens/>
      <w:autoSpaceDE/>
      <w:autoSpaceDN/>
      <w:adjustRightInd/>
      <w:jc w:val="center"/>
    </w:pPr>
  </w:style>
  <w:style w:type="character" w:customStyle="1" w:styleId="32">
    <w:name w:val="Основной текст с отступом 3 Знак"/>
    <w:link w:val="31"/>
    <w:rsid w:val="00534FB5"/>
    <w:rPr>
      <w:sz w:val="28"/>
      <w:szCs w:val="28"/>
      <w:lang w:eastAsia="ru-RU" w:bidi="ar-SA"/>
    </w:rPr>
  </w:style>
  <w:style w:type="paragraph" w:styleId="af5">
    <w:name w:val="Body Text"/>
    <w:basedOn w:val="a"/>
    <w:link w:val="af6"/>
    <w:rsid w:val="00534FB5"/>
    <w:pPr>
      <w:spacing w:after="120"/>
      <w:jc w:val="center"/>
    </w:pPr>
  </w:style>
  <w:style w:type="character" w:customStyle="1" w:styleId="af6">
    <w:name w:val="Основной текст Знак"/>
    <w:link w:val="af5"/>
    <w:rsid w:val="00534FB5"/>
    <w:rPr>
      <w:sz w:val="28"/>
      <w:szCs w:val="28"/>
      <w:lang w:eastAsia="ru-RU" w:bidi="ar-SA"/>
    </w:rPr>
  </w:style>
  <w:style w:type="paragraph" w:styleId="HTML">
    <w:name w:val="HTML Preformatted"/>
    <w:basedOn w:val="a"/>
    <w:link w:val="HTML0"/>
    <w:rsid w:val="00534F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sz w:val="20"/>
      <w:szCs w:val="20"/>
    </w:rPr>
  </w:style>
  <w:style w:type="character" w:customStyle="1" w:styleId="HTML0">
    <w:name w:val="Стандартный HTML Знак"/>
    <w:link w:val="HTML"/>
    <w:rsid w:val="00534FB5"/>
    <w:rPr>
      <w:rFonts w:ascii="Courier New" w:hAnsi="Courier New"/>
      <w:lang w:bidi="ar-SA"/>
    </w:rPr>
  </w:style>
  <w:style w:type="character" w:customStyle="1" w:styleId="21">
    <w:name w:val="Основной текст с отступом 2 Знак"/>
    <w:link w:val="22"/>
    <w:locked/>
    <w:rsid w:val="00534FB5"/>
    <w:rPr>
      <w:rFonts w:ascii="Calibri" w:hAnsi="Calibri"/>
      <w:sz w:val="22"/>
      <w:szCs w:val="22"/>
      <w:lang w:eastAsia="en-US" w:bidi="ar-SA"/>
    </w:rPr>
  </w:style>
  <w:style w:type="paragraph" w:styleId="22">
    <w:name w:val="Body Text Indent 2"/>
    <w:basedOn w:val="a"/>
    <w:link w:val="21"/>
    <w:rsid w:val="00534FB5"/>
    <w:pPr>
      <w:widowControl/>
      <w:autoSpaceDE/>
      <w:autoSpaceDN/>
      <w:adjustRightInd/>
      <w:spacing w:after="120" w:line="480" w:lineRule="auto"/>
      <w:ind w:left="283"/>
      <w:jc w:val="left"/>
    </w:pPr>
    <w:rPr>
      <w:rFonts w:ascii="Calibri" w:hAnsi="Calibri"/>
      <w:sz w:val="22"/>
      <w:szCs w:val="22"/>
      <w:lang w:eastAsia="en-US"/>
    </w:rPr>
  </w:style>
  <w:style w:type="character" w:customStyle="1" w:styleId="23">
    <w:name w:val="Основной текст 2 Знак"/>
    <w:link w:val="24"/>
    <w:locked/>
    <w:rsid w:val="00534FB5"/>
    <w:rPr>
      <w:rFonts w:ascii="Calibri" w:hAnsi="Calibri"/>
      <w:sz w:val="22"/>
      <w:szCs w:val="22"/>
      <w:lang w:eastAsia="en-US" w:bidi="ar-SA"/>
    </w:rPr>
  </w:style>
  <w:style w:type="paragraph" w:styleId="24">
    <w:name w:val="Body Text 2"/>
    <w:basedOn w:val="a"/>
    <w:link w:val="23"/>
    <w:rsid w:val="00534FB5"/>
    <w:pPr>
      <w:widowControl/>
      <w:autoSpaceDE/>
      <w:autoSpaceDN/>
      <w:adjustRightInd/>
      <w:spacing w:after="120" w:line="480" w:lineRule="auto"/>
      <w:jc w:val="left"/>
    </w:pPr>
    <w:rPr>
      <w:rFonts w:ascii="Calibri" w:hAnsi="Calibri"/>
      <w:sz w:val="22"/>
      <w:szCs w:val="22"/>
      <w:lang w:eastAsia="en-US"/>
    </w:rPr>
  </w:style>
  <w:style w:type="paragraph" w:styleId="af7">
    <w:name w:val="Normal (Web)"/>
    <w:basedOn w:val="a"/>
    <w:uiPriority w:val="99"/>
    <w:rsid w:val="00534FB5"/>
    <w:pPr>
      <w:widowControl/>
      <w:autoSpaceDE/>
      <w:autoSpaceDN/>
      <w:adjustRightInd/>
      <w:spacing w:before="100" w:beforeAutospacing="1" w:after="100" w:afterAutospacing="1" w:line="240" w:lineRule="auto"/>
      <w:jc w:val="left"/>
    </w:pPr>
    <w:rPr>
      <w:sz w:val="24"/>
      <w:szCs w:val="24"/>
      <w:lang w:val="ru-RU"/>
    </w:rPr>
  </w:style>
  <w:style w:type="character" w:customStyle="1" w:styleId="gcpaddrlink">
    <w:name w:val="gcpaddrlink"/>
    <w:rsid w:val="00534FB5"/>
    <w:rPr>
      <w:rFonts w:cs="Times New Roman"/>
    </w:rPr>
  </w:style>
  <w:style w:type="character" w:customStyle="1" w:styleId="mw-headline">
    <w:name w:val="mw-headline"/>
    <w:rsid w:val="00534FB5"/>
    <w:rPr>
      <w:rFonts w:cs="Times New Roman"/>
    </w:rPr>
  </w:style>
  <w:style w:type="paragraph" w:styleId="af8">
    <w:name w:val="List Paragraph"/>
    <w:basedOn w:val="a"/>
    <w:uiPriority w:val="34"/>
    <w:qFormat/>
    <w:rsid w:val="00534FB5"/>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character" w:customStyle="1" w:styleId="hl">
    <w:name w:val="hl"/>
    <w:rsid w:val="00534FB5"/>
  </w:style>
  <w:style w:type="character" w:customStyle="1" w:styleId="search-keyword-match">
    <w:name w:val="search-keyword-match"/>
    <w:rsid w:val="00534FB5"/>
  </w:style>
  <w:style w:type="paragraph" w:styleId="af9">
    <w:name w:val="footnote text"/>
    <w:basedOn w:val="a"/>
    <w:link w:val="afa"/>
    <w:rsid w:val="007B3DC2"/>
    <w:pPr>
      <w:spacing w:line="240" w:lineRule="auto"/>
    </w:pPr>
    <w:rPr>
      <w:sz w:val="20"/>
      <w:szCs w:val="20"/>
    </w:rPr>
  </w:style>
  <w:style w:type="character" w:customStyle="1" w:styleId="afa">
    <w:name w:val="Текст сноски Знак"/>
    <w:basedOn w:val="a0"/>
    <w:link w:val="af9"/>
    <w:rsid w:val="007B3DC2"/>
    <w:rPr>
      <w:lang w:val="uk-UA"/>
    </w:rPr>
  </w:style>
  <w:style w:type="character" w:styleId="afb">
    <w:name w:val="footnote reference"/>
    <w:basedOn w:val="a0"/>
    <w:rsid w:val="007B3DC2"/>
    <w:rPr>
      <w:vertAlign w:val="superscript"/>
    </w:rPr>
  </w:style>
  <w:style w:type="paragraph" w:styleId="afc">
    <w:name w:val="endnote text"/>
    <w:basedOn w:val="a"/>
    <w:link w:val="afd"/>
    <w:rsid w:val="007B3DC2"/>
    <w:pPr>
      <w:spacing w:line="240" w:lineRule="auto"/>
    </w:pPr>
    <w:rPr>
      <w:sz w:val="20"/>
      <w:szCs w:val="20"/>
    </w:rPr>
  </w:style>
  <w:style w:type="character" w:customStyle="1" w:styleId="afd">
    <w:name w:val="Текст концевой сноски Знак"/>
    <w:basedOn w:val="a0"/>
    <w:link w:val="afc"/>
    <w:rsid w:val="007B3DC2"/>
    <w:rPr>
      <w:lang w:val="uk-UA"/>
    </w:rPr>
  </w:style>
  <w:style w:type="character" w:styleId="afe">
    <w:name w:val="endnote reference"/>
    <w:basedOn w:val="a0"/>
    <w:rsid w:val="007B3DC2"/>
    <w:rPr>
      <w:vertAlign w:val="superscript"/>
    </w:rPr>
  </w:style>
  <w:style w:type="character" w:styleId="aff">
    <w:name w:val="Strong"/>
    <w:basedOn w:val="a0"/>
    <w:uiPriority w:val="22"/>
    <w:qFormat/>
    <w:rsid w:val="00ED3810"/>
    <w:rPr>
      <w:b/>
      <w:bCs/>
    </w:rPr>
  </w:style>
</w:styles>
</file>

<file path=word/webSettings.xml><?xml version="1.0" encoding="utf-8"?>
<w:webSettings xmlns:r="http://schemas.openxmlformats.org/officeDocument/2006/relationships" xmlns:w="http://schemas.openxmlformats.org/wordprocessingml/2006/main">
  <w:divs>
    <w:div w:id="507404284">
      <w:bodyDiv w:val="1"/>
      <w:marLeft w:val="0"/>
      <w:marRight w:val="0"/>
      <w:marTop w:val="0"/>
      <w:marBottom w:val="0"/>
      <w:divBdr>
        <w:top w:val="none" w:sz="0" w:space="0" w:color="auto"/>
        <w:left w:val="none" w:sz="0" w:space="0" w:color="auto"/>
        <w:bottom w:val="none" w:sz="0" w:space="0" w:color="auto"/>
        <w:right w:val="none" w:sz="0" w:space="0" w:color="auto"/>
      </w:divBdr>
    </w:div>
    <w:div w:id="602613622">
      <w:bodyDiv w:val="1"/>
      <w:marLeft w:val="0"/>
      <w:marRight w:val="0"/>
      <w:marTop w:val="0"/>
      <w:marBottom w:val="0"/>
      <w:divBdr>
        <w:top w:val="none" w:sz="0" w:space="0" w:color="auto"/>
        <w:left w:val="none" w:sz="0" w:space="0" w:color="auto"/>
        <w:bottom w:val="none" w:sz="0" w:space="0" w:color="auto"/>
        <w:right w:val="none" w:sz="0" w:space="0" w:color="auto"/>
      </w:divBdr>
    </w:div>
    <w:div w:id="685789436">
      <w:bodyDiv w:val="1"/>
      <w:marLeft w:val="0"/>
      <w:marRight w:val="0"/>
      <w:marTop w:val="0"/>
      <w:marBottom w:val="0"/>
      <w:divBdr>
        <w:top w:val="none" w:sz="0" w:space="0" w:color="auto"/>
        <w:left w:val="none" w:sz="0" w:space="0" w:color="auto"/>
        <w:bottom w:val="none" w:sz="0" w:space="0" w:color="auto"/>
        <w:right w:val="none" w:sz="0" w:space="0" w:color="auto"/>
      </w:divBdr>
    </w:div>
    <w:div w:id="19585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image" Target="media/image1.emf"/><Relationship Id="rId68" Type="http://schemas.openxmlformats.org/officeDocument/2006/relationships/image" Target="media/image6.emf"/><Relationship Id="rId76" Type="http://schemas.openxmlformats.org/officeDocument/2006/relationships/hyperlink" Target="http://www.ncbi.nlm.nih.gov/pubmed?term=%22Kalyani%20V%22%5BAuthor%5D" TargetMode="External"/><Relationship Id="rId7" Type="http://schemas.openxmlformats.org/officeDocument/2006/relationships/endnotes" Target="endnotes.xml"/><Relationship Id="rId71"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uk.wikipedia.org/wiki/%D0%A5%D1%96%D0%BC%D1%96%D1%87%D0%BD%D1%96_%D1%80%D0%B5%D1%87%D0%BE%D0%B2%D0%B8%D0%BD%D0%B8"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image" Target="media/image4.emf"/><Relationship Id="rId74" Type="http://schemas.openxmlformats.org/officeDocument/2006/relationships/image" Target="media/image12.emf"/><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hart" Target="charts/chart49.xml"/><Relationship Id="rId10" Type="http://schemas.openxmlformats.org/officeDocument/2006/relationships/hyperlink" Target="http://maps.google.ru/maps?f=q&amp;source=s_q&amp;hl=ru&amp;q=&amp;vps=12&amp;jsv=223a&amp;sll=36.299597,59.600015&amp;sspn=0.026563,0.038581&amp;gl=ru&amp;g=Mashhad&amp;ie=UTF8&amp;geocode=FYK1eAEdge3IAg&amp;split=0"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image" Target="media/image3.emf"/><Relationship Id="rId73" Type="http://schemas.openxmlformats.org/officeDocument/2006/relationships/image" Target="media/image11.emf"/><Relationship Id="rId78" Type="http://schemas.openxmlformats.org/officeDocument/2006/relationships/hyperlink" Target="https://www.lens.org/lens/search?applicant=COLGATE%20PALMOLIVE%20CO"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s.google.ru/maps?f=q&amp;source=s_q&amp;hl=ru&amp;q=&amp;vps=3&amp;jsv=223a&amp;sll=-6.817039,39.279417&amp;sspn=0.004091,0.004823&amp;gl=ru&amp;ie=UTF8&amp;geocode=FSAApwEdLZF_BA&amp;split=0"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image" Target="media/image2.emf"/><Relationship Id="rId69" Type="http://schemas.openxmlformats.org/officeDocument/2006/relationships/image" Target="media/image7.emf"/><Relationship Id="rId77" Type="http://schemas.openxmlformats.org/officeDocument/2006/relationships/hyperlink" Target="http://www.ncbi.nlm.nih.gov/pubmed?term=%22Vijayarani%20MP%22%5BAuthor%5D" TargetMode="External"/><Relationship Id="rId8" Type="http://schemas.openxmlformats.org/officeDocument/2006/relationships/hyperlink" Target="http://maps.google.ru/maps?f=q&amp;source=s_q&amp;hl=ru&amp;q=&amp;vps=3&amp;jsv=223a&amp;sll=-6.817039,39.279417&amp;sspn=0.004091,0.004823&amp;gl=ru&amp;ie=UTF8&amp;geocode=FSAApwEdLZF_BA&amp;split=0" TargetMode="External"/><Relationship Id="rId51" Type="http://schemas.openxmlformats.org/officeDocument/2006/relationships/chart" Target="charts/chart39.xml"/><Relationship Id="rId72" Type="http://schemas.openxmlformats.org/officeDocument/2006/relationships/image" Target="media/image1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image" Target="media/image5.emf"/><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image" Target="media/image8.e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3.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52;&#1072;&#1088;&#1080;&#1103;\&#1044;&#1080;&#1089;&#1082;%20Google\&#1040;&#1089;&#1087;&#1080;&#1088;&#1072;&#1085;&#1090;&#1091;&#1088;&#1072;%20(1)\&#1050;&#1085;&#1080;&#1075;&#1072;1.xls" TargetMode="Externa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3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31.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32.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33.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34.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35.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36.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37.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38.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39.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2" Type="http://schemas.openxmlformats.org/officeDocument/2006/relationships/oleObject" Target="file:///C:\Users\&#1052;&#1072;&#1088;&#1080;&#1103;\&#1044;&#1080;&#1089;&#1082;%20Google\&#1040;&#1089;&#1087;&#1080;&#1088;&#1072;&#1085;&#1090;&#1091;&#1088;&#1072;%20(1)\&#1050;&#1085;&#1080;&#1075;&#1072;1.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layout/>
                <c15:showLeaderLines val="0"/>
              </c:ext>
            </c:extLst>
          </c:dLbls>
          <c:cat>
            <c:strRef>
              <c:f>Лист19!$A$11:$A$16</c:f>
              <c:strCache>
                <c:ptCount val="6"/>
                <c:pt idx="0">
                  <c:v>КГ1</c:v>
                </c:pt>
                <c:pt idx="1">
                  <c:v>ОГ1</c:v>
                </c:pt>
                <c:pt idx="2">
                  <c:v>КГ2</c:v>
                </c:pt>
                <c:pt idx="3">
                  <c:v>ОГ2</c:v>
                </c:pt>
                <c:pt idx="4">
                  <c:v>КГ3</c:v>
                </c:pt>
                <c:pt idx="5">
                  <c:v>ОГ3</c:v>
                </c:pt>
              </c:strCache>
            </c:strRef>
          </c:cat>
          <c:val>
            <c:numRef>
              <c:f>Лист19!$B$11:$B$16</c:f>
              <c:numCache>
                <c:formatCode>General</c:formatCode>
                <c:ptCount val="6"/>
                <c:pt idx="0">
                  <c:v>1.6300000000000001</c:v>
                </c:pt>
                <c:pt idx="1">
                  <c:v>3.13</c:v>
                </c:pt>
                <c:pt idx="2">
                  <c:v>1.83</c:v>
                </c:pt>
                <c:pt idx="3">
                  <c:v>2.66</c:v>
                </c:pt>
                <c:pt idx="4">
                  <c:v>1.7200000000000022</c:v>
                </c:pt>
                <c:pt idx="5">
                  <c:v>2.64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62813312"/>
        <c:axId val="62814848"/>
      </c:barChart>
      <c:catAx>
        <c:axId val="628133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14848"/>
        <c:crosses val="autoZero"/>
        <c:auto val="1"/>
        <c:lblAlgn val="ctr"/>
        <c:lblOffset val="100"/>
        <c:noMultiLvlLbl val="1"/>
      </c:catAx>
      <c:valAx>
        <c:axId val="628148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Індекс гігієни </a:t>
                </a:r>
              </a:p>
            </c:rich>
          </c:tx>
          <c:layout>
            <c:manualLayout>
              <c:xMode val="edge"/>
              <c:yMode val="edge"/>
              <c:x val="3.9507320474087892E-2"/>
              <c:y val="0.32022396103308637"/>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1331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864768683274761E-2"/>
          <c:y val="9.1194968553460432E-2"/>
          <c:w val="0.61921708185053359"/>
          <c:h val="0.75786163522013006"/>
        </c:manualLayout>
      </c:layout>
      <c:barChart>
        <c:barDir val="col"/>
        <c:grouping val="clustered"/>
        <c:ser>
          <c:idx val="0"/>
          <c:order val="0"/>
          <c:tx>
            <c:strRef>
              <c:f>Sheet1!$A$2</c:f>
              <c:strCache>
                <c:ptCount val="1"/>
                <c:pt idx="0">
                  <c:v>Здоровий пародонт</c:v>
                </c:pt>
              </c:strCache>
            </c:strRef>
          </c:tx>
          <c:spPr>
            <a:solidFill>
              <a:srgbClr val="339966"/>
            </a:solidFill>
            <a:ln w="12700">
              <a:solidFill>
                <a:srgbClr val="000000"/>
              </a:solidFill>
              <a:prstDash val="solid"/>
            </a:ln>
          </c:spPr>
          <c:dLbls>
            <c:spPr>
              <a:noFill/>
              <a:ln w="25400">
                <a:noFill/>
              </a:ln>
            </c:spPr>
            <c:txPr>
              <a:bodyPr/>
              <a:lstStyle/>
              <a:p>
                <a:pPr>
                  <a:defRPr sz="1475" b="1" i="0" u="none" strike="noStrike" baseline="0">
                    <a:solidFill>
                      <a:srgbClr val="000000"/>
                    </a:solidFill>
                    <a:latin typeface="Calibri"/>
                    <a:ea typeface="Calibri"/>
                    <a:cs typeface="Calibri"/>
                  </a:defRPr>
                </a:pPr>
                <a:endParaRPr lang="ru-RU"/>
              </a:p>
            </c:txPr>
            <c:showVal val="1"/>
          </c:dLbls>
          <c:cat>
            <c:strRef>
              <c:f>Sheet1!$B$1:$B$1</c:f>
              <c:strCache>
                <c:ptCount val="1"/>
                <c:pt idx="0">
                  <c:v>ДВГ</c:v>
                </c:pt>
              </c:strCache>
            </c:strRef>
          </c:cat>
          <c:val>
            <c:numRef>
              <c:f>Sheet1!$B$2:$B$2</c:f>
              <c:numCache>
                <c:formatCode>0%</c:formatCode>
                <c:ptCount val="1"/>
                <c:pt idx="0">
                  <c:v>9.0000000000000024E-2</c:v>
                </c:pt>
              </c:numCache>
            </c:numRef>
          </c:val>
        </c:ser>
        <c:ser>
          <c:idx val="1"/>
          <c:order val="1"/>
          <c:tx>
            <c:strRef>
              <c:f>Sheet1!$A$3</c:f>
              <c:strCache>
                <c:ptCount val="1"/>
                <c:pt idx="0">
                  <c:v>Гіпертрофічний гінгівіт</c:v>
                </c:pt>
              </c:strCache>
            </c:strRef>
          </c:tx>
          <c:spPr>
            <a:solidFill>
              <a:srgbClr val="FFFF00"/>
            </a:solidFill>
            <a:ln w="12700">
              <a:solidFill>
                <a:srgbClr val="000000"/>
              </a:solidFill>
              <a:prstDash val="solid"/>
            </a:ln>
          </c:spPr>
          <c:dLbls>
            <c:spPr>
              <a:noFill/>
              <a:ln w="25400">
                <a:noFill/>
              </a:ln>
            </c:spPr>
            <c:txPr>
              <a:bodyPr/>
              <a:lstStyle/>
              <a:p>
                <a:pPr>
                  <a:defRPr sz="1475" b="1" i="0" u="none" strike="noStrike" baseline="0">
                    <a:solidFill>
                      <a:srgbClr val="000000"/>
                    </a:solidFill>
                    <a:latin typeface="Calibri"/>
                    <a:ea typeface="Calibri"/>
                    <a:cs typeface="Calibri"/>
                  </a:defRPr>
                </a:pPr>
                <a:endParaRPr lang="ru-RU"/>
              </a:p>
            </c:txPr>
            <c:showVal val="1"/>
          </c:dLbls>
          <c:cat>
            <c:strRef>
              <c:f>Sheet1!$B$1:$B$1</c:f>
              <c:strCache>
                <c:ptCount val="1"/>
                <c:pt idx="0">
                  <c:v>ДВГ</c:v>
                </c:pt>
              </c:strCache>
            </c:strRef>
          </c:cat>
          <c:val>
            <c:numRef>
              <c:f>Sheet1!$B$3:$B$3</c:f>
              <c:numCache>
                <c:formatCode>0%</c:formatCode>
                <c:ptCount val="1"/>
                <c:pt idx="0">
                  <c:v>9.0000000000000024E-2</c:v>
                </c:pt>
              </c:numCache>
            </c:numRef>
          </c:val>
        </c:ser>
        <c:ser>
          <c:idx val="2"/>
          <c:order val="2"/>
          <c:tx>
            <c:strRef>
              <c:f>Sheet1!$A$4</c:f>
              <c:strCache>
                <c:ptCount val="1"/>
                <c:pt idx="0">
                  <c:v>Катаральний гінгівіт (легкий)</c:v>
                </c:pt>
              </c:strCache>
            </c:strRef>
          </c:tx>
          <c:spPr>
            <a:solidFill>
              <a:srgbClr val="FF6600"/>
            </a:solidFill>
            <a:ln w="12700">
              <a:solidFill>
                <a:srgbClr val="000000"/>
              </a:solidFill>
              <a:prstDash val="solid"/>
            </a:ln>
          </c:spPr>
          <c:dLbls>
            <c:dLbl>
              <c:idx val="0"/>
              <c:layout>
                <c:manualLayout>
                  <c:x val="-2.331002331002331E-3"/>
                  <c:y val="-8.130081300813009E-3"/>
                </c:manualLayout>
              </c:layout>
              <c:showVal val="1"/>
            </c:dLbl>
            <c:spPr>
              <a:noFill/>
              <a:ln w="25400">
                <a:noFill/>
              </a:ln>
            </c:spPr>
            <c:txPr>
              <a:bodyPr/>
              <a:lstStyle/>
              <a:p>
                <a:pPr>
                  <a:defRPr sz="1475" b="1" i="0" u="none" strike="noStrike" baseline="0">
                    <a:solidFill>
                      <a:srgbClr val="000000"/>
                    </a:solidFill>
                    <a:latin typeface="Calibri"/>
                    <a:ea typeface="Calibri"/>
                    <a:cs typeface="Calibri"/>
                  </a:defRPr>
                </a:pPr>
                <a:endParaRPr lang="ru-RU"/>
              </a:p>
            </c:txPr>
            <c:showVal val="1"/>
          </c:dLbls>
          <c:cat>
            <c:strRef>
              <c:f>Sheet1!$B$1:$B$1</c:f>
              <c:strCache>
                <c:ptCount val="1"/>
                <c:pt idx="0">
                  <c:v>ДВГ</c:v>
                </c:pt>
              </c:strCache>
            </c:strRef>
          </c:cat>
          <c:val>
            <c:numRef>
              <c:f>Sheet1!$B$4:$B$4</c:f>
              <c:numCache>
                <c:formatCode>0%</c:formatCode>
                <c:ptCount val="1"/>
                <c:pt idx="0">
                  <c:v>0.28000000000000008</c:v>
                </c:pt>
              </c:numCache>
            </c:numRef>
          </c:val>
        </c:ser>
        <c:ser>
          <c:idx val="3"/>
          <c:order val="3"/>
          <c:tx>
            <c:strRef>
              <c:f>Sheet1!$A$5</c:f>
              <c:strCache>
                <c:ptCount val="1"/>
                <c:pt idx="0">
                  <c:v>Катаральний гінгівіт (середній)</c:v>
                </c:pt>
              </c:strCache>
            </c:strRef>
          </c:tx>
          <c:spPr>
            <a:solidFill>
              <a:srgbClr val="00CCFF"/>
            </a:solidFill>
            <a:ln w="12700">
              <a:solidFill>
                <a:srgbClr val="000000"/>
              </a:solidFill>
              <a:prstDash val="solid"/>
            </a:ln>
          </c:spPr>
          <c:dLbls>
            <c:dLbl>
              <c:idx val="0"/>
              <c:layout>
                <c:manualLayout>
                  <c:x val="-4.662004662004662E-3"/>
                  <c:y val="-1.2195121951219513E-2"/>
                </c:manualLayout>
              </c:layout>
              <c:showVal val="1"/>
            </c:dLbl>
            <c:spPr>
              <a:noFill/>
              <a:ln w="25400">
                <a:noFill/>
              </a:ln>
            </c:spPr>
            <c:txPr>
              <a:bodyPr/>
              <a:lstStyle/>
              <a:p>
                <a:pPr>
                  <a:defRPr sz="1475" b="1" i="0" u="none" strike="noStrike" baseline="0">
                    <a:solidFill>
                      <a:srgbClr val="000000"/>
                    </a:solidFill>
                    <a:latin typeface="Calibri"/>
                    <a:ea typeface="Calibri"/>
                    <a:cs typeface="Calibri"/>
                  </a:defRPr>
                </a:pPr>
                <a:endParaRPr lang="ru-RU"/>
              </a:p>
            </c:txPr>
            <c:showVal val="1"/>
          </c:dLbls>
          <c:cat>
            <c:strRef>
              <c:f>Sheet1!$B$1:$B$1</c:f>
              <c:strCache>
                <c:ptCount val="1"/>
                <c:pt idx="0">
                  <c:v>ДВГ</c:v>
                </c:pt>
              </c:strCache>
            </c:strRef>
          </c:cat>
          <c:val>
            <c:numRef>
              <c:f>Sheet1!$B$5:$B$5</c:f>
              <c:numCache>
                <c:formatCode>0%</c:formatCode>
                <c:ptCount val="1"/>
                <c:pt idx="0">
                  <c:v>0.43000000000000038</c:v>
                </c:pt>
              </c:numCache>
            </c:numRef>
          </c:val>
        </c:ser>
        <c:ser>
          <c:idx val="4"/>
          <c:order val="4"/>
          <c:tx>
            <c:strRef>
              <c:f>Sheet1!$A$6</c:f>
              <c:strCache>
                <c:ptCount val="1"/>
                <c:pt idx="0">
                  <c:v>Катаральний гінгівіт (важкий)</c:v>
                </c:pt>
              </c:strCache>
            </c:strRef>
          </c:tx>
          <c:spPr>
            <a:solidFill>
              <a:srgbClr val="FF0000"/>
            </a:solidFill>
            <a:ln w="12700">
              <a:solidFill>
                <a:srgbClr val="000000"/>
              </a:solidFill>
              <a:prstDash val="solid"/>
            </a:ln>
          </c:spPr>
          <c:dLbls>
            <c:dLbl>
              <c:idx val="0"/>
              <c:layout>
                <c:manualLayout>
                  <c:x val="0"/>
                  <c:y val="2.4390243902439025E-2"/>
                </c:manualLayout>
              </c:layout>
              <c:showVal val="1"/>
            </c:dLbl>
            <c:spPr>
              <a:noFill/>
              <a:ln w="25400">
                <a:noFill/>
              </a:ln>
            </c:spPr>
            <c:txPr>
              <a:bodyPr/>
              <a:lstStyle/>
              <a:p>
                <a:pPr>
                  <a:defRPr sz="1475" b="1" i="0" u="none" strike="noStrike" baseline="0">
                    <a:solidFill>
                      <a:srgbClr val="000000"/>
                    </a:solidFill>
                    <a:latin typeface="Calibri"/>
                    <a:ea typeface="Calibri"/>
                    <a:cs typeface="Calibri"/>
                  </a:defRPr>
                </a:pPr>
                <a:endParaRPr lang="ru-RU"/>
              </a:p>
            </c:txPr>
            <c:showVal val="1"/>
          </c:dLbls>
          <c:cat>
            <c:strRef>
              <c:f>Sheet1!$B$1:$B$1</c:f>
              <c:strCache>
                <c:ptCount val="1"/>
                <c:pt idx="0">
                  <c:v>ДВГ</c:v>
                </c:pt>
              </c:strCache>
            </c:strRef>
          </c:cat>
          <c:val>
            <c:numRef>
              <c:f>Sheet1!$B$6:$B$6</c:f>
              <c:numCache>
                <c:formatCode>0%</c:formatCode>
                <c:ptCount val="1"/>
                <c:pt idx="0">
                  <c:v>0.11</c:v>
                </c:pt>
              </c:numCache>
            </c:numRef>
          </c:val>
        </c:ser>
        <c:dLbls>
          <c:showVal val="1"/>
        </c:dLbls>
        <c:axId val="86508288"/>
        <c:axId val="86509824"/>
      </c:barChart>
      <c:catAx>
        <c:axId val="86508288"/>
        <c:scaling>
          <c:orientation val="minMax"/>
        </c:scaling>
        <c:axPos val="b"/>
        <c:numFmt formatCode="General" sourceLinked="1"/>
        <c:minorTickMark val="in"/>
        <c:tickLblPos val="nextTo"/>
        <c:spPr>
          <a:ln w="3175">
            <a:solidFill>
              <a:srgbClr val="000000"/>
            </a:solidFill>
            <a:prstDash val="solid"/>
          </a:ln>
        </c:spPr>
        <c:txPr>
          <a:bodyPr rot="0" vert="horz"/>
          <a:lstStyle/>
          <a:p>
            <a:pPr>
              <a:defRPr sz="1475" b="1" i="0" u="none" strike="noStrike" baseline="0">
                <a:solidFill>
                  <a:srgbClr val="000000"/>
                </a:solidFill>
                <a:latin typeface="Times New Roman"/>
                <a:ea typeface="Times New Roman"/>
                <a:cs typeface="Times New Roman"/>
              </a:defRPr>
            </a:pPr>
            <a:endParaRPr lang="ru-RU"/>
          </a:p>
        </c:txPr>
        <c:crossAx val="86509824"/>
        <c:crosses val="autoZero"/>
        <c:auto val="1"/>
        <c:lblAlgn val="ctr"/>
        <c:lblOffset val="100"/>
        <c:tickLblSkip val="1"/>
        <c:tickMarkSkip val="1"/>
      </c:catAx>
      <c:valAx>
        <c:axId val="865098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86508288"/>
        <c:crosses val="autoZero"/>
        <c:crossBetween val="between"/>
      </c:valAx>
      <c:spPr>
        <a:solidFill>
          <a:srgbClr val="FFFFFF"/>
        </a:solidFill>
        <a:ln w="3175">
          <a:solidFill>
            <a:srgbClr val="000000"/>
          </a:solidFill>
          <a:prstDash val="solid"/>
        </a:ln>
      </c:spPr>
    </c:plotArea>
    <c:legend>
      <c:legendPos val="r"/>
      <c:layout>
        <c:manualLayout>
          <c:xMode val="edge"/>
          <c:yMode val="edge"/>
          <c:x val="0.7351076482572545"/>
          <c:y val="0.12379201075475363"/>
          <c:w val="0.23925132610171981"/>
          <c:h val="0.67924528301887543"/>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8360655737704944E-2"/>
          <c:y val="7.0707070707070704E-2"/>
          <c:w val="0.63570127504554252"/>
          <c:h val="0.79797979797980123"/>
        </c:manualLayout>
      </c:layout>
      <c:barChart>
        <c:barDir val="col"/>
        <c:grouping val="clustered"/>
        <c:ser>
          <c:idx val="0"/>
          <c:order val="0"/>
          <c:tx>
            <c:strRef>
              <c:f>Sheet1!$A$2</c:f>
              <c:strCache>
                <c:ptCount val="1"/>
                <c:pt idx="0">
                  <c:v>Здоровий пародонт</c:v>
                </c:pt>
              </c:strCache>
            </c:strRef>
          </c:tx>
          <c:spPr>
            <a:solidFill>
              <a:srgbClr val="339966"/>
            </a:solidFill>
            <a:ln w="12659">
              <a:solidFill>
                <a:srgbClr val="000000"/>
              </a:solidFill>
              <a:prstDash val="solid"/>
            </a:ln>
          </c:spPr>
          <c:dLbls>
            <c:dLbl>
              <c:idx val="0"/>
              <c:layout>
                <c:manualLayout>
                  <c:x val="2.6555131003064623E-3"/>
                  <c:y val="2.2083643287904714E-2"/>
                </c:manualLayout>
              </c:layout>
              <c:dLblPos val="outEnd"/>
              <c:showVal val="1"/>
            </c:dLbl>
            <c:spPr>
              <a:noFill/>
              <a:ln w="25317">
                <a:noFill/>
              </a:ln>
            </c:spPr>
            <c:txPr>
              <a:bodyPr/>
              <a:lstStyle/>
              <a:p>
                <a:pPr>
                  <a:defRPr sz="1480" b="1" i="0" u="none" strike="noStrike" baseline="0">
                    <a:solidFill>
                      <a:srgbClr val="000000"/>
                    </a:solidFill>
                    <a:latin typeface="Calibri"/>
                    <a:ea typeface="Calibri"/>
                    <a:cs typeface="Calibri"/>
                  </a:defRPr>
                </a:pPr>
                <a:endParaRPr lang="ru-RU"/>
              </a:p>
            </c:txPr>
            <c:showVal val="1"/>
          </c:dLbls>
          <c:cat>
            <c:strRef>
              <c:f>Sheet1!$B$1:$B$1</c:f>
              <c:strCache>
                <c:ptCount val="1"/>
                <c:pt idx="0">
                  <c:v>ДНС</c:v>
                </c:pt>
              </c:strCache>
            </c:strRef>
          </c:cat>
          <c:val>
            <c:numRef>
              <c:f>Sheet1!$B$2:$B$2</c:f>
              <c:numCache>
                <c:formatCode>0%</c:formatCode>
                <c:ptCount val="1"/>
                <c:pt idx="0">
                  <c:v>0.22</c:v>
                </c:pt>
              </c:numCache>
            </c:numRef>
          </c:val>
        </c:ser>
        <c:ser>
          <c:idx val="1"/>
          <c:order val="1"/>
          <c:tx>
            <c:strRef>
              <c:f>Sheet1!$A$3</c:f>
              <c:strCache>
                <c:ptCount val="1"/>
                <c:pt idx="0">
                  <c:v>Гіпертрофічний гінгівіт</c:v>
                </c:pt>
              </c:strCache>
            </c:strRef>
          </c:tx>
          <c:spPr>
            <a:solidFill>
              <a:srgbClr val="FFFF00"/>
            </a:solidFill>
            <a:ln w="12659">
              <a:solidFill>
                <a:srgbClr val="000000"/>
              </a:solidFill>
              <a:prstDash val="solid"/>
            </a:ln>
          </c:spPr>
          <c:dLbls>
            <c:dLbl>
              <c:idx val="0"/>
              <c:layout>
                <c:manualLayout>
                  <c:x val="5.0961929415705032E-3"/>
                  <c:y val="-5.2663893840364413E-2"/>
                </c:manualLayout>
              </c:layout>
              <c:dLblPos val="outEnd"/>
              <c:showVal val="1"/>
            </c:dLbl>
            <c:spPr>
              <a:noFill/>
              <a:ln w="25317">
                <a:noFill/>
              </a:ln>
            </c:spPr>
            <c:txPr>
              <a:bodyPr/>
              <a:lstStyle/>
              <a:p>
                <a:pPr>
                  <a:defRPr sz="1480" b="1" i="0" u="none" strike="noStrike" baseline="0">
                    <a:solidFill>
                      <a:srgbClr val="000000"/>
                    </a:solidFill>
                    <a:latin typeface="Calibri"/>
                    <a:ea typeface="Calibri"/>
                    <a:cs typeface="Calibri"/>
                  </a:defRPr>
                </a:pPr>
                <a:endParaRPr lang="ru-RU"/>
              </a:p>
            </c:txPr>
            <c:showVal val="1"/>
          </c:dLbls>
          <c:cat>
            <c:strRef>
              <c:f>Sheet1!$B$1:$B$1</c:f>
              <c:strCache>
                <c:ptCount val="1"/>
                <c:pt idx="0">
                  <c:v>ДНС</c:v>
                </c:pt>
              </c:strCache>
            </c:strRef>
          </c:cat>
          <c:val>
            <c:numRef>
              <c:f>Sheet1!$B$3:$B$3</c:f>
              <c:numCache>
                <c:formatCode>0%</c:formatCode>
                <c:ptCount val="1"/>
                <c:pt idx="0">
                  <c:v>6.0000000000000032E-2</c:v>
                </c:pt>
              </c:numCache>
            </c:numRef>
          </c:val>
        </c:ser>
        <c:ser>
          <c:idx val="2"/>
          <c:order val="2"/>
          <c:tx>
            <c:strRef>
              <c:f>Sheet1!$A$4</c:f>
              <c:strCache>
                <c:ptCount val="1"/>
                <c:pt idx="0">
                  <c:v>Катаральний гінгівіт (легкий)</c:v>
                </c:pt>
              </c:strCache>
            </c:strRef>
          </c:tx>
          <c:spPr>
            <a:solidFill>
              <a:srgbClr val="FF6600"/>
            </a:solidFill>
            <a:ln w="12659">
              <a:solidFill>
                <a:srgbClr val="000000"/>
              </a:solidFill>
              <a:prstDash val="solid"/>
            </a:ln>
          </c:spPr>
          <c:dLbls>
            <c:dLbl>
              <c:idx val="0"/>
              <c:layout>
                <c:manualLayout>
                  <c:x val="5.5978129863595398E-3"/>
                  <c:y val="3.0332879513055671E-2"/>
                </c:manualLayout>
              </c:layout>
              <c:dLblPos val="outEnd"/>
              <c:showVal val="1"/>
            </c:dLbl>
            <c:spPr>
              <a:noFill/>
              <a:ln w="25317">
                <a:noFill/>
              </a:ln>
            </c:spPr>
            <c:txPr>
              <a:bodyPr/>
              <a:lstStyle/>
              <a:p>
                <a:pPr>
                  <a:defRPr sz="1480" b="1" i="0" u="none" strike="noStrike" baseline="0">
                    <a:solidFill>
                      <a:srgbClr val="000000"/>
                    </a:solidFill>
                    <a:latin typeface="Calibri"/>
                    <a:ea typeface="Calibri"/>
                    <a:cs typeface="Calibri"/>
                  </a:defRPr>
                </a:pPr>
                <a:endParaRPr lang="ru-RU"/>
              </a:p>
            </c:txPr>
            <c:showVal val="1"/>
          </c:dLbls>
          <c:cat>
            <c:strRef>
              <c:f>Sheet1!$B$1:$B$1</c:f>
              <c:strCache>
                <c:ptCount val="1"/>
                <c:pt idx="0">
                  <c:v>ДНС</c:v>
                </c:pt>
              </c:strCache>
            </c:strRef>
          </c:cat>
          <c:val>
            <c:numRef>
              <c:f>Sheet1!$B$4:$B$4</c:f>
              <c:numCache>
                <c:formatCode>0%</c:formatCode>
                <c:ptCount val="1"/>
                <c:pt idx="0">
                  <c:v>0.53</c:v>
                </c:pt>
              </c:numCache>
            </c:numRef>
          </c:val>
        </c:ser>
        <c:ser>
          <c:idx val="3"/>
          <c:order val="3"/>
          <c:tx>
            <c:strRef>
              <c:f>Sheet1!$A$5</c:f>
              <c:strCache>
                <c:ptCount val="1"/>
                <c:pt idx="0">
                  <c:v>Катаральний гінгівіт (середній)</c:v>
                </c:pt>
              </c:strCache>
            </c:strRef>
          </c:tx>
          <c:spPr>
            <a:solidFill>
              <a:srgbClr val="00CCFF"/>
            </a:solidFill>
            <a:ln w="12659">
              <a:solidFill>
                <a:srgbClr val="000000"/>
              </a:solidFill>
              <a:prstDash val="solid"/>
            </a:ln>
          </c:spPr>
          <c:dLbls>
            <c:spPr>
              <a:noFill/>
              <a:ln w="25317">
                <a:noFill/>
              </a:ln>
            </c:spPr>
            <c:txPr>
              <a:bodyPr/>
              <a:lstStyle/>
              <a:p>
                <a:pPr>
                  <a:defRPr sz="1480" b="1" i="0" u="none" strike="noStrike" baseline="0">
                    <a:solidFill>
                      <a:srgbClr val="000000"/>
                    </a:solidFill>
                    <a:latin typeface="Calibri"/>
                    <a:ea typeface="Calibri"/>
                    <a:cs typeface="Calibri"/>
                  </a:defRPr>
                </a:pPr>
                <a:endParaRPr lang="ru-RU"/>
              </a:p>
            </c:txPr>
            <c:showVal val="1"/>
          </c:dLbls>
          <c:cat>
            <c:strRef>
              <c:f>Sheet1!$B$1:$B$1</c:f>
              <c:strCache>
                <c:ptCount val="1"/>
                <c:pt idx="0">
                  <c:v>ДНС</c:v>
                </c:pt>
              </c:strCache>
            </c:strRef>
          </c:cat>
          <c:val>
            <c:numRef>
              <c:f>Sheet1!$B$5:$B$5</c:f>
              <c:numCache>
                <c:formatCode>0%</c:formatCode>
                <c:ptCount val="1"/>
                <c:pt idx="0">
                  <c:v>0.19</c:v>
                </c:pt>
              </c:numCache>
            </c:numRef>
          </c:val>
        </c:ser>
        <c:ser>
          <c:idx val="4"/>
          <c:order val="4"/>
          <c:tx>
            <c:strRef>
              <c:f>Sheet1!$A$6</c:f>
              <c:strCache>
                <c:ptCount val="1"/>
                <c:pt idx="0">
                  <c:v>Катаральний гінгівіт (важкий)</c:v>
                </c:pt>
              </c:strCache>
            </c:strRef>
          </c:tx>
          <c:spPr>
            <a:solidFill>
              <a:srgbClr val="660066"/>
            </a:solidFill>
            <a:ln w="12659">
              <a:solidFill>
                <a:srgbClr val="000000"/>
              </a:solidFill>
              <a:prstDash val="solid"/>
            </a:ln>
          </c:spPr>
          <c:dLbls>
            <c:spPr>
              <a:noFill/>
              <a:ln w="25317">
                <a:noFill/>
              </a:ln>
            </c:spPr>
            <c:txPr>
              <a:bodyPr/>
              <a:lstStyle/>
              <a:p>
                <a:pPr>
                  <a:defRPr sz="1480" b="1" i="0" u="none" strike="noStrike" baseline="0">
                    <a:solidFill>
                      <a:srgbClr val="000000"/>
                    </a:solidFill>
                    <a:latin typeface="Calibri"/>
                    <a:ea typeface="Calibri"/>
                    <a:cs typeface="Calibri"/>
                  </a:defRPr>
                </a:pPr>
                <a:endParaRPr lang="ru-RU"/>
              </a:p>
            </c:txPr>
            <c:showVal val="1"/>
          </c:dLbls>
          <c:cat>
            <c:strRef>
              <c:f>Sheet1!$B$1:$B$1</c:f>
              <c:strCache>
                <c:ptCount val="1"/>
                <c:pt idx="0">
                  <c:v>ДНС</c:v>
                </c:pt>
              </c:strCache>
            </c:strRef>
          </c:cat>
          <c:val>
            <c:numRef>
              <c:f>Sheet1!$B$6:$B$6</c:f>
              <c:numCache>
                <c:formatCode>0%</c:formatCode>
                <c:ptCount val="1"/>
                <c:pt idx="0">
                  <c:v>0</c:v>
                </c:pt>
              </c:numCache>
            </c:numRef>
          </c:val>
        </c:ser>
        <c:dLbls>
          <c:showVal val="1"/>
        </c:dLbls>
        <c:axId val="85027456"/>
        <c:axId val="86364544"/>
      </c:barChart>
      <c:catAx>
        <c:axId val="85027456"/>
        <c:scaling>
          <c:orientation val="minMax"/>
        </c:scaling>
        <c:axPos val="b"/>
        <c:numFmt formatCode="General" sourceLinked="1"/>
        <c:minorTickMark val="in"/>
        <c:tickLblPos val="nextTo"/>
        <c:spPr>
          <a:ln w="3165">
            <a:solidFill>
              <a:srgbClr val="000000"/>
            </a:solidFill>
            <a:prstDash val="solid"/>
          </a:ln>
        </c:spPr>
        <c:txPr>
          <a:bodyPr rot="0" vert="horz"/>
          <a:lstStyle/>
          <a:p>
            <a:pPr>
              <a:defRPr sz="1196" b="1" i="0" u="none" strike="noStrike" baseline="0">
                <a:solidFill>
                  <a:srgbClr val="000000"/>
                </a:solidFill>
                <a:latin typeface="Times New Roman"/>
                <a:ea typeface="Times New Roman"/>
                <a:cs typeface="Times New Roman"/>
              </a:defRPr>
            </a:pPr>
            <a:endParaRPr lang="ru-RU"/>
          </a:p>
        </c:txPr>
        <c:crossAx val="86364544"/>
        <c:crosses val="autoZero"/>
        <c:auto val="1"/>
        <c:lblAlgn val="ctr"/>
        <c:lblOffset val="100"/>
        <c:tickLblSkip val="1"/>
        <c:tickMarkSkip val="1"/>
      </c:catAx>
      <c:valAx>
        <c:axId val="86364544"/>
        <c:scaling>
          <c:orientation val="minMax"/>
        </c:scaling>
        <c:axPos val="l"/>
        <c:majorGridlines>
          <c:spPr>
            <a:ln w="3165">
              <a:solidFill>
                <a:srgbClr val="000000"/>
              </a:solidFill>
              <a:prstDash val="solid"/>
            </a:ln>
          </c:spPr>
        </c:majorGridlines>
        <c:numFmt formatCode="0%" sourceLinked="1"/>
        <c:tickLblPos val="nextTo"/>
        <c:spPr>
          <a:ln w="3165">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85027456"/>
        <c:crosses val="autoZero"/>
        <c:crossBetween val="between"/>
      </c:valAx>
      <c:spPr>
        <a:solidFill>
          <a:srgbClr val="FFFFFF"/>
        </a:solidFill>
        <a:ln w="3165">
          <a:solidFill>
            <a:srgbClr val="000000"/>
          </a:solidFill>
          <a:prstDash val="solid"/>
        </a:ln>
      </c:spPr>
    </c:plotArea>
    <c:legend>
      <c:legendPos val="r"/>
      <c:layout>
        <c:manualLayout>
          <c:xMode val="edge"/>
          <c:yMode val="edge"/>
          <c:x val="0.75097338235225053"/>
          <c:y val="4.4365189645412022E-2"/>
          <c:w val="0.22755971245991388"/>
          <c:h val="0.8417508105604492"/>
        </c:manualLayout>
      </c:layout>
      <c:spPr>
        <a:noFill/>
        <a:ln w="25317">
          <a:noFill/>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layout>
                <c:manualLayout>
                  <c:x val="-1.5475883415011623E-2"/>
                  <c:y val="-9.114154386054767E-17"/>
                </c:manualLayout>
              </c:layout>
              <c:tx>
                <c:rich>
                  <a:bodyPr/>
                  <a:lstStyle/>
                  <a:p>
                    <a:r>
                      <a:rPr lang="en-US" baseline="0"/>
                      <a:t> </a:t>
                    </a:r>
                    <a:r>
                      <a:rPr lang="uk-UA" baseline="0"/>
                      <a:t>9,8</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1"/>
              <c:layout>
                <c:manualLayout>
                  <c:x val="-1.0317255610007741E-2"/>
                  <c:y val="0"/>
                </c:manualLayout>
              </c:layout>
              <c:tx>
                <c:rich>
                  <a:bodyPr/>
                  <a:lstStyle/>
                  <a:p>
                    <a:r>
                      <a:rPr lang="en-US" baseline="0"/>
                      <a:t> </a:t>
                    </a:r>
                    <a:r>
                      <a:rPr lang="uk-UA" baseline="0"/>
                      <a:t>33,35</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2"/>
              <c:layout>
                <c:manualLayout>
                  <c:x val="-1.5475883415011661E-2"/>
                  <c:y val="-9.114154386054767E-17"/>
                </c:manualLayout>
              </c:layout>
              <c:tx>
                <c:rich>
                  <a:bodyPr/>
                  <a:lstStyle/>
                  <a:p>
                    <a:r>
                      <a:rPr lang="uk-UA" baseline="0"/>
                      <a:t>11,7</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3"/>
              <c:layout>
                <c:manualLayout>
                  <c:x val="-1.2896569512509675E-2"/>
                  <c:y val="0"/>
                </c:manualLayout>
              </c:layout>
              <c:tx>
                <c:rich>
                  <a:bodyPr/>
                  <a:lstStyle/>
                  <a:p>
                    <a:r>
                      <a:rPr lang="uk-UA" baseline="0"/>
                      <a:t>24,71</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4"/>
              <c:layout>
                <c:manualLayout>
                  <c:x val="-1.5475883415011623E-2"/>
                  <c:y val="-9.9428287347750523E-3"/>
                </c:manualLayout>
              </c:layout>
              <c:tx>
                <c:rich>
                  <a:bodyPr/>
                  <a:lstStyle/>
                  <a:p>
                    <a:r>
                      <a:rPr lang="uk-UA" baseline="0"/>
                      <a:t>7,67</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5"/>
              <c:layout>
                <c:manualLayout>
                  <c:x val="-1.2896569512509861E-2"/>
                  <c:y val="-4.9714143673876129E-3"/>
                </c:manualLayout>
              </c:layout>
              <c:tx>
                <c:rich>
                  <a:bodyPr/>
                  <a:lstStyle/>
                  <a:p>
                    <a:r>
                      <a:rPr lang="en-US" baseline="0"/>
                      <a:t> </a:t>
                    </a:r>
                    <a:r>
                      <a:rPr lang="uk-UA" baseline="0"/>
                      <a:t>14,76</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Лист21!$A$10:$A$15</c:f>
              <c:strCache>
                <c:ptCount val="6"/>
                <c:pt idx="0">
                  <c:v>КГ1</c:v>
                </c:pt>
                <c:pt idx="1">
                  <c:v>ОГ1</c:v>
                </c:pt>
                <c:pt idx="2">
                  <c:v>КГ2</c:v>
                </c:pt>
                <c:pt idx="3">
                  <c:v>ОГ2</c:v>
                </c:pt>
                <c:pt idx="4">
                  <c:v>КГ3</c:v>
                </c:pt>
                <c:pt idx="5">
                  <c:v>ОГ3</c:v>
                </c:pt>
              </c:strCache>
            </c:strRef>
          </c:cat>
          <c:val>
            <c:numRef>
              <c:f>Лист21!$B$10:$B$15</c:f>
              <c:numCache>
                <c:formatCode>General</c:formatCode>
                <c:ptCount val="6"/>
                <c:pt idx="0">
                  <c:v>9.8000000000000007</c:v>
                </c:pt>
                <c:pt idx="1">
                  <c:v>33.349999999999994</c:v>
                </c:pt>
                <c:pt idx="2">
                  <c:v>11.7</c:v>
                </c:pt>
                <c:pt idx="3">
                  <c:v>24.71</c:v>
                </c:pt>
                <c:pt idx="4">
                  <c:v>7.67</c:v>
                </c:pt>
                <c:pt idx="5">
                  <c:v>14.76</c:v>
                </c:pt>
              </c:numCache>
            </c:numRef>
          </c:val>
        </c:ser>
        <c:dLbls>
          <c:showLegendKey val="1"/>
          <c:showVal val="1"/>
          <c:showCatName val="1"/>
          <c:showSerName val="1"/>
          <c:showPercent val="1"/>
          <c:showBubbleSize val="1"/>
        </c:dLbls>
        <c:gapWidth val="100"/>
        <c:overlap val="-24"/>
        <c:axId val="89487616"/>
        <c:axId val="89518080"/>
      </c:barChart>
      <c:catAx>
        <c:axId val="894876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18080"/>
        <c:crosses val="autoZero"/>
        <c:auto val="1"/>
        <c:lblAlgn val="ctr"/>
        <c:lblOffset val="100"/>
        <c:noMultiLvlLbl val="1"/>
      </c:catAx>
      <c:valAx>
        <c:axId val="895180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a:t>
                </a:r>
              </a:p>
            </c:rich>
          </c:tx>
          <c:layout>
            <c:manualLayout>
              <c:xMode val="edge"/>
              <c:yMode val="edge"/>
              <c:x val="4.3848336342532893E-2"/>
              <c:y val="0.43876881161667086"/>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48761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layout>
                <c:manualLayout>
                  <c:x val="-1.8055197317513545E-2"/>
                  <c:y val="-4.5570771930274131E-17"/>
                </c:manualLayout>
              </c:layout>
              <c:tx>
                <c:rich>
                  <a:bodyPr/>
                  <a:lstStyle/>
                  <a:p>
                    <a:r>
                      <a:rPr lang="en-US" baseline="0"/>
                      <a:t> </a:t>
                    </a:r>
                    <a:r>
                      <a:rPr lang="uk-UA" baseline="0"/>
                      <a:t>1,08</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1"/>
              <c:layout>
                <c:manualLayout>
                  <c:x val="-2.5920689214528378E-2"/>
                  <c:y val="0"/>
                </c:manualLayout>
              </c:layout>
              <c:tx>
                <c:rich>
                  <a:bodyPr/>
                  <a:lstStyle/>
                  <a:p>
                    <a:r>
                      <a:rPr lang="en-US" baseline="0"/>
                      <a:t> </a:t>
                    </a:r>
                    <a:r>
                      <a:rPr lang="uk-UA" baseline="0"/>
                      <a:t>1,8</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2"/>
              <c:layout>
                <c:manualLayout>
                  <c:x val="-1.5475883415011661E-2"/>
                  <c:y val="0"/>
                </c:manualLayout>
              </c:layout>
              <c:tx>
                <c:rich>
                  <a:bodyPr/>
                  <a:lstStyle/>
                  <a:p>
                    <a:r>
                      <a:rPr lang="uk-UA" baseline="0"/>
                      <a:t>1,23</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3"/>
              <c:layout>
                <c:manualLayout>
                  <c:x val="-1.5475883415011623E-2"/>
                  <c:y val="-1.1392692982568466E-17"/>
                </c:manualLayout>
              </c:layout>
              <c:tx>
                <c:rich>
                  <a:bodyPr/>
                  <a:lstStyle/>
                  <a:p>
                    <a:r>
                      <a:rPr lang="en-US" baseline="0"/>
                      <a:t> </a:t>
                    </a:r>
                    <a:r>
                      <a:rPr lang="uk-UA" baseline="0"/>
                      <a:t>1,71</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4"/>
              <c:layout>
                <c:manualLayout>
                  <c:x val="-1.5475883415011701E-2"/>
                  <c:y val="0"/>
                </c:manualLayout>
              </c:layout>
              <c:tx>
                <c:rich>
                  <a:bodyPr/>
                  <a:lstStyle/>
                  <a:p>
                    <a:r>
                      <a:rPr lang="uk-UA" baseline="0"/>
                      <a:t>1,19</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5"/>
              <c:layout>
                <c:manualLayout>
                  <c:x val="-1.5475883415011623E-2"/>
                  <c:y val="0"/>
                </c:manualLayout>
              </c:layout>
              <c:tx>
                <c:rich>
                  <a:bodyPr/>
                  <a:lstStyle/>
                  <a:p>
                    <a:r>
                      <a:rPr lang="en-US" baseline="0"/>
                      <a:t> </a:t>
                    </a:r>
                    <a:r>
                      <a:rPr lang="uk-UA" baseline="0"/>
                      <a:t>1,65</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Лист22!$A$11:$A$16</c:f>
              <c:strCache>
                <c:ptCount val="6"/>
                <c:pt idx="0">
                  <c:v>КГ1</c:v>
                </c:pt>
                <c:pt idx="1">
                  <c:v>ОГ1</c:v>
                </c:pt>
                <c:pt idx="2">
                  <c:v>КГ2</c:v>
                </c:pt>
                <c:pt idx="3">
                  <c:v>ОГ2</c:v>
                </c:pt>
                <c:pt idx="4">
                  <c:v>КГ3</c:v>
                </c:pt>
                <c:pt idx="5">
                  <c:v>ОГ3</c:v>
                </c:pt>
              </c:strCache>
            </c:strRef>
          </c:cat>
          <c:val>
            <c:numRef>
              <c:f>Лист22!$B$11:$B$16</c:f>
              <c:numCache>
                <c:formatCode>General</c:formatCode>
                <c:ptCount val="6"/>
                <c:pt idx="0">
                  <c:v>1.08</c:v>
                </c:pt>
                <c:pt idx="1">
                  <c:v>1.8</c:v>
                </c:pt>
                <c:pt idx="2">
                  <c:v>1.23</c:v>
                </c:pt>
                <c:pt idx="3">
                  <c:v>1.71</c:v>
                </c:pt>
                <c:pt idx="4">
                  <c:v>1.1900000000000135</c:v>
                </c:pt>
                <c:pt idx="5">
                  <c:v>1.6500000000000001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90626304"/>
        <c:axId val="90722304"/>
      </c:barChart>
      <c:catAx>
        <c:axId val="906263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722304"/>
        <c:crosses val="autoZero"/>
        <c:auto val="1"/>
        <c:lblAlgn val="ctr"/>
        <c:lblOffset val="100"/>
        <c:noMultiLvlLbl val="1"/>
      </c:catAx>
      <c:valAx>
        <c:axId val="907223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a:t>
                </a:r>
              </a:p>
            </c:rich>
          </c:tx>
          <c:layout>
            <c:manualLayout>
              <c:xMode val="edge"/>
              <c:yMode val="edge"/>
              <c:x val="3.6110394635027084E-2"/>
              <c:y val="0.43876881161667086"/>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62630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718011937958985E-2"/>
          <c:y val="5.4685558041262725E-2"/>
          <c:w val="0.90401296562200706"/>
          <c:h val="0.82998624053425052"/>
        </c:manualLayout>
      </c:layout>
      <c:barChart>
        <c:barDir val="col"/>
        <c:grouping val="clustered"/>
        <c:varyColors val="1"/>
        <c:ser>
          <c:idx val="0"/>
          <c:order val="0"/>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layout>
                <c:manualLayout>
                  <c:x val="-1.5475883415011623E-2"/>
                  <c:y val="-4.5570771930274131E-17"/>
                </c:manualLayout>
              </c:layout>
              <c:tx>
                <c:rich>
                  <a:bodyPr/>
                  <a:lstStyle/>
                  <a:p>
                    <a:r>
                      <a:rPr lang="uk-UA" baseline="0"/>
                      <a:t>7,04</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1"/>
              <c:layout>
                <c:manualLayout>
                  <c:x val="-1.5475883415011623E-2"/>
                  <c:y val="0"/>
                </c:manualLayout>
              </c:layout>
              <c:tx>
                <c:rich>
                  <a:bodyPr/>
                  <a:lstStyle/>
                  <a:p>
                    <a:r>
                      <a:rPr lang="en-US" baseline="0"/>
                      <a:t> </a:t>
                    </a:r>
                    <a:r>
                      <a:rPr lang="uk-UA" baseline="0"/>
                      <a:t>7,2</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2"/>
              <c:layout>
                <c:manualLayout>
                  <c:x val="-1.5475883415011661E-2"/>
                  <c:y val="0"/>
                </c:manualLayout>
              </c:layout>
              <c:tx>
                <c:rich>
                  <a:bodyPr/>
                  <a:lstStyle/>
                  <a:p>
                    <a:r>
                      <a:rPr lang="en-US" baseline="0"/>
                      <a:t> </a:t>
                    </a:r>
                    <a:r>
                      <a:rPr lang="uk-UA" baseline="0"/>
                      <a:t>6,99</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3"/>
              <c:layout>
                <c:manualLayout>
                  <c:x val="-1.5475883415011623E-2"/>
                  <c:y val="0"/>
                </c:manualLayout>
              </c:layout>
              <c:tx>
                <c:rich>
                  <a:bodyPr/>
                  <a:lstStyle/>
                  <a:p>
                    <a:r>
                      <a:rPr lang="uk-UA" baseline="0"/>
                      <a:t>7,06</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4"/>
              <c:layout>
                <c:manualLayout>
                  <c:x val="-1.5475883415011701E-2"/>
                  <c:y val="-9.114154386054767E-17"/>
                </c:manualLayout>
              </c:layout>
              <c:tx>
                <c:rich>
                  <a:bodyPr/>
                  <a:lstStyle/>
                  <a:p>
                    <a:r>
                      <a:rPr lang="uk-UA" baseline="0"/>
                      <a:t>6,83</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5"/>
              <c:layout>
                <c:manualLayout>
                  <c:x val="-2.0634511220015611E-2"/>
                  <c:y val="0"/>
                </c:manualLayout>
              </c:layout>
              <c:tx>
                <c:rich>
                  <a:bodyPr/>
                  <a:lstStyle/>
                  <a:p>
                    <a:r>
                      <a:rPr lang="en-US" baseline="0"/>
                      <a:t> </a:t>
                    </a:r>
                    <a:r>
                      <a:rPr lang="uk-UA" baseline="0"/>
                      <a:t>6,91</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Лист23!$A$8:$A$13</c:f>
              <c:strCache>
                <c:ptCount val="6"/>
                <c:pt idx="0">
                  <c:v>КГ1</c:v>
                </c:pt>
                <c:pt idx="1">
                  <c:v>ОГ1</c:v>
                </c:pt>
                <c:pt idx="2">
                  <c:v>КГ2</c:v>
                </c:pt>
                <c:pt idx="3">
                  <c:v>ОГ2</c:v>
                </c:pt>
                <c:pt idx="4">
                  <c:v>КГ3</c:v>
                </c:pt>
                <c:pt idx="5">
                  <c:v>ОГ3</c:v>
                </c:pt>
              </c:strCache>
            </c:strRef>
          </c:cat>
          <c:val>
            <c:numRef>
              <c:f>Лист23!$B$8:$B$13</c:f>
              <c:numCache>
                <c:formatCode>General</c:formatCode>
                <c:ptCount val="6"/>
                <c:pt idx="0">
                  <c:v>7.04</c:v>
                </c:pt>
                <c:pt idx="1">
                  <c:v>7.2</c:v>
                </c:pt>
                <c:pt idx="2">
                  <c:v>6.99</c:v>
                </c:pt>
                <c:pt idx="3">
                  <c:v>7.06</c:v>
                </c:pt>
                <c:pt idx="4">
                  <c:v>6.83</c:v>
                </c:pt>
                <c:pt idx="5">
                  <c:v>6.91</c:v>
                </c:pt>
              </c:numCache>
            </c:numRef>
          </c:val>
        </c:ser>
        <c:dLbls>
          <c:showLegendKey val="1"/>
          <c:showVal val="1"/>
          <c:showCatName val="1"/>
          <c:showSerName val="1"/>
          <c:showPercent val="1"/>
          <c:showBubbleSize val="1"/>
        </c:dLbls>
        <c:gapWidth val="100"/>
        <c:overlap val="-24"/>
        <c:axId val="131426560"/>
        <c:axId val="131448832"/>
      </c:barChart>
      <c:catAx>
        <c:axId val="1314265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448832"/>
        <c:crosses val="autoZero"/>
        <c:auto val="1"/>
        <c:lblAlgn val="ctr"/>
        <c:lblOffset val="100"/>
        <c:noMultiLvlLbl val="1"/>
      </c:catAx>
      <c:valAx>
        <c:axId val="1314488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pH</a:t>
                </a:r>
                <a:endParaRPr lang="uk-UA"/>
              </a:p>
            </c:rich>
          </c:tx>
          <c:layout>
            <c:manualLayout>
              <c:xMode val="edge"/>
              <c:yMode val="edge"/>
              <c:x val="4.9006964147537344E-2"/>
              <c:y val="0.42907455360026525"/>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42656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39169738181581E-2"/>
          <c:y val="5.4876527812422582E-2"/>
          <c:w val="0.90367756379359065"/>
          <c:h val="0.82939252822880805"/>
        </c:manualLayout>
      </c:layout>
      <c:barChart>
        <c:barDir val="col"/>
        <c:grouping val="clustered"/>
        <c:varyColors val="1"/>
        <c:ser>
          <c:idx val="0"/>
          <c:order val="0"/>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layout>
                <c:manualLayout>
                  <c:x val="-1.2941633234114161E-2"/>
                  <c:y val="9.1459823135691327E-17"/>
                </c:manualLayout>
              </c:layout>
              <c:tx>
                <c:rich>
                  <a:bodyPr/>
                  <a:lstStyle/>
                  <a:p>
                    <a:r>
                      <a:rPr lang="en-US" baseline="0"/>
                      <a:t> </a:t>
                    </a:r>
                    <a:r>
                      <a:rPr lang="uk-UA" baseline="0"/>
                      <a:t>0,08</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1"/>
              <c:layout>
                <c:manualLayout>
                  <c:x val="-1.8180679701319723E-2"/>
                  <c:y val="2.3337611432932078E-3"/>
                </c:manualLayout>
              </c:layout>
              <c:tx>
                <c:rich>
                  <a:bodyPr/>
                  <a:lstStyle/>
                  <a:p>
                    <a:r>
                      <a:rPr lang="en-US" baseline="0"/>
                      <a:t> </a:t>
                    </a:r>
                    <a:r>
                      <a:rPr lang="uk-UA" baseline="0"/>
                      <a:t>0,76</a:t>
                    </a:r>
                    <a:endParaRPr lang="en-US" baseline="0"/>
                  </a:p>
                </c:rich>
              </c:tx>
              <c:showLegendKey val="1"/>
              <c:showVal val="1"/>
              <c:showCatName val="1"/>
              <c:showSerName val="1"/>
              <c:showPercent val="1"/>
              <c:showBubbleSize val="1"/>
            </c:dLbl>
            <c:dLbl>
              <c:idx val="2"/>
              <c:layout>
                <c:manualLayout>
                  <c:x val="-1.2941633234114161E-2"/>
                  <c:y val="-9.1459823135691327E-17"/>
                </c:manualLayout>
              </c:layout>
              <c:tx>
                <c:rich>
                  <a:bodyPr/>
                  <a:lstStyle/>
                  <a:p>
                    <a:r>
                      <a:rPr lang="uk-UA" baseline="0"/>
                      <a:t>0,11</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3"/>
              <c:layout>
                <c:manualLayout>
                  <c:x val="-1.0353306587291248E-2"/>
                  <c:y val="-2.2864955783922822E-17"/>
                </c:manualLayout>
              </c:layout>
              <c:tx>
                <c:rich>
                  <a:bodyPr/>
                  <a:lstStyle/>
                  <a:p>
                    <a:r>
                      <a:rPr lang="uk-UA" baseline="0"/>
                      <a:t>0,61</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4"/>
              <c:layout>
                <c:manualLayout>
                  <c:x val="-1.5529959880936981E-2"/>
                  <c:y val="-9.1459823135691327E-17"/>
                </c:manualLayout>
              </c:layout>
              <c:tx>
                <c:rich>
                  <a:bodyPr/>
                  <a:lstStyle/>
                  <a:p>
                    <a:r>
                      <a:rPr lang="en-US" baseline="0"/>
                      <a:t> </a:t>
                    </a:r>
                    <a:r>
                      <a:rPr lang="uk-UA" baseline="0"/>
                      <a:t>0,07</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5"/>
              <c:layout>
                <c:manualLayout>
                  <c:x val="-1.5529959880936981E-2"/>
                  <c:y val="-2.2864955783922822E-17"/>
                </c:manualLayout>
              </c:layout>
              <c:tx>
                <c:rich>
                  <a:bodyPr/>
                  <a:lstStyle/>
                  <a:p>
                    <a:r>
                      <a:rPr lang="en-US" baseline="0"/>
                      <a:t> </a:t>
                    </a:r>
                    <a:r>
                      <a:rPr lang="uk-UA" baseline="0"/>
                      <a:t>0,58</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Лист24!$A$7:$A$12</c:f>
              <c:strCache>
                <c:ptCount val="6"/>
                <c:pt idx="0">
                  <c:v>КГ1</c:v>
                </c:pt>
                <c:pt idx="1">
                  <c:v>ОГ1</c:v>
                </c:pt>
                <c:pt idx="2">
                  <c:v>КГ2</c:v>
                </c:pt>
                <c:pt idx="3">
                  <c:v>ОГ2</c:v>
                </c:pt>
                <c:pt idx="4">
                  <c:v>КГ3</c:v>
                </c:pt>
                <c:pt idx="5">
                  <c:v>ОГ3</c:v>
                </c:pt>
              </c:strCache>
            </c:strRef>
          </c:cat>
          <c:val>
            <c:numRef>
              <c:f>Лист24!$B$7:$B$12</c:f>
              <c:numCache>
                <c:formatCode>General</c:formatCode>
                <c:ptCount val="6"/>
                <c:pt idx="0">
                  <c:v>8.0000000000000043E-2</c:v>
                </c:pt>
                <c:pt idx="1">
                  <c:v>0.76000000000000334</c:v>
                </c:pt>
                <c:pt idx="2">
                  <c:v>0.11</c:v>
                </c:pt>
                <c:pt idx="3">
                  <c:v>0.61000000000000065</c:v>
                </c:pt>
                <c:pt idx="4">
                  <c:v>7.0000000000000021E-2</c:v>
                </c:pt>
                <c:pt idx="5">
                  <c:v>0.58000000000000007</c:v>
                </c:pt>
              </c:numCache>
            </c:numRef>
          </c:val>
        </c:ser>
        <c:dLbls>
          <c:showLegendKey val="1"/>
          <c:showVal val="1"/>
          <c:showCatName val="1"/>
          <c:showSerName val="1"/>
          <c:showPercent val="1"/>
          <c:showBubbleSize val="1"/>
        </c:dLbls>
        <c:gapWidth val="100"/>
        <c:overlap val="-24"/>
        <c:axId val="191449344"/>
        <c:axId val="193675264"/>
      </c:barChart>
      <c:catAx>
        <c:axId val="1914493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675264"/>
        <c:crosses val="autoZero"/>
        <c:auto val="1"/>
        <c:lblAlgn val="ctr"/>
        <c:lblOffset val="100"/>
        <c:noMultiLvlLbl val="1"/>
      </c:catAx>
      <c:valAx>
        <c:axId val="1936752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Δ </a:t>
                </a:r>
                <a:r>
                  <a:rPr lang="en-US"/>
                  <a:t>pH</a:t>
                </a:r>
                <a:endParaRPr lang="uk-UA"/>
              </a:p>
            </c:rich>
          </c:tx>
          <c:layout>
            <c:manualLayout>
              <c:xMode val="edge"/>
              <c:yMode val="edge"/>
              <c:x val="3.8824899702342437E-2"/>
              <c:y val="0.40609062679836511"/>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44934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84129356093262E-2"/>
          <c:y val="5.6352459016393533E-2"/>
          <c:w val="0.88490377267318998"/>
          <c:h val="0.82480395637020865"/>
        </c:manualLayout>
      </c:layout>
      <c:barChart>
        <c:barDir val="col"/>
        <c:grouping val="clustered"/>
        <c:varyColors val="1"/>
        <c:ser>
          <c:idx val="0"/>
          <c:order val="0"/>
          <c:invertIfNegative val="1"/>
          <c:dPt>
            <c:idx val="0"/>
            <c:invertIfNegative val="1"/>
            <c:spPr>
              <a:solidFill>
                <a:srgbClr val="FFFF00">
                  <a:alpha val="70000"/>
                </a:srgbClr>
              </a:solidFill>
              <a:ln>
                <a:noFill/>
              </a:ln>
              <a:effectLst/>
            </c:spPr>
          </c:dPt>
          <c:dPt>
            <c:idx val="1"/>
            <c:invertIfNegative val="1"/>
            <c:spPr>
              <a:solidFill>
                <a:srgbClr val="00B0F0">
                  <a:alpha val="70000"/>
                </a:srgbClr>
              </a:solidFill>
              <a:ln>
                <a:noFill/>
              </a:ln>
              <a:effectLst/>
            </c:spPr>
          </c:dPt>
          <c:dPt>
            <c:idx val="2"/>
            <c:invertIfNegative val="1"/>
            <c:spPr>
              <a:solidFill>
                <a:srgbClr val="FFFF00">
                  <a:alpha val="70000"/>
                </a:srgbClr>
              </a:solidFill>
              <a:ln>
                <a:noFill/>
              </a:ln>
              <a:effectLst/>
            </c:spPr>
          </c:dPt>
          <c:dPt>
            <c:idx val="3"/>
            <c:invertIfNegative val="1"/>
            <c:spPr>
              <a:solidFill>
                <a:srgbClr val="00B0F0">
                  <a:alpha val="70000"/>
                </a:srgbClr>
              </a:solidFill>
              <a:ln>
                <a:noFill/>
              </a:ln>
              <a:effectLst/>
            </c:spPr>
          </c:dPt>
          <c:dPt>
            <c:idx val="4"/>
            <c:invertIfNegative val="1"/>
            <c:spPr>
              <a:solidFill>
                <a:srgbClr val="FFFF00">
                  <a:alpha val="70000"/>
                </a:srgbClr>
              </a:solidFill>
              <a:ln>
                <a:noFill/>
              </a:ln>
              <a:effectLst/>
            </c:spPr>
          </c:dPt>
          <c:dPt>
            <c:idx val="5"/>
            <c:invertIfNegative val="1"/>
            <c:spPr>
              <a:solidFill>
                <a:srgbClr val="00B0F0">
                  <a:alpha val="70000"/>
                </a:srgbClr>
              </a:solidFill>
              <a:ln>
                <a:noFill/>
              </a:ln>
              <a:effectLst/>
            </c:spPr>
          </c:dPt>
          <c:dLbls>
            <c:dLbl>
              <c:idx val="0"/>
              <c:layout>
                <c:manualLayout>
                  <c:x val="-1.3517166801838346E-2"/>
                  <c:y val="-1.1739960007395736E-17"/>
                </c:manualLayout>
              </c:layout>
              <c:tx>
                <c:rich>
                  <a:bodyPr/>
                  <a:lstStyle/>
                  <a:p>
                    <a:r>
                      <a:rPr lang="en-US" baseline="0"/>
                      <a:t> </a:t>
                    </a:r>
                    <a:r>
                      <a:rPr lang="uk-UA" baseline="0"/>
                      <a:t>0,4</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1"/>
              <c:layout>
                <c:manualLayout>
                  <c:x val="-1.6220600162206007E-2"/>
                  <c:y val="-4.6959840029582673E-17"/>
                </c:manualLayout>
              </c:layout>
              <c:tx>
                <c:rich>
                  <a:bodyPr/>
                  <a:lstStyle/>
                  <a:p>
                    <a:r>
                      <a:rPr lang="uk-UA" baseline="0"/>
                      <a:t>0,32</a:t>
                    </a:r>
                    <a:endParaRPr lang="uk-UA"/>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2"/>
              <c:layout>
                <c:manualLayout>
                  <c:x val="-1.6220600162206063E-2"/>
                  <c:y val="0"/>
                </c:manualLayout>
              </c:layout>
              <c:tx>
                <c:rich>
                  <a:bodyPr/>
                  <a:lstStyle/>
                  <a:p>
                    <a:r>
                      <a:rPr lang="en-US" baseline="0"/>
                      <a:t> </a:t>
                    </a:r>
                    <a:r>
                      <a:rPr lang="uk-UA" baseline="0"/>
                      <a:t>0,41</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3"/>
              <c:layout>
                <c:manualLayout>
                  <c:x val="-1.6220600162206007E-2"/>
                  <c:y val="-4.6959840029582673E-17"/>
                </c:manualLayout>
              </c:layout>
              <c:tx>
                <c:rich>
                  <a:bodyPr/>
                  <a:lstStyle/>
                  <a:p>
                    <a:r>
                      <a:rPr lang="en-US" baseline="0"/>
                      <a:t> </a:t>
                    </a:r>
                    <a:r>
                      <a:rPr lang="uk-UA" baseline="0"/>
                      <a:t>0,3</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4"/>
              <c:layout>
                <c:manualLayout>
                  <c:x val="-1.8924033522573769E-2"/>
                  <c:y val="0"/>
                </c:manualLayout>
              </c:layout>
              <c:tx>
                <c:rich>
                  <a:bodyPr/>
                  <a:lstStyle/>
                  <a:p>
                    <a:r>
                      <a:rPr lang="en-US" baseline="0"/>
                      <a:t> </a:t>
                    </a:r>
                    <a:r>
                      <a:rPr lang="uk-UA" baseline="0"/>
                      <a:t>0,42</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dLbl>
              <c:idx val="5"/>
              <c:layout>
                <c:manualLayout>
                  <c:x val="-1.6220600162206007E-2"/>
                  <c:y val="-4.6959840029582673E-17"/>
                </c:manualLayout>
              </c:layout>
              <c:tx>
                <c:rich>
                  <a:bodyPr/>
                  <a:lstStyle/>
                  <a:p>
                    <a:r>
                      <a:rPr lang="en-US" baseline="0"/>
                      <a:t> </a:t>
                    </a:r>
                    <a:r>
                      <a:rPr lang="uk-UA" baseline="0"/>
                      <a:t>0,3</a:t>
                    </a:r>
                    <a:endParaRPr lang="en-US" baseline="0"/>
                  </a:p>
                </c:rich>
              </c:tx>
              <c:showLegendKey val="1"/>
              <c:showVal val="1"/>
              <c:showCatName val="1"/>
              <c:showSerName val="1"/>
              <c:showPercent val="1"/>
              <c:showBubbleSize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Лист25!$A$7:$A$12</c:f>
              <c:strCache>
                <c:ptCount val="6"/>
                <c:pt idx="0">
                  <c:v>КГ1</c:v>
                </c:pt>
                <c:pt idx="1">
                  <c:v>ОГ1</c:v>
                </c:pt>
                <c:pt idx="2">
                  <c:v>КГ2</c:v>
                </c:pt>
                <c:pt idx="3">
                  <c:v>ОГ2</c:v>
                </c:pt>
                <c:pt idx="4">
                  <c:v>КГ3</c:v>
                </c:pt>
                <c:pt idx="5">
                  <c:v>ОГ3</c:v>
                </c:pt>
              </c:strCache>
            </c:strRef>
          </c:cat>
          <c:val>
            <c:numRef>
              <c:f>Лист25!$B$7:$B$12</c:f>
              <c:numCache>
                <c:formatCode>General</c:formatCode>
                <c:ptCount val="6"/>
                <c:pt idx="0">
                  <c:v>0.4</c:v>
                </c:pt>
                <c:pt idx="1">
                  <c:v>0.32000000000000167</c:v>
                </c:pt>
                <c:pt idx="2">
                  <c:v>0.41000000000000031</c:v>
                </c:pt>
                <c:pt idx="3">
                  <c:v>0.30000000000000032</c:v>
                </c:pt>
                <c:pt idx="4">
                  <c:v>0.42000000000000032</c:v>
                </c:pt>
                <c:pt idx="5">
                  <c:v>0.30000000000000032</c:v>
                </c:pt>
              </c:numCache>
            </c:numRef>
          </c:val>
        </c:ser>
        <c:dLbls>
          <c:showLegendKey val="1"/>
          <c:showVal val="1"/>
          <c:showCatName val="1"/>
          <c:showSerName val="1"/>
          <c:showPercent val="1"/>
          <c:showBubbleSize val="1"/>
        </c:dLbls>
        <c:gapWidth val="80"/>
        <c:overlap val="25"/>
        <c:axId val="75528832"/>
        <c:axId val="75530624"/>
      </c:barChart>
      <c:catAx>
        <c:axId val="7552883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75530624"/>
        <c:crosses val="autoZero"/>
        <c:auto val="1"/>
        <c:lblAlgn val="ctr"/>
        <c:lblOffset val="100"/>
        <c:noMultiLvlLbl val="1"/>
      </c:catAx>
      <c:valAx>
        <c:axId val="75530624"/>
        <c:scaling>
          <c:orientation val="minMax"/>
        </c:scaling>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uk-UA"/>
                  <a:t>мл/хв</a:t>
                </a:r>
              </a:p>
            </c:rich>
          </c:tx>
          <c:layout>
            <c:manualLayout>
              <c:xMode val="edge"/>
              <c:yMode val="edge"/>
              <c:x val="6.7585834009191922E-2"/>
              <c:y val="0.40155382728798383"/>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75528832"/>
        <c:crosses val="autoZero"/>
        <c:crossBetween val="between"/>
      </c:valAx>
      <c:spPr>
        <a:noFill/>
        <a:ln>
          <a:noFill/>
        </a:ln>
        <a:effectLst/>
      </c:spPr>
    </c:plotArea>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bar"/>
        <c:grouping val="clustered"/>
        <c:ser>
          <c:idx val="0"/>
          <c:order val="0"/>
          <c:tx>
            <c:strRef>
              <c:f>Лист1!$B$1</c:f>
              <c:strCache>
                <c:ptCount val="1"/>
                <c:pt idx="0">
                  <c:v>ОГ</c:v>
                </c:pt>
              </c:strCache>
            </c:strRef>
          </c:tx>
          <c:dLbls>
            <c:showVal val="1"/>
          </c:dLbls>
          <c:cat>
            <c:strRef>
              <c:f>Лист1!$A$2:$A$5</c:f>
              <c:strCache>
                <c:ptCount val="4"/>
                <c:pt idx="1">
                  <c:v>Каталаза, у.о.
</c:v>
                </c:pt>
                <c:pt idx="2">
                  <c:v>СОД, у.о./л</c:v>
                </c:pt>
                <c:pt idx="3">
                  <c:v>ТБК-АП, мкмоль/л</c:v>
                </c:pt>
              </c:strCache>
            </c:strRef>
          </c:cat>
          <c:val>
            <c:numRef>
              <c:f>Лист1!$B$2:$B$5</c:f>
              <c:numCache>
                <c:formatCode>General</c:formatCode>
                <c:ptCount val="4"/>
                <c:pt idx="1">
                  <c:v>2.54</c:v>
                </c:pt>
                <c:pt idx="2">
                  <c:v>3.3699999999999997</c:v>
                </c:pt>
                <c:pt idx="3">
                  <c:v>6.71</c:v>
                </c:pt>
              </c:numCache>
            </c:numRef>
          </c:val>
        </c:ser>
        <c:ser>
          <c:idx val="1"/>
          <c:order val="1"/>
          <c:tx>
            <c:strRef>
              <c:f>Лист1!$C$1</c:f>
              <c:strCache>
                <c:ptCount val="1"/>
                <c:pt idx="0">
                  <c:v>кг</c:v>
                </c:pt>
              </c:strCache>
            </c:strRef>
          </c:tx>
          <c:dLbls>
            <c:showVal val="1"/>
          </c:dLbls>
          <c:cat>
            <c:strRef>
              <c:f>Лист1!$A$2:$A$5</c:f>
              <c:strCache>
                <c:ptCount val="4"/>
                <c:pt idx="1">
                  <c:v>Каталаза, у.о.
</c:v>
                </c:pt>
                <c:pt idx="2">
                  <c:v>СОД, у.о./л</c:v>
                </c:pt>
                <c:pt idx="3">
                  <c:v>ТБК-АП, мкмоль/л</c:v>
                </c:pt>
              </c:strCache>
            </c:strRef>
          </c:cat>
          <c:val>
            <c:numRef>
              <c:f>Лист1!$C$2:$C$5</c:f>
              <c:numCache>
                <c:formatCode>General</c:formatCode>
                <c:ptCount val="4"/>
                <c:pt idx="1">
                  <c:v>3.9099999999999997</c:v>
                </c:pt>
                <c:pt idx="2">
                  <c:v>5.1499999999999995</c:v>
                </c:pt>
                <c:pt idx="3">
                  <c:v>4.67</c:v>
                </c:pt>
              </c:numCache>
            </c:numRef>
          </c:val>
        </c:ser>
        <c:axId val="75440512"/>
        <c:axId val="75442048"/>
      </c:barChart>
      <c:catAx>
        <c:axId val="75440512"/>
        <c:scaling>
          <c:orientation val="minMax"/>
        </c:scaling>
        <c:axPos val="l"/>
        <c:tickLblPos val="nextTo"/>
        <c:crossAx val="75442048"/>
        <c:crosses val="autoZero"/>
        <c:auto val="1"/>
        <c:lblAlgn val="ctr"/>
        <c:lblOffset val="100"/>
      </c:catAx>
      <c:valAx>
        <c:axId val="75442048"/>
        <c:scaling>
          <c:orientation val="minMax"/>
        </c:scaling>
        <c:delete val="1"/>
        <c:axPos val="b"/>
        <c:majorGridlines/>
        <c:numFmt formatCode="General" sourceLinked="1"/>
        <c:tickLblPos val="nextTo"/>
        <c:crossAx val="75440512"/>
        <c:crosses val="autoZero"/>
        <c:crossBetween val="between"/>
      </c:valAx>
    </c:plotArea>
    <c:legend>
      <c:legendPos val="r"/>
      <c:layout>
        <c:manualLayout>
          <c:xMode val="edge"/>
          <c:yMode val="edge"/>
          <c:x val="0.11671648419218747"/>
          <c:y val="0.64400869667411409"/>
          <c:w val="7.9372766882091592E-2"/>
          <c:h val="0.18642178748275073"/>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bar"/>
        <c:grouping val="clustered"/>
        <c:ser>
          <c:idx val="0"/>
          <c:order val="0"/>
          <c:tx>
            <c:strRef>
              <c:f>Лист1!$B$1</c:f>
              <c:strCache>
                <c:ptCount val="1"/>
                <c:pt idx="0">
                  <c:v>ОГ</c:v>
                </c:pt>
              </c:strCache>
            </c:strRef>
          </c:tx>
          <c:dLbls>
            <c:showVal val="1"/>
          </c:dLbls>
          <c:cat>
            <c:strRef>
              <c:f>Лист1!$A$2:$A$5</c:f>
              <c:strCache>
                <c:ptCount val="2"/>
                <c:pt idx="0">
                  <c:v>sIgA, мг/л</c:v>
                </c:pt>
                <c:pt idx="1">
                  <c:v>Активність лізоциму, 
у.о./мл
</c:v>
                </c:pt>
              </c:strCache>
            </c:strRef>
          </c:cat>
          <c:val>
            <c:numRef>
              <c:f>Лист1!$B$2:$B$5</c:f>
              <c:numCache>
                <c:formatCode>General</c:formatCode>
                <c:ptCount val="4"/>
                <c:pt idx="0">
                  <c:v>75.38</c:v>
                </c:pt>
                <c:pt idx="1">
                  <c:v>33.58</c:v>
                </c:pt>
              </c:numCache>
            </c:numRef>
          </c:val>
        </c:ser>
        <c:ser>
          <c:idx val="1"/>
          <c:order val="1"/>
          <c:tx>
            <c:strRef>
              <c:f>Лист1!$C$1</c:f>
              <c:strCache>
                <c:ptCount val="1"/>
                <c:pt idx="0">
                  <c:v>кг</c:v>
                </c:pt>
              </c:strCache>
            </c:strRef>
          </c:tx>
          <c:dLbls>
            <c:showVal val="1"/>
          </c:dLbls>
          <c:cat>
            <c:strRef>
              <c:f>Лист1!$A$2:$A$5</c:f>
              <c:strCache>
                <c:ptCount val="2"/>
                <c:pt idx="0">
                  <c:v>sIgA, мг/л</c:v>
                </c:pt>
                <c:pt idx="1">
                  <c:v>Активність лізоциму, 
у.о./мл
</c:v>
                </c:pt>
              </c:strCache>
            </c:strRef>
          </c:cat>
          <c:val>
            <c:numRef>
              <c:f>Лист1!$C$2:$C$5</c:f>
              <c:numCache>
                <c:formatCode>General</c:formatCode>
                <c:ptCount val="4"/>
                <c:pt idx="0">
                  <c:v>115.28</c:v>
                </c:pt>
                <c:pt idx="1">
                  <c:v>60.2</c:v>
                </c:pt>
              </c:numCache>
            </c:numRef>
          </c:val>
        </c:ser>
        <c:axId val="75491968"/>
        <c:axId val="75559296"/>
      </c:barChart>
      <c:catAx>
        <c:axId val="75491968"/>
        <c:scaling>
          <c:orientation val="minMax"/>
        </c:scaling>
        <c:axPos val="l"/>
        <c:tickLblPos val="nextTo"/>
        <c:crossAx val="75559296"/>
        <c:crosses val="autoZero"/>
        <c:auto val="1"/>
        <c:lblAlgn val="ctr"/>
        <c:lblOffset val="100"/>
      </c:catAx>
      <c:valAx>
        <c:axId val="75559296"/>
        <c:scaling>
          <c:orientation val="minMax"/>
        </c:scaling>
        <c:axPos val="b"/>
        <c:majorGridlines/>
        <c:numFmt formatCode="General" sourceLinked="1"/>
        <c:tickLblPos val="nextTo"/>
        <c:crossAx val="75491968"/>
        <c:crosses val="autoZero"/>
        <c:crossBetween val="between"/>
      </c:valAx>
    </c:plotArea>
    <c:legend>
      <c:legendPos val="r"/>
      <c:layout>
        <c:manualLayout>
          <c:xMode val="edge"/>
          <c:yMode val="edge"/>
          <c:x val="0.11093195780028582"/>
          <c:y val="0.13157088572883613"/>
          <c:w val="8.0692776743471098E-2"/>
          <c:h val="0.17992948642613832"/>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bar"/>
        <c:grouping val="clustered"/>
        <c:ser>
          <c:idx val="0"/>
          <c:order val="0"/>
          <c:tx>
            <c:strRef>
              <c:f>Лист1!$B$1</c:f>
              <c:strCache>
                <c:ptCount val="1"/>
                <c:pt idx="0">
                  <c:v>ОГ</c:v>
                </c:pt>
              </c:strCache>
            </c:strRef>
          </c:tx>
          <c:dLbls>
            <c:showVal val="1"/>
          </c:dLbls>
          <c:cat>
            <c:strRef>
              <c:f>Лист1!$A$2:$A$5</c:f>
              <c:strCache>
                <c:ptCount val="2"/>
                <c:pt idx="0">
                  <c:v>Ступінь дисбіозу</c:v>
                </c:pt>
                <c:pt idx="1">
                  <c:v>Активність уреази, мкмоль/хв/л</c:v>
                </c:pt>
              </c:strCache>
            </c:strRef>
          </c:cat>
          <c:val>
            <c:numRef>
              <c:f>Лист1!$B$2:$B$5</c:f>
              <c:numCache>
                <c:formatCode>General</c:formatCode>
                <c:ptCount val="4"/>
                <c:pt idx="0">
                  <c:v>6.2</c:v>
                </c:pt>
                <c:pt idx="1">
                  <c:v>9.52</c:v>
                </c:pt>
              </c:numCache>
            </c:numRef>
          </c:val>
        </c:ser>
        <c:ser>
          <c:idx val="1"/>
          <c:order val="1"/>
          <c:tx>
            <c:strRef>
              <c:f>Лист1!$C$1</c:f>
              <c:strCache>
                <c:ptCount val="1"/>
                <c:pt idx="0">
                  <c:v>кг</c:v>
                </c:pt>
              </c:strCache>
            </c:strRef>
          </c:tx>
          <c:dLbls>
            <c:showVal val="1"/>
          </c:dLbls>
          <c:cat>
            <c:strRef>
              <c:f>Лист1!$A$2:$A$5</c:f>
              <c:strCache>
                <c:ptCount val="2"/>
                <c:pt idx="0">
                  <c:v>Ступінь дисбіозу</c:v>
                </c:pt>
                <c:pt idx="1">
                  <c:v>Активність уреази, мкмоль/хв/л</c:v>
                </c:pt>
              </c:strCache>
            </c:strRef>
          </c:cat>
          <c:val>
            <c:numRef>
              <c:f>Лист1!$C$2:$C$5</c:f>
              <c:numCache>
                <c:formatCode>General</c:formatCode>
                <c:ptCount val="4"/>
                <c:pt idx="0">
                  <c:v>1.03</c:v>
                </c:pt>
                <c:pt idx="1">
                  <c:v>2.9</c:v>
                </c:pt>
              </c:numCache>
            </c:numRef>
          </c:val>
        </c:ser>
        <c:axId val="90981504"/>
        <c:axId val="90983040"/>
      </c:barChart>
      <c:catAx>
        <c:axId val="90981504"/>
        <c:scaling>
          <c:orientation val="minMax"/>
        </c:scaling>
        <c:axPos val="l"/>
        <c:tickLblPos val="nextTo"/>
        <c:crossAx val="90983040"/>
        <c:crosses val="autoZero"/>
        <c:auto val="1"/>
        <c:lblAlgn val="ctr"/>
        <c:lblOffset val="100"/>
      </c:catAx>
      <c:valAx>
        <c:axId val="90983040"/>
        <c:scaling>
          <c:orientation val="minMax"/>
        </c:scaling>
        <c:axPos val="b"/>
        <c:majorGridlines/>
        <c:numFmt formatCode="General" sourceLinked="1"/>
        <c:tickLblPos val="nextTo"/>
        <c:crossAx val="90981504"/>
        <c:crosses val="autoZero"/>
        <c:crossBetween val="between"/>
      </c:valAx>
    </c:plotArea>
    <c:legend>
      <c:legendPos val="r"/>
      <c:layout>
        <c:manualLayout>
          <c:xMode val="edge"/>
          <c:yMode val="edge"/>
          <c:x val="0.10429852790140406"/>
          <c:y val="0.12644643103822653"/>
          <c:w val="8.0868195823348213E-2"/>
          <c:h val="0.1812823397075374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layout/>
                <c15:showLeaderLines val="0"/>
              </c:ext>
            </c:extLst>
          </c:dLbls>
          <c:cat>
            <c:strRef>
              <c:f>Лист18!$A$10:$A$15</c:f>
              <c:strCache>
                <c:ptCount val="6"/>
                <c:pt idx="0">
                  <c:v>КГ1</c:v>
                </c:pt>
                <c:pt idx="1">
                  <c:v>ОГ1</c:v>
                </c:pt>
                <c:pt idx="2">
                  <c:v>КГ2</c:v>
                </c:pt>
                <c:pt idx="3">
                  <c:v>ОГ2</c:v>
                </c:pt>
                <c:pt idx="4">
                  <c:v>КГ3</c:v>
                </c:pt>
                <c:pt idx="5">
                  <c:v>ОГ3</c:v>
                </c:pt>
              </c:strCache>
            </c:strRef>
          </c:cat>
          <c:val>
            <c:numRef>
              <c:f>Лист18!$B$10:$B$15</c:f>
              <c:numCache>
                <c:formatCode>General</c:formatCode>
                <c:ptCount val="6"/>
                <c:pt idx="0">
                  <c:v>1.03</c:v>
                </c:pt>
                <c:pt idx="1">
                  <c:v>2.1800000000000002</c:v>
                </c:pt>
                <c:pt idx="2">
                  <c:v>1.22</c:v>
                </c:pt>
                <c:pt idx="3">
                  <c:v>1.8900000000000001</c:v>
                </c:pt>
                <c:pt idx="4">
                  <c:v>1.1299999999999848</c:v>
                </c:pt>
                <c:pt idx="5">
                  <c:v>1.9600000000000135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76703232"/>
        <c:axId val="83597952"/>
      </c:barChart>
      <c:catAx>
        <c:axId val="767032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97952"/>
        <c:crosses val="autoZero"/>
        <c:auto val="1"/>
        <c:lblAlgn val="ctr"/>
        <c:lblOffset val="100"/>
        <c:noMultiLvlLbl val="1"/>
      </c:catAx>
      <c:valAx>
        <c:axId val="835979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Індекс гігієни </a:t>
                </a:r>
              </a:p>
            </c:rich>
          </c:tx>
          <c:layout>
            <c:manualLayout>
              <c:xMode val="edge"/>
              <c:yMode val="edge"/>
              <c:x val="3.8689708537529233E-2"/>
              <c:y val="0.32893774184267494"/>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70323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518" cap="rnd">
              <a:solidFill>
                <a:schemeClr val="accent1"/>
              </a:solidFill>
              <a:round/>
            </a:ln>
            <a:effectLst/>
          </c:spPr>
          <c:marker>
            <c:symbol val="none"/>
          </c:marker>
          <c:dLbls>
            <c:dLbl>
              <c:idx val="1"/>
              <c:layout>
                <c:manualLayout>
                  <c:x val="-3.7905183727034296E-2"/>
                  <c:y val="9.0585239345081864E-2"/>
                </c:manualLayout>
              </c:layout>
              <c:dLblPos val="r"/>
              <c:showVal val="1"/>
            </c:dLbl>
            <c:dLbl>
              <c:idx val="2"/>
              <c:layout>
                <c:manualLayout>
                  <c:x val="-7.7257035578886052E-2"/>
                  <c:y val="5.0902699662542183E-2"/>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1.6300000000000001</c:v>
                </c:pt>
                <c:pt idx="1">
                  <c:v>1.6300000000000001</c:v>
                </c:pt>
                <c:pt idx="2">
                  <c:v>1.6300000000000001</c:v>
                </c:pt>
                <c:pt idx="3">
                  <c:v>1.6300000000000001</c:v>
                </c:pt>
              </c:numCache>
            </c:numRef>
          </c:val>
        </c:ser>
        <c:ser>
          <c:idx val="1"/>
          <c:order val="1"/>
          <c:tx>
            <c:strRef>
              <c:f>Лист1!$C$1</c:f>
              <c:strCache>
                <c:ptCount val="1"/>
                <c:pt idx="0">
                  <c:v>ОГ1а</c:v>
                </c:pt>
              </c:strCache>
            </c:strRef>
          </c:tx>
          <c:spPr>
            <a:ln w="28518"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3.14</c:v>
                </c:pt>
                <c:pt idx="1">
                  <c:v>1.9700000000000057</c:v>
                </c:pt>
                <c:pt idx="2">
                  <c:v>1.86</c:v>
                </c:pt>
                <c:pt idx="3">
                  <c:v>1.58</c:v>
                </c:pt>
              </c:numCache>
            </c:numRef>
          </c:val>
        </c:ser>
        <c:ser>
          <c:idx val="2"/>
          <c:order val="2"/>
          <c:tx>
            <c:strRef>
              <c:f>Лист1!$D$1</c:f>
              <c:strCache>
                <c:ptCount val="1"/>
                <c:pt idx="0">
                  <c:v>ОГ1б</c:v>
                </c:pt>
              </c:strCache>
            </c:strRef>
          </c:tx>
          <c:spPr>
            <a:ln w="28518"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0.10503481335666374"/>
                  <c:y val="-2.4494125734283213E-2"/>
                </c:manualLayout>
              </c:layout>
              <c:dLblPos val="r"/>
              <c:showVal val="1"/>
            </c:dLbl>
            <c:dLbl>
              <c:idx val="2"/>
              <c:layout>
                <c:manualLayout>
                  <c:x val="-8.6805555555555768E-3"/>
                  <c:y val="7.0743969503812024E-2"/>
                </c:manualLayout>
              </c:layout>
              <c:dLblPos val="r"/>
              <c:showVal val="1"/>
            </c:dLbl>
            <c:dLbl>
              <c:idx val="3"/>
              <c:layout>
                <c:manualLayout>
                  <c:x val="-3.7905183727034296E-2"/>
                  <c:y val="5.8839207599050106E-2"/>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3.13</c:v>
                </c:pt>
                <c:pt idx="1">
                  <c:v>1.74</c:v>
                </c:pt>
                <c:pt idx="2">
                  <c:v>1.51</c:v>
                </c:pt>
                <c:pt idx="3">
                  <c:v>1.35</c:v>
                </c:pt>
              </c:numCache>
            </c:numRef>
          </c:val>
        </c:ser>
        <c:marker val="1"/>
        <c:axId val="91051904"/>
        <c:axId val="91082752"/>
      </c:lineChart>
      <c:catAx>
        <c:axId val="91051904"/>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5330988273"/>
              <c:y val="0.84378818239118325"/>
            </c:manualLayout>
          </c:layout>
          <c:spPr>
            <a:noFill/>
            <a:ln w="25349">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082752"/>
        <c:crosses val="autoZero"/>
        <c:auto val="1"/>
        <c:lblAlgn val="ctr"/>
        <c:lblOffset val="100"/>
      </c:catAx>
      <c:valAx>
        <c:axId val="91082752"/>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705225782215E-2"/>
              <c:y val="0.19626600438386071"/>
            </c:manualLayout>
          </c:layout>
          <c:spPr>
            <a:noFill/>
            <a:ln w="25349">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051904"/>
        <c:crosses val="autoZero"/>
        <c:crossBetween val="between"/>
      </c:valAx>
      <c:spPr>
        <a:noFill/>
        <a:ln w="25349">
          <a:noFill/>
        </a:ln>
      </c:spPr>
    </c:plotArea>
    <c:legend>
      <c:legendPos val="b"/>
      <c:spPr>
        <a:noFill/>
        <a:ln w="25349">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979353311525107"/>
          <c:y val="5.8181818181818175E-2"/>
          <c:w val="0.80958712102531638"/>
          <c:h val="0.63366299212598465"/>
        </c:manualLayout>
      </c:layout>
      <c:lineChart>
        <c:grouping val="standard"/>
        <c:ser>
          <c:idx val="0"/>
          <c:order val="0"/>
          <c:tx>
            <c:strRef>
              <c:f>Лист1!$B$1</c:f>
              <c:strCache>
                <c:ptCount val="1"/>
                <c:pt idx="0">
                  <c:v>КГ2</c:v>
                </c:pt>
              </c:strCache>
            </c:strRef>
          </c:tx>
          <c:spPr>
            <a:ln w="28516" cap="rnd">
              <a:solidFill>
                <a:schemeClr val="accent1"/>
              </a:solidFill>
              <a:round/>
            </a:ln>
            <a:effectLst/>
          </c:spPr>
          <c:marker>
            <c:symbol val="none"/>
          </c:marker>
          <c:dLbls>
            <c:dLbl>
              <c:idx val="0"/>
              <c:layout>
                <c:manualLayout>
                  <c:x val="-4.5581181266746713E-2"/>
                  <c:y val="5.249687425435489E-2"/>
                </c:manualLayout>
              </c:layout>
              <c:dLblPos val="r"/>
              <c:showVal val="1"/>
            </c:dLbl>
            <c:dLbl>
              <c:idx val="1"/>
              <c:layout>
                <c:manualLayout>
                  <c:x val="-3.706787301281763E-2"/>
                  <c:y val="-3.3499965464286012E-2"/>
                </c:manualLayout>
              </c:layout>
              <c:dLblPos val="r"/>
              <c:showVal val="1"/>
            </c:dLbl>
            <c:dLbl>
              <c:idx val="2"/>
              <c:layout>
                <c:manualLayout>
                  <c:x val="3.4086762119244661E-3"/>
                  <c:y val="-4.9616797900262938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1.83</c:v>
                </c:pt>
                <c:pt idx="1">
                  <c:v>1.83</c:v>
                </c:pt>
                <c:pt idx="2">
                  <c:v>1.83</c:v>
                </c:pt>
                <c:pt idx="3">
                  <c:v>1.83</c:v>
                </c:pt>
              </c:numCache>
            </c:numRef>
          </c:val>
        </c:ser>
        <c:ser>
          <c:idx val="1"/>
          <c:order val="1"/>
          <c:tx>
            <c:strRef>
              <c:f>Лист1!$C$1</c:f>
              <c:strCache>
                <c:ptCount val="1"/>
                <c:pt idx="0">
                  <c:v>ОГ2а</c:v>
                </c:pt>
              </c:strCache>
            </c:strRef>
          </c:tx>
          <c:spPr>
            <a:ln w="28516" cap="rnd">
              <a:solidFill>
                <a:schemeClr val="accent2"/>
              </a:solidFill>
              <a:round/>
            </a:ln>
            <a:effectLst/>
          </c:spPr>
          <c:marker>
            <c:symbol val="none"/>
          </c:marker>
          <c:dLbls>
            <c:dLbl>
              <c:idx val="0"/>
              <c:layout>
                <c:manualLayout>
                  <c:x val="-5.6958997035600506E-2"/>
                  <c:y val="6.5490813648293983E-2"/>
                </c:manualLayout>
              </c:layout>
              <c:dLblPos val="r"/>
              <c:showVal val="1"/>
            </c:dLbl>
            <c:dLbl>
              <c:idx val="3"/>
              <c:layout>
                <c:manualLayout>
                  <c:x val="-1.3495306823599134E-2"/>
                  <c:y val="4.0325650202815512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2.65</c:v>
                </c:pt>
                <c:pt idx="1">
                  <c:v>2.0699999999999998</c:v>
                </c:pt>
                <c:pt idx="2">
                  <c:v>1.9700000000000057</c:v>
                </c:pt>
                <c:pt idx="3">
                  <c:v>1.76</c:v>
                </c:pt>
              </c:numCache>
            </c:numRef>
          </c:val>
        </c:ser>
        <c:ser>
          <c:idx val="2"/>
          <c:order val="2"/>
          <c:tx>
            <c:strRef>
              <c:f>Лист1!$D$1</c:f>
              <c:strCache>
                <c:ptCount val="1"/>
                <c:pt idx="0">
                  <c:v>ОГ2б</c:v>
                </c:pt>
              </c:strCache>
            </c:strRef>
          </c:tx>
          <c:spPr>
            <a:ln w="28516" cap="rnd">
              <a:solidFill>
                <a:schemeClr val="accent3"/>
              </a:solidFill>
              <a:round/>
            </a:ln>
            <a:effectLst/>
          </c:spPr>
          <c:marker>
            <c:symbol val="none"/>
          </c:marker>
          <c:dLbls>
            <c:dLbl>
              <c:idx val="0"/>
              <c:layout>
                <c:manualLayout>
                  <c:x val="1.7407437848974517E-2"/>
                  <c:y val="-3.7250107372942091E-2"/>
                </c:manualLayout>
              </c:layout>
              <c:dLblPos val="r"/>
              <c:showVal val="1"/>
            </c:dLbl>
            <c:dLbl>
              <c:idx val="1"/>
              <c:layout>
                <c:manualLayout>
                  <c:x val="-4.0219998541849017E-2"/>
                  <c:y val="5.0902699662542183E-2"/>
                </c:manualLayout>
              </c:layout>
              <c:dLblPos val="r"/>
              <c:showVal val="1"/>
            </c:dLbl>
            <c:dLbl>
              <c:idx val="2"/>
              <c:layout>
                <c:manualLayout>
                  <c:x val="-2.25695483262922E-2"/>
                  <c:y val="7.2057265569076559E-2"/>
                </c:manualLayout>
              </c:layout>
              <c:dLblPos val="r"/>
              <c:showVal val="1"/>
            </c:dLbl>
            <c:dLbl>
              <c:idx val="3"/>
              <c:layout>
                <c:manualLayout>
                  <c:x val="-5.1148335059370165E-2"/>
                  <c:y val="5.7345359102839416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2.67</c:v>
                </c:pt>
                <c:pt idx="1">
                  <c:v>1.7</c:v>
                </c:pt>
                <c:pt idx="2">
                  <c:v>1.82</c:v>
                </c:pt>
                <c:pt idx="3">
                  <c:v>1.35</c:v>
                </c:pt>
              </c:numCache>
            </c:numRef>
          </c:val>
        </c:ser>
        <c:marker val="1"/>
        <c:axId val="90958080"/>
        <c:axId val="91165056"/>
      </c:lineChart>
      <c:catAx>
        <c:axId val="90958080"/>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88456934702"/>
              <c:y val="0.84378843103975965"/>
            </c:manualLayout>
          </c:layout>
          <c:spPr>
            <a:noFill/>
            <a:ln w="25347">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165056"/>
        <c:crosses val="autoZero"/>
        <c:auto val="1"/>
        <c:lblAlgn val="ctr"/>
        <c:lblOffset val="100"/>
      </c:catAx>
      <c:valAx>
        <c:axId val="91165056"/>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999604651929E-2"/>
              <c:y val="0.19626610277955539"/>
            </c:manualLayout>
          </c:layout>
          <c:spPr>
            <a:noFill/>
            <a:ln w="25347">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958080"/>
        <c:crosses val="autoZero"/>
        <c:crossBetween val="between"/>
      </c:valAx>
      <c:spPr>
        <a:noFill/>
        <a:ln w="25347">
          <a:noFill/>
        </a:ln>
      </c:spPr>
    </c:plotArea>
    <c:legend>
      <c:legendPos val="b"/>
      <c:spPr>
        <a:noFill/>
        <a:ln w="2534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469" cap="rnd">
              <a:solidFill>
                <a:schemeClr val="accent1"/>
              </a:solidFill>
              <a:round/>
            </a:ln>
            <a:effectLst/>
          </c:spPr>
          <c:marker>
            <c:symbol val="none"/>
          </c:marker>
          <c:dLbls>
            <c:dLbl>
              <c:idx val="1"/>
              <c:layout>
                <c:manualLayout>
                  <c:x val="-3.706787301281763E-2"/>
                  <c:y val="-3.3499965464286012E-2"/>
                </c:manualLayout>
              </c:layout>
              <c:dLblPos val="r"/>
              <c:showVal val="1"/>
            </c:dLbl>
            <c:dLbl>
              <c:idx val="2"/>
              <c:layout>
                <c:manualLayout>
                  <c:x val="-4.9479264143107583E-2"/>
                  <c:y val="4.0960648006191903E-2"/>
                </c:manualLayout>
              </c:layout>
              <c:dLblPos val="r"/>
              <c:showVal val="1"/>
            </c:dLbl>
            <c:dLbl>
              <c:idx val="3"/>
              <c:layout>
                <c:manualLayout>
                  <c:x val="-3.706787301281763E-2"/>
                  <c:y val="-5.8094558139745102E-2"/>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1.72</c:v>
                </c:pt>
                <c:pt idx="1">
                  <c:v>1.72</c:v>
                </c:pt>
                <c:pt idx="2">
                  <c:v>1.72</c:v>
                </c:pt>
                <c:pt idx="3">
                  <c:v>1.72</c:v>
                </c:pt>
              </c:numCache>
            </c:numRef>
          </c:val>
        </c:ser>
        <c:ser>
          <c:idx val="1"/>
          <c:order val="1"/>
          <c:tx>
            <c:strRef>
              <c:f>Лист1!$C$1</c:f>
              <c:strCache>
                <c:ptCount val="1"/>
                <c:pt idx="0">
                  <c:v>ОГ3а</c:v>
                </c:pt>
              </c:strCache>
            </c:strRef>
          </c:tx>
          <c:spPr>
            <a:ln w="28469" cap="rnd">
              <a:solidFill>
                <a:schemeClr val="accent2"/>
              </a:solidFill>
              <a:round/>
            </a:ln>
            <a:effectLst/>
          </c:spPr>
          <c:marker>
            <c:symbol val="none"/>
          </c:marker>
          <c:dLbls>
            <c:dLbl>
              <c:idx val="3"/>
              <c:layout>
                <c:manualLayout>
                  <c:x val="-1.1082414046945786E-2"/>
                  <c:y val="3.8426953091462837E-2"/>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2.63</c:v>
                </c:pt>
                <c:pt idx="1">
                  <c:v>2.0099999999999998</c:v>
                </c:pt>
                <c:pt idx="2">
                  <c:v>1.87</c:v>
                </c:pt>
                <c:pt idx="3">
                  <c:v>1.53</c:v>
                </c:pt>
              </c:numCache>
            </c:numRef>
          </c:val>
        </c:ser>
        <c:ser>
          <c:idx val="2"/>
          <c:order val="2"/>
          <c:tx>
            <c:strRef>
              <c:f>Лист1!$D$1</c:f>
              <c:strCache>
                <c:ptCount val="1"/>
                <c:pt idx="0">
                  <c:v>ОГ3б</c:v>
                </c:pt>
              </c:strCache>
            </c:strRef>
          </c:tx>
          <c:spPr>
            <a:ln w="28469"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2.2569444444444541E-2"/>
                  <c:y val="4.2966191726034532E-2"/>
                </c:manualLayout>
              </c:layout>
              <c:dLblPos val="r"/>
              <c:showVal val="1"/>
            </c:dLbl>
            <c:dLbl>
              <c:idx val="3"/>
              <c:layout>
                <c:manualLayout>
                  <c:x val="-3.4698531154807519E-2"/>
                  <c:y val="5.6478446986630473E-2"/>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2.64</c:v>
                </c:pt>
                <c:pt idx="1">
                  <c:v>1.6400000000000001</c:v>
                </c:pt>
                <c:pt idx="2">
                  <c:v>1.23</c:v>
                </c:pt>
                <c:pt idx="3">
                  <c:v>1.1499999999999935</c:v>
                </c:pt>
              </c:numCache>
            </c:numRef>
          </c:val>
        </c:ser>
        <c:marker val="1"/>
        <c:axId val="91036288"/>
        <c:axId val="91042560"/>
      </c:lineChart>
      <c:catAx>
        <c:axId val="91036288"/>
        <c:scaling>
          <c:orientation val="minMax"/>
        </c:scaling>
        <c:axPos val="b"/>
        <c:title>
          <c:tx>
            <c:rich>
              <a:bodyPr/>
              <a:lstStyle/>
              <a:p>
                <a:pPr>
                  <a:defRPr sz="993"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8845255101"/>
              <c:y val="0.84378812079095056"/>
            </c:manualLayout>
          </c:layout>
          <c:spPr>
            <a:noFill/>
            <a:ln w="25305">
              <a:noFill/>
            </a:ln>
          </c:spPr>
        </c:title>
        <c:numFmt formatCode="General" sourceLinked="1"/>
        <c:majorTickMark val="none"/>
        <c:tickLblPos val="nextTo"/>
        <c:spPr>
          <a:noFill/>
          <a:ln w="9489"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042560"/>
        <c:crosses val="autoZero"/>
        <c:auto val="1"/>
        <c:lblAlgn val="ctr"/>
        <c:lblOffset val="100"/>
      </c:catAx>
      <c:valAx>
        <c:axId val="91042560"/>
        <c:scaling>
          <c:orientation val="minMax"/>
        </c:scaling>
        <c:axPos val="l"/>
        <c:majorGridlines>
          <c:spPr>
            <a:ln w="9489" cap="flat" cmpd="sng" algn="ctr">
              <a:solidFill>
                <a:schemeClr val="tx1">
                  <a:lumMod val="15000"/>
                  <a:lumOff val="85000"/>
                </a:schemeClr>
              </a:solidFill>
              <a:round/>
            </a:ln>
            <a:effectLst/>
          </c:spPr>
        </c:majorGridlines>
        <c:title>
          <c:tx>
            <c:rich>
              <a:bodyPr/>
              <a:lstStyle/>
              <a:p>
                <a:pPr>
                  <a:defRPr sz="993"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860593375283E-2"/>
              <c:y val="0.19626605393187074"/>
            </c:manualLayout>
          </c:layout>
          <c:spPr>
            <a:noFill/>
            <a:ln w="25305">
              <a:noFill/>
            </a:ln>
          </c:spPr>
        </c:title>
        <c:numFmt formatCode="General" sourceLinked="1"/>
        <c:majorTickMark val="none"/>
        <c:tickLblPos val="nextTo"/>
        <c:spPr>
          <a:ln w="6327">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036288"/>
        <c:crosses val="autoZero"/>
        <c:crossBetween val="between"/>
      </c:valAx>
      <c:spPr>
        <a:noFill/>
        <a:ln w="25347">
          <a:noFill/>
        </a:ln>
      </c:spPr>
    </c:plotArea>
    <c:legend>
      <c:legendPos val="b"/>
      <c:layout>
        <c:manualLayout>
          <c:xMode val="edge"/>
          <c:yMode val="edge"/>
          <c:x val="0.30435451897626936"/>
          <c:y val="0.91371199596491659"/>
          <c:w val="0.42428054088175698"/>
          <c:h val="8.6288004035083188E-2"/>
        </c:manualLayout>
      </c:layout>
      <c:spPr>
        <a:noFill/>
        <a:ln w="25305">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89"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994850570287386"/>
          <c:y val="4.509008657167516E-2"/>
          <c:w val="0.84515099824787565"/>
          <c:h val="0.6902843612603502"/>
        </c:manualLayout>
      </c:layout>
      <c:lineChart>
        <c:grouping val="standard"/>
        <c:ser>
          <c:idx val="0"/>
          <c:order val="0"/>
          <c:tx>
            <c:strRef>
              <c:f>Лист1!$B$1</c:f>
              <c:strCache>
                <c:ptCount val="1"/>
                <c:pt idx="0">
                  <c:v>КГ1</c:v>
                </c:pt>
              </c:strCache>
            </c:strRef>
          </c:tx>
          <c:spPr>
            <a:ln w="28468" cap="rnd">
              <a:solidFill>
                <a:schemeClr val="accent1"/>
              </a:solidFill>
              <a:round/>
            </a:ln>
            <a:effectLst/>
          </c:spPr>
          <c:marker>
            <c:symbol val="none"/>
          </c:marker>
          <c:dLbls>
            <c:dLbl>
              <c:idx val="1"/>
              <c:spPr>
                <a:noFill/>
                <a:ln w="25305">
                  <a:noFill/>
                </a:ln>
              </c:spPr>
              <c:txPr>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
            <c:dLbl>
              <c:idx val="2"/>
              <c:layout>
                <c:manualLayout>
                  <c:x val="-4.4951901225061833E-2"/>
                  <c:y val="3.686154922694871E-2"/>
                </c:manualLayout>
              </c:layout>
              <c:dLblPos val="r"/>
              <c:showVal val="1"/>
            </c:dLbl>
            <c:dLbl>
              <c:idx val="3"/>
              <c:layout>
                <c:manualLayout>
                  <c:x val="-3.0413540736462952E-3"/>
                  <c:y val="-8.8153217211567082E-3"/>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1.03</c:v>
                </c:pt>
                <c:pt idx="1">
                  <c:v>1.03</c:v>
                </c:pt>
                <c:pt idx="2">
                  <c:v>1.03</c:v>
                </c:pt>
                <c:pt idx="3">
                  <c:v>1.03</c:v>
                </c:pt>
              </c:numCache>
            </c:numRef>
          </c:val>
        </c:ser>
        <c:ser>
          <c:idx val="1"/>
          <c:order val="1"/>
          <c:tx>
            <c:strRef>
              <c:f>Лист1!$C$1</c:f>
              <c:strCache>
                <c:ptCount val="1"/>
                <c:pt idx="0">
                  <c:v>ОГ1а</c:v>
                </c:pt>
              </c:strCache>
            </c:strRef>
          </c:tx>
          <c:spPr>
            <a:ln w="28468" cap="rnd">
              <a:solidFill>
                <a:schemeClr val="accent2"/>
              </a:solidFill>
              <a:round/>
            </a:ln>
            <a:effectLst/>
          </c:spPr>
          <c:marker>
            <c:symbol val="none"/>
          </c:marker>
          <c:dLbls>
            <c:dLbl>
              <c:idx val="3"/>
              <c:layout>
                <c:manualLayout>
                  <c:x val="-4.5154384857932252E-2"/>
                  <c:y val="2.6042187795530431E-2"/>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2.2000000000000002</c:v>
                </c:pt>
                <c:pt idx="1">
                  <c:v>1.29</c:v>
                </c:pt>
                <c:pt idx="2">
                  <c:v>1.06</c:v>
                </c:pt>
                <c:pt idx="3">
                  <c:v>0.97000000000000064</c:v>
                </c:pt>
              </c:numCache>
            </c:numRef>
          </c:val>
        </c:ser>
        <c:ser>
          <c:idx val="2"/>
          <c:order val="2"/>
          <c:tx>
            <c:strRef>
              <c:f>Лист1!$D$1</c:f>
              <c:strCache>
                <c:ptCount val="1"/>
                <c:pt idx="0">
                  <c:v>ОГ1б</c:v>
                </c:pt>
              </c:strCache>
            </c:strRef>
          </c:tx>
          <c:spPr>
            <a:ln w="28468"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2.2569444444444541E-2"/>
                  <c:y val="4.2966191726034532E-2"/>
                </c:manualLayout>
              </c:layout>
              <c:dLblPos val="r"/>
              <c:showVal val="1"/>
            </c:dLbl>
            <c:dLbl>
              <c:idx val="3"/>
              <c:layout>
                <c:manualLayout>
                  <c:x val="1.3485837731468788E-3"/>
                  <c:y val="-4.5619741776142725E-2"/>
                </c:manualLayout>
              </c:layout>
              <c:dLblPos val="r"/>
              <c:showVal val="1"/>
            </c:dLbl>
            <c:spPr>
              <a:noFill/>
              <a:ln w="25305">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2.17</c:v>
                </c:pt>
                <c:pt idx="1">
                  <c:v>1.06</c:v>
                </c:pt>
                <c:pt idx="2">
                  <c:v>0.67000000000000381</c:v>
                </c:pt>
                <c:pt idx="3">
                  <c:v>0.51</c:v>
                </c:pt>
              </c:numCache>
            </c:numRef>
          </c:val>
        </c:ser>
        <c:marker val="1"/>
        <c:axId val="91258240"/>
        <c:axId val="91289088"/>
      </c:lineChart>
      <c:catAx>
        <c:axId val="91258240"/>
        <c:scaling>
          <c:orientation val="minMax"/>
        </c:scaling>
        <c:axPos val="b"/>
        <c:title>
          <c:tx>
            <c:rich>
              <a:bodyPr/>
              <a:lstStyle/>
              <a:p>
                <a:pPr>
                  <a:defRPr sz="993"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81613482736"/>
              <c:y val="0.84378821352367606"/>
            </c:manualLayout>
          </c:layout>
          <c:spPr>
            <a:noFill/>
            <a:ln w="25305">
              <a:noFill/>
            </a:ln>
          </c:spPr>
        </c:title>
        <c:numFmt formatCode="General" sourceLinked="1"/>
        <c:majorTickMark val="none"/>
        <c:tickLblPos val="nextTo"/>
        <c:spPr>
          <a:noFill/>
          <a:ln w="9489"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289088"/>
        <c:crosses val="autoZero"/>
        <c:auto val="1"/>
        <c:lblAlgn val="ctr"/>
        <c:lblOffset val="100"/>
      </c:catAx>
      <c:valAx>
        <c:axId val="91289088"/>
        <c:scaling>
          <c:orientation val="minMax"/>
        </c:scaling>
        <c:axPos val="l"/>
        <c:majorGridlines>
          <c:spPr>
            <a:ln w="9489" cap="flat" cmpd="sng" algn="ctr">
              <a:solidFill>
                <a:schemeClr val="tx1">
                  <a:lumMod val="15000"/>
                  <a:lumOff val="85000"/>
                </a:schemeClr>
              </a:solidFill>
              <a:round/>
            </a:ln>
            <a:effectLst/>
          </c:spPr>
        </c:majorGridlines>
        <c:title>
          <c:tx>
            <c:rich>
              <a:bodyPr/>
              <a:lstStyle/>
              <a:p>
                <a:pPr>
                  <a:defRPr sz="993"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785053184181E-2"/>
              <c:y val="0.19626616816782907"/>
            </c:manualLayout>
          </c:layout>
          <c:spPr>
            <a:noFill/>
            <a:ln w="25305">
              <a:noFill/>
            </a:ln>
          </c:spPr>
        </c:title>
        <c:numFmt formatCode="General" sourceLinked="1"/>
        <c:majorTickMark val="none"/>
        <c:tickLblPos val="nextTo"/>
        <c:spPr>
          <a:ln w="6327">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258240"/>
        <c:crosses val="autoZero"/>
        <c:crossBetween val="between"/>
      </c:valAx>
      <c:spPr>
        <a:noFill/>
        <a:ln w="25347">
          <a:noFill/>
        </a:ln>
      </c:spPr>
    </c:plotArea>
    <c:legend>
      <c:legendPos val="b"/>
      <c:spPr>
        <a:noFill/>
        <a:ln w="25305">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89" cap="flat" cmpd="sng" algn="ctr">
      <a:solidFill>
        <a:schemeClr val="tx1">
          <a:lumMod val="15000"/>
          <a:lumOff val="85000"/>
        </a:schemeClr>
      </a:solidFill>
      <a:round/>
    </a:ln>
    <a:effectLst/>
  </c:spPr>
  <c:txPr>
    <a:bodyPr/>
    <a:lstStyle/>
    <a:p>
      <a:pP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61" cap="rnd">
              <a:solidFill>
                <a:schemeClr val="accent1"/>
              </a:solidFill>
              <a:round/>
            </a:ln>
            <a:effectLst/>
          </c:spPr>
          <c:marker>
            <c:symbol val="none"/>
          </c:marker>
          <c:dLbls>
            <c:dLbl>
              <c:idx val="1"/>
              <c:layout>
                <c:manualLayout>
                  <c:x val="-3.7905183727034296E-2"/>
                  <c:y val="2.7093175853018518E-2"/>
                </c:manualLayout>
              </c:layout>
              <c:dLblPos val="r"/>
              <c:showVal val="1"/>
            </c:dLbl>
            <c:dLbl>
              <c:idx val="2"/>
              <c:layout>
                <c:manualLayout>
                  <c:x val="-4.9479257801108512E-2"/>
                  <c:y val="2.7093175853018518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1.22</c:v>
                </c:pt>
                <c:pt idx="1">
                  <c:v>1.22</c:v>
                </c:pt>
                <c:pt idx="2">
                  <c:v>1.22</c:v>
                </c:pt>
                <c:pt idx="3">
                  <c:v>1.22</c:v>
                </c:pt>
              </c:numCache>
            </c:numRef>
          </c:val>
        </c:ser>
        <c:ser>
          <c:idx val="1"/>
          <c:order val="1"/>
          <c:tx>
            <c:strRef>
              <c:f>Лист1!$C$1</c:f>
              <c:strCache>
                <c:ptCount val="1"/>
                <c:pt idx="0">
                  <c:v>ОГ2а</c:v>
                </c:pt>
              </c:strCache>
            </c:strRef>
          </c:tx>
          <c:spPr>
            <a:ln w="28561"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4.5052128900554086E-2"/>
                  <c:y val="-6.9414760654918625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1.9000000000000001</c:v>
                </c:pt>
                <c:pt idx="1">
                  <c:v>1.28</c:v>
                </c:pt>
                <c:pt idx="2">
                  <c:v>1.2</c:v>
                </c:pt>
                <c:pt idx="3">
                  <c:v>0.93</c:v>
                </c:pt>
              </c:numCache>
            </c:numRef>
          </c:val>
        </c:ser>
        <c:ser>
          <c:idx val="2"/>
          <c:order val="2"/>
          <c:tx>
            <c:strRef>
              <c:f>Лист1!$D$1</c:f>
              <c:strCache>
                <c:ptCount val="1"/>
                <c:pt idx="0">
                  <c:v>ОГ2б</c:v>
                </c:pt>
              </c:strCache>
            </c:strRef>
          </c:tx>
          <c:spPr>
            <a:ln w="28561"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3.1828703703703796E-2"/>
                  <c:y val="7.0743969503812024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1.8800000000000001</c:v>
                </c:pt>
                <c:pt idx="1">
                  <c:v>0.97000000000000064</c:v>
                </c:pt>
                <c:pt idx="2">
                  <c:v>1.03</c:v>
                </c:pt>
                <c:pt idx="3">
                  <c:v>0.62000000000000288</c:v>
                </c:pt>
              </c:numCache>
            </c:numRef>
          </c:val>
        </c:ser>
        <c:marker val="1"/>
        <c:axId val="91361280"/>
        <c:axId val="91363200"/>
      </c:lineChart>
      <c:catAx>
        <c:axId val="91361280"/>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6926020041"/>
              <c:y val="0.84378821352367606"/>
            </c:manualLayout>
          </c:layout>
          <c:spPr>
            <a:noFill/>
            <a:ln w="25399">
              <a:noFill/>
            </a:ln>
          </c:spPr>
        </c:title>
        <c:numFmt formatCode="General" sourceLinked="1"/>
        <c:maj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363200"/>
        <c:crosses val="autoZero"/>
        <c:auto val="1"/>
        <c:lblAlgn val="ctr"/>
        <c:lblOffset val="100"/>
      </c:catAx>
      <c:valAx>
        <c:axId val="91363200"/>
        <c:scaling>
          <c:orientation val="minMax"/>
        </c:scaling>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79020419058E-2"/>
              <c:y val="0.19626579051719412"/>
            </c:manualLayout>
          </c:layout>
          <c:spPr>
            <a:noFill/>
            <a:ln w="25399">
              <a:noFill/>
            </a:ln>
          </c:spPr>
        </c:title>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361280"/>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504" cap="rnd">
              <a:solidFill>
                <a:schemeClr val="accent1"/>
              </a:solidFill>
              <a:round/>
            </a:ln>
            <a:effectLst/>
          </c:spPr>
          <c:marker>
            <c:symbol val="none"/>
          </c:marker>
          <c:dLbls>
            <c:dLbl>
              <c:idx val="1"/>
              <c:layout>
                <c:manualLayout>
                  <c:x val="-3.7905183727034296E-2"/>
                  <c:y val="2.7093175853018518E-2"/>
                </c:manualLayout>
              </c:layout>
              <c:dLblPos val="r"/>
              <c:showVal val="1"/>
            </c:dLbl>
            <c:dLbl>
              <c:idx val="2"/>
              <c:layout>
                <c:manualLayout>
                  <c:x val="-4.9479257801108512E-2"/>
                  <c:y val="2.7093175853018518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1.1299999999999935</c:v>
                </c:pt>
                <c:pt idx="1">
                  <c:v>1.1299999999999935</c:v>
                </c:pt>
                <c:pt idx="2">
                  <c:v>1.1299999999999935</c:v>
                </c:pt>
                <c:pt idx="3">
                  <c:v>1.1299999999999935</c:v>
                </c:pt>
              </c:numCache>
            </c:numRef>
          </c:val>
        </c:ser>
        <c:ser>
          <c:idx val="1"/>
          <c:order val="1"/>
          <c:tx>
            <c:strRef>
              <c:f>Лист1!$C$1</c:f>
              <c:strCache>
                <c:ptCount val="1"/>
                <c:pt idx="0">
                  <c:v>ОГ3а</c:v>
                </c:pt>
              </c:strCache>
            </c:strRef>
          </c:tx>
          <c:spPr>
            <a:ln w="28504"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1.9500000000000057</c:v>
                </c:pt>
                <c:pt idx="1">
                  <c:v>1.3</c:v>
                </c:pt>
                <c:pt idx="2">
                  <c:v>1.26</c:v>
                </c:pt>
                <c:pt idx="3">
                  <c:v>0.83000000000000063</c:v>
                </c:pt>
              </c:numCache>
            </c:numRef>
          </c:val>
        </c:ser>
        <c:ser>
          <c:idx val="2"/>
          <c:order val="2"/>
          <c:tx>
            <c:strRef>
              <c:f>Лист1!$D$1</c:f>
              <c:strCache>
                <c:ptCount val="1"/>
                <c:pt idx="0">
                  <c:v>ОГ3б</c:v>
                </c:pt>
              </c:strCache>
            </c:strRef>
          </c:tx>
          <c:spPr>
            <a:ln w="28504"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3.1828703703703796E-2"/>
                  <c:y val="7.0743969503812024E-2"/>
                </c:manualLayout>
              </c:layout>
              <c:dLblPos val="r"/>
              <c:showVal val="1"/>
            </c:dLbl>
            <c:dLbl>
              <c:idx val="3"/>
              <c:layout>
                <c:manualLayout>
                  <c:x val="-3.7905183727034296E-2"/>
                  <c:y val="5.8839207599050106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1.9600000000000057</c:v>
                </c:pt>
                <c:pt idx="1">
                  <c:v>0.86000000000000065</c:v>
                </c:pt>
                <c:pt idx="2">
                  <c:v>0.36000000000000032</c:v>
                </c:pt>
                <c:pt idx="3">
                  <c:v>0.2</c:v>
                </c:pt>
              </c:numCache>
            </c:numRef>
          </c:val>
        </c:ser>
        <c:marker val="1"/>
        <c:axId val="86200704"/>
        <c:axId val="86202624"/>
      </c:lineChart>
      <c:catAx>
        <c:axId val="86200704"/>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0262467187"/>
              <c:y val="0.84378812079095056"/>
            </c:manualLayout>
          </c:layout>
          <c:spPr>
            <a:noFill/>
            <a:ln w="25348">
              <a:noFill/>
            </a:ln>
          </c:spPr>
        </c:title>
        <c:numFmt formatCode="General" sourceLinked="1"/>
        <c:majorTickMark val="none"/>
        <c:tickLblPos val="nextTo"/>
        <c:spPr>
          <a:noFill/>
          <a:ln w="9502"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202624"/>
        <c:crosses val="autoZero"/>
        <c:auto val="1"/>
        <c:lblAlgn val="ctr"/>
        <c:lblOffset val="100"/>
      </c:catAx>
      <c:valAx>
        <c:axId val="86202624"/>
        <c:scaling>
          <c:orientation val="minMax"/>
        </c:scaling>
        <c:axPos val="l"/>
        <c:majorGridlines>
          <c:spPr>
            <a:ln w="9502"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630796150541E-2"/>
              <c:y val="0.19626568031309274"/>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200704"/>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2" cap="flat" cmpd="sng" algn="ctr">
      <a:solidFill>
        <a:schemeClr val="tx1">
          <a:lumMod val="15000"/>
          <a:lumOff val="85000"/>
        </a:schemeClr>
      </a:solidFill>
      <a:round/>
    </a:ln>
    <a:effectLst/>
  </c:spPr>
  <c:txPr>
    <a:bodyPr/>
    <a:lstStyle/>
    <a:p>
      <a:pP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516" cap="rnd">
              <a:solidFill>
                <a:schemeClr val="accent1"/>
              </a:solidFill>
              <a:round/>
            </a:ln>
            <a:effectLst/>
          </c:spPr>
          <c:marker>
            <c:symbol val="none"/>
          </c:marker>
          <c:dLbls>
            <c:dLbl>
              <c:idx val="1"/>
              <c:layout>
                <c:manualLayout>
                  <c:x val="-3.7905183727034296E-2"/>
                  <c:y val="9.0585239345081864E-2"/>
                </c:manualLayout>
              </c:layout>
              <c:dLblPos val="r"/>
              <c:showVal val="1"/>
            </c:dLbl>
            <c:dLbl>
              <c:idx val="2"/>
              <c:layout>
                <c:manualLayout>
                  <c:x val="-7.7257035578886052E-2"/>
                  <c:y val="5.0902699662542183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1.1200000000000001</c:v>
                </c:pt>
                <c:pt idx="1">
                  <c:v>1.1200000000000001</c:v>
                </c:pt>
                <c:pt idx="2">
                  <c:v>1.1200000000000001</c:v>
                </c:pt>
                <c:pt idx="3">
                  <c:v>1.1200000000000001</c:v>
                </c:pt>
              </c:numCache>
            </c:numRef>
          </c:val>
        </c:ser>
        <c:ser>
          <c:idx val="1"/>
          <c:order val="1"/>
          <c:tx>
            <c:strRef>
              <c:f>Лист1!$C$1</c:f>
              <c:strCache>
                <c:ptCount val="1"/>
                <c:pt idx="0">
                  <c:v>ОГ1а</c:v>
                </c:pt>
              </c:strCache>
            </c:strRef>
          </c:tx>
          <c:spPr>
            <a:ln w="28516"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2.27</c:v>
                </c:pt>
                <c:pt idx="1">
                  <c:v>1.35</c:v>
                </c:pt>
                <c:pt idx="2">
                  <c:v>1.1499999999999935</c:v>
                </c:pt>
                <c:pt idx="3">
                  <c:v>1.04</c:v>
                </c:pt>
              </c:numCache>
            </c:numRef>
          </c:val>
        </c:ser>
        <c:ser>
          <c:idx val="2"/>
          <c:order val="2"/>
          <c:tx>
            <c:strRef>
              <c:f>Лист1!$D$1</c:f>
              <c:strCache>
                <c:ptCount val="1"/>
                <c:pt idx="0">
                  <c:v>ОГ1б</c:v>
                </c:pt>
              </c:strCache>
            </c:strRef>
          </c:tx>
          <c:spPr>
            <a:ln w="28516"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0.10503481335666374"/>
                  <c:y val="-2.4494125734283213E-2"/>
                </c:manualLayout>
              </c:layout>
              <c:dLblPos val="r"/>
              <c:showVal val="1"/>
            </c:dLbl>
            <c:dLbl>
              <c:idx val="2"/>
              <c:layout>
                <c:manualLayout>
                  <c:x val="-8.6805555555555768E-3"/>
                  <c:y val="7.0743969503812024E-2"/>
                </c:manualLayout>
              </c:layout>
              <c:dLblPos val="r"/>
              <c:showVal val="1"/>
            </c:dLbl>
            <c:dLbl>
              <c:idx val="3"/>
              <c:layout>
                <c:manualLayout>
                  <c:x val="-3.7905183727034296E-2"/>
                  <c:y val="5.8839207599050106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2.2599999999999998</c:v>
                </c:pt>
                <c:pt idx="1">
                  <c:v>1.1599999999999935</c:v>
                </c:pt>
                <c:pt idx="2">
                  <c:v>0.74000000000000288</c:v>
                </c:pt>
                <c:pt idx="3">
                  <c:v>0.56000000000000005</c:v>
                </c:pt>
              </c:numCache>
            </c:numRef>
          </c:val>
        </c:ser>
        <c:marker val="1"/>
        <c:axId val="114967296"/>
        <c:axId val="114969216"/>
      </c:lineChart>
      <c:catAx>
        <c:axId val="114967296"/>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1042071624"/>
              <c:y val="0.8437881514810649"/>
            </c:manualLayout>
          </c:layout>
          <c:spPr>
            <a:noFill/>
            <a:ln w="25347">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969216"/>
        <c:crosses val="autoZero"/>
        <c:auto val="1"/>
        <c:lblAlgn val="ctr"/>
        <c:lblOffset val="100"/>
      </c:catAx>
      <c:valAx>
        <c:axId val="114969216"/>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779966834787E-2"/>
              <c:y val="0.19626584176977879"/>
            </c:manualLayout>
          </c:layout>
          <c:spPr>
            <a:noFill/>
            <a:ln w="25347">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967296"/>
        <c:crosses val="autoZero"/>
        <c:crossBetween val="between"/>
      </c:valAx>
      <c:spPr>
        <a:noFill/>
        <a:ln w="25347">
          <a:noFill/>
        </a:ln>
      </c:spPr>
    </c:plotArea>
    <c:legend>
      <c:legendPos val="b"/>
      <c:spPr>
        <a:noFill/>
        <a:ln w="2534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17" cap="rnd">
              <a:solidFill>
                <a:schemeClr val="accent1"/>
              </a:solidFill>
              <a:round/>
            </a:ln>
            <a:effectLst/>
          </c:spPr>
          <c:marker>
            <c:symbol val="none"/>
          </c:marker>
          <c:dLbls>
            <c:dLbl>
              <c:idx val="1"/>
              <c:layout>
                <c:manualLayout>
                  <c:x val="-3.0960739282589675E-2"/>
                  <c:y val="3.8997937757780286E-2"/>
                </c:manualLayout>
              </c:layout>
              <c:dLblPos val="r"/>
              <c:showVal val="1"/>
            </c:dLbl>
            <c:dLbl>
              <c:idx val="2"/>
              <c:layout>
                <c:manualLayout>
                  <c:x val="-7.7257035578886052E-2"/>
                  <c:y val="5.0902699662542183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1.36</c:v>
                </c:pt>
                <c:pt idx="1">
                  <c:v>1.36</c:v>
                </c:pt>
                <c:pt idx="2">
                  <c:v>1.36</c:v>
                </c:pt>
                <c:pt idx="3">
                  <c:v>1.36</c:v>
                </c:pt>
              </c:numCache>
            </c:numRef>
          </c:val>
        </c:ser>
        <c:ser>
          <c:idx val="1"/>
          <c:order val="1"/>
          <c:tx>
            <c:strRef>
              <c:f>Лист1!$C$1</c:f>
              <c:strCache>
                <c:ptCount val="1"/>
                <c:pt idx="0">
                  <c:v>ОГ2а</c:v>
                </c:pt>
              </c:strCache>
            </c:strRef>
          </c:tx>
          <c:spPr>
            <a:ln w="28517"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1.9500000000000057</c:v>
                </c:pt>
                <c:pt idx="1">
                  <c:v>1.35</c:v>
                </c:pt>
                <c:pt idx="2">
                  <c:v>1.29</c:v>
                </c:pt>
                <c:pt idx="3">
                  <c:v>1.06</c:v>
                </c:pt>
              </c:numCache>
            </c:numRef>
          </c:val>
        </c:ser>
        <c:ser>
          <c:idx val="2"/>
          <c:order val="2"/>
          <c:tx>
            <c:strRef>
              <c:f>Лист1!$D$1</c:f>
              <c:strCache>
                <c:ptCount val="1"/>
                <c:pt idx="0">
                  <c:v>ОГ2б</c:v>
                </c:pt>
              </c:strCache>
            </c:strRef>
          </c:tx>
          <c:spPr>
            <a:ln w="28517"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0.10503481335666374"/>
                  <c:y val="-2.4494125734283213E-2"/>
                </c:manualLayout>
              </c:layout>
              <c:dLblPos val="r"/>
              <c:showVal val="1"/>
            </c:dLbl>
            <c:dLbl>
              <c:idx val="2"/>
              <c:layout>
                <c:manualLayout>
                  <c:x val="-8.6805555555555768E-3"/>
                  <c:y val="7.0743969503812024E-2"/>
                </c:manualLayout>
              </c:layout>
              <c:dLblPos val="r"/>
              <c:showVal val="1"/>
            </c:dLbl>
            <c:dLbl>
              <c:idx val="3"/>
              <c:layout>
                <c:manualLayout>
                  <c:x val="-3.7905183727034296E-2"/>
                  <c:y val="5.8839207599050106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1.9500000000000057</c:v>
                </c:pt>
                <c:pt idx="1">
                  <c:v>1.04</c:v>
                </c:pt>
                <c:pt idx="2">
                  <c:v>1.1100000000000001</c:v>
                </c:pt>
                <c:pt idx="3">
                  <c:v>0.62000000000000288</c:v>
                </c:pt>
              </c:numCache>
            </c:numRef>
          </c:val>
        </c:ser>
        <c:marker val="1"/>
        <c:axId val="115590272"/>
        <c:axId val="115592192"/>
      </c:lineChart>
      <c:catAx>
        <c:axId val="115590272"/>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0262467187"/>
              <c:y val="0.84378812079095056"/>
            </c:manualLayout>
          </c:layout>
          <c:spPr>
            <a:noFill/>
            <a:ln w="25348">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592192"/>
        <c:crosses val="autoZero"/>
        <c:auto val="1"/>
        <c:lblAlgn val="ctr"/>
        <c:lblOffset val="100"/>
      </c:catAx>
      <c:valAx>
        <c:axId val="115592192"/>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849518810279E-2"/>
              <c:y val="0.19626605393187074"/>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590272"/>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
          <c:y val="5.128205128205128E-2"/>
          <c:w val="0.8042105263157896"/>
          <c:h val="0.62637362637363014"/>
        </c:manualLayout>
      </c:layout>
      <c:lineChart>
        <c:grouping val="standard"/>
        <c:ser>
          <c:idx val="0"/>
          <c:order val="0"/>
          <c:tx>
            <c:strRef>
              <c:f>Лист1!$B$1</c:f>
              <c:strCache>
                <c:ptCount val="1"/>
                <c:pt idx="0">
                  <c:v>КГ3</c:v>
                </c:pt>
              </c:strCache>
            </c:strRef>
          </c:tx>
          <c:spPr>
            <a:ln w="28574" cap="rnd">
              <a:solidFill>
                <a:schemeClr val="accent1"/>
              </a:solidFill>
              <a:round/>
            </a:ln>
            <a:effectLst/>
          </c:spPr>
          <c:marker>
            <c:symbol val="none"/>
          </c:marker>
          <c:dLbls>
            <c:dLbl>
              <c:idx val="1"/>
              <c:layout>
                <c:manualLayout>
                  <c:x val="-3.0960739282589675E-2"/>
                  <c:y val="3.8997937757780286E-2"/>
                </c:manualLayout>
              </c:layout>
              <c:dLblPos val="r"/>
              <c:showVal val="1"/>
            </c:dLbl>
            <c:dLbl>
              <c:idx val="2"/>
              <c:layout>
                <c:manualLayout>
                  <c:x val="-7.7257035578886052E-2"/>
                  <c:y val="5.0902699662542183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1.1700000000000021</c:v>
                </c:pt>
                <c:pt idx="1">
                  <c:v>1.1700000000000021</c:v>
                </c:pt>
                <c:pt idx="2">
                  <c:v>1.1700000000000021</c:v>
                </c:pt>
                <c:pt idx="3">
                  <c:v>1.1700000000000021</c:v>
                </c:pt>
              </c:numCache>
            </c:numRef>
          </c:val>
        </c:ser>
        <c:ser>
          <c:idx val="1"/>
          <c:order val="1"/>
          <c:tx>
            <c:strRef>
              <c:f>Лист1!$C$1</c:f>
              <c:strCache>
                <c:ptCount val="1"/>
                <c:pt idx="0">
                  <c:v>ОГ3а</c:v>
                </c:pt>
              </c:strCache>
            </c:strRef>
          </c:tx>
          <c:spPr>
            <a:ln w="28574"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2.0099999999999998</c:v>
                </c:pt>
                <c:pt idx="1">
                  <c:v>1.3800000000000001</c:v>
                </c:pt>
                <c:pt idx="2">
                  <c:v>1.32</c:v>
                </c:pt>
                <c:pt idx="3">
                  <c:v>0.96000000000000063</c:v>
                </c:pt>
              </c:numCache>
            </c:numRef>
          </c:val>
        </c:ser>
        <c:ser>
          <c:idx val="2"/>
          <c:order val="2"/>
          <c:tx>
            <c:strRef>
              <c:f>Лист1!$D$1</c:f>
              <c:strCache>
                <c:ptCount val="1"/>
                <c:pt idx="0">
                  <c:v>ОГ3б</c:v>
                </c:pt>
              </c:strCache>
            </c:strRef>
          </c:tx>
          <c:spPr>
            <a:ln w="28574"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0.10503481335666374"/>
                  <c:y val="-2.4494125734283213E-2"/>
                </c:manualLayout>
              </c:layout>
              <c:dLblPos val="r"/>
              <c:showVal val="1"/>
            </c:dLbl>
            <c:dLbl>
              <c:idx val="2"/>
              <c:layout>
                <c:manualLayout>
                  <c:x val="-8.6805555555555768E-3"/>
                  <c:y val="7.0743969503812024E-2"/>
                </c:manualLayout>
              </c:layout>
              <c:dLblPos val="r"/>
              <c:showVal val="1"/>
            </c:dLbl>
            <c:dLbl>
              <c:idx val="3"/>
              <c:layout>
                <c:manualLayout>
                  <c:x val="-3.7905183727034296E-2"/>
                  <c:y val="5.8839207599050106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2.0099999999999998</c:v>
                </c:pt>
                <c:pt idx="1">
                  <c:v>0.91</c:v>
                </c:pt>
                <c:pt idx="2">
                  <c:v>0.41000000000000031</c:v>
                </c:pt>
                <c:pt idx="3">
                  <c:v>0.23</c:v>
                </c:pt>
              </c:numCache>
            </c:numRef>
          </c:val>
        </c:ser>
        <c:marker val="1"/>
        <c:axId val="115561984"/>
        <c:axId val="115563904"/>
      </c:lineChart>
      <c:catAx>
        <c:axId val="115561984"/>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12925358018"/>
              <c:y val="0.84378834325098673"/>
            </c:manualLayout>
          </c:layout>
          <c:spPr>
            <a:noFill/>
            <a:ln w="25399">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563904"/>
        <c:crosses val="autoZero"/>
        <c:auto val="1"/>
        <c:lblAlgn val="ctr"/>
        <c:lblOffset val="100"/>
      </c:catAx>
      <c:valAx>
        <c:axId val="115563904"/>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Times New Roman"/>
                    <a:ea typeface="Times New Roman"/>
                    <a:cs typeface="Times New Roman"/>
                  </a:defRPr>
                </a:pPr>
                <a:r>
                  <a:rPr lang="ru-RU"/>
                  <a:t>Індекс гігієни
</a:t>
                </a:r>
              </a:p>
            </c:rich>
          </c:tx>
          <c:layout>
            <c:manualLayout>
              <c:xMode val="edge"/>
              <c:yMode val="edge"/>
              <c:x val="1.620366533130738E-2"/>
              <c:y val="0.19626575304041194"/>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561984"/>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94915254237506"/>
          <c:y val="5.1094890510948912E-2"/>
          <c:w val="0.82627118644067865"/>
          <c:h val="0.63503649635036563"/>
        </c:manualLayout>
      </c:layout>
      <c:lineChart>
        <c:grouping val="standard"/>
        <c:ser>
          <c:idx val="0"/>
          <c:order val="0"/>
          <c:tx>
            <c:strRef>
              <c:f>Лист1!$B$1</c:f>
              <c:strCache>
                <c:ptCount val="1"/>
                <c:pt idx="0">
                  <c:v>КГ1</c:v>
                </c:pt>
              </c:strCache>
            </c:strRef>
          </c:tx>
          <c:spPr>
            <a:ln w="28514" cap="rnd">
              <a:solidFill>
                <a:schemeClr val="accent1"/>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0.8</c:v>
                </c:pt>
                <c:pt idx="1">
                  <c:v>0.8</c:v>
                </c:pt>
                <c:pt idx="2">
                  <c:v>0.8</c:v>
                </c:pt>
                <c:pt idx="3">
                  <c:v>0.8</c:v>
                </c:pt>
              </c:numCache>
            </c:numRef>
          </c:val>
        </c:ser>
        <c:ser>
          <c:idx val="1"/>
          <c:order val="1"/>
          <c:tx>
            <c:strRef>
              <c:f>Лист1!$C$1</c:f>
              <c:strCache>
                <c:ptCount val="1"/>
                <c:pt idx="0">
                  <c:v>ОГ1а</c:v>
                </c:pt>
              </c:strCache>
            </c:strRef>
          </c:tx>
          <c:spPr>
            <a:ln w="28514" cap="rnd">
              <a:solidFill>
                <a:schemeClr val="accent2"/>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0.82000000000000062</c:v>
                </c:pt>
                <c:pt idx="1">
                  <c:v>0.91</c:v>
                </c:pt>
                <c:pt idx="2">
                  <c:v>0.91</c:v>
                </c:pt>
                <c:pt idx="3">
                  <c:v>0.91</c:v>
                </c:pt>
              </c:numCache>
            </c:numRef>
          </c:val>
        </c:ser>
        <c:ser>
          <c:idx val="2"/>
          <c:order val="2"/>
          <c:tx>
            <c:strRef>
              <c:f>Лист1!$D$1</c:f>
              <c:strCache>
                <c:ptCount val="1"/>
                <c:pt idx="0">
                  <c:v>ОГ1б</c:v>
                </c:pt>
              </c:strCache>
            </c:strRef>
          </c:tx>
          <c:spPr>
            <a:ln w="28514" cap="rnd">
              <a:solidFill>
                <a:schemeClr val="accent3"/>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0.83000000000000063</c:v>
                </c:pt>
                <c:pt idx="1">
                  <c:v>0.83000000000000063</c:v>
                </c:pt>
                <c:pt idx="2">
                  <c:v>0.83000000000000063</c:v>
                </c:pt>
                <c:pt idx="3">
                  <c:v>0.83000000000000063</c:v>
                </c:pt>
              </c:numCache>
            </c:numRef>
          </c:val>
        </c:ser>
        <c:marker val="1"/>
        <c:axId val="130103168"/>
        <c:axId val="130129920"/>
      </c:lineChart>
      <c:catAx>
        <c:axId val="130103168"/>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13493837953"/>
              <c:y val="0.84378843103975965"/>
            </c:manualLayout>
          </c:layout>
          <c:spPr>
            <a:noFill/>
            <a:ln w="25346">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129920"/>
        <c:crosses val="autoZero"/>
        <c:auto val="1"/>
        <c:lblAlgn val="ctr"/>
        <c:lblOffset val="100"/>
      </c:catAx>
      <c:valAx>
        <c:axId val="130129920"/>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Поширеність карієсу зубів</a:t>
                </a:r>
              </a:p>
            </c:rich>
          </c:tx>
          <c:layout>
            <c:manualLayout>
              <c:xMode val="edge"/>
              <c:yMode val="edge"/>
              <c:x val="1.6203838717691241E-2"/>
              <c:y val="0.19626573180119414"/>
            </c:manualLayout>
          </c:layout>
          <c:spPr>
            <a:noFill/>
            <a:ln w="25346">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103168"/>
        <c:crosses val="autoZero"/>
        <c:crossBetween val="between"/>
      </c:valAx>
      <c:spPr>
        <a:noFill/>
        <a:ln w="25346">
          <a:noFill/>
        </a:ln>
      </c:spPr>
    </c:plotArea>
    <c:legend>
      <c:legendPos val="b"/>
      <c:spPr>
        <a:noFill/>
        <a:ln w="2534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layout/>
                <c15:showLeaderLines val="0"/>
              </c:ext>
            </c:extLst>
          </c:dLbls>
          <c:cat>
            <c:strRef>
              <c:f>Лист20!$A$13:$A$18</c:f>
              <c:strCache>
                <c:ptCount val="6"/>
                <c:pt idx="0">
                  <c:v>КГ1</c:v>
                </c:pt>
                <c:pt idx="1">
                  <c:v>ОГ1</c:v>
                </c:pt>
                <c:pt idx="2">
                  <c:v>КГ2</c:v>
                </c:pt>
                <c:pt idx="3">
                  <c:v>ОГ2</c:v>
                </c:pt>
                <c:pt idx="4">
                  <c:v>КГ3</c:v>
                </c:pt>
                <c:pt idx="5">
                  <c:v>ОГ3</c:v>
                </c:pt>
              </c:strCache>
            </c:strRef>
          </c:cat>
          <c:val>
            <c:numRef>
              <c:f>Лист20!$B$13:$B$18</c:f>
              <c:numCache>
                <c:formatCode>General</c:formatCode>
                <c:ptCount val="6"/>
                <c:pt idx="0">
                  <c:v>1.1200000000000001</c:v>
                </c:pt>
                <c:pt idx="1">
                  <c:v>2.2599999999999998</c:v>
                </c:pt>
                <c:pt idx="2">
                  <c:v>1.36</c:v>
                </c:pt>
                <c:pt idx="3">
                  <c:v>1.9500000000000135</c:v>
                </c:pt>
                <c:pt idx="4">
                  <c:v>1.1700000000000021</c:v>
                </c:pt>
                <c:pt idx="5">
                  <c:v>2.0099999999999998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131240320"/>
        <c:axId val="131265280"/>
      </c:barChart>
      <c:catAx>
        <c:axId val="1312403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65280"/>
        <c:crosses val="autoZero"/>
        <c:auto val="1"/>
        <c:lblAlgn val="ctr"/>
        <c:lblOffset val="100"/>
        <c:noMultiLvlLbl val="1"/>
      </c:catAx>
      <c:valAx>
        <c:axId val="1312652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Індекс гігієни </a:t>
                </a:r>
              </a:p>
            </c:rich>
          </c:tx>
          <c:layout>
            <c:manualLayout>
              <c:xMode val="edge"/>
              <c:yMode val="edge"/>
              <c:x val="5.4165591952541267E-2"/>
              <c:y val="0.31880392912971506"/>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4032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437367303609339"/>
          <c:y val="5.1660516605166053E-2"/>
          <c:w val="0.82377919320594484"/>
          <c:h val="0.63099630996309963"/>
        </c:manualLayout>
      </c:layout>
      <c:lineChart>
        <c:grouping val="standard"/>
        <c:ser>
          <c:idx val="0"/>
          <c:order val="0"/>
          <c:tx>
            <c:strRef>
              <c:f>Лист1!$B$1</c:f>
              <c:strCache>
                <c:ptCount val="1"/>
                <c:pt idx="0">
                  <c:v>КГ2</c:v>
                </c:pt>
              </c:strCache>
            </c:strRef>
          </c:tx>
          <c:spPr>
            <a:ln w="28475" cap="rnd">
              <a:solidFill>
                <a:schemeClr val="accent1"/>
              </a:solidFill>
              <a:round/>
            </a:ln>
            <a:effectLst/>
          </c:spPr>
          <c:marker>
            <c:symbol val="none"/>
          </c:marker>
          <c:dLbls>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0.70000000000000062</c:v>
                </c:pt>
                <c:pt idx="1">
                  <c:v>0.70000000000000062</c:v>
                </c:pt>
                <c:pt idx="2">
                  <c:v>0.70000000000000062</c:v>
                </c:pt>
                <c:pt idx="3">
                  <c:v>0.70000000000000062</c:v>
                </c:pt>
              </c:numCache>
            </c:numRef>
          </c:val>
        </c:ser>
        <c:ser>
          <c:idx val="1"/>
          <c:order val="1"/>
          <c:tx>
            <c:strRef>
              <c:f>Лист1!$C$1</c:f>
              <c:strCache>
                <c:ptCount val="1"/>
                <c:pt idx="0">
                  <c:v>ОГ2а</c:v>
                </c:pt>
              </c:strCache>
            </c:strRef>
          </c:tx>
          <c:spPr>
            <a:ln w="28475" cap="rnd">
              <a:solidFill>
                <a:schemeClr val="accent2"/>
              </a:solidFill>
              <a:round/>
            </a:ln>
            <a:effectLst/>
          </c:spPr>
          <c:marker>
            <c:symbol val="none"/>
          </c:marker>
          <c:dLbls>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0.8</c:v>
                </c:pt>
                <c:pt idx="1">
                  <c:v>0.8</c:v>
                </c:pt>
                <c:pt idx="2">
                  <c:v>0.8</c:v>
                </c:pt>
                <c:pt idx="3">
                  <c:v>0.8</c:v>
                </c:pt>
              </c:numCache>
            </c:numRef>
          </c:val>
        </c:ser>
        <c:ser>
          <c:idx val="2"/>
          <c:order val="2"/>
          <c:tx>
            <c:strRef>
              <c:f>Лист1!$D$1</c:f>
              <c:strCache>
                <c:ptCount val="1"/>
                <c:pt idx="0">
                  <c:v>ОГ2б</c:v>
                </c:pt>
              </c:strCache>
            </c:strRef>
          </c:tx>
          <c:spPr>
            <a:ln w="28475" cap="rnd">
              <a:solidFill>
                <a:schemeClr val="accent3"/>
              </a:solidFill>
              <a:round/>
            </a:ln>
            <a:effectLst/>
          </c:spPr>
          <c:marker>
            <c:symbol val="none"/>
          </c:marker>
          <c:dLbls>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0.82000000000000062</c:v>
                </c:pt>
                <c:pt idx="1">
                  <c:v>0.82000000000000062</c:v>
                </c:pt>
                <c:pt idx="2">
                  <c:v>0.73000000000000065</c:v>
                </c:pt>
                <c:pt idx="3">
                  <c:v>0.73000000000000065</c:v>
                </c:pt>
              </c:numCache>
            </c:numRef>
          </c:val>
        </c:ser>
        <c:marker val="1"/>
        <c:axId val="130160896"/>
        <c:axId val="130183552"/>
      </c:lineChart>
      <c:catAx>
        <c:axId val="130160896"/>
        <c:scaling>
          <c:orientation val="minMax"/>
        </c:scaling>
        <c:axPos val="b"/>
        <c:title>
          <c:tx>
            <c:rich>
              <a:bodyPr/>
              <a:lstStyle/>
              <a:p>
                <a:pPr>
                  <a:defRPr sz="997"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6880158032"/>
              <c:y val="0.84378818239118325"/>
            </c:manualLayout>
          </c:layout>
          <c:spPr>
            <a:noFill/>
            <a:ln w="25311">
              <a:noFill/>
            </a:ln>
          </c:spPr>
        </c:title>
        <c:numFmt formatCode="General" sourceLinked="1"/>
        <c:majorTickMark val="none"/>
        <c:tickLblPos val="nextTo"/>
        <c:spPr>
          <a:noFill/>
          <a:ln w="9492"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183552"/>
        <c:crosses val="autoZero"/>
        <c:auto val="1"/>
        <c:lblAlgn val="ctr"/>
        <c:lblOffset val="100"/>
      </c:catAx>
      <c:valAx>
        <c:axId val="130183552"/>
        <c:scaling>
          <c:orientation val="minMax"/>
        </c:scaling>
        <c:axPos val="l"/>
        <c:majorGridlines>
          <c:spPr>
            <a:ln w="9492" cap="flat" cmpd="sng" algn="ctr">
              <a:solidFill>
                <a:schemeClr val="tx1">
                  <a:lumMod val="15000"/>
                  <a:lumOff val="85000"/>
                </a:schemeClr>
              </a:solidFill>
              <a:round/>
            </a:ln>
            <a:effectLst/>
          </c:spPr>
        </c:majorGridlines>
        <c:title>
          <c:tx>
            <c:rich>
              <a:bodyPr/>
              <a:lstStyle/>
              <a:p>
                <a:pPr>
                  <a:defRPr sz="997" b="0" i="0" u="none" strike="noStrike" baseline="0">
                    <a:solidFill>
                      <a:srgbClr val="333333"/>
                    </a:solidFill>
                    <a:latin typeface="Times New Roman"/>
                    <a:ea typeface="Times New Roman"/>
                    <a:cs typeface="Times New Roman"/>
                  </a:defRPr>
                </a:pPr>
                <a:r>
                  <a:rPr lang="ru-RU"/>
                  <a:t>Поширеність карієсу зубів</a:t>
                </a:r>
              </a:p>
            </c:rich>
          </c:tx>
          <c:layout>
            <c:manualLayout>
              <c:xMode val="edge"/>
              <c:yMode val="edge"/>
              <c:x val="1.6203912655247992E-2"/>
              <c:y val="0.19626600438386071"/>
            </c:manualLayout>
          </c:layout>
          <c:spPr>
            <a:noFill/>
            <a:ln w="25311">
              <a:noFill/>
            </a:ln>
          </c:spPr>
        </c:title>
        <c:numFmt formatCode="General" sourceLinked="1"/>
        <c:majorTickMark val="none"/>
        <c:tickLblPos val="nextTo"/>
        <c:spPr>
          <a:ln w="6328">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160896"/>
        <c:crosses val="autoZero"/>
        <c:crossBetween val="between"/>
      </c:valAx>
      <c:spPr>
        <a:noFill/>
        <a:ln w="25311">
          <a:noFill/>
        </a:ln>
      </c:spPr>
    </c:plotArea>
    <c:legend>
      <c:legendPos val="b"/>
      <c:spPr>
        <a:noFill/>
        <a:ln w="25311">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92" cap="flat" cmpd="sng" algn="ctr">
      <a:solidFill>
        <a:schemeClr val="tx1">
          <a:lumMod val="15000"/>
          <a:lumOff val="85000"/>
        </a:schemeClr>
      </a:solidFill>
      <a:round/>
    </a:ln>
    <a:effectLst/>
  </c:spPr>
  <c:txPr>
    <a:bodyPr/>
    <a:lstStyle/>
    <a:p>
      <a:pP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923728813559418"/>
          <c:y val="5.1094890510948912E-2"/>
          <c:w val="0.8389830508474575"/>
          <c:h val="0.63503649635036563"/>
        </c:manualLayout>
      </c:layout>
      <c:lineChart>
        <c:grouping val="standard"/>
        <c:ser>
          <c:idx val="0"/>
          <c:order val="0"/>
          <c:tx>
            <c:strRef>
              <c:f>Лист1!$B$1</c:f>
              <c:strCache>
                <c:ptCount val="1"/>
                <c:pt idx="0">
                  <c:v>КГ3</c:v>
                </c:pt>
              </c:strCache>
            </c:strRef>
          </c:tx>
          <c:spPr>
            <a:ln w="28514" cap="rnd">
              <a:solidFill>
                <a:schemeClr val="accent1"/>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0.750000000000003</c:v>
                </c:pt>
                <c:pt idx="1">
                  <c:v>0.750000000000003</c:v>
                </c:pt>
                <c:pt idx="2">
                  <c:v>0.750000000000003</c:v>
                </c:pt>
                <c:pt idx="3">
                  <c:v>0.750000000000003</c:v>
                </c:pt>
              </c:numCache>
            </c:numRef>
          </c:val>
        </c:ser>
        <c:ser>
          <c:idx val="1"/>
          <c:order val="1"/>
          <c:tx>
            <c:strRef>
              <c:f>Лист1!$C$1</c:f>
              <c:strCache>
                <c:ptCount val="1"/>
                <c:pt idx="0">
                  <c:v>ОГ3а</c:v>
                </c:pt>
              </c:strCache>
            </c:strRef>
          </c:tx>
          <c:spPr>
            <a:ln w="28514" cap="rnd">
              <a:solidFill>
                <a:schemeClr val="accent2"/>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0.85000000000000064</c:v>
                </c:pt>
                <c:pt idx="1">
                  <c:v>0.85000000000000064</c:v>
                </c:pt>
                <c:pt idx="2">
                  <c:v>0.85000000000000064</c:v>
                </c:pt>
                <c:pt idx="3">
                  <c:v>0.92</c:v>
                </c:pt>
              </c:numCache>
            </c:numRef>
          </c:val>
        </c:ser>
        <c:ser>
          <c:idx val="2"/>
          <c:order val="2"/>
          <c:tx>
            <c:strRef>
              <c:f>Лист1!$D$1</c:f>
              <c:strCache>
                <c:ptCount val="1"/>
                <c:pt idx="0">
                  <c:v>ОГ3б</c:v>
                </c:pt>
              </c:strCache>
            </c:strRef>
          </c:tx>
          <c:spPr>
            <a:ln w="28514" cap="rnd">
              <a:solidFill>
                <a:schemeClr val="accent3"/>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0.85000000000000064</c:v>
                </c:pt>
                <c:pt idx="1">
                  <c:v>0.85000000000000064</c:v>
                </c:pt>
                <c:pt idx="2">
                  <c:v>0.85000000000000064</c:v>
                </c:pt>
                <c:pt idx="3">
                  <c:v>0.85000000000000064</c:v>
                </c:pt>
              </c:numCache>
            </c:numRef>
          </c:val>
        </c:ser>
        <c:marker val="1"/>
        <c:axId val="130321024"/>
        <c:axId val="130331392"/>
      </c:lineChart>
      <c:catAx>
        <c:axId val="130321024"/>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1891599982"/>
              <c:y val="0.84378806006139695"/>
            </c:manualLayout>
          </c:layout>
          <c:spPr>
            <a:noFill/>
            <a:ln w="25346">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331392"/>
        <c:crosses val="autoZero"/>
        <c:auto val="1"/>
        <c:lblAlgn val="ctr"/>
        <c:lblOffset val="100"/>
      </c:catAx>
      <c:valAx>
        <c:axId val="130331392"/>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Поширеність карієсу зубів</a:t>
                </a:r>
              </a:p>
            </c:rich>
          </c:tx>
          <c:layout>
            <c:manualLayout>
              <c:xMode val="edge"/>
              <c:yMode val="edge"/>
              <c:x val="1.6203838717691241E-2"/>
              <c:y val="0.19626573180119414"/>
            </c:manualLayout>
          </c:layout>
          <c:spPr>
            <a:noFill/>
            <a:ln w="25346">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321024"/>
        <c:crosses val="autoZero"/>
        <c:crossBetween val="between"/>
      </c:valAx>
      <c:spPr>
        <a:noFill/>
        <a:ln w="25346">
          <a:noFill/>
        </a:ln>
      </c:spPr>
    </c:plotArea>
    <c:legend>
      <c:legendPos val="b"/>
      <c:spPr>
        <a:noFill/>
        <a:ln w="2534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514" cap="rnd">
              <a:solidFill>
                <a:schemeClr val="accent1"/>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2.6</c:v>
                </c:pt>
                <c:pt idx="1">
                  <c:v>2.6</c:v>
                </c:pt>
                <c:pt idx="2">
                  <c:v>2.6</c:v>
                </c:pt>
                <c:pt idx="3">
                  <c:v>2.6</c:v>
                </c:pt>
              </c:numCache>
            </c:numRef>
          </c:val>
        </c:ser>
        <c:ser>
          <c:idx val="1"/>
          <c:order val="1"/>
          <c:tx>
            <c:strRef>
              <c:f>Лист1!$C$1</c:f>
              <c:strCache>
                <c:ptCount val="1"/>
                <c:pt idx="0">
                  <c:v>ОГ1а</c:v>
                </c:pt>
              </c:strCache>
            </c:strRef>
          </c:tx>
          <c:spPr>
            <a:ln w="28514" cap="rnd">
              <a:solidFill>
                <a:schemeClr val="accent2"/>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5.45</c:v>
                </c:pt>
                <c:pt idx="1">
                  <c:v>5.3599999999999985</c:v>
                </c:pt>
                <c:pt idx="2">
                  <c:v>5.2700000000000014</c:v>
                </c:pt>
                <c:pt idx="3">
                  <c:v>5.18</c:v>
                </c:pt>
              </c:numCache>
            </c:numRef>
          </c:val>
        </c:ser>
        <c:ser>
          <c:idx val="2"/>
          <c:order val="2"/>
          <c:tx>
            <c:strRef>
              <c:f>Лист1!$D$1</c:f>
              <c:strCache>
                <c:ptCount val="1"/>
                <c:pt idx="0">
                  <c:v>ОГ1б</c:v>
                </c:pt>
              </c:strCache>
            </c:strRef>
          </c:tx>
          <c:spPr>
            <a:ln w="28514"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5.5</c:v>
                </c:pt>
                <c:pt idx="1">
                  <c:v>5.33</c:v>
                </c:pt>
                <c:pt idx="2">
                  <c:v>4.58</c:v>
                </c:pt>
                <c:pt idx="3">
                  <c:v>4.08</c:v>
                </c:pt>
              </c:numCache>
            </c:numRef>
          </c:val>
        </c:ser>
        <c:marker val="1"/>
        <c:axId val="130268160"/>
        <c:axId val="130282624"/>
      </c:lineChart>
      <c:catAx>
        <c:axId val="130268160"/>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1703754676"/>
              <c:y val="0.84378834032607264"/>
            </c:manualLayout>
          </c:layout>
          <c:spPr>
            <a:noFill/>
            <a:ln w="25346">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282624"/>
        <c:crosses val="autoZero"/>
        <c:auto val="1"/>
        <c:lblAlgn val="ctr"/>
        <c:lblOffset val="100"/>
      </c:catAx>
      <c:valAx>
        <c:axId val="130282624"/>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Інтенсивність карієсу
</a:t>
                </a:r>
              </a:p>
            </c:rich>
          </c:tx>
          <c:layout>
            <c:manualLayout>
              <c:xMode val="edge"/>
              <c:yMode val="edge"/>
              <c:x val="1.6203811480086743E-2"/>
              <c:y val="0.19626606893116474"/>
            </c:manualLayout>
          </c:layout>
          <c:spPr>
            <a:noFill/>
            <a:ln w="25346">
              <a:noFill/>
            </a:ln>
          </c:spPr>
        </c:title>
        <c:numFmt formatCode="General" sourceLinked="1"/>
        <c:maj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268160"/>
        <c:crosses val="autoZero"/>
        <c:crossBetween val="between"/>
      </c:valAx>
      <c:spPr>
        <a:noFill/>
        <a:ln w="25346">
          <a:noFill/>
        </a:ln>
      </c:spPr>
    </c:plotArea>
    <c:legend>
      <c:legendPos val="b"/>
      <c:spPr>
        <a:noFill/>
        <a:ln w="2534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16" cap="rnd">
              <a:solidFill>
                <a:schemeClr val="accent1"/>
              </a:solidFill>
              <a:round/>
            </a:ln>
            <a:effectLst/>
          </c:spPr>
          <c:marker>
            <c:symbol val="none"/>
          </c:marker>
          <c:dLbls>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1.6</c:v>
                </c:pt>
                <c:pt idx="1">
                  <c:v>1.6</c:v>
                </c:pt>
                <c:pt idx="2">
                  <c:v>1.6</c:v>
                </c:pt>
                <c:pt idx="3">
                  <c:v>1.6</c:v>
                </c:pt>
              </c:numCache>
            </c:numRef>
          </c:val>
        </c:ser>
        <c:ser>
          <c:idx val="1"/>
          <c:order val="1"/>
          <c:tx>
            <c:strRef>
              <c:f>Лист1!$C$1</c:f>
              <c:strCache>
                <c:ptCount val="1"/>
                <c:pt idx="0">
                  <c:v>ОГ2а</c:v>
                </c:pt>
              </c:strCache>
            </c:strRef>
          </c:tx>
          <c:spPr>
            <a:ln w="28516" cap="rnd">
              <a:solidFill>
                <a:schemeClr val="accent2"/>
              </a:solidFill>
              <a:round/>
            </a:ln>
            <a:effectLst/>
          </c:spPr>
          <c:marker>
            <c:symbol val="none"/>
          </c:marker>
          <c:dLbls>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4.0999999999999996</c:v>
                </c:pt>
                <c:pt idx="1">
                  <c:v>4.0999999999999996</c:v>
                </c:pt>
                <c:pt idx="2">
                  <c:v>4.5</c:v>
                </c:pt>
                <c:pt idx="3">
                  <c:v>4.9000000000000004</c:v>
                </c:pt>
              </c:numCache>
            </c:numRef>
          </c:val>
        </c:ser>
        <c:ser>
          <c:idx val="2"/>
          <c:order val="2"/>
          <c:tx>
            <c:strRef>
              <c:f>Лист1!$D$1</c:f>
              <c:strCache>
                <c:ptCount val="1"/>
                <c:pt idx="0">
                  <c:v>ОГ2б</c:v>
                </c:pt>
              </c:strCache>
            </c:strRef>
          </c:tx>
          <c:spPr>
            <a:ln w="28516"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2.2569444444444541E-2"/>
                  <c:y val="4.2966191726034532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4.09</c:v>
                </c:pt>
                <c:pt idx="1">
                  <c:v>4</c:v>
                </c:pt>
                <c:pt idx="2">
                  <c:v>4</c:v>
                </c:pt>
                <c:pt idx="3">
                  <c:v>3.9099999999999997</c:v>
                </c:pt>
              </c:numCache>
            </c:numRef>
          </c:val>
        </c:ser>
        <c:marker val="1"/>
        <c:axId val="91704704"/>
        <c:axId val="91715072"/>
      </c:lineChart>
      <c:catAx>
        <c:axId val="91704704"/>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8608262425"/>
              <c:y val="0.8437883082796469"/>
            </c:manualLayout>
          </c:layout>
          <c:spPr>
            <a:noFill/>
            <a:ln w="25348">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715072"/>
        <c:crosses val="autoZero"/>
        <c:auto val="1"/>
        <c:lblAlgn val="ctr"/>
        <c:lblOffset val="100"/>
      </c:catAx>
      <c:valAx>
        <c:axId val="91715072"/>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Інтенсивність карієсу
</a:t>
                </a:r>
              </a:p>
            </c:rich>
          </c:tx>
          <c:layout>
            <c:manualLayout>
              <c:xMode val="edge"/>
              <c:yMode val="edge"/>
              <c:x val="1.6203709830388945E-2"/>
              <c:y val="0.19626590312574571"/>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704704"/>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514" cap="rnd">
              <a:solidFill>
                <a:schemeClr val="accent1"/>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1.5</c:v>
                </c:pt>
                <c:pt idx="1">
                  <c:v>1.5</c:v>
                </c:pt>
                <c:pt idx="2">
                  <c:v>1.5</c:v>
                </c:pt>
                <c:pt idx="3">
                  <c:v>1.5</c:v>
                </c:pt>
              </c:numCache>
            </c:numRef>
          </c:val>
        </c:ser>
        <c:ser>
          <c:idx val="1"/>
          <c:order val="1"/>
          <c:tx>
            <c:strRef>
              <c:f>Лист1!$C$1</c:f>
              <c:strCache>
                <c:ptCount val="1"/>
                <c:pt idx="0">
                  <c:v>ОГ3а</c:v>
                </c:pt>
              </c:strCache>
            </c:strRef>
          </c:tx>
          <c:spPr>
            <a:ln w="28514" cap="rnd">
              <a:solidFill>
                <a:schemeClr val="accent2"/>
              </a:solidFill>
              <a:round/>
            </a:ln>
            <a:effectLst/>
          </c:spPr>
          <c:marker>
            <c:symbol val="none"/>
          </c:marker>
          <c:dLbls>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4.38</c:v>
                </c:pt>
                <c:pt idx="1">
                  <c:v>4.6199999999999966</c:v>
                </c:pt>
                <c:pt idx="2">
                  <c:v>5.31</c:v>
                </c:pt>
                <c:pt idx="3">
                  <c:v>6.23</c:v>
                </c:pt>
              </c:numCache>
            </c:numRef>
          </c:val>
        </c:ser>
        <c:ser>
          <c:idx val="2"/>
          <c:order val="2"/>
          <c:tx>
            <c:strRef>
              <c:f>Лист1!$D$1</c:f>
              <c:strCache>
                <c:ptCount val="1"/>
                <c:pt idx="0">
                  <c:v>ОГ3б</c:v>
                </c:pt>
              </c:strCache>
            </c:strRef>
          </c:tx>
          <c:spPr>
            <a:ln w="28514" cap="rnd">
              <a:solidFill>
                <a:schemeClr val="accent3"/>
              </a:solidFill>
              <a:round/>
            </a:ln>
            <a:effectLst/>
          </c:spPr>
          <c:marker>
            <c:symbol val="none"/>
          </c:marker>
          <c:dLbls>
            <c:dLbl>
              <c:idx val="0"/>
              <c:layout>
                <c:manualLayout>
                  <c:x val="-3.2696850393700808E-2"/>
                  <c:y val="5.4870953630796193E-2"/>
                </c:manualLayout>
              </c:layout>
              <c:dLblPos val="r"/>
              <c:showVal val="1"/>
            </c:dLbl>
            <c:dLbl>
              <c:idx val="1"/>
              <c:layout>
                <c:manualLayout>
                  <c:x val="-4.0219998541849017E-2"/>
                  <c:y val="5.0902699662542183E-2"/>
                </c:manualLayout>
              </c:layout>
              <c:dLblPos val="r"/>
              <c:showVal val="1"/>
            </c:dLbl>
            <c:dLbl>
              <c:idx val="2"/>
              <c:layout>
                <c:manualLayout>
                  <c:x val="-2.2569444444444541E-2"/>
                  <c:y val="4.2966191726034532E-2"/>
                </c:manualLayout>
              </c:layout>
              <c:dLblPos val="r"/>
              <c:showVal val="1"/>
            </c:dLbl>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4.3099999999999996</c:v>
                </c:pt>
                <c:pt idx="1">
                  <c:v>4.46</c:v>
                </c:pt>
                <c:pt idx="2">
                  <c:v>4.6199999999999966</c:v>
                </c:pt>
                <c:pt idx="3">
                  <c:v>4.6899999999999995</c:v>
                </c:pt>
              </c:numCache>
            </c:numRef>
          </c:val>
        </c:ser>
        <c:marker val="1"/>
        <c:axId val="92106752"/>
        <c:axId val="92108672"/>
      </c:lineChart>
      <c:catAx>
        <c:axId val="92106752"/>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0402974282"/>
              <c:y val="0.84378840512583064"/>
            </c:manualLayout>
          </c:layout>
          <c:spPr>
            <a:noFill/>
            <a:ln w="25346">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108672"/>
        <c:crosses val="autoZero"/>
        <c:auto val="1"/>
        <c:lblAlgn val="ctr"/>
        <c:lblOffset val="100"/>
      </c:catAx>
      <c:valAx>
        <c:axId val="92108672"/>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Інтенсивність карієсу
</a:t>
                </a:r>
              </a:p>
            </c:rich>
          </c:tx>
          <c:layout>
            <c:manualLayout>
              <c:xMode val="edge"/>
              <c:yMode val="edge"/>
              <c:x val="1.6203723999168321E-2"/>
              <c:y val="0.19626601821831097"/>
            </c:manualLayout>
          </c:layout>
          <c:spPr>
            <a:noFill/>
            <a:ln w="25346">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106752"/>
        <c:crosses val="autoZero"/>
        <c:crossBetween val="between"/>
      </c:valAx>
      <c:spPr>
        <a:noFill/>
        <a:ln w="25346">
          <a:noFill/>
        </a:ln>
      </c:spPr>
    </c:plotArea>
    <c:legend>
      <c:legendPos val="b"/>
      <c:spPr>
        <a:noFill/>
        <a:ln w="2534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perspective val="30"/>
    </c:view3D>
    <c:plotArea>
      <c:layout/>
      <c:bar3DChart>
        <c:barDir val="col"/>
        <c:grouping val="clustered"/>
        <c:ser>
          <c:idx val="0"/>
          <c:order val="0"/>
          <c:spPr>
            <a:solidFill>
              <a:srgbClr val="FF0000"/>
            </a:solidFill>
          </c:spPr>
          <c:dPt>
            <c:idx val="0"/>
            <c:spPr>
              <a:solidFill>
                <a:srgbClr val="FFFF00"/>
              </a:solidFill>
            </c:spPr>
          </c:dPt>
          <c:dPt>
            <c:idx val="1"/>
            <c:spPr>
              <a:solidFill>
                <a:srgbClr val="0070C0"/>
              </a:solidFill>
            </c:spPr>
          </c:dPt>
          <c:cat>
            <c:strRef>
              <c:f>Лист35!$A$3:$A$5</c:f>
              <c:strCache>
                <c:ptCount val="3"/>
                <c:pt idx="0">
                  <c:v>7-8 років</c:v>
                </c:pt>
                <c:pt idx="1">
                  <c:v>11-12 років</c:v>
                </c:pt>
                <c:pt idx="2">
                  <c:v>14-15 років</c:v>
                </c:pt>
              </c:strCache>
            </c:strRef>
          </c:cat>
          <c:val>
            <c:numRef>
              <c:f>Лист35!$B$3:$B$5</c:f>
              <c:numCache>
                <c:formatCode>0%</c:formatCode>
                <c:ptCount val="3"/>
                <c:pt idx="0">
                  <c:v>0.21000000000000021</c:v>
                </c:pt>
                <c:pt idx="1">
                  <c:v>0.2</c:v>
                </c:pt>
                <c:pt idx="2">
                  <c:v>0.25</c:v>
                </c:pt>
              </c:numCache>
            </c:numRef>
          </c:val>
        </c:ser>
        <c:shape val="cylinder"/>
        <c:axId val="130402944"/>
        <c:axId val="130405120"/>
        <c:axId val="0"/>
      </c:bar3DChart>
      <c:catAx>
        <c:axId val="130402944"/>
        <c:scaling>
          <c:orientation val="minMax"/>
        </c:scaling>
        <c:axPos val="b"/>
        <c:title>
          <c:tx>
            <c:rich>
              <a:bodyPr/>
              <a:lstStyle/>
              <a:p>
                <a:pPr>
                  <a:defRPr lang="uk-UA"/>
                </a:pPr>
                <a:r>
                  <a:rPr lang="uk-UA"/>
                  <a:t>Групи</a:t>
                </a:r>
                <a:r>
                  <a:rPr lang="uk-UA" baseline="0"/>
                  <a:t> дітей</a:t>
                </a:r>
                <a:endParaRPr lang="uk-UA"/>
              </a:p>
            </c:rich>
          </c:tx>
        </c:title>
        <c:numFmt formatCode="General" sourceLinked="1"/>
        <c:majorTickMark val="none"/>
        <c:tickLblPos val="nextTo"/>
        <c:txPr>
          <a:bodyPr/>
          <a:lstStyle/>
          <a:p>
            <a:pPr>
              <a:defRPr lang="uk-UA"/>
            </a:pPr>
            <a:endParaRPr lang="ru-RU"/>
          </a:p>
        </c:txPr>
        <c:crossAx val="130405120"/>
        <c:crosses val="autoZero"/>
        <c:auto val="1"/>
        <c:lblAlgn val="ctr"/>
        <c:lblOffset val="100"/>
      </c:catAx>
      <c:valAx>
        <c:axId val="130405120"/>
        <c:scaling>
          <c:orientation val="minMax"/>
        </c:scaling>
        <c:axPos val="l"/>
        <c:majorGridlines/>
        <c:title>
          <c:tx>
            <c:rich>
              <a:bodyPr rot="-5400000" vert="horz"/>
              <a:lstStyle/>
              <a:p>
                <a:pPr>
                  <a:defRPr lang="uk-UA"/>
                </a:pPr>
                <a:r>
                  <a:rPr lang="uk-UA"/>
                  <a:t>КПЕ</a:t>
                </a:r>
              </a:p>
            </c:rich>
          </c:tx>
        </c:title>
        <c:numFmt formatCode="0%" sourceLinked="1"/>
        <c:majorTickMark val="none"/>
        <c:tickLblPos val="nextTo"/>
        <c:txPr>
          <a:bodyPr/>
          <a:lstStyle/>
          <a:p>
            <a:pPr>
              <a:defRPr lang="uk-UA"/>
            </a:pPr>
            <a:endParaRPr lang="ru-RU"/>
          </a:p>
        </c:txPr>
        <c:crossAx val="130402944"/>
        <c:crosses val="autoZero"/>
        <c:crossBetween val="between"/>
      </c:valAx>
    </c:plotArea>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518" cap="rnd">
              <a:solidFill>
                <a:schemeClr val="accent1"/>
              </a:solidFill>
              <a:round/>
            </a:ln>
            <a:effectLst/>
          </c:spPr>
          <c:marker>
            <c:symbol val="none"/>
          </c:marker>
          <c:dLbls>
            <c:dLbl>
              <c:idx val="1"/>
              <c:layout>
                <c:manualLayout>
                  <c:x val="-3.0960739282589675E-2"/>
                  <c:y val="3.8997937757780286E-2"/>
                </c:manualLayout>
              </c:layout>
              <c:dLblPos val="r"/>
              <c:showVal val="1"/>
            </c:dLbl>
            <c:dLbl>
              <c:idx val="2"/>
              <c:layout>
                <c:manualLayout>
                  <c:x val="-7.7257035578886052E-2"/>
                  <c:y val="5.0902699662542183E-2"/>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9.8000000000000007</c:v>
                </c:pt>
                <c:pt idx="1">
                  <c:v>9.8000000000000007</c:v>
                </c:pt>
                <c:pt idx="2">
                  <c:v>9.8000000000000007</c:v>
                </c:pt>
                <c:pt idx="3">
                  <c:v>9.8000000000000007</c:v>
                </c:pt>
              </c:numCache>
            </c:numRef>
          </c:val>
        </c:ser>
        <c:ser>
          <c:idx val="1"/>
          <c:order val="1"/>
          <c:tx>
            <c:strRef>
              <c:f>Лист1!$C$1</c:f>
              <c:strCache>
                <c:ptCount val="1"/>
                <c:pt idx="0">
                  <c:v>ОГ1а</c:v>
                </c:pt>
              </c:strCache>
            </c:strRef>
          </c:tx>
          <c:spPr>
            <a:ln w="28518"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33.550000000000004</c:v>
                </c:pt>
                <c:pt idx="1">
                  <c:v>16.82</c:v>
                </c:pt>
                <c:pt idx="2">
                  <c:v>17.899999999999999</c:v>
                </c:pt>
                <c:pt idx="3">
                  <c:v>9.9</c:v>
                </c:pt>
              </c:numCache>
            </c:numRef>
          </c:val>
        </c:ser>
        <c:ser>
          <c:idx val="2"/>
          <c:order val="2"/>
          <c:tx>
            <c:strRef>
              <c:f>Лист1!$D$1</c:f>
              <c:strCache>
                <c:ptCount val="1"/>
                <c:pt idx="0">
                  <c:v>ОГ1б</c:v>
                </c:pt>
              </c:strCache>
            </c:strRef>
          </c:tx>
          <c:spPr>
            <a:ln w="28518"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2.4494125734283213E-2"/>
                </c:manualLayout>
              </c:layout>
              <c:dLblPos val="r"/>
              <c:showVal val="1"/>
            </c:dLbl>
            <c:dLbl>
              <c:idx val="2"/>
              <c:layout>
                <c:manualLayout>
                  <c:x val="-8.6805555555555768E-3"/>
                  <c:y val="7.0743969503812024E-2"/>
                </c:manualLayout>
              </c:layout>
              <c:dLblPos val="r"/>
              <c:showVal val="1"/>
            </c:dLbl>
            <c:dLbl>
              <c:idx val="3"/>
              <c:layout>
                <c:manualLayout>
                  <c:x val="-3.7905183727034296E-2"/>
                  <c:y val="5.8839207599050106E-2"/>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33.17</c:v>
                </c:pt>
                <c:pt idx="1">
                  <c:v>9.75</c:v>
                </c:pt>
                <c:pt idx="2">
                  <c:v>12.25</c:v>
                </c:pt>
                <c:pt idx="3">
                  <c:v>3.75</c:v>
                </c:pt>
              </c:numCache>
            </c:numRef>
          </c:val>
        </c:ser>
        <c:marker val="1"/>
        <c:axId val="130255488"/>
        <c:axId val="130425600"/>
      </c:lineChart>
      <c:catAx>
        <c:axId val="130255488"/>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6110753931"/>
              <c:y val="0.84378848891186653"/>
            </c:manualLayout>
          </c:layout>
          <c:spPr>
            <a:noFill/>
            <a:ln w="25349">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425600"/>
        <c:crosses val="autoZero"/>
        <c:auto val="1"/>
        <c:lblAlgn val="ctr"/>
        <c:lblOffset val="100"/>
      </c:catAx>
      <c:valAx>
        <c:axId val="130425600"/>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РМА (%)
</a:t>
                </a:r>
              </a:p>
            </c:rich>
          </c:tx>
          <c:layout>
            <c:manualLayout>
              <c:xMode val="edge"/>
              <c:yMode val="edge"/>
              <c:x val="1.6203875947793107E-2"/>
              <c:y val="0.19626561424340705"/>
            </c:manualLayout>
          </c:layout>
          <c:spPr>
            <a:noFill/>
            <a:ln w="25349">
              <a:noFill/>
            </a:ln>
          </c:spPr>
        </c:title>
        <c:numFmt formatCode="General" sourceLinked="1"/>
        <c:majorTickMark val="none"/>
        <c:tickLblPos val="nextTo"/>
        <c:spPr>
          <a:ln w="9506">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255488"/>
        <c:crosses val="autoZero"/>
        <c:crossBetween val="between"/>
      </c:valAx>
      <c:spPr>
        <a:noFill/>
        <a:ln w="25349">
          <a:noFill/>
        </a:ln>
      </c:spPr>
    </c:plotArea>
    <c:legend>
      <c:legendPos val="b"/>
      <c:spPr>
        <a:noFill/>
        <a:ln w="25349">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15" cap="rnd">
              <a:solidFill>
                <a:schemeClr val="accent1"/>
              </a:solidFill>
              <a:round/>
            </a:ln>
            <a:effectLst/>
          </c:spPr>
          <c:marker>
            <c:symbol val="none"/>
          </c:marker>
          <c:dLbls>
            <c:dLbl>
              <c:idx val="1"/>
              <c:layout>
                <c:manualLayout>
                  <c:x val="-3.0960739282589675E-2"/>
                  <c:y val="5.4870953630796193E-2"/>
                </c:manualLayout>
              </c:layout>
              <c:dLblPos val="r"/>
              <c:showVal val="1"/>
            </c:dLbl>
            <c:dLbl>
              <c:idx val="2"/>
              <c:layout>
                <c:manualLayout>
                  <c:x val="-7.7257035578886052E-2"/>
                  <c:y val="5.0902699662542183E-2"/>
                </c:manualLayout>
              </c:layout>
              <c:dLblPos val="r"/>
              <c:showVal val="1"/>
            </c:dLbl>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11.7</c:v>
                </c:pt>
                <c:pt idx="1">
                  <c:v>11.7</c:v>
                </c:pt>
                <c:pt idx="2">
                  <c:v>11.7</c:v>
                </c:pt>
                <c:pt idx="3">
                  <c:v>11.7</c:v>
                </c:pt>
              </c:numCache>
            </c:numRef>
          </c:val>
        </c:ser>
        <c:ser>
          <c:idx val="1"/>
          <c:order val="1"/>
          <c:tx>
            <c:strRef>
              <c:f>Лист1!$C$1</c:f>
              <c:strCache>
                <c:ptCount val="1"/>
                <c:pt idx="0">
                  <c:v>ОГ2а</c:v>
                </c:pt>
              </c:strCache>
            </c:strRef>
          </c:tx>
          <c:spPr>
            <a:ln w="28515"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24.5</c:v>
                </c:pt>
                <c:pt idx="1">
                  <c:v>10.9</c:v>
                </c:pt>
                <c:pt idx="2">
                  <c:v>15.7</c:v>
                </c:pt>
                <c:pt idx="3">
                  <c:v>9.1</c:v>
                </c:pt>
              </c:numCache>
            </c:numRef>
          </c:val>
        </c:ser>
        <c:ser>
          <c:idx val="2"/>
          <c:order val="2"/>
          <c:tx>
            <c:strRef>
              <c:f>Лист1!$D$1</c:f>
              <c:strCache>
                <c:ptCount val="1"/>
                <c:pt idx="0">
                  <c:v>ОГ2б</c:v>
                </c:pt>
              </c:strCache>
            </c:strRef>
          </c:tx>
          <c:spPr>
            <a:ln w="28515"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2.4494125734283213E-2"/>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34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24.91</c:v>
                </c:pt>
                <c:pt idx="1">
                  <c:v>6.2700000000000014</c:v>
                </c:pt>
                <c:pt idx="2">
                  <c:v>12.27</c:v>
                </c:pt>
                <c:pt idx="3">
                  <c:v>3.09</c:v>
                </c:pt>
              </c:numCache>
            </c:numRef>
          </c:val>
        </c:ser>
        <c:marker val="1"/>
        <c:axId val="130497536"/>
        <c:axId val="130507904"/>
      </c:lineChart>
      <c:catAx>
        <c:axId val="130497536"/>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1282449541"/>
              <c:y val="0.84378847338345631"/>
            </c:manualLayout>
          </c:layout>
          <c:spPr>
            <a:noFill/>
            <a:ln w="25346">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507904"/>
        <c:crosses val="autoZero"/>
        <c:auto val="1"/>
        <c:lblAlgn val="ctr"/>
        <c:lblOffset val="100"/>
      </c:catAx>
      <c:valAx>
        <c:axId val="130507904"/>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Індекс РМА (%)
</a:t>
                </a:r>
              </a:p>
            </c:rich>
          </c:tx>
          <c:layout>
            <c:manualLayout>
              <c:xMode val="edge"/>
              <c:yMode val="edge"/>
              <c:x val="1.6203646577659717E-2"/>
              <c:y val="0.19626585788384243"/>
            </c:manualLayout>
          </c:layout>
          <c:spPr>
            <a:noFill/>
            <a:ln w="25346">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497536"/>
        <c:crosses val="autoZero"/>
        <c:crossBetween val="between"/>
      </c:valAx>
      <c:spPr>
        <a:noFill/>
        <a:ln w="25346">
          <a:noFill/>
        </a:ln>
      </c:spPr>
    </c:plotArea>
    <c:legend>
      <c:legendPos val="b"/>
      <c:spPr>
        <a:noFill/>
        <a:ln w="2534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271966527196743"/>
          <c:y val="5.1094890510948912E-2"/>
          <c:w val="0.81380753138075312"/>
          <c:h val="0.63503649635036563"/>
        </c:manualLayout>
      </c:layout>
      <c:lineChart>
        <c:grouping val="standard"/>
        <c:ser>
          <c:idx val="0"/>
          <c:order val="0"/>
          <c:tx>
            <c:strRef>
              <c:f>Лист1!$B$1</c:f>
              <c:strCache>
                <c:ptCount val="1"/>
                <c:pt idx="0">
                  <c:v>КГ3</c:v>
                </c:pt>
              </c:strCache>
            </c:strRef>
          </c:tx>
          <c:spPr>
            <a:ln w="28574" cap="rnd">
              <a:solidFill>
                <a:schemeClr val="accent1"/>
              </a:solidFill>
              <a:round/>
            </a:ln>
            <a:effectLst/>
          </c:spPr>
          <c:marker>
            <c:symbol val="none"/>
          </c:marker>
          <c:dLbls>
            <c:dLbl>
              <c:idx val="1"/>
              <c:layout>
                <c:manualLayout>
                  <c:x val="-3.0960739282589675E-2"/>
                  <c:y val="5.4870953630796193E-2"/>
                </c:manualLayout>
              </c:layout>
              <c:dLblPos val="r"/>
              <c:showVal val="1"/>
            </c:dLbl>
            <c:dLbl>
              <c:idx val="2"/>
              <c:layout>
                <c:manualLayout>
                  <c:x val="-7.7257035578886052E-2"/>
                  <c:y val="5.0902699662542183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7.67</c:v>
                </c:pt>
                <c:pt idx="1">
                  <c:v>7.67</c:v>
                </c:pt>
                <c:pt idx="2">
                  <c:v>7.67</c:v>
                </c:pt>
                <c:pt idx="3">
                  <c:v>7.67</c:v>
                </c:pt>
              </c:numCache>
            </c:numRef>
          </c:val>
        </c:ser>
        <c:ser>
          <c:idx val="1"/>
          <c:order val="1"/>
          <c:tx>
            <c:strRef>
              <c:f>Лист1!$C$1</c:f>
              <c:strCache>
                <c:ptCount val="1"/>
                <c:pt idx="0">
                  <c:v>ОГ3а</c:v>
                </c:pt>
              </c:strCache>
            </c:strRef>
          </c:tx>
          <c:spPr>
            <a:ln w="28574"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14.850000000000026</c:v>
                </c:pt>
                <c:pt idx="1">
                  <c:v>10.46</c:v>
                </c:pt>
                <c:pt idx="2">
                  <c:v>7.54</c:v>
                </c:pt>
                <c:pt idx="3">
                  <c:v>7</c:v>
                </c:pt>
              </c:numCache>
            </c:numRef>
          </c:val>
        </c:ser>
        <c:ser>
          <c:idx val="2"/>
          <c:order val="2"/>
          <c:tx>
            <c:strRef>
              <c:f>Лист1!$D$1</c:f>
              <c:strCache>
                <c:ptCount val="1"/>
                <c:pt idx="0">
                  <c:v>ОГ3б</c:v>
                </c:pt>
              </c:strCache>
            </c:strRef>
          </c:tx>
          <c:spPr>
            <a:ln w="28574"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2.4494125734283213E-2"/>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14.69</c:v>
                </c:pt>
                <c:pt idx="1">
                  <c:v>7.7700000000000014</c:v>
                </c:pt>
                <c:pt idx="2">
                  <c:v>3.8499999999999988</c:v>
                </c:pt>
                <c:pt idx="3">
                  <c:v>2.23</c:v>
                </c:pt>
              </c:numCache>
            </c:numRef>
          </c:val>
        </c:ser>
        <c:marker val="1"/>
        <c:axId val="130518400"/>
        <c:axId val="131507712"/>
      </c:lineChart>
      <c:catAx>
        <c:axId val="130518400"/>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0129370237"/>
              <c:y val="0.84378843103975965"/>
            </c:manualLayout>
          </c:layout>
          <c:spPr>
            <a:noFill/>
            <a:ln w="25399">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507712"/>
        <c:crosses val="autoZero"/>
        <c:auto val="1"/>
        <c:lblAlgn val="ctr"/>
        <c:lblOffset val="100"/>
      </c:catAx>
      <c:valAx>
        <c:axId val="131507712"/>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Times New Roman"/>
                    <a:ea typeface="Times New Roman"/>
                    <a:cs typeface="Times New Roman"/>
                  </a:defRPr>
                </a:pPr>
                <a:r>
                  <a:rPr lang="ru-RU"/>
                  <a:t>Індекс РМА (%)
</a:t>
                </a:r>
              </a:p>
            </c:rich>
          </c:tx>
          <c:layout>
            <c:manualLayout>
              <c:xMode val="edge"/>
              <c:yMode val="edge"/>
              <c:x val="1.6203755463629961E-2"/>
              <c:y val="0.19626573180119414"/>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518400"/>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932914046121707"/>
          <c:y val="4.9645390070921988E-2"/>
          <c:w val="0.80712788259958712"/>
          <c:h val="0.64539007092198664"/>
        </c:manualLayout>
      </c:layout>
      <c:lineChart>
        <c:grouping val="standard"/>
        <c:ser>
          <c:idx val="0"/>
          <c:order val="0"/>
          <c:tx>
            <c:strRef>
              <c:f>Лист1!$B$1</c:f>
              <c:strCache>
                <c:ptCount val="1"/>
                <c:pt idx="0">
                  <c:v>КГ1</c:v>
                </c:pt>
              </c:strCache>
            </c:strRef>
          </c:tx>
          <c:spPr>
            <a:ln w="28573" cap="rnd">
              <a:solidFill>
                <a:schemeClr val="accent1"/>
              </a:solidFill>
              <a:round/>
            </a:ln>
            <a:effectLst/>
          </c:spPr>
          <c:marker>
            <c:symbol val="none"/>
          </c:marker>
          <c:dLbls>
            <c:dLbl>
              <c:idx val="1"/>
              <c:layout>
                <c:manualLayout>
                  <c:x val="-3.0960739282589675E-2"/>
                  <c:y val="5.4870953630796193E-2"/>
                </c:manualLayout>
              </c:layout>
              <c:dLblPos val="r"/>
              <c:showVal val="1"/>
            </c:dLbl>
            <c:dLbl>
              <c:idx val="2"/>
              <c:layout>
                <c:manualLayout>
                  <c:x val="-7.7257035578886052E-2"/>
                  <c:y val="5.0902699662542183E-2"/>
                </c:manualLayout>
              </c:layout>
              <c:dLblPos val="r"/>
              <c:showVal val="1"/>
            </c:dLbl>
            <c:dLbl>
              <c:idx val="3"/>
              <c:layout>
                <c:manualLayout>
                  <c:x val="-3.7905183727034296E-2"/>
                  <c:y val="-7.6081427321584835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1.08</c:v>
                </c:pt>
                <c:pt idx="1">
                  <c:v>1.08</c:v>
                </c:pt>
                <c:pt idx="2">
                  <c:v>1.08</c:v>
                </c:pt>
                <c:pt idx="3">
                  <c:v>1.08</c:v>
                </c:pt>
              </c:numCache>
            </c:numRef>
          </c:val>
        </c:ser>
        <c:ser>
          <c:idx val="1"/>
          <c:order val="1"/>
          <c:tx>
            <c:strRef>
              <c:f>Лист1!$C$1</c:f>
              <c:strCache>
                <c:ptCount val="1"/>
                <c:pt idx="0">
                  <c:v>ОГ1а</c:v>
                </c:pt>
              </c:strCache>
            </c:strRef>
          </c:tx>
          <c:spPr>
            <a:ln w="28573"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1.83</c:v>
                </c:pt>
                <c:pt idx="1">
                  <c:v>1.57</c:v>
                </c:pt>
                <c:pt idx="2">
                  <c:v>1.42</c:v>
                </c:pt>
                <c:pt idx="3">
                  <c:v>1.1800000000000057</c:v>
                </c:pt>
              </c:numCache>
            </c:numRef>
          </c:val>
        </c:ser>
        <c:ser>
          <c:idx val="2"/>
          <c:order val="2"/>
          <c:tx>
            <c:strRef>
              <c:f>Лист1!$D$1</c:f>
              <c:strCache>
                <c:ptCount val="1"/>
                <c:pt idx="0">
                  <c:v>ОГ1б</c:v>
                </c:pt>
              </c:strCache>
            </c:strRef>
          </c:tx>
          <c:spPr>
            <a:ln w="28573"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6.8460192475944173E-4"/>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1.76</c:v>
                </c:pt>
                <c:pt idx="1">
                  <c:v>1.35</c:v>
                </c:pt>
                <c:pt idx="2">
                  <c:v>1.04</c:v>
                </c:pt>
                <c:pt idx="3">
                  <c:v>0.58000000000000007</c:v>
                </c:pt>
              </c:numCache>
            </c:numRef>
          </c:val>
        </c:ser>
        <c:marker val="1"/>
        <c:axId val="131665920"/>
        <c:axId val="131667840"/>
      </c:lineChart>
      <c:catAx>
        <c:axId val="131665920"/>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5063696279"/>
              <c:y val="0.84378818627053065"/>
            </c:manualLayout>
          </c:layout>
          <c:spPr>
            <a:noFill/>
            <a:ln w="25399">
              <a:noFill/>
            </a:ln>
          </c:spPr>
        </c:title>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667840"/>
        <c:crosses val="autoZero"/>
        <c:auto val="1"/>
        <c:lblAlgn val="ctr"/>
        <c:lblOffset val="100"/>
      </c:catAx>
      <c:valAx>
        <c:axId val="131667840"/>
        <c:scaling>
          <c:orientation val="minMax"/>
        </c:scaling>
        <c:axPos val="l"/>
        <c:majorGridlines>
          <c:spPr>
            <a:ln w="9524"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US" sz="1000" b="0" i="0" strike="noStrike">
                    <a:solidFill>
                      <a:srgbClr val="333333"/>
                    </a:solidFill>
                    <a:latin typeface="Times New Roman"/>
                    <a:cs typeface="Times New Roman"/>
                  </a:rPr>
                  <a:t>CPITN, </a:t>
                </a:r>
                <a:r>
                  <a:rPr lang="ru-RU" sz="1000" b="0" i="0" strike="noStrike">
                    <a:solidFill>
                      <a:srgbClr val="333333"/>
                    </a:solidFill>
                    <a:latin typeface="Times New Roman"/>
                    <a:cs typeface="Times New Roman"/>
                  </a:rPr>
                  <a:t>бали</a:t>
                </a:r>
              </a:p>
              <a:p>
                <a:pPr>
                  <a:defRPr sz="1000" b="0" i="0" u="none" strike="noStrike" baseline="0">
                    <a:solidFill>
                      <a:srgbClr val="000000"/>
                    </a:solidFill>
                    <a:latin typeface="Calibri"/>
                    <a:ea typeface="Calibri"/>
                    <a:cs typeface="Calibri"/>
                  </a:defRPr>
                </a:pPr>
                <a:endParaRPr lang="ru-RU" sz="1000" b="0" i="0" strike="noStrike">
                  <a:solidFill>
                    <a:srgbClr val="333333"/>
                  </a:solidFill>
                  <a:latin typeface="Times New Roman"/>
                  <a:cs typeface="Times New Roman"/>
                </a:endParaRPr>
              </a:p>
            </c:rich>
          </c:tx>
          <c:layout>
            <c:manualLayout>
              <c:xMode val="edge"/>
              <c:yMode val="edge"/>
              <c:x val="1.6203828180014177E-2"/>
              <c:y val="0.19626593067619252"/>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665920"/>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tx>
                <c:rich>
                  <a:bodyPr/>
                  <a:lstStyle/>
                  <a:p>
                    <a:r>
                      <a:rPr lang="uk-UA"/>
                      <a:t>80</a:t>
                    </a:r>
                    <a:endParaRPr lang="en-US"/>
                  </a:p>
                </c:rich>
              </c:tx>
              <c:showLegendKey val="1"/>
              <c:showVal val="1"/>
              <c:showPercent val="1"/>
              <c:showBubbleSize val="1"/>
            </c:dLbl>
            <c:dLbl>
              <c:idx val="1"/>
              <c:tx>
                <c:rich>
                  <a:bodyPr/>
                  <a:lstStyle/>
                  <a:p>
                    <a:r>
                      <a:rPr lang="en-US"/>
                      <a:t>83</a:t>
                    </a:r>
                  </a:p>
                </c:rich>
              </c:tx>
              <c:showLegendKey val="1"/>
              <c:showVal val="1"/>
              <c:showPercent val="1"/>
              <c:showBubbleSize val="1"/>
            </c:dLbl>
            <c:dLbl>
              <c:idx val="2"/>
              <c:tx>
                <c:rich>
                  <a:bodyPr/>
                  <a:lstStyle/>
                  <a:p>
                    <a:r>
                      <a:rPr lang="uk-UA"/>
                      <a:t>70</a:t>
                    </a:r>
                    <a:endParaRPr lang="en-US"/>
                  </a:p>
                </c:rich>
              </c:tx>
              <c:showLegendKey val="1"/>
              <c:showVal val="1"/>
              <c:showPercent val="1"/>
              <c:showBubbleSize val="1"/>
            </c:dLbl>
            <c:dLbl>
              <c:idx val="3"/>
              <c:tx>
                <c:rich>
                  <a:bodyPr/>
                  <a:lstStyle/>
                  <a:p>
                    <a:r>
                      <a:rPr lang="en-US"/>
                      <a:t>81</a:t>
                    </a:r>
                  </a:p>
                </c:rich>
              </c:tx>
              <c:showLegendKey val="1"/>
              <c:showVal val="1"/>
              <c:showPercent val="1"/>
              <c:showBubbleSize val="1"/>
            </c:dLbl>
            <c:dLbl>
              <c:idx val="4"/>
              <c:tx>
                <c:rich>
                  <a:bodyPr/>
                  <a:lstStyle/>
                  <a:p>
                    <a:r>
                      <a:rPr lang="en-US"/>
                      <a:t>75</a:t>
                    </a:r>
                  </a:p>
                </c:rich>
              </c:tx>
              <c:showLegendKey val="1"/>
              <c:showVal val="1"/>
              <c:showPercent val="1"/>
              <c:showBubbleSize val="1"/>
            </c:dLbl>
            <c:dLbl>
              <c:idx val="5"/>
              <c:tx>
                <c:rich>
                  <a:bodyPr/>
                  <a:lstStyle/>
                  <a:p>
                    <a:r>
                      <a:rPr lang="en-US"/>
                      <a:t>85</a:t>
                    </a:r>
                  </a:p>
                </c:rich>
              </c:tx>
              <c:showLegendKey val="1"/>
              <c:showVal val="1"/>
              <c:showPercent val="1"/>
              <c:showBubbleSiz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layout/>
                <c15:showLeaderLines val="0"/>
              </c:ext>
            </c:extLst>
          </c:dLbls>
          <c:cat>
            <c:strRef>
              <c:f>Лист32!$A$9:$A$14</c:f>
              <c:strCache>
                <c:ptCount val="6"/>
                <c:pt idx="0">
                  <c:v>КГ1</c:v>
                </c:pt>
                <c:pt idx="1">
                  <c:v>ОГ1</c:v>
                </c:pt>
                <c:pt idx="2">
                  <c:v>КГ2</c:v>
                </c:pt>
                <c:pt idx="3">
                  <c:v>ОГ2</c:v>
                </c:pt>
                <c:pt idx="4">
                  <c:v>КГ3</c:v>
                </c:pt>
                <c:pt idx="5">
                  <c:v>ОГ3</c:v>
                </c:pt>
              </c:strCache>
            </c:strRef>
          </c:cat>
          <c:val>
            <c:numRef>
              <c:f>Лист32!$B$9:$B$14</c:f>
              <c:numCache>
                <c:formatCode>General</c:formatCode>
                <c:ptCount val="6"/>
                <c:pt idx="0">
                  <c:v>0.8</c:v>
                </c:pt>
                <c:pt idx="1">
                  <c:v>0.83000000000000063</c:v>
                </c:pt>
                <c:pt idx="2">
                  <c:v>0.70000000000000062</c:v>
                </c:pt>
                <c:pt idx="3">
                  <c:v>0.81</c:v>
                </c:pt>
                <c:pt idx="4">
                  <c:v>0.75000000000000722</c:v>
                </c:pt>
                <c:pt idx="5">
                  <c:v>0.85000000000000064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166779136"/>
        <c:axId val="167642624"/>
      </c:barChart>
      <c:catAx>
        <c:axId val="1667791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642624"/>
        <c:crosses val="autoZero"/>
        <c:auto val="1"/>
        <c:lblAlgn val="ctr"/>
        <c:lblOffset val="100"/>
        <c:noMultiLvlLbl val="1"/>
      </c:catAx>
      <c:valAx>
        <c:axId val="1676426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Поширеність карієсу, %   </a:t>
                </a:r>
              </a:p>
            </c:rich>
          </c:tx>
          <c:layout>
            <c:manualLayout>
              <c:xMode val="edge"/>
              <c:yMode val="edge"/>
              <c:x val="5.2500329918862734E-2"/>
              <c:y val="0.24116264378916041"/>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7791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833333333333449"/>
          <c:y val="4.9645390070921988E-2"/>
          <c:w val="0.80833333333333335"/>
          <c:h val="0.64539007092198664"/>
        </c:manualLayout>
      </c:layout>
      <c:lineChart>
        <c:grouping val="standard"/>
        <c:ser>
          <c:idx val="0"/>
          <c:order val="0"/>
          <c:tx>
            <c:strRef>
              <c:f>Лист1!$B$1</c:f>
              <c:strCache>
                <c:ptCount val="1"/>
                <c:pt idx="0">
                  <c:v>КГ2</c:v>
                </c:pt>
              </c:strCache>
            </c:strRef>
          </c:tx>
          <c:spPr>
            <a:ln w="28573" cap="rnd">
              <a:solidFill>
                <a:schemeClr val="accent1"/>
              </a:solidFill>
              <a:round/>
            </a:ln>
            <a:effectLst/>
          </c:spPr>
          <c:marker>
            <c:symbol val="none"/>
          </c:marker>
          <c:dLbls>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7.6081427321584835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1.23</c:v>
                </c:pt>
                <c:pt idx="1">
                  <c:v>1.23</c:v>
                </c:pt>
                <c:pt idx="2">
                  <c:v>1.23</c:v>
                </c:pt>
                <c:pt idx="3">
                  <c:v>1.23</c:v>
                </c:pt>
              </c:numCache>
            </c:numRef>
          </c:val>
        </c:ser>
        <c:ser>
          <c:idx val="1"/>
          <c:order val="1"/>
          <c:tx>
            <c:strRef>
              <c:f>Лист1!$C$1</c:f>
              <c:strCache>
                <c:ptCount val="1"/>
                <c:pt idx="0">
                  <c:v>ОГ2а</c:v>
                </c:pt>
              </c:strCache>
            </c:strRef>
          </c:tx>
          <c:spPr>
            <a:ln w="28573"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1.74</c:v>
                </c:pt>
                <c:pt idx="1">
                  <c:v>1.37</c:v>
                </c:pt>
                <c:pt idx="2">
                  <c:v>1.45</c:v>
                </c:pt>
                <c:pt idx="3">
                  <c:v>1.25</c:v>
                </c:pt>
              </c:numCache>
            </c:numRef>
          </c:val>
        </c:ser>
        <c:ser>
          <c:idx val="2"/>
          <c:order val="2"/>
          <c:tx>
            <c:strRef>
              <c:f>Лист1!$D$1</c:f>
              <c:strCache>
                <c:ptCount val="1"/>
                <c:pt idx="0">
                  <c:v>ОГ2б</c:v>
                </c:pt>
              </c:strCache>
            </c:strRef>
          </c:tx>
          <c:spPr>
            <a:ln w="28573"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6.8460192475944173E-4"/>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1.6800000000000057</c:v>
                </c:pt>
                <c:pt idx="1">
                  <c:v>1.03</c:v>
                </c:pt>
                <c:pt idx="2">
                  <c:v>1.3</c:v>
                </c:pt>
                <c:pt idx="3">
                  <c:v>0.62000000000000288</c:v>
                </c:pt>
              </c:numCache>
            </c:numRef>
          </c:val>
        </c:ser>
        <c:marker val="1"/>
        <c:axId val="131727744"/>
        <c:axId val="131729664"/>
      </c:lineChart>
      <c:catAx>
        <c:axId val="131727744"/>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11529998306"/>
              <c:y val="0.84378818627053065"/>
            </c:manualLayout>
          </c:layout>
          <c:spPr>
            <a:noFill/>
            <a:ln w="25399">
              <a:noFill/>
            </a:ln>
          </c:spPr>
        </c:title>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29664"/>
        <c:crosses val="autoZero"/>
        <c:auto val="1"/>
        <c:lblAlgn val="ctr"/>
        <c:lblOffset val="100"/>
      </c:catAx>
      <c:valAx>
        <c:axId val="131729664"/>
        <c:scaling>
          <c:orientation val="minMax"/>
        </c:scaling>
        <c:axPos val="l"/>
        <c:majorGridlines>
          <c:spPr>
            <a:ln w="9524"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US" sz="1000" b="0" i="0" strike="noStrike">
                    <a:solidFill>
                      <a:srgbClr val="333333"/>
                    </a:solidFill>
                    <a:latin typeface="Times New Roman"/>
                    <a:cs typeface="Times New Roman"/>
                  </a:rPr>
                  <a:t>CPITN, </a:t>
                </a:r>
                <a:r>
                  <a:rPr lang="ru-RU" sz="1000" b="0" i="0" strike="noStrike">
                    <a:solidFill>
                      <a:srgbClr val="333333"/>
                    </a:solidFill>
                    <a:latin typeface="Times New Roman"/>
                    <a:cs typeface="Times New Roman"/>
                  </a:rPr>
                  <a:t>бали</a:t>
                </a:r>
              </a:p>
              <a:p>
                <a:pPr>
                  <a:defRPr sz="1000" b="0" i="0" u="none" strike="noStrike" baseline="0">
                    <a:solidFill>
                      <a:srgbClr val="000000"/>
                    </a:solidFill>
                    <a:latin typeface="Calibri"/>
                    <a:ea typeface="Calibri"/>
                    <a:cs typeface="Calibri"/>
                  </a:defRPr>
                </a:pPr>
                <a:endParaRPr lang="ru-RU" sz="1000" b="0" i="0" strike="noStrike">
                  <a:solidFill>
                    <a:srgbClr val="333333"/>
                  </a:solidFill>
                  <a:latin typeface="Times New Roman"/>
                  <a:cs typeface="Times New Roman"/>
                </a:endParaRPr>
              </a:p>
            </c:rich>
          </c:tx>
          <c:layout>
            <c:manualLayout>
              <c:xMode val="edge"/>
              <c:yMode val="edge"/>
              <c:x val="1.6203823006972717E-2"/>
              <c:y val="0.19626593067619252"/>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27744"/>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800415800415801"/>
          <c:y val="5.0724637681159424E-2"/>
          <c:w val="0.80873180873180872"/>
          <c:h val="0.63768115942029313"/>
        </c:manualLayout>
      </c:layout>
      <c:lineChart>
        <c:grouping val="standard"/>
        <c:ser>
          <c:idx val="0"/>
          <c:order val="0"/>
          <c:tx>
            <c:strRef>
              <c:f>Лист1!$B$1</c:f>
              <c:strCache>
                <c:ptCount val="1"/>
                <c:pt idx="0">
                  <c:v>КГ3</c:v>
                </c:pt>
              </c:strCache>
            </c:strRef>
          </c:tx>
          <c:spPr>
            <a:ln w="28574" cap="rnd">
              <a:solidFill>
                <a:schemeClr val="accent1"/>
              </a:solidFill>
              <a:round/>
            </a:ln>
            <a:effectLst/>
          </c:spPr>
          <c:marker>
            <c:symbol val="none"/>
          </c:marker>
          <c:dLbls>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7.6081427321584835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1.1900000000000057</c:v>
                </c:pt>
                <c:pt idx="1">
                  <c:v>1.1900000000000057</c:v>
                </c:pt>
                <c:pt idx="2">
                  <c:v>1.1900000000000057</c:v>
                </c:pt>
                <c:pt idx="3">
                  <c:v>1.1900000000000057</c:v>
                </c:pt>
              </c:numCache>
            </c:numRef>
          </c:val>
        </c:ser>
        <c:ser>
          <c:idx val="1"/>
          <c:order val="1"/>
          <c:tx>
            <c:strRef>
              <c:f>Лист1!$C$1</c:f>
              <c:strCache>
                <c:ptCount val="1"/>
                <c:pt idx="0">
                  <c:v>ОГ3а</c:v>
                </c:pt>
              </c:strCache>
            </c:strRef>
          </c:tx>
          <c:spPr>
            <a:ln w="28574"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1.6500000000000001</c:v>
                </c:pt>
                <c:pt idx="1">
                  <c:v>1.32</c:v>
                </c:pt>
                <c:pt idx="2">
                  <c:v>1.36</c:v>
                </c:pt>
                <c:pt idx="3">
                  <c:v>1.1200000000000001</c:v>
                </c:pt>
              </c:numCache>
            </c:numRef>
          </c:val>
        </c:ser>
        <c:ser>
          <c:idx val="2"/>
          <c:order val="2"/>
          <c:tx>
            <c:strRef>
              <c:f>Лист1!$D$1</c:f>
              <c:strCache>
                <c:ptCount val="1"/>
                <c:pt idx="0">
                  <c:v>ОГ3б</c:v>
                </c:pt>
              </c:strCache>
            </c:strRef>
          </c:tx>
          <c:spPr>
            <a:ln w="28574" cap="rnd">
              <a:solidFill>
                <a:schemeClr val="accent3"/>
              </a:solidFill>
              <a:round/>
            </a:ln>
            <a:effectLst/>
          </c:spPr>
          <c:marker>
            <c:symbol val="none"/>
          </c:marker>
          <c:dLbls>
            <c:dLbl>
              <c:idx val="0"/>
              <c:layout>
                <c:manualLayout>
                  <c:x val="-5.1215368912219346E-2"/>
                  <c:y val="6.6775715535558056E-2"/>
                </c:manualLayout>
              </c:layout>
              <c:dLblPos val="r"/>
              <c:showVal val="1"/>
            </c:dLbl>
            <c:dLbl>
              <c:idx val="1"/>
              <c:layout>
                <c:manualLayout>
                  <c:x val="-0.10503481335666374"/>
                  <c:y val="-6.8460192475944173E-4"/>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1.6500000000000001</c:v>
                </c:pt>
                <c:pt idx="1">
                  <c:v>0.96000000000000063</c:v>
                </c:pt>
                <c:pt idx="2">
                  <c:v>0.59</c:v>
                </c:pt>
                <c:pt idx="3">
                  <c:v>0.4</c:v>
                </c:pt>
              </c:numCache>
            </c:numRef>
          </c:val>
        </c:ser>
        <c:marker val="1"/>
        <c:axId val="131879680"/>
        <c:axId val="131881600"/>
      </c:lineChart>
      <c:catAx>
        <c:axId val="131879680"/>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6612479892"/>
              <c:y val="0.84378836855919703"/>
            </c:manualLayout>
          </c:layout>
          <c:spPr>
            <a:noFill/>
            <a:ln w="25399">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881600"/>
        <c:crosses val="autoZero"/>
        <c:auto val="1"/>
        <c:lblAlgn val="ctr"/>
        <c:lblOffset val="100"/>
      </c:catAx>
      <c:valAx>
        <c:axId val="131881600"/>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US" sz="1000" b="0" i="0" strike="noStrike">
                    <a:solidFill>
                      <a:srgbClr val="333333"/>
                    </a:solidFill>
                    <a:latin typeface="Times New Roman"/>
                    <a:cs typeface="Times New Roman"/>
                  </a:rPr>
                  <a:t>CPITN, </a:t>
                </a:r>
                <a:r>
                  <a:rPr lang="ru-RU" sz="1000" b="0" i="0" strike="noStrike">
                    <a:solidFill>
                      <a:srgbClr val="333333"/>
                    </a:solidFill>
                    <a:latin typeface="Times New Roman"/>
                    <a:cs typeface="Times New Roman"/>
                  </a:rPr>
                  <a:t>бали</a:t>
                </a:r>
              </a:p>
              <a:p>
                <a:pPr>
                  <a:defRPr sz="1000" b="0" i="0" u="none" strike="noStrike" baseline="0">
                    <a:solidFill>
                      <a:srgbClr val="000000"/>
                    </a:solidFill>
                    <a:latin typeface="Calibri"/>
                    <a:ea typeface="Calibri"/>
                    <a:cs typeface="Calibri"/>
                  </a:defRPr>
                </a:pPr>
                <a:endParaRPr lang="ru-RU" sz="1000" b="0" i="0" strike="noStrike">
                  <a:solidFill>
                    <a:srgbClr val="333333"/>
                  </a:solidFill>
                  <a:latin typeface="Times New Roman"/>
                  <a:cs typeface="Times New Roman"/>
                </a:endParaRPr>
              </a:p>
            </c:rich>
          </c:tx>
          <c:layout>
            <c:manualLayout>
              <c:xMode val="edge"/>
              <c:yMode val="edge"/>
              <c:x val="1.6203750740834907E-2"/>
              <c:y val="0.19626578256665361"/>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879680"/>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34864300626383"/>
          <c:y val="4.9469964664310973E-2"/>
          <c:w val="0.84133611691022958"/>
          <c:h val="0.64664310954063664"/>
        </c:manualLayout>
      </c:layout>
      <c:lineChart>
        <c:grouping val="standard"/>
        <c:ser>
          <c:idx val="0"/>
          <c:order val="0"/>
          <c:tx>
            <c:strRef>
              <c:f>Лист1!$B$1</c:f>
              <c:strCache>
                <c:ptCount val="1"/>
                <c:pt idx="0">
                  <c:v>КГ1</c:v>
                </c:pt>
              </c:strCache>
            </c:strRef>
          </c:tx>
          <c:spPr>
            <a:ln w="28576"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7.6081427321584835E-2"/>
                </c:manualLayout>
              </c:layout>
              <c:dLblPos val="r"/>
              <c:showVal val="1"/>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7.04</c:v>
                </c:pt>
                <c:pt idx="1">
                  <c:v>7.04</c:v>
                </c:pt>
                <c:pt idx="2">
                  <c:v>7.04</c:v>
                </c:pt>
                <c:pt idx="3">
                  <c:v>7.04</c:v>
                </c:pt>
              </c:numCache>
            </c:numRef>
          </c:val>
        </c:ser>
        <c:ser>
          <c:idx val="1"/>
          <c:order val="1"/>
          <c:tx>
            <c:strRef>
              <c:f>Лист1!$C$1</c:f>
              <c:strCache>
                <c:ptCount val="1"/>
                <c:pt idx="0">
                  <c:v>ОГ1а</c:v>
                </c:pt>
              </c:strCache>
            </c:strRef>
          </c:tx>
          <c:spPr>
            <a:ln w="28576"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7.3</c:v>
                </c:pt>
                <c:pt idx="1">
                  <c:v>7.1099999999999985</c:v>
                </c:pt>
                <c:pt idx="2">
                  <c:v>7.13</c:v>
                </c:pt>
                <c:pt idx="3">
                  <c:v>7.01</c:v>
                </c:pt>
              </c:numCache>
            </c:numRef>
          </c:val>
        </c:ser>
        <c:ser>
          <c:idx val="2"/>
          <c:order val="2"/>
          <c:tx>
            <c:strRef>
              <c:f>Лист1!$D$1</c:f>
              <c:strCache>
                <c:ptCount val="1"/>
                <c:pt idx="0">
                  <c:v>ОГ1б</c:v>
                </c:pt>
              </c:strCache>
            </c:strRef>
          </c:tx>
          <c:spPr>
            <a:ln w="28576" cap="rnd">
              <a:solidFill>
                <a:schemeClr val="accent3"/>
              </a:solidFill>
              <a:round/>
            </a:ln>
            <a:effectLst/>
          </c:spPr>
          <c:marker>
            <c:symbol val="none"/>
          </c:marker>
          <c:dLbls>
            <c:dLbl>
              <c:idx val="0"/>
              <c:layout>
                <c:manualLayout>
                  <c:x val="-5.5844998541849003E-2"/>
                  <c:y val="-6.8460192475947902E-4"/>
                </c:manualLayout>
              </c:layout>
              <c:dLblPos val="r"/>
              <c:showVal val="1"/>
            </c:dLbl>
            <c:dLbl>
              <c:idx val="1"/>
              <c:layout>
                <c:manualLayout>
                  <c:x val="-0.10503481335666374"/>
                  <c:y val="-6.8460192475944173E-4"/>
                </c:manualLayout>
              </c:layout>
              <c:dLblPos val="r"/>
              <c:showVal val="1"/>
            </c:dLbl>
            <c:dLbl>
              <c:idx val="2"/>
              <c:layout>
                <c:manualLayout>
                  <c:x val="-8.6805555555554727E-3"/>
                  <c:y val="9.8521747281590452E-2"/>
                </c:manualLayout>
              </c:layout>
              <c:dLblPos val="r"/>
              <c:showVal val="1"/>
            </c:dLbl>
            <c:dLbl>
              <c:idx val="3"/>
              <c:layout>
                <c:manualLayout>
                  <c:x val="-3.7905183727034296E-2"/>
                  <c:y val="5.8839207599050106E-2"/>
                </c:manualLayout>
              </c:layout>
              <c:dLblPos val="r"/>
              <c:showVal val="1"/>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7.1</c:v>
                </c:pt>
                <c:pt idx="1">
                  <c:v>6.96</c:v>
                </c:pt>
                <c:pt idx="2">
                  <c:v>7.05</c:v>
                </c:pt>
                <c:pt idx="3">
                  <c:v>6.99</c:v>
                </c:pt>
              </c:numCache>
            </c:numRef>
          </c:val>
        </c:ser>
        <c:marker val="1"/>
        <c:axId val="131982464"/>
        <c:axId val="131984384"/>
      </c:lineChart>
      <c:catAx>
        <c:axId val="131982464"/>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5215021232"/>
              <c:y val="0.8437881566174128"/>
            </c:manualLayout>
          </c:layout>
          <c:spPr>
            <a:noFill/>
            <a:ln w="25401">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984384"/>
        <c:crosses val="autoZero"/>
        <c:auto val="1"/>
        <c:lblAlgn val="ctr"/>
        <c:lblOffset val="100"/>
      </c:catAx>
      <c:valAx>
        <c:axId val="131984384"/>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Times New Roman"/>
                    <a:ea typeface="Times New Roman"/>
                    <a:cs typeface="Times New Roman"/>
                  </a:defRPr>
                </a:pPr>
                <a:r>
                  <a:rPr lang="en-US"/>
                  <a:t>pH</a:t>
                </a:r>
              </a:p>
            </c:rich>
          </c:tx>
          <c:layout>
            <c:manualLayout>
              <c:xMode val="edge"/>
              <c:yMode val="edge"/>
              <c:x val="1.6203683041644087E-2"/>
              <c:y val="0.19626577499730341"/>
            </c:manualLayout>
          </c:layout>
          <c:spPr>
            <a:noFill/>
            <a:ln w="25401">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982464"/>
        <c:crosses val="autoZero"/>
        <c:crossBetween val="between"/>
      </c:valAx>
      <c:spPr>
        <a:noFill/>
        <a:ln w="25401">
          <a:noFill/>
        </a:ln>
      </c:spPr>
    </c:plotArea>
    <c:legend>
      <c:legendPos val="b"/>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17"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0.12766872890888498"/>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6.99</c:v>
                </c:pt>
                <c:pt idx="1">
                  <c:v>6.99</c:v>
                </c:pt>
                <c:pt idx="2">
                  <c:v>6.99</c:v>
                </c:pt>
                <c:pt idx="3">
                  <c:v>6.99</c:v>
                </c:pt>
              </c:numCache>
            </c:numRef>
          </c:val>
        </c:ser>
        <c:ser>
          <c:idx val="1"/>
          <c:order val="1"/>
          <c:tx>
            <c:strRef>
              <c:f>Лист1!$C$1</c:f>
              <c:strCache>
                <c:ptCount val="1"/>
                <c:pt idx="0">
                  <c:v>ОГ2а</c:v>
                </c:pt>
              </c:strCache>
            </c:strRef>
          </c:tx>
          <c:spPr>
            <a:ln w="28517" cap="rnd">
              <a:solidFill>
                <a:schemeClr val="accent2"/>
              </a:solidFill>
              <a:round/>
            </a:ln>
            <a:effectLst/>
          </c:spPr>
          <c:marker>
            <c:symbol val="none"/>
          </c:marker>
          <c:dLbls>
            <c:dLbl>
              <c:idx val="1"/>
              <c:layout>
                <c:manualLayout>
                  <c:x val="1.0503426655001461E-2"/>
                  <c:y val="-0.13687507811523561"/>
                </c:manualLayout>
              </c:layout>
              <c:dLblPos val="r"/>
              <c:showVal val="1"/>
            </c:dLbl>
            <c:dLbl>
              <c:idx val="3"/>
              <c:layout>
                <c:manualLayout>
                  <c:x val="3.5589822105568571E-3"/>
                  <c:y val="2.0138107736532942E-3"/>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7.07</c:v>
                </c:pt>
                <c:pt idx="1">
                  <c:v>7.1099999999999985</c:v>
                </c:pt>
                <c:pt idx="2">
                  <c:v>7.02</c:v>
                </c:pt>
                <c:pt idx="3">
                  <c:v>7.1099999999999985</c:v>
                </c:pt>
              </c:numCache>
            </c:numRef>
          </c:val>
        </c:ser>
        <c:ser>
          <c:idx val="2"/>
          <c:order val="2"/>
          <c:tx>
            <c:strRef>
              <c:f>Лист1!$D$1</c:f>
              <c:strCache>
                <c:ptCount val="1"/>
                <c:pt idx="0">
                  <c:v>ОГ2б</c:v>
                </c:pt>
              </c:strCache>
            </c:strRef>
          </c:tx>
          <c:spPr>
            <a:ln w="28517"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3.7905183727034296E-2"/>
                  <c:y val="0.12629952505936751"/>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7.06</c:v>
                </c:pt>
                <c:pt idx="1">
                  <c:v>7.09</c:v>
                </c:pt>
                <c:pt idx="2">
                  <c:v>6.99</c:v>
                </c:pt>
                <c:pt idx="3">
                  <c:v>7.01</c:v>
                </c:pt>
              </c:numCache>
            </c:numRef>
          </c:val>
        </c:ser>
        <c:marker val="1"/>
        <c:axId val="131855872"/>
        <c:axId val="131857792"/>
      </c:lineChart>
      <c:catAx>
        <c:axId val="131855872"/>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3715982888"/>
              <c:y val="0.84378834032607264"/>
            </c:manualLayout>
          </c:layout>
          <c:spPr>
            <a:noFill/>
            <a:ln w="25348">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857792"/>
        <c:crosses val="autoZero"/>
        <c:auto val="1"/>
        <c:lblAlgn val="ctr"/>
        <c:lblOffset val="100"/>
      </c:catAx>
      <c:valAx>
        <c:axId val="131857792"/>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en-US"/>
                  <a:t>pH</a:t>
                </a:r>
              </a:p>
            </c:rich>
          </c:tx>
          <c:layout>
            <c:manualLayout>
              <c:xMode val="edge"/>
              <c:yMode val="edge"/>
              <c:x val="1.6203785053184181E-2"/>
              <c:y val="0.19626606893116474"/>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855872"/>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517"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0.12766872890888498"/>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6.83</c:v>
                </c:pt>
                <c:pt idx="1">
                  <c:v>6.83</c:v>
                </c:pt>
                <c:pt idx="2">
                  <c:v>6.83</c:v>
                </c:pt>
                <c:pt idx="3">
                  <c:v>6.83</c:v>
                </c:pt>
              </c:numCache>
            </c:numRef>
          </c:val>
        </c:ser>
        <c:ser>
          <c:idx val="1"/>
          <c:order val="1"/>
          <c:tx>
            <c:strRef>
              <c:f>Лист1!$C$1</c:f>
              <c:strCache>
                <c:ptCount val="1"/>
                <c:pt idx="0">
                  <c:v>ОГ3а</c:v>
                </c:pt>
              </c:strCache>
            </c:strRef>
          </c:tx>
          <c:spPr>
            <a:ln w="28517"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6.91</c:v>
                </c:pt>
                <c:pt idx="1">
                  <c:v>7.05</c:v>
                </c:pt>
                <c:pt idx="2">
                  <c:v>6.98</c:v>
                </c:pt>
                <c:pt idx="3">
                  <c:v>7.02</c:v>
                </c:pt>
              </c:numCache>
            </c:numRef>
          </c:val>
        </c:ser>
        <c:ser>
          <c:idx val="2"/>
          <c:order val="2"/>
          <c:tx>
            <c:strRef>
              <c:f>Лист1!$D$1</c:f>
              <c:strCache>
                <c:ptCount val="1"/>
                <c:pt idx="0">
                  <c:v>ОГ3б</c:v>
                </c:pt>
              </c:strCache>
            </c:strRef>
          </c:tx>
          <c:spPr>
            <a:ln w="28517"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3.7905183727034296E-2"/>
                  <c:y val="0.12629952505936751"/>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6.9</c:v>
                </c:pt>
                <c:pt idx="1">
                  <c:v>6.99</c:v>
                </c:pt>
                <c:pt idx="2">
                  <c:v>7</c:v>
                </c:pt>
                <c:pt idx="3">
                  <c:v>7.01</c:v>
                </c:pt>
              </c:numCache>
            </c:numRef>
          </c:val>
        </c:ser>
        <c:marker val="1"/>
        <c:axId val="134621056"/>
        <c:axId val="134635520"/>
      </c:lineChart>
      <c:catAx>
        <c:axId val="134621056"/>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3715982888"/>
              <c:y val="0.84378821352367606"/>
            </c:manualLayout>
          </c:layout>
          <c:spPr>
            <a:noFill/>
            <a:ln w="25348">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635520"/>
        <c:crosses val="autoZero"/>
        <c:auto val="1"/>
        <c:lblAlgn val="ctr"/>
        <c:lblOffset val="100"/>
      </c:catAx>
      <c:valAx>
        <c:axId val="134635520"/>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en-US"/>
                  <a:t>pH</a:t>
                </a:r>
              </a:p>
            </c:rich>
          </c:tx>
          <c:layout>
            <c:manualLayout>
              <c:xMode val="edge"/>
              <c:yMode val="edge"/>
              <c:x val="1.6203785053184181E-2"/>
              <c:y val="0.19626579051719412"/>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621056"/>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475"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0.12766872890888498"/>
                </c:manualLayout>
              </c:layout>
              <c:dLblPos val="r"/>
              <c:showVal val="1"/>
            </c:dLbl>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8.0000000000000043E-2</c:v>
                </c:pt>
                <c:pt idx="1">
                  <c:v>8.0000000000000043E-2</c:v>
                </c:pt>
                <c:pt idx="2">
                  <c:v>8.0000000000000043E-2</c:v>
                </c:pt>
                <c:pt idx="3">
                  <c:v>8.0000000000000043E-2</c:v>
                </c:pt>
              </c:numCache>
            </c:numRef>
          </c:val>
        </c:ser>
        <c:ser>
          <c:idx val="1"/>
          <c:order val="1"/>
          <c:tx>
            <c:strRef>
              <c:f>Лист1!$C$1</c:f>
              <c:strCache>
                <c:ptCount val="1"/>
                <c:pt idx="0">
                  <c:v>ОГ1а</c:v>
                </c:pt>
              </c:strCache>
            </c:strRef>
          </c:tx>
          <c:spPr>
            <a:ln w="28475"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0.77000000000000324</c:v>
                </c:pt>
                <c:pt idx="1">
                  <c:v>0.67000000000000381</c:v>
                </c:pt>
                <c:pt idx="2">
                  <c:v>0.54</c:v>
                </c:pt>
                <c:pt idx="3">
                  <c:v>0.38000000000000161</c:v>
                </c:pt>
              </c:numCache>
            </c:numRef>
          </c:val>
        </c:ser>
        <c:ser>
          <c:idx val="2"/>
          <c:order val="2"/>
          <c:tx>
            <c:strRef>
              <c:f>Лист1!$D$1</c:f>
              <c:strCache>
                <c:ptCount val="1"/>
                <c:pt idx="0">
                  <c:v>ОГ1б</c:v>
                </c:pt>
              </c:strCache>
            </c:strRef>
          </c:tx>
          <c:spPr>
            <a:ln w="28475"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31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0.76000000000000323</c:v>
                </c:pt>
                <c:pt idx="1">
                  <c:v>0.51</c:v>
                </c:pt>
                <c:pt idx="2">
                  <c:v>0.29000000000000031</c:v>
                </c:pt>
                <c:pt idx="3">
                  <c:v>0.13</c:v>
                </c:pt>
              </c:numCache>
            </c:numRef>
          </c:val>
        </c:ser>
        <c:marker val="1"/>
        <c:axId val="134789760"/>
        <c:axId val="134554368"/>
      </c:lineChart>
      <c:catAx>
        <c:axId val="134789760"/>
        <c:scaling>
          <c:orientation val="minMax"/>
        </c:scaling>
        <c:axPos val="b"/>
        <c:title>
          <c:tx>
            <c:rich>
              <a:bodyPr/>
              <a:lstStyle/>
              <a:p>
                <a:pPr>
                  <a:defRPr sz="996"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6926020041"/>
              <c:y val="0.84378827646544641"/>
            </c:manualLayout>
          </c:layout>
          <c:spPr>
            <a:noFill/>
            <a:ln w="25311">
              <a:noFill/>
            </a:ln>
          </c:spPr>
        </c:title>
        <c:numFmt formatCode="General" sourceLinked="1"/>
        <c:majorTickMark val="none"/>
        <c:tickLblPos val="nextTo"/>
        <c:spPr>
          <a:noFill/>
          <a:ln w="9492"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554368"/>
        <c:crosses val="autoZero"/>
        <c:auto val="1"/>
        <c:lblAlgn val="ctr"/>
        <c:lblOffset val="100"/>
      </c:catAx>
      <c:valAx>
        <c:axId val="134554368"/>
        <c:scaling>
          <c:orientation val="minMax"/>
        </c:scaling>
        <c:axPos val="l"/>
        <c:majorGridlines>
          <c:spPr>
            <a:ln w="9492" cap="flat" cmpd="sng" algn="ctr">
              <a:solidFill>
                <a:schemeClr val="tx1">
                  <a:lumMod val="15000"/>
                  <a:lumOff val="85000"/>
                </a:schemeClr>
              </a:solidFill>
              <a:round/>
            </a:ln>
            <a:effectLst/>
          </c:spPr>
        </c:majorGridlines>
        <c:title>
          <c:tx>
            <c:rich>
              <a:bodyPr/>
              <a:lstStyle/>
              <a:p>
                <a:pPr>
                  <a:defRPr sz="996" b="0" i="0" u="none" strike="noStrike" baseline="0">
                    <a:solidFill>
                      <a:srgbClr val="000000"/>
                    </a:solidFill>
                    <a:latin typeface="Calibri"/>
                    <a:ea typeface="Calibri"/>
                    <a:cs typeface="Calibri"/>
                  </a:defRPr>
                </a:pPr>
                <a:r>
                  <a:rPr lang="el-GR" sz="996" b="0" i="0" strike="noStrike">
                    <a:solidFill>
                      <a:srgbClr val="333333"/>
                    </a:solidFill>
                    <a:latin typeface="Times New Roman"/>
                    <a:cs typeface="Times New Roman"/>
                  </a:rPr>
                  <a:t>Δ </a:t>
                </a:r>
                <a:r>
                  <a:rPr lang="en-US" sz="996" b="0" i="0" strike="noStrike">
                    <a:solidFill>
                      <a:srgbClr val="333333"/>
                    </a:solidFill>
                    <a:latin typeface="Times New Roman"/>
                    <a:cs typeface="Times New Roman"/>
                  </a:rPr>
                  <a:t>pH </a:t>
                </a:r>
              </a:p>
            </c:rich>
          </c:tx>
          <c:layout>
            <c:manualLayout>
              <c:xMode val="edge"/>
              <c:yMode val="edge"/>
              <c:x val="1.620379020419058E-2"/>
              <c:y val="0.19626573852181595"/>
            </c:manualLayout>
          </c:layout>
          <c:spPr>
            <a:noFill/>
            <a:ln w="25311">
              <a:noFill/>
            </a:ln>
          </c:spPr>
        </c:title>
        <c:numFmt formatCode="General" sourceLinked="1"/>
        <c:majorTickMark val="none"/>
        <c:tickLblPos val="nextTo"/>
        <c:spPr>
          <a:ln w="6328">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789760"/>
        <c:crosses val="autoZero"/>
        <c:crossBetween val="between"/>
      </c:valAx>
      <c:spPr>
        <a:noFill/>
        <a:ln w="25311">
          <a:noFill/>
        </a:ln>
      </c:spPr>
    </c:plotArea>
    <c:legend>
      <c:legendPos val="b"/>
      <c:spPr>
        <a:noFill/>
        <a:ln w="25311">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92" cap="flat" cmpd="sng" algn="ctr">
      <a:solidFill>
        <a:schemeClr val="tx1">
          <a:lumMod val="15000"/>
          <a:lumOff val="85000"/>
        </a:schemeClr>
      </a:solidFill>
      <a:round/>
    </a:ln>
    <a:effectLst/>
  </c:spPr>
  <c:txPr>
    <a:bodyPr/>
    <a:lstStyle/>
    <a:p>
      <a:pPr>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74"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0.12766872890888498"/>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0.11</c:v>
                </c:pt>
                <c:pt idx="1">
                  <c:v>0.11</c:v>
                </c:pt>
                <c:pt idx="2">
                  <c:v>0.11</c:v>
                </c:pt>
                <c:pt idx="3">
                  <c:v>0.11</c:v>
                </c:pt>
              </c:numCache>
            </c:numRef>
          </c:val>
        </c:ser>
        <c:ser>
          <c:idx val="1"/>
          <c:order val="1"/>
          <c:tx>
            <c:strRef>
              <c:f>Лист1!$C$1</c:f>
              <c:strCache>
                <c:ptCount val="1"/>
                <c:pt idx="0">
                  <c:v>ОГ2а</c:v>
                </c:pt>
              </c:strCache>
            </c:strRef>
          </c:tx>
          <c:spPr>
            <a:ln w="28574"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0.60000000000000064</c:v>
                </c:pt>
                <c:pt idx="1">
                  <c:v>0.54</c:v>
                </c:pt>
                <c:pt idx="2">
                  <c:v>0.43000000000000038</c:v>
                </c:pt>
                <c:pt idx="3">
                  <c:v>0.34</c:v>
                </c:pt>
              </c:numCache>
            </c:numRef>
          </c:val>
        </c:ser>
        <c:ser>
          <c:idx val="2"/>
          <c:order val="2"/>
          <c:tx>
            <c:strRef>
              <c:f>Лист1!$D$1</c:f>
              <c:strCache>
                <c:ptCount val="1"/>
                <c:pt idx="0">
                  <c:v>ОГ2б</c:v>
                </c:pt>
              </c:strCache>
            </c:strRef>
          </c:tx>
          <c:spPr>
            <a:ln w="28574"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0.62000000000000288</c:v>
                </c:pt>
                <c:pt idx="1">
                  <c:v>0.4</c:v>
                </c:pt>
                <c:pt idx="2">
                  <c:v>0.27</c:v>
                </c:pt>
                <c:pt idx="3">
                  <c:v>0.11</c:v>
                </c:pt>
              </c:numCache>
            </c:numRef>
          </c:val>
        </c:ser>
        <c:marker val="1"/>
        <c:axId val="134749184"/>
        <c:axId val="135025792"/>
      </c:lineChart>
      <c:catAx>
        <c:axId val="134749184"/>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8608262425"/>
              <c:y val="0.84378824488094217"/>
            </c:manualLayout>
          </c:layout>
          <c:spPr>
            <a:noFill/>
            <a:ln w="25399">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25792"/>
        <c:crosses val="autoZero"/>
        <c:auto val="1"/>
        <c:lblAlgn val="ctr"/>
        <c:lblOffset val="100"/>
      </c:catAx>
      <c:valAx>
        <c:axId val="135025792"/>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l-GR" sz="1000" b="0" i="0" strike="noStrike">
                    <a:solidFill>
                      <a:srgbClr val="333333"/>
                    </a:solidFill>
                    <a:latin typeface="Times New Roman"/>
                    <a:cs typeface="Times New Roman"/>
                  </a:rPr>
                  <a:t>Δ </a:t>
                </a:r>
                <a:r>
                  <a:rPr lang="en-US" sz="1000" b="0" i="0" strike="noStrike">
                    <a:solidFill>
                      <a:srgbClr val="333333"/>
                    </a:solidFill>
                    <a:latin typeface="Times New Roman"/>
                    <a:cs typeface="Times New Roman"/>
                  </a:rPr>
                  <a:t>pH </a:t>
                </a:r>
              </a:p>
            </c:rich>
          </c:tx>
          <c:layout>
            <c:manualLayout>
              <c:xMode val="edge"/>
              <c:yMode val="edge"/>
              <c:x val="1.6203709830388945E-2"/>
              <c:y val="0.19626595412035591"/>
            </c:manualLayout>
          </c:layout>
          <c:spPr>
            <a:noFill/>
            <a:ln w="25399">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749184"/>
        <c:crosses val="autoZero"/>
        <c:crossBetween val="between"/>
      </c:valAx>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518" cap="rnd">
              <a:solidFill>
                <a:schemeClr val="accent1"/>
              </a:solidFill>
              <a:round/>
            </a:ln>
            <a:effectLst/>
          </c:spPr>
          <c:marker>
            <c:symbol val="none"/>
          </c:marker>
          <c:dLbls>
            <c:dLbl>
              <c:idx val="0"/>
              <c:layout>
                <c:manualLayout>
                  <c:x val="-3.5590368912219415E-2"/>
                  <c:y val="5.8839207599050043E-2"/>
                </c:manualLayout>
              </c:layout>
              <c:dLblPos val="r"/>
              <c:showVal val="1"/>
            </c:dLbl>
            <c:dLbl>
              <c:idx val="1"/>
              <c:layout>
                <c:manualLayout>
                  <c:x val="-3.0960739282589675E-2"/>
                  <c:y val="3.5029683789526402E-2"/>
                </c:manualLayout>
              </c:layout>
              <c:dLblPos val="r"/>
              <c:showVal val="1"/>
            </c:dLbl>
            <c:dLbl>
              <c:idx val="2"/>
              <c:layout>
                <c:manualLayout>
                  <c:x val="-7.7257035578886052E-2"/>
                  <c:y val="5.0902699662542183E-2"/>
                </c:manualLayout>
              </c:layout>
              <c:dLblPos val="r"/>
              <c:showVal val="1"/>
            </c:dLbl>
            <c:dLbl>
              <c:idx val="3"/>
              <c:layout>
                <c:manualLayout>
                  <c:x val="-3.7905183727034296E-2"/>
                  <c:y val="-0.12766872890888498"/>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7.0000000000000021E-2</c:v>
                </c:pt>
                <c:pt idx="1">
                  <c:v>7.0000000000000021E-2</c:v>
                </c:pt>
                <c:pt idx="2">
                  <c:v>7.0000000000000021E-2</c:v>
                </c:pt>
                <c:pt idx="3">
                  <c:v>7.0000000000000021E-2</c:v>
                </c:pt>
              </c:numCache>
            </c:numRef>
          </c:val>
        </c:ser>
        <c:ser>
          <c:idx val="1"/>
          <c:order val="1"/>
          <c:tx>
            <c:strRef>
              <c:f>Лист1!$C$1</c:f>
              <c:strCache>
                <c:ptCount val="1"/>
                <c:pt idx="0">
                  <c:v>ОГ3а</c:v>
                </c:pt>
              </c:strCache>
            </c:strRef>
          </c:tx>
          <c:spPr>
            <a:ln w="28518"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0.58000000000000007</c:v>
                </c:pt>
                <c:pt idx="1">
                  <c:v>0.51</c:v>
                </c:pt>
                <c:pt idx="2">
                  <c:v>0.5</c:v>
                </c:pt>
                <c:pt idx="3">
                  <c:v>0.28000000000000008</c:v>
                </c:pt>
              </c:numCache>
            </c:numRef>
          </c:val>
        </c:ser>
        <c:ser>
          <c:idx val="2"/>
          <c:order val="2"/>
          <c:tx>
            <c:strRef>
              <c:f>Лист1!$D$1</c:f>
              <c:strCache>
                <c:ptCount val="1"/>
                <c:pt idx="0">
                  <c:v>ОГ3б</c:v>
                </c:pt>
              </c:strCache>
            </c:strRef>
          </c:tx>
          <c:spPr>
            <a:ln w="28518"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349">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0.59</c:v>
                </c:pt>
                <c:pt idx="1">
                  <c:v>0.39000000000000162</c:v>
                </c:pt>
                <c:pt idx="2">
                  <c:v>0.22</c:v>
                </c:pt>
                <c:pt idx="3">
                  <c:v>9.0000000000000024E-2</c:v>
                </c:pt>
              </c:numCache>
            </c:numRef>
          </c:val>
        </c:ser>
        <c:marker val="1"/>
        <c:axId val="135048576"/>
        <c:axId val="134940160"/>
      </c:lineChart>
      <c:catAx>
        <c:axId val="135048576"/>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4426104538"/>
              <c:y val="0.8437883197327205"/>
            </c:manualLayout>
          </c:layout>
          <c:spPr>
            <a:noFill/>
            <a:ln w="25349">
              <a:noFill/>
            </a:ln>
          </c:spPr>
        </c:title>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940160"/>
        <c:crosses val="autoZero"/>
        <c:auto val="1"/>
        <c:lblAlgn val="ctr"/>
        <c:lblOffset val="100"/>
      </c:catAx>
      <c:valAx>
        <c:axId val="134940160"/>
        <c:scaling>
          <c:orientation val="minMax"/>
        </c:scaling>
        <c:axPos val="l"/>
        <c:majorGridlines>
          <c:spPr>
            <a:ln w="9506" cap="flat" cmpd="sng" algn="ctr">
              <a:solidFill>
                <a:schemeClr val="tx1">
                  <a:lumMod val="15000"/>
                  <a:lumOff val="85000"/>
                </a:schemeClr>
              </a:solidFill>
              <a:round/>
            </a:ln>
            <a:effectLst/>
          </c:spPr>
        </c:majorGridlines>
        <c:title>
          <c:tx>
            <c:rich>
              <a:bodyPr/>
              <a:lstStyle/>
              <a:p>
                <a:pPr>
                  <a:defRPr sz="998" b="0" i="0" u="none" strike="noStrike" baseline="0">
                    <a:solidFill>
                      <a:srgbClr val="000000"/>
                    </a:solidFill>
                    <a:latin typeface="Calibri"/>
                    <a:ea typeface="Calibri"/>
                    <a:cs typeface="Calibri"/>
                  </a:defRPr>
                </a:pPr>
                <a:r>
                  <a:rPr lang="el-GR" sz="998" b="0" i="0" strike="noStrike">
                    <a:solidFill>
                      <a:srgbClr val="333333"/>
                    </a:solidFill>
                    <a:latin typeface="Times New Roman"/>
                    <a:cs typeface="Times New Roman"/>
                  </a:rPr>
                  <a:t>Δ </a:t>
                </a:r>
                <a:r>
                  <a:rPr lang="en-US" sz="998" b="0" i="0" strike="noStrike">
                    <a:solidFill>
                      <a:srgbClr val="333333"/>
                    </a:solidFill>
                    <a:latin typeface="Times New Roman"/>
                    <a:cs typeface="Times New Roman"/>
                  </a:rPr>
                  <a:t>pH </a:t>
                </a:r>
              </a:p>
            </c:rich>
          </c:tx>
          <c:layout>
            <c:manualLayout>
              <c:xMode val="edge"/>
              <c:yMode val="edge"/>
              <c:x val="1.6203865623057492E-2"/>
              <c:y val="0.19626569748855188"/>
            </c:manualLayout>
          </c:layout>
          <c:spPr>
            <a:noFill/>
            <a:ln w="25349">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48576"/>
        <c:crosses val="autoZero"/>
        <c:crossBetween val="between"/>
      </c:valAx>
      <c:spPr>
        <a:noFill/>
        <a:ln w="25349">
          <a:noFill/>
        </a:ln>
      </c:spPr>
    </c:plotArea>
    <c:legend>
      <c:legendPos val="b"/>
      <c:spPr>
        <a:noFill/>
        <a:ln w="25349">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КГ1</c:v>
                </c:pt>
              </c:strCache>
            </c:strRef>
          </c:tx>
          <c:spPr>
            <a:ln w="28516" cap="rnd">
              <a:solidFill>
                <a:schemeClr val="accent1"/>
              </a:solidFill>
              <a:round/>
            </a:ln>
            <a:effectLst/>
          </c:spPr>
          <c:marker>
            <c:symbol val="none"/>
          </c:marker>
          <c:dLbls>
            <c:dLbl>
              <c:idx val="0"/>
              <c:layout>
                <c:manualLayout>
                  <c:x val="-5.179407261592299E-2"/>
                  <c:y val="4.2966191726034532E-2"/>
                </c:manualLayout>
              </c:layout>
              <c:dLblPos val="r"/>
              <c:showVal val="1"/>
            </c:dLbl>
            <c:dLbl>
              <c:idx val="1"/>
              <c:layout>
                <c:manualLayout>
                  <c:x val="-5.1794072615923094E-2"/>
                  <c:y val="3.5029683789526402E-2"/>
                </c:manualLayout>
              </c:layout>
              <c:dLblPos val="r"/>
              <c:showVal val="1"/>
            </c:dLbl>
            <c:dLbl>
              <c:idx val="2"/>
              <c:layout>
                <c:manualLayout>
                  <c:x val="-9.114592446777485E-2"/>
                  <c:y val="3.5029683789526402E-2"/>
                </c:manualLayout>
              </c:layout>
              <c:dLblPos val="r"/>
              <c:showVal val="1"/>
            </c:dLbl>
            <c:dLbl>
              <c:idx val="3"/>
              <c:layout>
                <c:manualLayout>
                  <c:x val="-3.7905183727034296E-2"/>
                  <c:y val="-0.12766872890888498"/>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0.4</c:v>
                </c:pt>
                <c:pt idx="1">
                  <c:v>0.4</c:v>
                </c:pt>
                <c:pt idx="2">
                  <c:v>0.4</c:v>
                </c:pt>
                <c:pt idx="3">
                  <c:v>0.4</c:v>
                </c:pt>
              </c:numCache>
            </c:numRef>
          </c:val>
        </c:ser>
        <c:ser>
          <c:idx val="1"/>
          <c:order val="1"/>
          <c:tx>
            <c:strRef>
              <c:f>Лист1!$C$1</c:f>
              <c:strCache>
                <c:ptCount val="1"/>
                <c:pt idx="0">
                  <c:v>ОГ1а</c:v>
                </c:pt>
              </c:strCache>
            </c:strRef>
          </c:tx>
          <c:spPr>
            <a:ln w="28516"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0.31000000000000144</c:v>
                </c:pt>
                <c:pt idx="1">
                  <c:v>0.34</c:v>
                </c:pt>
                <c:pt idx="2">
                  <c:v>0.37000000000000038</c:v>
                </c:pt>
                <c:pt idx="3">
                  <c:v>0.41000000000000031</c:v>
                </c:pt>
              </c:numCache>
            </c:numRef>
          </c:val>
        </c:ser>
        <c:ser>
          <c:idx val="2"/>
          <c:order val="2"/>
          <c:tx>
            <c:strRef>
              <c:f>Лист1!$D$1</c:f>
              <c:strCache>
                <c:ptCount val="1"/>
                <c:pt idx="0">
                  <c:v>ОГ1б</c:v>
                </c:pt>
              </c:strCache>
            </c:strRef>
          </c:tx>
          <c:spPr>
            <a:ln w="28516"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0.32000000000000162</c:v>
                </c:pt>
                <c:pt idx="1">
                  <c:v>0.32000000000000162</c:v>
                </c:pt>
                <c:pt idx="2">
                  <c:v>0.34</c:v>
                </c:pt>
                <c:pt idx="3">
                  <c:v>0.35000000000000031</c:v>
                </c:pt>
              </c:numCache>
            </c:numRef>
          </c:val>
        </c:ser>
        <c:marker val="1"/>
        <c:axId val="142147584"/>
        <c:axId val="142149504"/>
      </c:lineChart>
      <c:catAx>
        <c:axId val="142147584"/>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6442623685"/>
              <c:y val="0.84378805009148738"/>
            </c:manualLayout>
          </c:layout>
          <c:spPr>
            <a:noFill/>
            <a:ln w="25348">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149504"/>
        <c:crosses val="autoZero"/>
        <c:auto val="1"/>
        <c:lblAlgn val="ctr"/>
        <c:lblOffset val="100"/>
      </c:catAx>
      <c:valAx>
        <c:axId val="142149504"/>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ШС, мл/хв. </a:t>
                </a:r>
              </a:p>
            </c:rich>
          </c:tx>
          <c:layout>
            <c:manualLayout>
              <c:xMode val="edge"/>
              <c:yMode val="edge"/>
              <c:x val="1.6203824001169841E-2"/>
              <c:y val="0.19626581238136351"/>
            </c:manualLayout>
          </c:layout>
          <c:spPr>
            <a:noFill/>
            <a:ln w="25348">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147584"/>
        <c:crosses val="autoZero"/>
        <c:crossBetween val="between"/>
      </c:valAx>
      <c:spPr>
        <a:noFill/>
        <a:ln w="25348">
          <a:noFill/>
        </a:ln>
      </c:spPr>
    </c:plotArea>
    <c:legend>
      <c:legendPos val="b"/>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КГ2</c:v>
                </c:pt>
              </c:strCache>
            </c:strRef>
          </c:tx>
          <c:spPr>
            <a:ln w="28575" cap="rnd">
              <a:solidFill>
                <a:schemeClr val="accent1"/>
              </a:solidFill>
              <a:round/>
            </a:ln>
            <a:effectLst/>
          </c:spPr>
          <c:marker>
            <c:symbol val="none"/>
          </c:marker>
          <c:dLbls>
            <c:dLbl>
              <c:idx val="0"/>
              <c:layout>
                <c:manualLayout>
                  <c:x val="-5.179407261592299E-2"/>
                  <c:y val="4.2966191726034532E-2"/>
                </c:manualLayout>
              </c:layout>
              <c:dLblPos val="r"/>
              <c:showVal val="1"/>
            </c:dLbl>
            <c:dLbl>
              <c:idx val="1"/>
              <c:layout>
                <c:manualLayout>
                  <c:x val="-5.1794072615923094E-2"/>
                  <c:y val="3.5029683789526402E-2"/>
                </c:manualLayout>
              </c:layout>
              <c:dLblPos val="r"/>
              <c:showVal val="1"/>
            </c:dLbl>
            <c:dLbl>
              <c:idx val="2"/>
              <c:layout>
                <c:manualLayout>
                  <c:x val="-9.114592446777485E-2"/>
                  <c:y val="3.5029683789526402E-2"/>
                </c:manualLayout>
              </c:layout>
              <c:dLblPos val="r"/>
              <c:showVal val="1"/>
            </c:dLbl>
            <c:dLbl>
              <c:idx val="3"/>
              <c:layout>
                <c:manualLayout>
                  <c:x val="-3.7905183727034296E-2"/>
                  <c:y val="-0.12766872890888498"/>
                </c:manualLayout>
              </c:layout>
              <c:dLblPos val="r"/>
              <c:showVal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0.41000000000000031</c:v>
                </c:pt>
                <c:pt idx="1">
                  <c:v>0.41000000000000031</c:v>
                </c:pt>
                <c:pt idx="2">
                  <c:v>0.41000000000000031</c:v>
                </c:pt>
                <c:pt idx="3">
                  <c:v>0.41000000000000031</c:v>
                </c:pt>
              </c:numCache>
            </c:numRef>
          </c:val>
        </c:ser>
        <c:ser>
          <c:idx val="1"/>
          <c:order val="1"/>
          <c:tx>
            <c:strRef>
              <c:f>Лист1!$C$1</c:f>
              <c:strCache>
                <c:ptCount val="1"/>
                <c:pt idx="0">
                  <c:v>ОГ2а</c:v>
                </c:pt>
              </c:strCache>
            </c:strRef>
          </c:tx>
          <c:spPr>
            <a:ln w="28575"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8.5287776527934012E-2"/>
                </c:manualLayout>
              </c:layout>
              <c:dLblPos val="r"/>
              <c:showVal val="1"/>
            </c:dLbl>
            <c:dLbl>
              <c:idx val="3"/>
              <c:layout>
                <c:manualLayout>
                  <c:x val="3.5589822105568571E-3"/>
                  <c:y val="2.0138107736532942E-3"/>
                </c:manualLayout>
              </c:layout>
              <c:dLblPos val="r"/>
              <c:showVal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0.30000000000000032</c:v>
                </c:pt>
                <c:pt idx="1">
                  <c:v>0.36000000000000032</c:v>
                </c:pt>
                <c:pt idx="2">
                  <c:v>0.38000000000000161</c:v>
                </c:pt>
                <c:pt idx="3">
                  <c:v>0.4</c:v>
                </c:pt>
              </c:numCache>
            </c:numRef>
          </c:val>
        </c:ser>
        <c:ser>
          <c:idx val="2"/>
          <c:order val="2"/>
          <c:tx>
            <c:strRef>
              <c:f>Лист1!$D$1</c:f>
              <c:strCache>
                <c:ptCount val="1"/>
                <c:pt idx="0">
                  <c:v>ОГ2б</c:v>
                </c:pt>
              </c:strCache>
            </c:strRef>
          </c:tx>
          <c:spPr>
            <a:ln w="28575"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0.30000000000000032</c:v>
                </c:pt>
                <c:pt idx="1">
                  <c:v>0.32000000000000162</c:v>
                </c:pt>
                <c:pt idx="2">
                  <c:v>0.3300000000000019</c:v>
                </c:pt>
                <c:pt idx="3">
                  <c:v>0.36000000000000032</c:v>
                </c:pt>
              </c:numCache>
            </c:numRef>
          </c:val>
        </c:ser>
        <c:marker val="1"/>
        <c:axId val="142258560"/>
        <c:axId val="142260480"/>
      </c:lineChart>
      <c:catAx>
        <c:axId val="142258560"/>
        <c:scaling>
          <c:orientation val="minMax"/>
        </c:scaling>
        <c:axPos val="b"/>
        <c:title>
          <c:tx>
            <c:rich>
              <a:bodyPr/>
              <a:lstStyle/>
              <a:p>
                <a:pPr>
                  <a:defRPr sz="1000"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900945462331"/>
              <c:y val="0.84378826726566825"/>
            </c:manualLayout>
          </c:layout>
          <c:spPr>
            <a:noFill/>
            <a:ln w="25400">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260480"/>
        <c:crosses val="autoZero"/>
        <c:auto val="1"/>
        <c:lblAlgn val="ctr"/>
        <c:lblOffset val="100"/>
      </c:catAx>
      <c:valAx>
        <c:axId val="142260480"/>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Times New Roman"/>
                    <a:ea typeface="Times New Roman"/>
                    <a:cs typeface="Times New Roman"/>
                  </a:defRPr>
                </a:pPr>
                <a:r>
                  <a:rPr lang="ru-RU"/>
                  <a:t>ШС, мл/хв. </a:t>
                </a:r>
              </a:p>
            </c:rich>
          </c:tx>
          <c:layout>
            <c:manualLayout>
              <c:xMode val="edge"/>
              <c:yMode val="edge"/>
              <c:x val="1.6203868052532152E-2"/>
              <c:y val="0.19626586063966089"/>
            </c:manualLayout>
          </c:layout>
          <c:spPr>
            <a:noFill/>
            <a:ln w="25400">
              <a:noFill/>
            </a:ln>
          </c:spPr>
        </c:title>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258560"/>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tx>
                <c:rich>
                  <a:bodyPr/>
                  <a:lstStyle/>
                  <a:p>
                    <a:r>
                      <a:rPr lang="uk-UA"/>
                      <a:t>30</a:t>
                    </a:r>
                    <a:endParaRPr lang="en-US"/>
                  </a:p>
                </c:rich>
              </c:tx>
              <c:showLegendKey val="1"/>
              <c:showVal val="1"/>
              <c:showPercent val="1"/>
              <c:showBubbleSize val="1"/>
            </c:dLbl>
            <c:dLbl>
              <c:idx val="1"/>
              <c:tx>
                <c:rich>
                  <a:bodyPr/>
                  <a:lstStyle/>
                  <a:p>
                    <a:r>
                      <a:rPr lang="uk-UA"/>
                      <a:t>65</a:t>
                    </a:r>
                    <a:endParaRPr lang="en-US"/>
                  </a:p>
                </c:rich>
              </c:tx>
              <c:showLegendKey val="1"/>
              <c:showVal val="1"/>
              <c:showPercent val="1"/>
              <c:showBubbleSize val="1"/>
            </c:dLbl>
            <c:dLbl>
              <c:idx val="2"/>
              <c:tx>
                <c:rich>
                  <a:bodyPr/>
                  <a:lstStyle/>
                  <a:p>
                    <a:r>
                      <a:rPr lang="uk-UA"/>
                      <a:t>60</a:t>
                    </a:r>
                    <a:endParaRPr lang="en-US"/>
                  </a:p>
                </c:rich>
              </c:tx>
              <c:showLegendKey val="1"/>
              <c:showVal val="1"/>
              <c:showPercent val="1"/>
              <c:showBubbleSize val="1"/>
            </c:dLbl>
            <c:dLbl>
              <c:idx val="3"/>
              <c:tx>
                <c:rich>
                  <a:bodyPr/>
                  <a:lstStyle/>
                  <a:p>
                    <a:r>
                      <a:rPr lang="uk-UA"/>
                      <a:t>71</a:t>
                    </a:r>
                    <a:endParaRPr lang="en-US"/>
                  </a:p>
                </c:rich>
              </c:tx>
              <c:showLegendKey val="1"/>
              <c:showVal val="1"/>
              <c:showPercent val="1"/>
              <c:showBubbleSize val="1"/>
            </c:dLbl>
            <c:dLbl>
              <c:idx val="4"/>
              <c:tx>
                <c:rich>
                  <a:bodyPr/>
                  <a:lstStyle/>
                  <a:p>
                    <a:r>
                      <a:rPr lang="uk-UA"/>
                      <a:t>75</a:t>
                    </a:r>
                    <a:endParaRPr lang="en-US"/>
                  </a:p>
                </c:rich>
              </c:tx>
              <c:showLegendKey val="1"/>
              <c:showVal val="1"/>
              <c:showPercent val="1"/>
              <c:showBubbleSize val="1"/>
            </c:dLbl>
            <c:dLbl>
              <c:idx val="5"/>
              <c:tx>
                <c:rich>
                  <a:bodyPr/>
                  <a:lstStyle/>
                  <a:p>
                    <a:r>
                      <a:rPr lang="uk-UA"/>
                      <a:t>85</a:t>
                    </a:r>
                    <a:endParaRPr lang="en-US"/>
                  </a:p>
                </c:rich>
              </c:tx>
              <c:showLegendKey val="1"/>
              <c:showVal val="1"/>
              <c:showPercent val="1"/>
              <c:showBubbleSiz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layout/>
                <c15:showLeaderLines val="0"/>
              </c:ext>
            </c:extLst>
          </c:dLbls>
          <c:cat>
            <c:strRef>
              <c:f>Лист33!$A$8:$A$13</c:f>
              <c:strCache>
                <c:ptCount val="6"/>
                <c:pt idx="0">
                  <c:v>КГ1</c:v>
                </c:pt>
                <c:pt idx="1">
                  <c:v>ОГ1</c:v>
                </c:pt>
                <c:pt idx="2">
                  <c:v>КГ2</c:v>
                </c:pt>
                <c:pt idx="3">
                  <c:v>ОГ2</c:v>
                </c:pt>
                <c:pt idx="4">
                  <c:v>КГ3</c:v>
                </c:pt>
                <c:pt idx="5">
                  <c:v>ОГ3</c:v>
                </c:pt>
              </c:strCache>
            </c:strRef>
          </c:cat>
          <c:val>
            <c:numRef>
              <c:f>Лист33!$B$8:$B$13</c:f>
              <c:numCache>
                <c:formatCode>General</c:formatCode>
                <c:ptCount val="6"/>
                <c:pt idx="0">
                  <c:v>0.30000000000000032</c:v>
                </c:pt>
                <c:pt idx="1">
                  <c:v>0.65000000000000335</c:v>
                </c:pt>
                <c:pt idx="2">
                  <c:v>0.60000000000000064</c:v>
                </c:pt>
                <c:pt idx="3">
                  <c:v>0.71000000000000063</c:v>
                </c:pt>
                <c:pt idx="4">
                  <c:v>0.750000000000003</c:v>
                </c:pt>
                <c:pt idx="5">
                  <c:v>0.85000000000000064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84935040"/>
        <c:axId val="84936576"/>
      </c:barChart>
      <c:catAx>
        <c:axId val="849350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936576"/>
        <c:crosses val="autoZero"/>
        <c:auto val="1"/>
        <c:lblAlgn val="ctr"/>
        <c:lblOffset val="100"/>
        <c:noMultiLvlLbl val="1"/>
      </c:catAx>
      <c:valAx>
        <c:axId val="849365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Поширеність карієсу, %   </a:t>
                </a:r>
              </a:p>
            </c:rich>
          </c:tx>
          <c:layout>
            <c:manualLayout>
              <c:xMode val="edge"/>
              <c:yMode val="edge"/>
              <c:x val="5.2533833419725923E-2"/>
              <c:y val="0.29910029638536567"/>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93504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КГ3</c:v>
                </c:pt>
              </c:strCache>
            </c:strRef>
          </c:tx>
          <c:spPr>
            <a:ln w="28516" cap="rnd">
              <a:solidFill>
                <a:schemeClr val="accent1"/>
              </a:solidFill>
              <a:round/>
            </a:ln>
            <a:effectLst/>
          </c:spPr>
          <c:marker>
            <c:symbol val="none"/>
          </c:marker>
          <c:dLbls>
            <c:dLbl>
              <c:idx val="0"/>
              <c:layout>
                <c:manualLayout>
                  <c:x val="-5.179407261592299E-2"/>
                  <c:y val="4.2966191726034532E-2"/>
                </c:manualLayout>
              </c:layout>
              <c:dLblPos val="r"/>
              <c:showVal val="1"/>
            </c:dLbl>
            <c:dLbl>
              <c:idx val="1"/>
              <c:layout>
                <c:manualLayout>
                  <c:x val="-5.1794072615923094E-2"/>
                  <c:y val="3.5029683789526402E-2"/>
                </c:manualLayout>
              </c:layout>
              <c:dLblPos val="r"/>
              <c:showVal val="1"/>
            </c:dLbl>
            <c:dLbl>
              <c:idx val="2"/>
              <c:layout>
                <c:manualLayout>
                  <c:x val="-9.114592446777485E-2"/>
                  <c:y val="3.5029683789526402E-2"/>
                </c:manualLayout>
              </c:layout>
              <c:dLblPos val="r"/>
              <c:showVal val="1"/>
            </c:dLbl>
            <c:dLbl>
              <c:idx val="3"/>
              <c:layout>
                <c:manualLayout>
                  <c:x val="-3.7905183727034296E-2"/>
                  <c:y val="-0.12766872890888498"/>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Лист1!$B$2:$B$5</c:f>
              <c:numCache>
                <c:formatCode>General</c:formatCode>
                <c:ptCount val="4"/>
                <c:pt idx="0">
                  <c:v>0.42000000000000032</c:v>
                </c:pt>
                <c:pt idx="1">
                  <c:v>0.42000000000000032</c:v>
                </c:pt>
                <c:pt idx="2">
                  <c:v>0.42000000000000032</c:v>
                </c:pt>
                <c:pt idx="3">
                  <c:v>0.42000000000000032</c:v>
                </c:pt>
              </c:numCache>
            </c:numRef>
          </c:val>
        </c:ser>
        <c:ser>
          <c:idx val="1"/>
          <c:order val="1"/>
          <c:tx>
            <c:strRef>
              <c:f>Лист1!$C$1</c:f>
              <c:strCache>
                <c:ptCount val="1"/>
                <c:pt idx="0">
                  <c:v>ОГ3а</c:v>
                </c:pt>
              </c:strCache>
            </c:strRef>
          </c:tx>
          <c:spPr>
            <a:ln w="28516" cap="rnd">
              <a:solidFill>
                <a:schemeClr val="accent2"/>
              </a:solidFill>
              <a:round/>
            </a:ln>
            <a:effectLst/>
          </c:spPr>
          <c:marker>
            <c:symbol val="none"/>
          </c:marker>
          <c:dLbls>
            <c:dLbl>
              <c:idx val="1"/>
              <c:layout>
                <c:manualLayout>
                  <c:x val="1.0503426655001461E-2"/>
                  <c:y val="-0.13687507811523561"/>
                </c:manualLayout>
              </c:layout>
              <c:dLblPos val="r"/>
              <c:showVal val="1"/>
            </c:dLbl>
            <c:dLbl>
              <c:idx val="2"/>
              <c:layout>
                <c:manualLayout>
                  <c:x val="-3.8107684456109653E-2"/>
                  <c:y val="-0.13290682414698171"/>
                </c:manualLayout>
              </c:layout>
              <c:dLblPos val="r"/>
              <c:showVal val="1"/>
            </c:dLbl>
            <c:dLbl>
              <c:idx val="3"/>
              <c:layout>
                <c:manualLayout>
                  <c:x val="3.5589822105568571E-3"/>
                  <c:y val="2.0138107736532942E-3"/>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Лист1!$C$2:$C$5</c:f>
              <c:numCache>
                <c:formatCode>General</c:formatCode>
                <c:ptCount val="4"/>
                <c:pt idx="0">
                  <c:v>0.30000000000000032</c:v>
                </c:pt>
                <c:pt idx="1">
                  <c:v>0.35000000000000031</c:v>
                </c:pt>
                <c:pt idx="2">
                  <c:v>0.36000000000000032</c:v>
                </c:pt>
                <c:pt idx="3">
                  <c:v>0.36000000000000032</c:v>
                </c:pt>
              </c:numCache>
            </c:numRef>
          </c:val>
        </c:ser>
        <c:ser>
          <c:idx val="2"/>
          <c:order val="2"/>
          <c:tx>
            <c:strRef>
              <c:f>Лист1!$D$1</c:f>
              <c:strCache>
                <c:ptCount val="1"/>
                <c:pt idx="0">
                  <c:v>ОГ3б</c:v>
                </c:pt>
              </c:strCache>
            </c:strRef>
          </c:tx>
          <c:spPr>
            <a:ln w="28516" cap="rnd">
              <a:solidFill>
                <a:schemeClr val="accent3"/>
              </a:solidFill>
              <a:round/>
            </a:ln>
            <a:effectLst/>
          </c:spPr>
          <c:marker>
            <c:symbol val="none"/>
          </c:marker>
          <c:dLbls>
            <c:dLbl>
              <c:idx val="0"/>
              <c:layout>
                <c:manualLayout>
                  <c:x val="-5.1215368912219297E-2"/>
                  <c:y val="5.0902699662542183E-2"/>
                </c:manualLayout>
              </c:layout>
              <c:dLblPos val="r"/>
              <c:showVal val="1"/>
            </c:dLbl>
            <c:dLbl>
              <c:idx val="1"/>
              <c:layout>
                <c:manualLayout>
                  <c:x val="-7.0312591134442326E-2"/>
                  <c:y val="7.0743969503812024E-2"/>
                </c:manualLayout>
              </c:layout>
              <c:dLblPos val="r"/>
              <c:showVal val="1"/>
            </c:dLbl>
            <c:dLbl>
              <c:idx val="2"/>
              <c:layout>
                <c:manualLayout>
                  <c:x val="-8.6805555555554727E-3"/>
                  <c:y val="9.8521747281590452E-2"/>
                </c:manualLayout>
              </c:layout>
              <c:dLblPos val="r"/>
              <c:showVal val="1"/>
            </c:dLbl>
            <c:dLbl>
              <c:idx val="3"/>
              <c:layout>
                <c:manualLayout>
                  <c:x val="-7.8125911344415523E-3"/>
                  <c:y val="9.0585239345081864E-2"/>
                </c:manualLayout>
              </c:layout>
              <c:dLblPos val="r"/>
              <c:showVal val="1"/>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Val val="1"/>
          </c:dLbls>
          <c:cat>
            <c:strRef>
              <c:f>Лист1!$A$2:$A$5</c:f>
              <c:strCache>
                <c:ptCount val="4"/>
                <c:pt idx="0">
                  <c:v>До лікування</c:v>
                </c:pt>
                <c:pt idx="1">
                  <c:v>Через 1 місяць</c:v>
                </c:pt>
                <c:pt idx="2">
                  <c:v>Через 6 місяців</c:v>
                </c:pt>
                <c:pt idx="3">
                  <c:v>Через 12 місяців</c:v>
                </c:pt>
              </c:strCache>
            </c:strRef>
          </c:cat>
          <c:val>
            <c:numRef>
              <c:f>Лист1!$D$2:$D$5</c:f>
              <c:numCache>
                <c:formatCode>General</c:formatCode>
                <c:ptCount val="4"/>
                <c:pt idx="0">
                  <c:v>0.31000000000000144</c:v>
                </c:pt>
                <c:pt idx="1">
                  <c:v>0.32000000000000162</c:v>
                </c:pt>
                <c:pt idx="2">
                  <c:v>0.3300000000000019</c:v>
                </c:pt>
                <c:pt idx="3">
                  <c:v>0.37000000000000038</c:v>
                </c:pt>
              </c:numCache>
            </c:numRef>
          </c:val>
        </c:ser>
        <c:marker val="1"/>
        <c:axId val="142283520"/>
        <c:axId val="142285440"/>
      </c:lineChart>
      <c:catAx>
        <c:axId val="142283520"/>
        <c:scaling>
          <c:orientation val="minMax"/>
        </c:scaling>
        <c:axPos val="b"/>
        <c:title>
          <c:tx>
            <c:rich>
              <a:bodyPr/>
              <a:lstStyle/>
              <a:p>
                <a:pPr>
                  <a:defRPr sz="998" b="0" i="0" u="none" strike="noStrike" baseline="0">
                    <a:solidFill>
                      <a:srgbClr val="333333"/>
                    </a:solidFill>
                    <a:latin typeface="Times New Roman"/>
                    <a:ea typeface="Times New Roman"/>
                    <a:cs typeface="Times New Roman"/>
                  </a:defRPr>
                </a:pPr>
                <a:r>
                  <a:rPr lang="ru-RU"/>
                  <a:t>Строки спостереження</a:t>
                </a:r>
              </a:p>
            </c:rich>
          </c:tx>
          <c:layout>
            <c:manualLayout>
              <c:xMode val="edge"/>
              <c:yMode val="edge"/>
              <c:x val="0.40222895042669576"/>
              <c:y val="0.84378828704709363"/>
            </c:manualLayout>
          </c:layout>
          <c:spPr>
            <a:noFill/>
            <a:ln w="25347">
              <a:noFill/>
            </a:ln>
          </c:spPr>
        </c:title>
        <c:numFmt formatCode="General" sourceLinked="1"/>
        <c:maj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285440"/>
        <c:crosses val="autoZero"/>
        <c:auto val="1"/>
        <c:lblAlgn val="ctr"/>
        <c:lblOffset val="100"/>
      </c:catAx>
      <c:valAx>
        <c:axId val="142285440"/>
        <c:scaling>
          <c:orientation val="minMax"/>
        </c:scaling>
        <c:axPos val="l"/>
        <c:majorGridlines>
          <c:spPr>
            <a:ln w="9505" cap="flat" cmpd="sng" algn="ctr">
              <a:solidFill>
                <a:schemeClr val="tx1">
                  <a:lumMod val="15000"/>
                  <a:lumOff val="85000"/>
                </a:schemeClr>
              </a:solidFill>
              <a:round/>
            </a:ln>
            <a:effectLst/>
          </c:spPr>
        </c:majorGridlines>
        <c:title>
          <c:tx>
            <c:rich>
              <a:bodyPr/>
              <a:lstStyle/>
              <a:p>
                <a:pPr>
                  <a:defRPr sz="998" b="0" i="0" u="none" strike="noStrike" baseline="0">
                    <a:solidFill>
                      <a:srgbClr val="333333"/>
                    </a:solidFill>
                    <a:latin typeface="Times New Roman"/>
                    <a:ea typeface="Times New Roman"/>
                    <a:cs typeface="Times New Roman"/>
                  </a:defRPr>
                </a:pPr>
                <a:r>
                  <a:rPr lang="ru-RU"/>
                  <a:t>ШС, мл/хв. </a:t>
                </a:r>
              </a:p>
            </c:rich>
          </c:tx>
          <c:layout>
            <c:manualLayout>
              <c:xMode val="edge"/>
              <c:yMode val="edge"/>
              <c:x val="1.6203759107232107E-2"/>
              <c:y val="0.19626596956589937"/>
            </c:manualLayout>
          </c:layout>
          <c:spPr>
            <a:noFill/>
            <a:ln w="25347">
              <a:noFill/>
            </a:ln>
          </c:spPr>
        </c:title>
        <c:numFmt formatCode="General" sourceLinked="1"/>
        <c:maj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283520"/>
        <c:crosses val="autoZero"/>
        <c:crossBetween val="between"/>
      </c:valAx>
      <c:spPr>
        <a:noFill/>
        <a:ln w="25347">
          <a:noFill/>
        </a:ln>
      </c:spPr>
    </c:plotArea>
    <c:legend>
      <c:legendPos val="b"/>
      <c:spPr>
        <a:noFill/>
        <a:ln w="2534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186700767263448E-2"/>
          <c:y val="0.10502283105022862"/>
          <c:w val="0.5907928388746807"/>
          <c:h val="0.74885844748859309"/>
        </c:manualLayout>
      </c:layout>
      <c:barChart>
        <c:barDir val="col"/>
        <c:grouping val="clustered"/>
        <c:ser>
          <c:idx val="0"/>
          <c:order val="0"/>
          <c:tx>
            <c:strRef>
              <c:f>Sheet1!$A$2</c:f>
              <c:strCache>
                <c:ptCount val="1"/>
                <c:pt idx="0">
                  <c:v>І клас</c:v>
                </c:pt>
              </c:strCache>
            </c:strRef>
          </c:tx>
          <c:spPr>
            <a:solidFill>
              <a:srgbClr val="339966"/>
            </a:solidFill>
            <a:ln w="12700">
              <a:solidFill>
                <a:srgbClr val="000000"/>
              </a:solidFill>
              <a:prstDash val="solid"/>
            </a:ln>
          </c:spPr>
          <c:dLbls>
            <c:dLbl>
              <c:idx val="0"/>
              <c:layout>
                <c:manualLayout>
                  <c:x val="0"/>
                  <c:y val="-4.0756914119359534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Sheet1!$B$2:$B$2</c:f>
              <c:numCache>
                <c:formatCode>0%</c:formatCode>
                <c:ptCount val="1"/>
                <c:pt idx="0">
                  <c:v>0.750000000000003</c:v>
                </c:pt>
              </c:numCache>
            </c:numRef>
          </c:val>
        </c:ser>
        <c:ser>
          <c:idx val="1"/>
          <c:order val="1"/>
          <c:tx>
            <c:strRef>
              <c:f>Sheet1!$A$3</c:f>
              <c:strCache>
                <c:ptCount val="1"/>
                <c:pt idx="0">
                  <c:v>ІІ клас</c:v>
                </c:pt>
              </c:strCache>
            </c:strRef>
          </c:tx>
          <c:spPr>
            <a:solidFill>
              <a:srgbClr val="FFFF00"/>
            </a:solidFill>
            <a:ln w="12700">
              <a:solidFill>
                <a:srgbClr val="000000"/>
              </a:solidFill>
              <a:prstDash val="solid"/>
            </a:ln>
          </c:spPr>
          <c:dLbls>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Sheet1!$B$3:$B$3</c:f>
              <c:numCache>
                <c:formatCode>0%</c:formatCode>
                <c:ptCount val="1"/>
                <c:pt idx="0">
                  <c:v>0.18000000000000024</c:v>
                </c:pt>
              </c:numCache>
            </c:numRef>
          </c:val>
        </c:ser>
        <c:ser>
          <c:idx val="2"/>
          <c:order val="2"/>
          <c:tx>
            <c:strRef>
              <c:f>Sheet1!$A$4</c:f>
              <c:strCache>
                <c:ptCount val="1"/>
                <c:pt idx="0">
                  <c:v>ІІІ клас</c:v>
                </c:pt>
              </c:strCache>
            </c:strRef>
          </c:tx>
          <c:spPr>
            <a:solidFill>
              <a:srgbClr val="FF6600"/>
            </a:solidFill>
            <a:ln w="12700">
              <a:solidFill>
                <a:srgbClr val="000000"/>
              </a:solidFill>
              <a:prstDash val="solid"/>
            </a:ln>
          </c:spPr>
          <c:dLbls>
            <c:dLbl>
              <c:idx val="0"/>
              <c:layout>
                <c:manualLayout>
                  <c:x val="0"/>
                  <c:y val="2.3289665211062592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Sheet1!$B$4:$B$4</c:f>
              <c:numCache>
                <c:formatCode>0%</c:formatCode>
                <c:ptCount val="1"/>
                <c:pt idx="0">
                  <c:v>2.0000000000000011E-2</c:v>
                </c:pt>
              </c:numCache>
            </c:numRef>
          </c:val>
        </c:ser>
        <c:ser>
          <c:idx val="3"/>
          <c:order val="3"/>
          <c:tx>
            <c:strRef>
              <c:f>Sheet1!$A$5</c:f>
              <c:strCache>
                <c:ptCount val="1"/>
                <c:pt idx="0">
                  <c:v>IV клас</c:v>
                </c:pt>
              </c:strCache>
            </c:strRef>
          </c:tx>
          <c:spPr>
            <a:solidFill>
              <a:srgbClr val="00CCFF"/>
            </a:solidFill>
            <a:ln w="12700">
              <a:solidFill>
                <a:srgbClr val="000000"/>
              </a:solidFill>
              <a:prstDash val="solid"/>
            </a:ln>
          </c:spPr>
          <c:dLbls>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Sheet1!$B$5:$B$5</c:f>
              <c:numCache>
                <c:formatCode>0%</c:formatCode>
                <c:ptCount val="1"/>
                <c:pt idx="0">
                  <c:v>0</c:v>
                </c:pt>
              </c:numCache>
            </c:numRef>
          </c:val>
        </c:ser>
        <c:ser>
          <c:idx val="4"/>
          <c:order val="4"/>
          <c:tx>
            <c:strRef>
              <c:f>Sheet1!$A$6</c:f>
              <c:strCache>
                <c:ptCount val="1"/>
                <c:pt idx="0">
                  <c:v>V клас</c:v>
                </c:pt>
              </c:strCache>
            </c:strRef>
          </c:tx>
          <c:spPr>
            <a:solidFill>
              <a:srgbClr val="FF0000"/>
            </a:solidFill>
            <a:ln w="12700">
              <a:solidFill>
                <a:srgbClr val="000000"/>
              </a:solidFill>
              <a:prstDash val="solid"/>
            </a:ln>
          </c:spPr>
          <c:dLbls>
            <c:dLbl>
              <c:idx val="0"/>
              <c:layout>
                <c:manualLayout>
                  <c:x val="-3.3250207813798841E-3"/>
                  <c:y val="-2.9112081513828238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Sheet1!$B$6:$B$6</c:f>
              <c:numCache>
                <c:formatCode>0%</c:formatCode>
                <c:ptCount val="1"/>
                <c:pt idx="0">
                  <c:v>0.05</c:v>
                </c:pt>
              </c:numCache>
            </c:numRef>
          </c:val>
        </c:ser>
        <c:dLbls>
          <c:showVal val="1"/>
        </c:dLbls>
        <c:axId val="84953728"/>
        <c:axId val="84967808"/>
      </c:barChart>
      <c:catAx>
        <c:axId val="84953728"/>
        <c:scaling>
          <c:orientation val="minMax"/>
        </c:scaling>
        <c:axPos val="b"/>
        <c:numFmt formatCode="General" sourceLinked="1"/>
        <c:minorTickMark val="in"/>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84967808"/>
        <c:crosses val="autoZero"/>
        <c:auto val="1"/>
        <c:lblAlgn val="ctr"/>
        <c:lblOffset val="100"/>
        <c:tickLblSkip val="1"/>
        <c:tickMarkSkip val="1"/>
      </c:catAx>
      <c:valAx>
        <c:axId val="8496780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84953728"/>
        <c:crosses val="autoZero"/>
        <c:crossBetween val="between"/>
      </c:valAx>
      <c:spPr>
        <a:solidFill>
          <a:srgbClr val="FFFFFF"/>
        </a:solidFill>
        <a:ln w="3175">
          <a:solidFill>
            <a:srgbClr val="000000"/>
          </a:solidFill>
          <a:prstDash val="solid"/>
        </a:ln>
      </c:spPr>
    </c:plotArea>
    <c:legend>
      <c:legendPos val="r"/>
      <c:layout>
        <c:manualLayout>
          <c:xMode val="edge"/>
          <c:yMode val="edge"/>
          <c:x val="0.84654731457800891"/>
          <c:y val="0.26027397260273971"/>
          <c:w val="0.15089514066496262"/>
          <c:h val="0.48401826484018423"/>
        </c:manualLayout>
      </c:layout>
      <c:spPr>
        <a:noFill/>
        <a:ln w="25400">
          <a:noFill/>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186700767263448E-2"/>
          <c:y val="0.10502283105022862"/>
          <c:w val="0.5907928388746807"/>
          <c:h val="0.74885844748859309"/>
        </c:manualLayout>
      </c:layout>
      <c:barChart>
        <c:barDir val="col"/>
        <c:grouping val="clustered"/>
        <c:ser>
          <c:idx val="0"/>
          <c:order val="0"/>
          <c:tx>
            <c:strRef>
              <c:f>Sheet1!$A$2</c:f>
              <c:strCache>
                <c:ptCount val="1"/>
                <c:pt idx="0">
                  <c:v>І клас</c:v>
                </c:pt>
              </c:strCache>
            </c:strRef>
          </c:tx>
          <c:spPr>
            <a:solidFill>
              <a:srgbClr val="339966"/>
            </a:solidFill>
            <a:ln w="12700">
              <a:solidFill>
                <a:srgbClr val="000000"/>
              </a:solidFill>
              <a:prstDash val="solid"/>
            </a:ln>
          </c:spPr>
          <c:dLbls>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Sheet1!$B$2:$B$2</c:f>
              <c:numCache>
                <c:formatCode>0%</c:formatCode>
                <c:ptCount val="1"/>
                <c:pt idx="0">
                  <c:v>0.78</c:v>
                </c:pt>
              </c:numCache>
            </c:numRef>
          </c:val>
        </c:ser>
        <c:ser>
          <c:idx val="1"/>
          <c:order val="1"/>
          <c:tx>
            <c:strRef>
              <c:f>Sheet1!$A$3</c:f>
              <c:strCache>
                <c:ptCount val="1"/>
                <c:pt idx="0">
                  <c:v>ІІ клас</c:v>
                </c:pt>
              </c:strCache>
            </c:strRef>
          </c:tx>
          <c:spPr>
            <a:solidFill>
              <a:srgbClr val="FFFF00"/>
            </a:solidFill>
            <a:ln w="12700">
              <a:solidFill>
                <a:srgbClr val="000000"/>
              </a:solidFill>
              <a:prstDash val="solid"/>
            </a:ln>
          </c:spPr>
          <c:dLbls>
            <c:dLbl>
              <c:idx val="0"/>
              <c:layout>
                <c:manualLayout>
                  <c:x val="0"/>
                  <c:y val="1.1644832605531365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Sheet1!$B$3:$B$3</c:f>
              <c:numCache>
                <c:formatCode>0%</c:formatCode>
                <c:ptCount val="1"/>
                <c:pt idx="0">
                  <c:v>0.19</c:v>
                </c:pt>
              </c:numCache>
            </c:numRef>
          </c:val>
        </c:ser>
        <c:ser>
          <c:idx val="2"/>
          <c:order val="2"/>
          <c:tx>
            <c:strRef>
              <c:f>Sheet1!$A$4</c:f>
              <c:strCache>
                <c:ptCount val="1"/>
                <c:pt idx="0">
                  <c:v>ІІІ клас</c:v>
                </c:pt>
              </c:strCache>
            </c:strRef>
          </c:tx>
          <c:spPr>
            <a:solidFill>
              <a:srgbClr val="FF6600"/>
            </a:solidFill>
            <a:ln w="12700">
              <a:solidFill>
                <a:srgbClr val="000000"/>
              </a:solidFill>
              <a:prstDash val="solid"/>
            </a:ln>
          </c:spPr>
          <c:dLbls>
            <c:dLbl>
              <c:idx val="0"/>
              <c:layout>
                <c:manualLayout>
                  <c:x val="-3.3250207813798841E-3"/>
                  <c:y val="1.7467248908296932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Sheet1!$B$4:$B$4</c:f>
              <c:numCache>
                <c:formatCode>0%</c:formatCode>
                <c:ptCount val="1"/>
                <c:pt idx="0">
                  <c:v>2.0000000000000011E-2</c:v>
                </c:pt>
              </c:numCache>
            </c:numRef>
          </c:val>
        </c:ser>
        <c:ser>
          <c:idx val="3"/>
          <c:order val="3"/>
          <c:tx>
            <c:strRef>
              <c:f>Sheet1!$A$5</c:f>
              <c:strCache>
                <c:ptCount val="1"/>
                <c:pt idx="0">
                  <c:v>IV клас</c:v>
                </c:pt>
              </c:strCache>
            </c:strRef>
          </c:tx>
          <c:spPr>
            <a:solidFill>
              <a:srgbClr val="00CCFF"/>
            </a:solidFill>
            <a:ln w="12700">
              <a:solidFill>
                <a:srgbClr val="000000"/>
              </a:solidFill>
              <a:prstDash val="solid"/>
            </a:ln>
          </c:spPr>
          <c:dLbls>
            <c:dLbl>
              <c:idx val="0"/>
              <c:layout>
                <c:manualLayout>
                  <c:x val="-6.6503033754197194E-3"/>
                  <c:y val="2.9112081513828339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Sheet1!$B$5:$B$5</c:f>
              <c:numCache>
                <c:formatCode>0%</c:formatCode>
                <c:ptCount val="1"/>
                <c:pt idx="0">
                  <c:v>1.0000000000000005E-2</c:v>
                </c:pt>
              </c:numCache>
            </c:numRef>
          </c:val>
        </c:ser>
        <c:ser>
          <c:idx val="4"/>
          <c:order val="4"/>
          <c:tx>
            <c:strRef>
              <c:f>Sheet1!$A$6</c:f>
              <c:strCache>
                <c:ptCount val="1"/>
                <c:pt idx="0">
                  <c:v>V клас</c:v>
                </c:pt>
              </c:strCache>
            </c:strRef>
          </c:tx>
          <c:spPr>
            <a:solidFill>
              <a:srgbClr val="FF0000"/>
            </a:solidFill>
            <a:ln w="12700">
              <a:solidFill>
                <a:srgbClr val="000000"/>
              </a:solidFill>
              <a:prstDash val="solid"/>
            </a:ln>
          </c:spPr>
          <c:dLbls>
            <c:dLbl>
              <c:idx val="0"/>
              <c:layout>
                <c:manualLayout>
                  <c:x val="0"/>
                  <c:y val="2.9111623055851639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Sheet1!$B$6:$B$6</c:f>
              <c:numCache>
                <c:formatCode>0%</c:formatCode>
                <c:ptCount val="1"/>
                <c:pt idx="0">
                  <c:v>0</c:v>
                </c:pt>
              </c:numCache>
            </c:numRef>
          </c:val>
        </c:ser>
        <c:dLbls>
          <c:showVal val="1"/>
        </c:dLbls>
        <c:axId val="84992768"/>
        <c:axId val="84994304"/>
      </c:barChart>
      <c:catAx>
        <c:axId val="84992768"/>
        <c:scaling>
          <c:orientation val="minMax"/>
        </c:scaling>
        <c:axPos val="b"/>
        <c:numFmt formatCode="General" sourceLinked="1"/>
        <c:minorTickMark val="in"/>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84994304"/>
        <c:crosses val="autoZero"/>
        <c:auto val="1"/>
        <c:lblAlgn val="ctr"/>
        <c:lblOffset val="100"/>
        <c:tickLblSkip val="1"/>
        <c:tickMarkSkip val="1"/>
      </c:catAx>
      <c:valAx>
        <c:axId val="849943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84992768"/>
        <c:crosses val="autoZero"/>
        <c:crossBetween val="between"/>
      </c:valAx>
      <c:spPr>
        <a:solidFill>
          <a:srgbClr val="FFFFFF"/>
        </a:solidFill>
        <a:ln w="3175">
          <a:solidFill>
            <a:srgbClr val="000000"/>
          </a:solidFill>
          <a:prstDash val="solid"/>
        </a:ln>
      </c:spPr>
    </c:plotArea>
    <c:legend>
      <c:legendPos val="r"/>
      <c:layout>
        <c:manualLayout>
          <c:xMode val="edge"/>
          <c:yMode val="edge"/>
          <c:x val="0.84654731457800891"/>
          <c:y val="0.26027397260273971"/>
          <c:w val="0.15089514066496262"/>
          <c:h val="0.48401826484018423"/>
        </c:manualLayout>
      </c:layout>
      <c:spPr>
        <a:noFill/>
        <a:ln w="25400">
          <a:noFill/>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186700767263448E-2"/>
          <c:y val="0.10502283105022862"/>
          <c:w val="0.5907928388746807"/>
          <c:h val="0.74885844748859309"/>
        </c:manualLayout>
      </c:layout>
      <c:barChart>
        <c:barDir val="col"/>
        <c:grouping val="clustered"/>
        <c:ser>
          <c:idx val="0"/>
          <c:order val="0"/>
          <c:tx>
            <c:strRef>
              <c:f>Sheet1!$A$2</c:f>
              <c:strCache>
                <c:ptCount val="1"/>
                <c:pt idx="0">
                  <c:v>І клас</c:v>
                </c:pt>
              </c:strCache>
            </c:strRef>
          </c:tx>
          <c:spPr>
            <a:solidFill>
              <a:srgbClr val="339966"/>
            </a:solidFill>
            <a:ln w="12700">
              <a:solidFill>
                <a:srgbClr val="000000"/>
              </a:solidFill>
              <a:prstDash val="solid"/>
            </a:ln>
          </c:spPr>
          <c:dLbls>
            <c:dLbl>
              <c:idx val="0"/>
              <c:layout>
                <c:manualLayout>
                  <c:x val="0"/>
                  <c:y val="3.4934497816593899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Sheet1!$B$2:$B$2</c:f>
              <c:numCache>
                <c:formatCode>0%</c:formatCode>
                <c:ptCount val="1"/>
                <c:pt idx="0">
                  <c:v>0.82000000000000062</c:v>
                </c:pt>
              </c:numCache>
            </c:numRef>
          </c:val>
        </c:ser>
        <c:ser>
          <c:idx val="1"/>
          <c:order val="1"/>
          <c:tx>
            <c:strRef>
              <c:f>Sheet1!$A$3</c:f>
              <c:strCache>
                <c:ptCount val="1"/>
                <c:pt idx="0">
                  <c:v>ІІ клас</c:v>
                </c:pt>
              </c:strCache>
            </c:strRef>
          </c:tx>
          <c:spPr>
            <a:solidFill>
              <a:srgbClr val="FFFF00"/>
            </a:solidFill>
            <a:ln w="12700">
              <a:solidFill>
                <a:srgbClr val="000000"/>
              </a:solidFill>
              <a:prstDash val="solid"/>
            </a:ln>
          </c:spPr>
          <c:dLbls>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Sheet1!$B$3:$B$3</c:f>
              <c:numCache>
                <c:formatCode>0%</c:formatCode>
                <c:ptCount val="1"/>
                <c:pt idx="0">
                  <c:v>0.17</c:v>
                </c:pt>
              </c:numCache>
            </c:numRef>
          </c:val>
        </c:ser>
        <c:ser>
          <c:idx val="2"/>
          <c:order val="2"/>
          <c:tx>
            <c:strRef>
              <c:f>Sheet1!$A$4</c:f>
              <c:strCache>
                <c:ptCount val="1"/>
                <c:pt idx="0">
                  <c:v>ІІІ клас</c:v>
                </c:pt>
              </c:strCache>
            </c:strRef>
          </c:tx>
          <c:spPr>
            <a:solidFill>
              <a:srgbClr val="FF6600"/>
            </a:solidFill>
            <a:ln w="12700">
              <a:solidFill>
                <a:srgbClr val="000000"/>
              </a:solidFill>
              <a:prstDash val="solid"/>
            </a:ln>
          </c:spPr>
          <c:dLbls>
            <c:dLbl>
              <c:idx val="0"/>
              <c:layout>
                <c:manualLayout>
                  <c:x val="0"/>
                  <c:y val="1.746724890829705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Sheet1!$B$4:$B$4</c:f>
              <c:numCache>
                <c:formatCode>0%</c:formatCode>
                <c:ptCount val="1"/>
                <c:pt idx="0">
                  <c:v>0</c:v>
                </c:pt>
              </c:numCache>
            </c:numRef>
          </c:val>
        </c:ser>
        <c:ser>
          <c:idx val="3"/>
          <c:order val="3"/>
          <c:tx>
            <c:strRef>
              <c:f>Sheet1!$A$5</c:f>
              <c:strCache>
                <c:ptCount val="1"/>
                <c:pt idx="0">
                  <c:v>IV клас</c:v>
                </c:pt>
              </c:strCache>
            </c:strRef>
          </c:tx>
          <c:spPr>
            <a:solidFill>
              <a:srgbClr val="00CCFF"/>
            </a:solidFill>
            <a:ln w="12700">
              <a:solidFill>
                <a:srgbClr val="000000"/>
              </a:solidFill>
              <a:prstDash val="solid"/>
            </a:ln>
          </c:spPr>
          <c:dLbls>
            <c:dLbl>
              <c:idx val="0"/>
              <c:layout>
                <c:manualLayout>
                  <c:x val="-6.095801013316434E-17"/>
                  <c:y val="1.746724890829705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Sheet1!$B$5:$B$5</c:f>
              <c:numCache>
                <c:formatCode>0%</c:formatCode>
                <c:ptCount val="1"/>
                <c:pt idx="0">
                  <c:v>0</c:v>
                </c:pt>
              </c:numCache>
            </c:numRef>
          </c:val>
        </c:ser>
        <c:ser>
          <c:idx val="4"/>
          <c:order val="4"/>
          <c:tx>
            <c:strRef>
              <c:f>Sheet1!$A$6</c:f>
              <c:strCache>
                <c:ptCount val="1"/>
                <c:pt idx="0">
                  <c:v>V клас</c:v>
                </c:pt>
              </c:strCache>
            </c:strRef>
          </c:tx>
          <c:spPr>
            <a:solidFill>
              <a:srgbClr val="FF0000"/>
            </a:solidFill>
            <a:ln w="12700">
              <a:solidFill>
                <a:srgbClr val="000000"/>
              </a:solidFill>
              <a:prstDash val="solid"/>
            </a:ln>
          </c:spPr>
          <c:dLbls>
            <c:dLbl>
              <c:idx val="0"/>
              <c:layout>
                <c:manualLayout>
                  <c:x val="0"/>
                  <c:y val="1.1644832605531365E-2"/>
                </c:manualLayout>
              </c:layout>
              <c:showVal val="1"/>
            </c:dLbl>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Sheet1!$B$1:$B$1</c:f>
              <c:strCache>
                <c:ptCount val="1"/>
                <c:pt idx="0">
                  <c:v>Діти з уродженою глухотою</c:v>
                </c:pt>
              </c:strCache>
            </c:strRef>
          </c:cat>
          <c:val>
            <c:numRef>
              <c:f>Sheet1!$B$6:$B$6</c:f>
              <c:numCache>
                <c:formatCode>0%</c:formatCode>
                <c:ptCount val="1"/>
                <c:pt idx="0">
                  <c:v>1.0000000000000005E-2</c:v>
                </c:pt>
              </c:numCache>
            </c:numRef>
          </c:val>
        </c:ser>
        <c:dLbls>
          <c:showVal val="1"/>
        </c:dLbls>
        <c:axId val="85994112"/>
        <c:axId val="86315392"/>
      </c:barChart>
      <c:catAx>
        <c:axId val="85994112"/>
        <c:scaling>
          <c:orientation val="minMax"/>
        </c:scaling>
        <c:axPos val="b"/>
        <c:numFmt formatCode="General" sourceLinked="1"/>
        <c:minorTickMark val="in"/>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86315392"/>
        <c:crosses val="autoZero"/>
        <c:auto val="1"/>
        <c:lblAlgn val="ctr"/>
        <c:lblOffset val="100"/>
        <c:tickLblSkip val="1"/>
        <c:tickMarkSkip val="1"/>
      </c:catAx>
      <c:valAx>
        <c:axId val="863153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85994112"/>
        <c:crosses val="autoZero"/>
        <c:crossBetween val="between"/>
      </c:valAx>
      <c:spPr>
        <a:solidFill>
          <a:srgbClr val="FFFFFF"/>
        </a:solidFill>
        <a:ln w="3175">
          <a:solidFill>
            <a:srgbClr val="000000"/>
          </a:solidFill>
          <a:prstDash val="solid"/>
        </a:ln>
      </c:spPr>
    </c:plotArea>
    <c:legend>
      <c:legendPos val="r"/>
      <c:layout>
        <c:manualLayout>
          <c:xMode val="edge"/>
          <c:yMode val="edge"/>
          <c:x val="0.84654731457800891"/>
          <c:y val="0.26027397260273971"/>
          <c:w val="0.15089514066496262"/>
          <c:h val="0.48401826484018423"/>
        </c:manualLayout>
      </c:layout>
      <c:spPr>
        <a:noFill/>
        <a:ln w="25400">
          <a:noFill/>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585970871288126E-2"/>
          <c:y val="5.9331175836030585E-2"/>
          <c:w val="0.92049899644897704"/>
          <c:h val="0.81554332407478192"/>
        </c:manualLayout>
      </c:layout>
      <c:barChart>
        <c:barDir val="col"/>
        <c:grouping val="clustered"/>
        <c:varyColors val="1"/>
        <c:ser>
          <c:idx val="0"/>
          <c:order val="0"/>
          <c:spPr>
            <a:solidFill>
              <a:srgbClr val="FFFF00"/>
            </a:solidFill>
          </c:spPr>
          <c:invertIfNegative val="1"/>
          <c:dPt>
            <c:idx val="0"/>
            <c:invertIfNegative val="1"/>
            <c:spPr>
              <a:solidFill>
                <a:srgbClr val="FFFF00"/>
              </a:solidFill>
              <a:ln>
                <a:noFill/>
              </a:ln>
              <a:effectLst>
                <a:outerShdw blurRad="57150" dist="19050" dir="5400000" algn="ctr" rotWithShape="0">
                  <a:srgbClr val="000000">
                    <a:alpha val="63000"/>
                  </a:srgbClr>
                </a:outerShdw>
              </a:effectLst>
            </c:spPr>
          </c:dPt>
          <c:dPt>
            <c:idx val="1"/>
            <c:invertIfNegative val="1"/>
            <c:spPr>
              <a:solidFill>
                <a:srgbClr val="00B0F0"/>
              </a:solidFill>
              <a:ln>
                <a:noFill/>
              </a:ln>
              <a:effectLst>
                <a:outerShdw blurRad="57150" dist="19050" dir="5400000" algn="ctr" rotWithShape="0">
                  <a:srgbClr val="000000">
                    <a:alpha val="63000"/>
                  </a:srgbClr>
                </a:outerShdw>
              </a:effectLst>
            </c:spPr>
          </c:dPt>
          <c:dPt>
            <c:idx val="2"/>
            <c:invertIfNegative val="1"/>
            <c:spPr>
              <a:solidFill>
                <a:srgbClr val="FFFF00"/>
              </a:solidFill>
              <a:ln>
                <a:noFill/>
              </a:ln>
              <a:effectLst>
                <a:outerShdw blurRad="57150" dist="19050" dir="5400000" algn="ctr" rotWithShape="0">
                  <a:srgbClr val="000000">
                    <a:alpha val="63000"/>
                  </a:srgbClr>
                </a:outerShdw>
              </a:effectLst>
            </c:spPr>
          </c:dPt>
          <c:dPt>
            <c:idx val="3"/>
            <c:invertIfNegative val="1"/>
            <c:spPr>
              <a:solidFill>
                <a:srgbClr val="00B0F0"/>
              </a:solidFill>
              <a:ln>
                <a:noFill/>
              </a:ln>
              <a:effectLst>
                <a:outerShdw blurRad="57150" dist="19050" dir="5400000" algn="ctr" rotWithShape="0">
                  <a:srgbClr val="000000">
                    <a:alpha val="63000"/>
                  </a:srgbClr>
                </a:outerShdw>
              </a:effectLst>
            </c:spPr>
          </c:dPt>
          <c:dPt>
            <c:idx val="4"/>
            <c:invertIfNegative val="1"/>
            <c:spPr>
              <a:solidFill>
                <a:srgbClr val="FFFF00"/>
              </a:solidFill>
              <a:ln>
                <a:noFill/>
              </a:ln>
              <a:effectLst>
                <a:outerShdw blurRad="57150" dist="19050" dir="5400000" algn="ctr" rotWithShape="0">
                  <a:srgbClr val="000000">
                    <a:alpha val="63000"/>
                  </a:srgbClr>
                </a:outerShdw>
              </a:effectLst>
            </c:spPr>
          </c:dPt>
          <c:dPt>
            <c:idx val="5"/>
            <c:invertIfNegative val="1"/>
            <c:spPr>
              <a:solidFill>
                <a:srgbClr val="00B0F0"/>
              </a:solidFill>
              <a:ln>
                <a:noFill/>
              </a:ln>
              <a:effectLst>
                <a:outerShdw blurRad="57150" dist="19050" dir="5400000" algn="ctr" rotWithShape="0">
                  <a:srgbClr val="000000">
                    <a:alpha val="63000"/>
                  </a:srgbClr>
                </a:outerShdw>
              </a:effectLst>
            </c:spPr>
          </c:dPt>
          <c:dLbls>
            <c:dLbl>
              <c:idx val="0"/>
              <c:layout>
                <c:manualLayout>
                  <c:x val="-1.5686274509803935E-2"/>
                  <c:y val="0"/>
                </c:manualLayout>
              </c:layout>
              <c:tx>
                <c:rich>
                  <a:bodyPr/>
                  <a:lstStyle/>
                  <a:p>
                    <a:r>
                      <a:rPr lang="uk-UA" baseline="0"/>
                      <a:t>2,6</a:t>
                    </a:r>
                    <a:endParaRPr lang="uk-UA"/>
                  </a:p>
                </c:rich>
              </c:tx>
              <c:showLegendKey val="1"/>
              <c:showVal val="1"/>
              <c:showPercent val="1"/>
              <c:showBubbleSize val="1"/>
              <c:extLst>
                <c:ext xmlns:c15="http://schemas.microsoft.com/office/drawing/2012/chart" uri="{CE6537A1-D6FC-4f65-9D91-7224C49458BB}">
                  <c15:layout/>
                  <c15:dlblFieldTable/>
                  <c15:showDataLabelsRange val="0"/>
                </c:ext>
              </c:extLst>
            </c:dLbl>
            <c:dLbl>
              <c:idx val="1"/>
              <c:layout>
                <c:manualLayout>
                  <c:x val="-1.5686274509803921E-2"/>
                  <c:y val="0"/>
                </c:manualLayout>
              </c:layout>
              <c:tx>
                <c:rich>
                  <a:bodyPr/>
                  <a:lstStyle/>
                  <a:p>
                    <a:r>
                      <a:rPr lang="uk-UA" baseline="0"/>
                      <a:t>5,48</a:t>
                    </a:r>
                    <a:endParaRPr lang="uk-UA"/>
                  </a:p>
                </c:rich>
              </c:tx>
              <c:showLegendKey val="1"/>
              <c:showVal val="1"/>
              <c:showPercent val="1"/>
              <c:showBubbleSize val="1"/>
              <c:extLst>
                <c:ext xmlns:c15="http://schemas.microsoft.com/office/drawing/2012/chart" uri="{CE6537A1-D6FC-4f65-9D91-7224C49458BB}">
                  <c15:layout/>
                  <c15:dlblFieldTable/>
                  <c15:showDataLabelsRange val="0"/>
                </c:ext>
              </c:extLst>
            </c:dLbl>
            <c:dLbl>
              <c:idx val="2"/>
              <c:layout>
                <c:manualLayout>
                  <c:x val="-1.8300653594771291E-2"/>
                  <c:y val="0"/>
                </c:manualLayout>
              </c:layout>
              <c:tx>
                <c:rich>
                  <a:bodyPr/>
                  <a:lstStyle/>
                  <a:p>
                    <a:r>
                      <a:rPr lang="uk-UA" baseline="0"/>
                      <a:t>1,6</a:t>
                    </a:r>
                    <a:endParaRPr lang="uk-UA"/>
                  </a:p>
                </c:rich>
              </c:tx>
              <c:showLegendKey val="1"/>
              <c:showVal val="1"/>
              <c:showPercent val="1"/>
              <c:showBubbleSize val="1"/>
              <c:extLst>
                <c:ext xmlns:c15="http://schemas.microsoft.com/office/drawing/2012/chart" uri="{CE6537A1-D6FC-4f65-9D91-7224C49458BB}">
                  <c15:layout/>
                  <c15:dlblFieldTable/>
                  <c15:showDataLabelsRange val="0"/>
                </c:ext>
              </c:extLst>
            </c:dLbl>
            <c:dLbl>
              <c:idx val="3"/>
              <c:layout>
                <c:manualLayout>
                  <c:x val="-1.8300653594771243E-2"/>
                  <c:y val="0"/>
                </c:manualLayout>
              </c:layout>
              <c:tx>
                <c:rich>
                  <a:bodyPr/>
                  <a:lstStyle/>
                  <a:p>
                    <a:r>
                      <a:rPr lang="en-US" baseline="0"/>
                      <a:t> </a:t>
                    </a:r>
                    <a:r>
                      <a:rPr lang="uk-UA" baseline="0"/>
                      <a:t>4,1</a:t>
                    </a:r>
                    <a:endParaRPr lang="en-US" baseline="0"/>
                  </a:p>
                </c:rich>
              </c:tx>
              <c:showLegendKey val="1"/>
              <c:showVal val="1"/>
              <c:showPercent val="1"/>
              <c:showBubbleSize val="1"/>
              <c:extLst>
                <c:ext xmlns:c15="http://schemas.microsoft.com/office/drawing/2012/chart" uri="{CE6537A1-D6FC-4f65-9D91-7224C49458BB}">
                  <c15:layout/>
                  <c15:dlblFieldTable/>
                  <c15:showDataLabelsRange val="0"/>
                </c:ext>
              </c:extLst>
            </c:dLbl>
            <c:dLbl>
              <c:idx val="4"/>
              <c:layout>
                <c:manualLayout>
                  <c:x val="-7.8431372549019624E-3"/>
                  <c:y val="0"/>
                </c:manualLayout>
              </c:layout>
              <c:showLegendKey val="1"/>
              <c:showVal val="1"/>
              <c:showPercent val="1"/>
              <c:showBubbleSize val="1"/>
              <c:extLst>
                <c:ext xmlns:c15="http://schemas.microsoft.com/office/drawing/2012/chart" uri="{CE6537A1-D6FC-4f65-9D91-7224C49458BB}">
                  <c15:layout/>
                </c:ext>
              </c:extLst>
            </c:dLbl>
            <c:dLbl>
              <c:idx val="5"/>
              <c:layout>
                <c:manualLayout>
                  <c:x val="-1.5686274509803921E-2"/>
                  <c:y val="2.4721037685476454E-17"/>
                </c:manualLayout>
              </c:layout>
              <c:showLegendKey val="1"/>
              <c:showVal val="1"/>
              <c:showPercent val="1"/>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Percent val="1"/>
            <c:showBubbleSize val="1"/>
            <c:extLst>
              <c:ext xmlns:c15="http://schemas.microsoft.com/office/drawing/2012/chart" uri="{CE6537A1-D6FC-4f65-9D91-7224C49458BB}">
                <c15:showLeaderLines val="0"/>
              </c:ext>
            </c:extLst>
          </c:dLbls>
          <c:cat>
            <c:strRef>
              <c:f>Лист30!$A$7:$A$12</c:f>
              <c:strCache>
                <c:ptCount val="6"/>
                <c:pt idx="0">
                  <c:v>КГ1</c:v>
                </c:pt>
                <c:pt idx="1">
                  <c:v>ОГ1</c:v>
                </c:pt>
                <c:pt idx="2">
                  <c:v>КГ2</c:v>
                </c:pt>
                <c:pt idx="3">
                  <c:v>ОГ2</c:v>
                </c:pt>
                <c:pt idx="4">
                  <c:v>КГ3</c:v>
                </c:pt>
                <c:pt idx="5">
                  <c:v>ОГ3</c:v>
                </c:pt>
              </c:strCache>
            </c:strRef>
          </c:cat>
          <c:val>
            <c:numRef>
              <c:f>Лист30!$B$7:$B$12</c:f>
              <c:numCache>
                <c:formatCode>General</c:formatCode>
                <c:ptCount val="6"/>
                <c:pt idx="0">
                  <c:v>2.6</c:v>
                </c:pt>
                <c:pt idx="1">
                  <c:v>5.48</c:v>
                </c:pt>
                <c:pt idx="2">
                  <c:v>1.6</c:v>
                </c:pt>
                <c:pt idx="3">
                  <c:v>4.0999999999999996</c:v>
                </c:pt>
                <c:pt idx="4">
                  <c:v>1.5</c:v>
                </c:pt>
                <c:pt idx="5">
                  <c:v>4.3499999999999996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100"/>
        <c:overlap val="-24"/>
        <c:axId val="86333696"/>
        <c:axId val="86441984"/>
      </c:barChart>
      <c:catAx>
        <c:axId val="863336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441984"/>
        <c:crosses val="autoZero"/>
        <c:auto val="1"/>
        <c:lblAlgn val="ctr"/>
        <c:lblOffset val="100"/>
        <c:noMultiLvlLbl val="1"/>
      </c:catAx>
      <c:valAx>
        <c:axId val="864419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Інтенсивність карієсу</a:t>
                </a:r>
              </a:p>
            </c:rich>
          </c:tx>
          <c:layout>
            <c:manualLayout>
              <c:xMode val="edge"/>
              <c:yMode val="edge"/>
              <c:x val="4.1858021850096183E-2"/>
              <c:y val="0.23403908863493544"/>
            </c:manualLayout>
          </c:layout>
          <c:overlay val="1"/>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3336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9A41-5B5F-4BEB-88CE-E84B7F2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204</Pages>
  <Words>45788</Words>
  <Characters>260996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MoBIL GROUP</Company>
  <LinksUpToDate>false</LinksUpToDate>
  <CharactersWithSpaces>306172</CharactersWithSpaces>
  <SharedDoc>false</SharedDoc>
  <HLinks>
    <vt:vector size="42" baseType="variant">
      <vt:variant>
        <vt:i4>8257583</vt:i4>
      </vt:variant>
      <vt:variant>
        <vt:i4>135</vt:i4>
      </vt:variant>
      <vt:variant>
        <vt:i4>0</vt:i4>
      </vt:variant>
      <vt:variant>
        <vt:i4>5</vt:i4>
      </vt:variant>
      <vt:variant>
        <vt:lpwstr>https://www.lens.org/lens/search?applicant=COLGATE%20PALMOLIVE%20CO</vt:lpwstr>
      </vt:variant>
      <vt:variant>
        <vt:lpwstr/>
      </vt:variant>
      <vt:variant>
        <vt:i4>655450</vt:i4>
      </vt:variant>
      <vt:variant>
        <vt:i4>129</vt:i4>
      </vt:variant>
      <vt:variant>
        <vt:i4>0</vt:i4>
      </vt:variant>
      <vt:variant>
        <vt:i4>5</vt:i4>
      </vt:variant>
      <vt:variant>
        <vt:lpwstr>http://www.ncbi.nlm.nih.gov/pubmed?term=%22Vijayarani%20MP%22%5BAuthor%5D</vt:lpwstr>
      </vt:variant>
      <vt:variant>
        <vt:lpwstr/>
      </vt:variant>
      <vt:variant>
        <vt:i4>6094855</vt:i4>
      </vt:variant>
      <vt:variant>
        <vt:i4>126</vt:i4>
      </vt:variant>
      <vt:variant>
        <vt:i4>0</vt:i4>
      </vt:variant>
      <vt:variant>
        <vt:i4>5</vt:i4>
      </vt:variant>
      <vt:variant>
        <vt:lpwstr>http://www.ncbi.nlm.nih.gov/pubmed?term=%22Kalyani%20V%22%5BAuthor%5D</vt:lpwstr>
      </vt:variant>
      <vt:variant>
        <vt:lpwstr/>
      </vt:variant>
      <vt:variant>
        <vt:i4>2359362</vt:i4>
      </vt:variant>
      <vt:variant>
        <vt:i4>9</vt:i4>
      </vt:variant>
      <vt:variant>
        <vt:i4>0</vt:i4>
      </vt:variant>
      <vt:variant>
        <vt:i4>5</vt:i4>
      </vt:variant>
      <vt:variant>
        <vt:lpwstr>http://uk.wikipedia.org/wiki/%D0%A5%D1%96%D0%BC%D1%96%D1%87%D0%BD%D1%96_%D1%80%D0%B5%D1%87%D0%BE%D0%B2%D0%B8%D0%BD%D0%B8</vt:lpwstr>
      </vt:variant>
      <vt:variant>
        <vt:lpwstr/>
      </vt:variant>
      <vt:variant>
        <vt:i4>2752599</vt:i4>
      </vt:variant>
      <vt:variant>
        <vt:i4>6</vt:i4>
      </vt:variant>
      <vt:variant>
        <vt:i4>0</vt:i4>
      </vt:variant>
      <vt:variant>
        <vt:i4>5</vt:i4>
      </vt:variant>
      <vt:variant>
        <vt:lpwstr>http://maps.google.ru/maps?f=q&amp;source=s_q&amp;hl=ru&amp;q=&amp;vps=12&amp;jsv=223a&amp;sll=36.299597,59.600015&amp;sspn=0.026563,0.038581&amp;gl=ru&amp;g=Mashhad&amp;ie=UTF8&amp;geocode=FYK1eAEdge3IAg&amp;split=0</vt:lpwstr>
      </vt:variant>
      <vt:variant>
        <vt:lpwstr/>
      </vt:variant>
      <vt:variant>
        <vt:i4>3276915</vt:i4>
      </vt:variant>
      <vt:variant>
        <vt:i4>3</vt:i4>
      </vt:variant>
      <vt:variant>
        <vt:i4>0</vt:i4>
      </vt:variant>
      <vt:variant>
        <vt:i4>5</vt:i4>
      </vt:variant>
      <vt:variant>
        <vt:lpwstr>http://maps.google.ru/maps?f=q&amp;source=s_q&amp;hl=ru&amp;q=&amp;vps=3&amp;jsv=223a&amp;sll=-6.817039,39.279417&amp;sspn=0.004091,0.004823&amp;gl=ru&amp;ie=UTF8&amp;geocode=FSAApwEdLZF_BA&amp;split=0</vt:lpwstr>
      </vt:variant>
      <vt:variant>
        <vt:lpwstr/>
      </vt:variant>
      <vt:variant>
        <vt:i4>3276915</vt:i4>
      </vt:variant>
      <vt:variant>
        <vt:i4>0</vt:i4>
      </vt:variant>
      <vt:variant>
        <vt:i4>0</vt:i4>
      </vt:variant>
      <vt:variant>
        <vt:i4>5</vt:i4>
      </vt:variant>
      <vt:variant>
        <vt:lpwstr>http://maps.google.ru/maps?f=q&amp;source=s_q&amp;hl=ru&amp;q=&amp;vps=3&amp;jsv=223a&amp;sll=-6.817039,39.279417&amp;sspn=0.004091,0.004823&amp;gl=ru&amp;ie=UTF8&amp;geocode=FSAApwEdLZF_BA&amp;split=0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Hatem20</dc:creator>
  <cp:lastModifiedBy>Кабинет</cp:lastModifiedBy>
  <cp:revision>3</cp:revision>
  <cp:lastPrinted>2016-09-04T13:47:00Z</cp:lastPrinted>
  <dcterms:created xsi:type="dcterms:W3CDTF">2016-09-05T07:36:00Z</dcterms:created>
  <dcterms:modified xsi:type="dcterms:W3CDTF">2016-09-05T07:40:00Z</dcterms:modified>
</cp:coreProperties>
</file>