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BE" w:rsidRPr="00DE3F81" w:rsidRDefault="00DE3F81" w:rsidP="004C3FBE">
      <w:pPr>
        <w:ind w:firstLine="0"/>
        <w:jc w:val="left"/>
        <w:rPr>
          <w:b/>
          <w:lang w:val="en-US"/>
        </w:rPr>
      </w:pPr>
      <w:r>
        <w:rPr>
          <w:b/>
          <w:lang w:val="en-US"/>
        </w:rPr>
        <w:t>UD</w:t>
      </w:r>
      <w:r>
        <w:rPr>
          <w:b/>
          <w:lang w:val="ru-RU"/>
        </w:rPr>
        <w:t>С</w:t>
      </w:r>
      <w:r w:rsidR="004C3FBE" w:rsidRPr="00DE3F81">
        <w:rPr>
          <w:b/>
          <w:lang w:val="en-US"/>
        </w:rPr>
        <w:t xml:space="preserve"> [616.379-008.64+616.12.331.1]-078:57.083.185’175.8</w:t>
      </w:r>
    </w:p>
    <w:p w:rsidR="00322629" w:rsidRPr="008D099F" w:rsidRDefault="00C12709" w:rsidP="00E667FE">
      <w:pPr>
        <w:ind w:firstLine="0"/>
        <w:jc w:val="center"/>
        <w:rPr>
          <w:b/>
          <w:lang w:val="en-US"/>
        </w:rPr>
      </w:pPr>
      <w:r w:rsidRPr="008D099F">
        <w:rPr>
          <w:b/>
          <w:lang w:val="en-US"/>
        </w:rPr>
        <w:t>ROLE OF NESFATIN-1 IN MAINTAINING CARBOHYDRATE HOMEOSTASIS IN HYPERTENSIVE PATIENTS</w:t>
      </w:r>
    </w:p>
    <w:p w:rsidR="00322629" w:rsidRPr="008D099F" w:rsidRDefault="00C12709" w:rsidP="00DE3F81">
      <w:pPr>
        <w:ind w:firstLine="0"/>
        <w:jc w:val="center"/>
        <w:rPr>
          <w:lang w:val="en-US"/>
        </w:rPr>
      </w:pPr>
      <w:proofErr w:type="spellStart"/>
      <w:r w:rsidRPr="008D099F">
        <w:rPr>
          <w:b/>
          <w:i/>
          <w:lang w:val="en-US"/>
        </w:rPr>
        <w:t>Vizir</w:t>
      </w:r>
      <w:proofErr w:type="spellEnd"/>
      <w:r w:rsidRPr="008D099F">
        <w:rPr>
          <w:b/>
          <w:i/>
          <w:color w:val="000000"/>
          <w:lang w:val="en-US"/>
        </w:rPr>
        <w:t xml:space="preserve"> M.O.</w:t>
      </w:r>
      <w:r w:rsidRPr="008D099F">
        <w:rPr>
          <w:b/>
          <w:i/>
          <w:lang w:val="en-US"/>
        </w:rPr>
        <w:t xml:space="preserve">, </w:t>
      </w:r>
      <w:proofErr w:type="spellStart"/>
      <w:r w:rsidRPr="008D099F">
        <w:rPr>
          <w:b/>
          <w:i/>
          <w:lang w:val="en-US"/>
        </w:rPr>
        <w:t>Kovalyova</w:t>
      </w:r>
      <w:proofErr w:type="spellEnd"/>
      <w:r w:rsidRPr="008D099F">
        <w:rPr>
          <w:b/>
          <w:i/>
          <w:color w:val="000000"/>
          <w:lang w:val="en-US"/>
        </w:rPr>
        <w:t xml:space="preserve"> O.M.</w:t>
      </w:r>
    </w:p>
    <w:p w:rsidR="00322629" w:rsidRPr="00E667FE" w:rsidRDefault="00C12709" w:rsidP="00DE3F81">
      <w:pPr>
        <w:ind w:firstLine="0"/>
        <w:jc w:val="center"/>
      </w:pPr>
      <w:r w:rsidRPr="008D099F">
        <w:rPr>
          <w:lang w:val="en-US"/>
        </w:rPr>
        <w:t>Kharkiv national medic</w:t>
      </w:r>
      <w:r w:rsidR="00E667FE">
        <w:rPr>
          <w:lang w:val="en-US"/>
        </w:rPr>
        <w:t>al university</w:t>
      </w:r>
      <w:bookmarkStart w:id="0" w:name="_GoBack"/>
      <w:bookmarkEnd w:id="0"/>
      <w:r w:rsidR="00E667FE">
        <w:rPr>
          <w:lang w:val="en-US"/>
        </w:rPr>
        <w:t>, Kharkiv, Ukraine</w:t>
      </w:r>
    </w:p>
    <w:p w:rsidR="00322629" w:rsidRDefault="00BF20A2" w:rsidP="00DE3F81">
      <w:pPr>
        <w:ind w:firstLine="0"/>
        <w:rPr>
          <w:lang w:val="en-US"/>
        </w:rPr>
      </w:pPr>
      <w:r w:rsidRPr="008D099F">
        <w:rPr>
          <w:lang w:val="en-US"/>
        </w:rPr>
        <w:t xml:space="preserve">The aim of this study is </w:t>
      </w:r>
      <w:r w:rsidRPr="008D099F">
        <w:rPr>
          <w:color w:val="212121"/>
          <w:lang w:val="en-US"/>
        </w:rPr>
        <w:t xml:space="preserve">to analyze changes in the nesfatin-1 level in hypertensive patients depending on the carbohydrate profile parameters. </w:t>
      </w:r>
      <w:r w:rsidR="00361D83" w:rsidRPr="008D099F">
        <w:rPr>
          <w:lang w:val="en-US"/>
        </w:rPr>
        <w:t xml:space="preserve">83 hypertensive patients aged 33 to 77 years were examined. Nesfatin-1 levels were determined by enzyme immunoassay method. </w:t>
      </w:r>
      <w:r w:rsidR="00F8013B" w:rsidRPr="008D099F">
        <w:rPr>
          <w:lang w:val="en-US"/>
        </w:rPr>
        <w:t>H</w:t>
      </w:r>
      <w:r w:rsidR="00361D83" w:rsidRPr="008D099F">
        <w:rPr>
          <w:lang w:val="en-US"/>
        </w:rPr>
        <w:t xml:space="preserve">ypertensive patients </w:t>
      </w:r>
      <w:r w:rsidR="00F8013B" w:rsidRPr="008D099F">
        <w:rPr>
          <w:lang w:val="en-US"/>
        </w:rPr>
        <w:t>have</w:t>
      </w:r>
      <w:r w:rsidR="00361D83" w:rsidRPr="008D099F">
        <w:rPr>
          <w:lang w:val="en-US"/>
        </w:rPr>
        <w:t xml:space="preserve"> significantly higher</w:t>
      </w:r>
      <w:r w:rsidR="00F8013B" w:rsidRPr="008D099F">
        <w:rPr>
          <w:lang w:val="en-US"/>
        </w:rPr>
        <w:t xml:space="preserve"> </w:t>
      </w:r>
      <w:r w:rsidR="00450823" w:rsidRPr="008D099F">
        <w:rPr>
          <w:lang w:val="en-US"/>
        </w:rPr>
        <w:t xml:space="preserve">levels of </w:t>
      </w:r>
      <w:proofErr w:type="spellStart"/>
      <w:r w:rsidR="00450823" w:rsidRPr="008D099F">
        <w:rPr>
          <w:lang w:val="en-US"/>
        </w:rPr>
        <w:t>adipocytokine</w:t>
      </w:r>
      <w:proofErr w:type="spellEnd"/>
      <w:r w:rsidR="00361D83" w:rsidRPr="008D099F">
        <w:rPr>
          <w:lang w:val="en-US"/>
        </w:rPr>
        <w:t xml:space="preserve"> than </w:t>
      </w:r>
      <w:r w:rsidR="00F8013B" w:rsidRPr="008D099F">
        <w:rPr>
          <w:lang w:val="en-US"/>
        </w:rPr>
        <w:t>healthy people</w:t>
      </w:r>
      <w:r w:rsidR="001E7CB0" w:rsidRPr="008D099F">
        <w:rPr>
          <w:lang w:val="en-US"/>
        </w:rPr>
        <w:t>.</w:t>
      </w:r>
      <w:r w:rsidR="000D2986" w:rsidRPr="008D099F">
        <w:rPr>
          <w:lang w:val="en-US"/>
        </w:rPr>
        <w:t xml:space="preserve"> Results of data analyses </w:t>
      </w:r>
      <w:r w:rsidR="00F8013B" w:rsidRPr="008D099F">
        <w:rPr>
          <w:lang w:val="en-US"/>
        </w:rPr>
        <w:t xml:space="preserve">may indicate a possible </w:t>
      </w:r>
      <w:proofErr w:type="spellStart"/>
      <w:r w:rsidR="00F8013B" w:rsidRPr="008D099F">
        <w:rPr>
          <w:lang w:val="en-US"/>
        </w:rPr>
        <w:t>antihyperglycemic</w:t>
      </w:r>
      <w:proofErr w:type="spellEnd"/>
      <w:r w:rsidR="00F8013B" w:rsidRPr="008D099F">
        <w:rPr>
          <w:lang w:val="en-US"/>
        </w:rPr>
        <w:t xml:space="preserve"> and </w:t>
      </w:r>
      <w:proofErr w:type="spellStart"/>
      <w:r w:rsidR="00F8013B" w:rsidRPr="008D099F">
        <w:rPr>
          <w:lang w:val="en-US"/>
        </w:rPr>
        <w:t>insulinotropic</w:t>
      </w:r>
      <w:proofErr w:type="spellEnd"/>
      <w:r w:rsidR="00F8013B" w:rsidRPr="008D099F">
        <w:rPr>
          <w:lang w:val="en-US"/>
        </w:rPr>
        <w:t xml:space="preserve"> effect of nesfatin-1 in hypertensive patients with </w:t>
      </w:r>
      <w:proofErr w:type="spellStart"/>
      <w:r w:rsidR="00F8013B" w:rsidRPr="008D099F">
        <w:rPr>
          <w:lang w:val="en-US"/>
        </w:rPr>
        <w:t>normoglycemia</w:t>
      </w:r>
      <w:proofErr w:type="spellEnd"/>
      <w:r w:rsidR="00F8013B" w:rsidRPr="008D099F">
        <w:rPr>
          <w:lang w:val="en-US"/>
        </w:rPr>
        <w:t xml:space="preserve"> or </w:t>
      </w:r>
      <w:proofErr w:type="spellStart"/>
      <w:r w:rsidR="00F8013B" w:rsidRPr="008D099F">
        <w:rPr>
          <w:lang w:val="en-US"/>
        </w:rPr>
        <w:t>prediabetes</w:t>
      </w:r>
      <w:proofErr w:type="spellEnd"/>
      <w:r w:rsidR="00F8013B" w:rsidRPr="008D099F">
        <w:rPr>
          <w:lang w:val="en-US"/>
        </w:rPr>
        <w:t>.</w:t>
      </w:r>
      <w:r w:rsidR="00450823" w:rsidRPr="008D099F">
        <w:rPr>
          <w:lang w:val="en-US"/>
        </w:rPr>
        <w:t xml:space="preserve"> </w:t>
      </w:r>
      <w:r w:rsidR="008D099F" w:rsidRPr="008D099F">
        <w:rPr>
          <w:lang w:val="en-US"/>
        </w:rPr>
        <w:t xml:space="preserve">Confirmation of these processes </w:t>
      </w:r>
      <w:r w:rsidR="008D099F">
        <w:rPr>
          <w:lang w:val="en-US"/>
        </w:rPr>
        <w:t>requires a special study</w:t>
      </w:r>
      <w:r w:rsidR="008D099F" w:rsidRPr="008D099F">
        <w:rPr>
          <w:lang w:val="en-US"/>
        </w:rPr>
        <w:t>.</w:t>
      </w:r>
    </w:p>
    <w:p w:rsidR="008D099F" w:rsidRDefault="008D099F" w:rsidP="000D2986">
      <w:pPr>
        <w:rPr>
          <w:lang w:val="en-US"/>
        </w:rPr>
      </w:pPr>
      <w:r>
        <w:rPr>
          <w:b/>
          <w:i/>
          <w:lang w:val="en-US"/>
        </w:rPr>
        <w:t xml:space="preserve">KEY WORDS: </w:t>
      </w:r>
      <w:r>
        <w:rPr>
          <w:lang w:val="en-US"/>
        </w:rPr>
        <w:t xml:space="preserve">nesfatin-1, </w:t>
      </w:r>
      <w:r w:rsidR="004C3FBE">
        <w:rPr>
          <w:lang w:val="en-US"/>
        </w:rPr>
        <w:t xml:space="preserve">insulin, </w:t>
      </w:r>
      <w:r>
        <w:rPr>
          <w:lang w:val="en-US"/>
        </w:rPr>
        <w:t xml:space="preserve">hypertension, </w:t>
      </w:r>
      <w:proofErr w:type="spellStart"/>
      <w:r>
        <w:rPr>
          <w:lang w:val="en-US"/>
        </w:rPr>
        <w:t>prediabetes</w:t>
      </w:r>
      <w:proofErr w:type="spellEnd"/>
      <w:r>
        <w:rPr>
          <w:lang w:val="en-US"/>
        </w:rPr>
        <w:t xml:space="preserve">, </w:t>
      </w:r>
      <w:proofErr w:type="spellStart"/>
      <w:r w:rsidR="004C3FBE">
        <w:rPr>
          <w:lang w:val="en-US"/>
        </w:rPr>
        <w:t>polymorbidity</w:t>
      </w:r>
      <w:proofErr w:type="spellEnd"/>
    </w:p>
    <w:p w:rsidR="004C3FBE" w:rsidRDefault="004C3FBE" w:rsidP="000D2986">
      <w:pPr>
        <w:rPr>
          <w:lang w:val="en-US"/>
        </w:rPr>
      </w:pPr>
    </w:p>
    <w:p w:rsidR="004C3FBE" w:rsidRPr="00E667FE" w:rsidRDefault="00E667FE" w:rsidP="00E667FE">
      <w:pPr>
        <w:ind w:firstLine="0"/>
        <w:jc w:val="center"/>
        <w:rPr>
          <w:b/>
        </w:rPr>
      </w:pPr>
      <w:r w:rsidRPr="00E667FE">
        <w:rPr>
          <w:b/>
          <w:lang w:val="ru-RU"/>
        </w:rPr>
        <w:t xml:space="preserve">РОЛЬ НЕСФАТИНУ-1 </w:t>
      </w:r>
      <w:r>
        <w:rPr>
          <w:b/>
        </w:rPr>
        <w:t xml:space="preserve">У </w:t>
      </w:r>
      <w:proofErr w:type="gramStart"/>
      <w:r>
        <w:rPr>
          <w:b/>
        </w:rPr>
        <w:t>П</w:t>
      </w:r>
      <w:proofErr w:type="gramEnd"/>
      <w:r>
        <w:rPr>
          <w:b/>
        </w:rPr>
        <w:t>ІДТРИМЦІ ВУГЛЕВОДНОГО ГОМЕОСТАЗУ У ХВОРИХ НА ГІПЕРТОНІЧНУ ХВОРОБУ</w:t>
      </w:r>
    </w:p>
    <w:p w:rsidR="004C3FBE" w:rsidRPr="00E667FE" w:rsidRDefault="00E667FE" w:rsidP="00DE3F81">
      <w:pPr>
        <w:ind w:firstLine="0"/>
        <w:jc w:val="center"/>
      </w:pPr>
      <w:proofErr w:type="spellStart"/>
      <w:r>
        <w:rPr>
          <w:b/>
          <w:i/>
        </w:rPr>
        <w:t>Візір</w:t>
      </w:r>
      <w:proofErr w:type="spellEnd"/>
      <w:r>
        <w:rPr>
          <w:b/>
          <w:i/>
        </w:rPr>
        <w:t xml:space="preserve"> М.О., Ковальова О.М.</w:t>
      </w:r>
    </w:p>
    <w:p w:rsidR="004C3FBE" w:rsidRPr="00E667FE" w:rsidRDefault="00E667FE" w:rsidP="00DE3F81">
      <w:pPr>
        <w:ind w:firstLine="0"/>
        <w:jc w:val="center"/>
        <w:rPr>
          <w:lang w:val="ru-RU"/>
        </w:rPr>
      </w:pPr>
      <w:r>
        <w:t>Харківський національний медичний університет, Харків, Україна</w:t>
      </w:r>
    </w:p>
    <w:p w:rsidR="004C3FBE" w:rsidRPr="007C7B8F" w:rsidRDefault="00E667FE" w:rsidP="00DE3F81">
      <w:pPr>
        <w:ind w:firstLine="0"/>
      </w:pPr>
      <w:r w:rsidRPr="007C7B8F">
        <w:t>Метою даного дослідження є аналіз змін рівня несфатину-1 у хворих на гіпертонічну хворобу в залежності від параметрів вуглеводного профілю. Обстежено 83 пацієнта з гіпертонічною хворобою у віці від 33 до 77</w:t>
      </w:r>
      <w:r w:rsidR="00714044" w:rsidRPr="007C7B8F">
        <w:t xml:space="preserve"> років</w:t>
      </w:r>
      <w:r w:rsidRPr="007C7B8F">
        <w:t xml:space="preserve">. Рівень несфатину-1 визначали методом </w:t>
      </w:r>
      <w:proofErr w:type="spellStart"/>
      <w:r w:rsidRPr="007C7B8F">
        <w:t>імуноферментного</w:t>
      </w:r>
      <w:proofErr w:type="spellEnd"/>
      <w:r w:rsidRPr="007C7B8F">
        <w:t xml:space="preserve"> аналізу. Хворі на гіпертонічну хворобу мають</w:t>
      </w:r>
      <w:r w:rsidR="00253AD6" w:rsidRPr="007C7B8F">
        <w:t xml:space="preserve"> достовірно</w:t>
      </w:r>
      <w:r w:rsidR="00B97A43" w:rsidRPr="007C7B8F">
        <w:t xml:space="preserve"> вищі рівні </w:t>
      </w:r>
      <w:proofErr w:type="spellStart"/>
      <w:r w:rsidR="00B97A43" w:rsidRPr="007C7B8F">
        <w:t>адипоцитокіну</w:t>
      </w:r>
      <w:proofErr w:type="spellEnd"/>
      <w:r w:rsidR="00B97A43" w:rsidRPr="007C7B8F">
        <w:t xml:space="preserve">, ніж здорові люди. Результати аналізу даних можуть вказувати на </w:t>
      </w:r>
      <w:proofErr w:type="spellStart"/>
      <w:r w:rsidR="00B97A43" w:rsidRPr="007C7B8F">
        <w:t>антигіперглікемічний</w:t>
      </w:r>
      <w:proofErr w:type="spellEnd"/>
      <w:r w:rsidRPr="007C7B8F">
        <w:t xml:space="preserve"> і </w:t>
      </w:r>
      <w:proofErr w:type="spellStart"/>
      <w:r w:rsidRPr="007C7B8F">
        <w:t>інсулінотропний</w:t>
      </w:r>
      <w:proofErr w:type="spellEnd"/>
      <w:r w:rsidRPr="007C7B8F">
        <w:t xml:space="preserve"> ефект</w:t>
      </w:r>
      <w:r w:rsidR="00B97A43" w:rsidRPr="007C7B8F">
        <w:t xml:space="preserve"> несфатину-1</w:t>
      </w:r>
      <w:r w:rsidRPr="007C7B8F">
        <w:t xml:space="preserve"> у хворих на гіпе</w:t>
      </w:r>
      <w:r w:rsidR="00B97A43" w:rsidRPr="007C7B8F">
        <w:t xml:space="preserve">ртонічну хворобу з </w:t>
      </w:r>
      <w:proofErr w:type="spellStart"/>
      <w:r w:rsidR="00B97A43" w:rsidRPr="007C7B8F">
        <w:t>нормоглікемією</w:t>
      </w:r>
      <w:proofErr w:type="spellEnd"/>
      <w:r w:rsidR="00B97A43" w:rsidRPr="007C7B8F">
        <w:t xml:space="preserve"> або </w:t>
      </w:r>
      <w:proofErr w:type="spellStart"/>
      <w:r w:rsidR="00B97A43" w:rsidRPr="007C7B8F">
        <w:t>предіабетом</w:t>
      </w:r>
      <w:proofErr w:type="spellEnd"/>
      <w:r w:rsidRPr="007C7B8F">
        <w:t>. Підтвердження цих процес</w:t>
      </w:r>
      <w:r w:rsidR="007C7B8F" w:rsidRPr="007C7B8F">
        <w:t>ів вимагає окремого дослідження</w:t>
      </w:r>
      <w:r w:rsidRPr="007C7B8F">
        <w:t>.</w:t>
      </w:r>
    </w:p>
    <w:p w:rsidR="004C3FBE" w:rsidRPr="00B97A43" w:rsidRDefault="00B97A43" w:rsidP="004C3FBE">
      <w:r w:rsidRPr="007C7B8F">
        <w:rPr>
          <w:b/>
          <w:i/>
        </w:rPr>
        <w:t xml:space="preserve">КЛЮЧОВІ СЛОВА: </w:t>
      </w:r>
      <w:r w:rsidRPr="007C7B8F">
        <w:t>несфатин-1</w:t>
      </w:r>
      <w:r w:rsidR="004C3FBE" w:rsidRPr="007C7B8F">
        <w:t xml:space="preserve">, </w:t>
      </w:r>
      <w:r w:rsidR="00714044" w:rsidRPr="007C7B8F">
        <w:t>інсулі</w:t>
      </w:r>
      <w:r w:rsidRPr="007C7B8F">
        <w:t>н</w:t>
      </w:r>
      <w:r w:rsidR="004C3FBE" w:rsidRPr="007C7B8F">
        <w:t xml:space="preserve">, </w:t>
      </w:r>
      <w:r w:rsidRPr="007C7B8F">
        <w:t>гіпертонічна хвороба</w:t>
      </w:r>
      <w:r w:rsidR="004C3FBE" w:rsidRPr="007C7B8F">
        <w:t xml:space="preserve">, </w:t>
      </w:r>
      <w:proofErr w:type="spellStart"/>
      <w:r w:rsidRPr="007C7B8F">
        <w:t>предіабет</w:t>
      </w:r>
      <w:proofErr w:type="spellEnd"/>
      <w:r w:rsidRPr="007C7B8F">
        <w:t>,</w:t>
      </w:r>
      <w:r w:rsidR="00714044" w:rsidRPr="007C7B8F">
        <w:t xml:space="preserve"> </w:t>
      </w:r>
      <w:proofErr w:type="spellStart"/>
      <w:r w:rsidR="00714044" w:rsidRPr="007C7B8F">
        <w:t>полі</w:t>
      </w:r>
      <w:r w:rsidRPr="007C7B8F">
        <w:t>морбідність</w:t>
      </w:r>
      <w:proofErr w:type="spellEnd"/>
    </w:p>
    <w:p w:rsidR="004C3FBE" w:rsidRDefault="004C3FBE" w:rsidP="000D2986"/>
    <w:p w:rsidR="00714044" w:rsidRPr="00E667FE" w:rsidRDefault="00714044" w:rsidP="00714044">
      <w:pPr>
        <w:ind w:firstLine="0"/>
        <w:jc w:val="center"/>
        <w:rPr>
          <w:b/>
        </w:rPr>
      </w:pPr>
      <w:r>
        <w:rPr>
          <w:b/>
          <w:lang w:val="ru-RU"/>
        </w:rPr>
        <w:t>РОЛЬ НЕСФАТИНА-1</w:t>
      </w:r>
      <w:proofErr w:type="gramStart"/>
      <w:r>
        <w:rPr>
          <w:b/>
          <w:lang w:val="ru-RU"/>
        </w:rPr>
        <w:t xml:space="preserve"> В</w:t>
      </w:r>
      <w:proofErr w:type="gramEnd"/>
      <w:r>
        <w:rPr>
          <w:b/>
          <w:lang w:val="ru-RU"/>
        </w:rPr>
        <w:t xml:space="preserve"> ПОДДЕРЖАНИИ УГЛЕВОДНОГО ГОМЕОСТАЗА У БОЛЬНЫХ ГИПЕРТОНИЧЕСКОЙ БОЛЕЗНЬЮ</w:t>
      </w:r>
    </w:p>
    <w:p w:rsidR="00714044" w:rsidRPr="00E667FE" w:rsidRDefault="00714044" w:rsidP="00DE3F81">
      <w:pPr>
        <w:ind w:firstLine="0"/>
        <w:jc w:val="center"/>
      </w:pPr>
      <w:proofErr w:type="spellStart"/>
      <w:r w:rsidRPr="00714044">
        <w:rPr>
          <w:b/>
          <w:i/>
        </w:rPr>
        <w:t>Визир</w:t>
      </w:r>
      <w:proofErr w:type="spellEnd"/>
      <w:r w:rsidRPr="00714044">
        <w:rPr>
          <w:b/>
          <w:i/>
        </w:rPr>
        <w:t xml:space="preserve"> </w:t>
      </w:r>
      <w:r>
        <w:rPr>
          <w:b/>
          <w:i/>
          <w:lang w:val="ru-RU"/>
        </w:rPr>
        <w:t>М.А</w:t>
      </w:r>
      <w:r>
        <w:rPr>
          <w:b/>
          <w:i/>
        </w:rPr>
        <w:t xml:space="preserve">., </w:t>
      </w:r>
      <w:proofErr w:type="spellStart"/>
      <w:r>
        <w:rPr>
          <w:b/>
          <w:i/>
        </w:rPr>
        <w:t>Ковал</w:t>
      </w:r>
      <w:proofErr w:type="spellEnd"/>
      <w:r>
        <w:rPr>
          <w:b/>
          <w:i/>
          <w:lang w:val="ru-RU"/>
        </w:rPr>
        <w:t>е</w:t>
      </w:r>
      <w:proofErr w:type="spellStart"/>
      <w:r>
        <w:rPr>
          <w:b/>
          <w:i/>
        </w:rPr>
        <w:t>ва</w:t>
      </w:r>
      <w:proofErr w:type="spellEnd"/>
      <w:r>
        <w:rPr>
          <w:b/>
          <w:i/>
        </w:rPr>
        <w:t xml:space="preserve"> О.</w:t>
      </w:r>
      <w:r>
        <w:rPr>
          <w:b/>
          <w:i/>
          <w:lang w:val="ru-RU"/>
        </w:rPr>
        <w:t>Н</w:t>
      </w:r>
      <w:r>
        <w:rPr>
          <w:b/>
          <w:i/>
        </w:rPr>
        <w:t>.</w:t>
      </w:r>
    </w:p>
    <w:p w:rsidR="00714044" w:rsidRPr="00714044" w:rsidRDefault="00714044" w:rsidP="00DE3F81">
      <w:pPr>
        <w:ind w:firstLine="0"/>
        <w:jc w:val="center"/>
      </w:pPr>
      <w:r>
        <w:rPr>
          <w:lang w:val="ru-RU"/>
        </w:rPr>
        <w:t>Харьковский национальный медицинский университет, Харьков, Украина</w:t>
      </w:r>
    </w:p>
    <w:p w:rsidR="00714044" w:rsidRPr="00714044" w:rsidRDefault="00714044" w:rsidP="00DE3F81">
      <w:pPr>
        <w:ind w:firstLine="0"/>
        <w:rPr>
          <w:lang w:val="ru-RU"/>
        </w:rPr>
      </w:pPr>
      <w:r w:rsidRPr="00714044">
        <w:rPr>
          <w:lang w:val="ru-RU"/>
        </w:rPr>
        <w:t>Целью данного исследования является анализ изменений уровня несфатина-1 у больных гипертонической болезнью в зависимости от параметров углеводного профиля. Обследовано 83 пациента с гипертонической болезнью в возрасте от 33 до 77 лет. Уровень несфатина-1 определяли методом иммуноферментного анализа. Больные гипертонич</w:t>
      </w:r>
      <w:r w:rsidR="00253AD6">
        <w:rPr>
          <w:lang w:val="ru-RU"/>
        </w:rPr>
        <w:t>еской болезнью имеют достоверно</w:t>
      </w:r>
      <w:r w:rsidRPr="00714044">
        <w:rPr>
          <w:lang w:val="ru-RU"/>
        </w:rPr>
        <w:t xml:space="preserve"> более высокие уровни </w:t>
      </w:r>
      <w:proofErr w:type="spellStart"/>
      <w:r w:rsidRPr="00714044">
        <w:rPr>
          <w:lang w:val="ru-RU"/>
        </w:rPr>
        <w:t>адипоцитокина</w:t>
      </w:r>
      <w:proofErr w:type="spellEnd"/>
      <w:r w:rsidRPr="00714044">
        <w:rPr>
          <w:lang w:val="ru-RU"/>
        </w:rPr>
        <w:t xml:space="preserve">, чем здоровые люди. Результаты анализа данных могут указывать на </w:t>
      </w:r>
      <w:proofErr w:type="spellStart"/>
      <w:r w:rsidRPr="00714044">
        <w:rPr>
          <w:lang w:val="ru-RU"/>
        </w:rPr>
        <w:t>антигипергликемический</w:t>
      </w:r>
      <w:proofErr w:type="spellEnd"/>
      <w:r w:rsidRPr="00714044">
        <w:rPr>
          <w:lang w:val="ru-RU"/>
        </w:rPr>
        <w:t xml:space="preserve"> и </w:t>
      </w:r>
      <w:proofErr w:type="spellStart"/>
      <w:r w:rsidRPr="00714044">
        <w:rPr>
          <w:lang w:val="ru-RU"/>
        </w:rPr>
        <w:t>инсулинотропный</w:t>
      </w:r>
      <w:proofErr w:type="spellEnd"/>
      <w:r w:rsidRPr="00714044">
        <w:rPr>
          <w:lang w:val="ru-RU"/>
        </w:rPr>
        <w:t xml:space="preserve"> эффект несфатина-1 у больных гипертонической болезнью с </w:t>
      </w:r>
      <w:proofErr w:type="spellStart"/>
      <w:r w:rsidRPr="00714044">
        <w:rPr>
          <w:lang w:val="ru-RU"/>
        </w:rPr>
        <w:t>нормогликемией</w:t>
      </w:r>
      <w:proofErr w:type="spellEnd"/>
      <w:r w:rsidRPr="00714044">
        <w:rPr>
          <w:lang w:val="ru-RU"/>
        </w:rPr>
        <w:t xml:space="preserve"> или </w:t>
      </w:r>
      <w:proofErr w:type="spellStart"/>
      <w:r w:rsidRPr="00714044">
        <w:rPr>
          <w:lang w:val="ru-RU"/>
        </w:rPr>
        <w:t>предиабетом</w:t>
      </w:r>
      <w:proofErr w:type="spellEnd"/>
      <w:r w:rsidRPr="00714044">
        <w:rPr>
          <w:lang w:val="ru-RU"/>
        </w:rPr>
        <w:t>. Подтверждение этих процесс</w:t>
      </w:r>
      <w:r w:rsidR="00CF5550">
        <w:rPr>
          <w:lang w:val="ru-RU"/>
        </w:rPr>
        <w:t>ов требует отдельного исследования</w:t>
      </w:r>
      <w:r w:rsidRPr="00714044">
        <w:rPr>
          <w:lang w:val="ru-RU"/>
        </w:rPr>
        <w:t>.</w:t>
      </w:r>
    </w:p>
    <w:p w:rsidR="00714044" w:rsidRPr="00253AD6" w:rsidRDefault="007C7B8F" w:rsidP="00714044">
      <w:pPr>
        <w:rPr>
          <w:lang w:val="ru-RU"/>
        </w:rPr>
      </w:pPr>
      <w:r>
        <w:rPr>
          <w:b/>
          <w:i/>
          <w:lang w:val="ru-RU"/>
        </w:rPr>
        <w:t>КЛЮЧЕВЫЕ СЛОВА:</w:t>
      </w:r>
      <w:r w:rsidR="00253AD6">
        <w:rPr>
          <w:b/>
          <w:i/>
          <w:lang w:val="ru-RU"/>
        </w:rPr>
        <w:t xml:space="preserve"> </w:t>
      </w:r>
      <w:r w:rsidR="00714044">
        <w:rPr>
          <w:b/>
          <w:i/>
        </w:rPr>
        <w:t xml:space="preserve"> </w:t>
      </w:r>
      <w:r w:rsidR="00714044">
        <w:t>несфатин-1</w:t>
      </w:r>
      <w:r w:rsidR="00714044" w:rsidRPr="00B97A43">
        <w:t xml:space="preserve">, </w:t>
      </w:r>
      <w:r w:rsidR="00253AD6">
        <w:rPr>
          <w:lang w:val="ru-RU"/>
        </w:rPr>
        <w:t>инсулин</w:t>
      </w:r>
      <w:r w:rsidR="00714044" w:rsidRPr="00B97A43">
        <w:t xml:space="preserve">, </w:t>
      </w:r>
      <w:r w:rsidR="00253AD6">
        <w:rPr>
          <w:lang w:val="ru-RU"/>
        </w:rPr>
        <w:t>гипертоническая болезнь</w:t>
      </w:r>
      <w:r w:rsidR="00714044" w:rsidRPr="00B97A43">
        <w:t xml:space="preserve">, </w:t>
      </w:r>
      <w:proofErr w:type="spellStart"/>
      <w:r w:rsidR="00714044" w:rsidRPr="00253AD6">
        <w:rPr>
          <w:lang w:val="ru-RU"/>
        </w:rPr>
        <w:t>пре</w:t>
      </w:r>
      <w:r w:rsidR="00253AD6" w:rsidRPr="00253AD6">
        <w:rPr>
          <w:lang w:val="ru-RU"/>
        </w:rPr>
        <w:t>ди</w:t>
      </w:r>
      <w:r w:rsidR="00714044" w:rsidRPr="00253AD6">
        <w:rPr>
          <w:lang w:val="ru-RU"/>
        </w:rPr>
        <w:t>абет</w:t>
      </w:r>
      <w:proofErr w:type="spellEnd"/>
      <w:r w:rsidR="00714044" w:rsidRPr="00253AD6">
        <w:rPr>
          <w:lang w:val="ru-RU"/>
        </w:rPr>
        <w:t>,</w:t>
      </w:r>
      <w:r w:rsidR="00253AD6" w:rsidRPr="00253AD6">
        <w:rPr>
          <w:lang w:val="ru-RU"/>
        </w:rPr>
        <w:t xml:space="preserve"> </w:t>
      </w:r>
      <w:proofErr w:type="spellStart"/>
      <w:r w:rsidR="00253AD6" w:rsidRPr="00253AD6">
        <w:rPr>
          <w:lang w:val="ru-RU"/>
        </w:rPr>
        <w:t>полиморбидность</w:t>
      </w:r>
      <w:proofErr w:type="spellEnd"/>
    </w:p>
    <w:p w:rsidR="00BF20A2" w:rsidRPr="00B97A43" w:rsidRDefault="00BF20A2">
      <w:pPr>
        <w:jc w:val="left"/>
      </w:pPr>
    </w:p>
    <w:p w:rsidR="00322629" w:rsidRPr="008D099F" w:rsidRDefault="00C12709">
      <w:pPr>
        <w:jc w:val="left"/>
        <w:rPr>
          <w:b/>
          <w:lang w:val="en-US"/>
        </w:rPr>
      </w:pPr>
      <w:r w:rsidRPr="008D099F">
        <w:rPr>
          <w:b/>
          <w:lang w:val="en-US"/>
        </w:rPr>
        <w:t>INTRODUCTION</w:t>
      </w:r>
    </w:p>
    <w:p w:rsidR="00322629" w:rsidRPr="008D099F" w:rsidRDefault="00C12709">
      <w:pPr>
        <w:rPr>
          <w:lang w:val="en-US"/>
        </w:rPr>
      </w:pPr>
      <w:r w:rsidRPr="008D099F">
        <w:rPr>
          <w:lang w:val="en-US"/>
        </w:rPr>
        <w:t xml:space="preserve">Cardiovascular diseases remain the leading position in the structure of Ukraine's population mortality for many years. According to the data of the last decade, the proportion of mortality from cardiovascular diseases increased from 62.5% (2005) to 68.0% (2015), and </w:t>
      </w:r>
      <w:r w:rsidR="004D2EA5" w:rsidRPr="008D099F">
        <w:rPr>
          <w:lang w:val="en-US"/>
        </w:rPr>
        <w:t xml:space="preserve">mortality rose from 28.9 to 31.8% respectively </w:t>
      </w:r>
      <w:r w:rsidRPr="008D099F">
        <w:rPr>
          <w:lang w:val="en-US"/>
        </w:rPr>
        <w:t>among working age people [1]. Hypertension is the most common worldwide factor in the development of cardiovascular events.</w:t>
      </w:r>
    </w:p>
    <w:p w:rsidR="00322629" w:rsidRPr="008D099F" w:rsidRDefault="00C12709">
      <w:pPr>
        <w:rPr>
          <w:lang w:val="en-US"/>
        </w:rPr>
      </w:pPr>
      <w:r w:rsidRPr="008D099F">
        <w:rPr>
          <w:lang w:val="en-US"/>
        </w:rPr>
        <w:t xml:space="preserve">Obesity contributes to development of a number of pathological conditions, including essential hypertension (EH), hypercholesterolemia, insulin resistance, and others. The link between these abnormalities exists at the level of etiological factors and pathogenetic mechanisms [2]. The association of hypertension, obesity and metabolic disorders greatly increases the risk of coronary heart disease, type 2 diabetes mellitus (T2DM) and its complications, which directly affects the morbidity </w:t>
      </w:r>
      <w:r w:rsidRPr="008D099F">
        <w:rPr>
          <w:lang w:val="en-US"/>
        </w:rPr>
        <w:lastRenderedPageBreak/>
        <w:t>and mortality rates. The development of T2DM usually follows a phase of impaired glucose metabolism which is manifested by insulin resistance, elevated fasting glucose and impaired glucose tolerance. Correction of these conditions is complicated partly because of incomplete understanding of the mechanisms by which glucose homeostasis is ensured. Therefore, detection of early predictors of metabolic disorders has important medical and social importance.</w:t>
      </w:r>
    </w:p>
    <w:p w:rsidR="00322629" w:rsidRPr="008D099F" w:rsidRDefault="00C12709">
      <w:pPr>
        <w:rPr>
          <w:lang w:val="en-US"/>
        </w:rPr>
      </w:pPr>
      <w:r w:rsidRPr="008D099F">
        <w:rPr>
          <w:lang w:val="en-US"/>
        </w:rPr>
        <w:t xml:space="preserve">Nesfatin-1 was found by Oh-I and his colleagues in 2006 [3]. They showed that nesfatin-1 is released by neurons of nuclei of the hypothalamus responsible for appetite control, and identified it as a satiety molecule. Some studies have found that nesfatin-1 is secreted by peripheral tissues such as adipose tissue, the mucosa of the stomach, testis, and others </w:t>
      </w:r>
      <w:r w:rsidR="00BA1C68" w:rsidRPr="008D099F">
        <w:rPr>
          <w:lang w:val="en-US"/>
        </w:rPr>
        <w:t>in addition to some structure</w:t>
      </w:r>
      <w:r w:rsidR="00BA1C68">
        <w:rPr>
          <w:lang w:val="en-US"/>
        </w:rPr>
        <w:t>s of the central nervous system</w:t>
      </w:r>
      <w:r w:rsidR="00BA1C68" w:rsidRPr="008D099F">
        <w:rPr>
          <w:lang w:val="en-US"/>
        </w:rPr>
        <w:t xml:space="preserve"> </w:t>
      </w:r>
      <w:r w:rsidRPr="008D099F">
        <w:rPr>
          <w:lang w:val="en-US"/>
        </w:rPr>
        <w:t>[4]. In experimental studies nesfatin-1 production was found in beta-cells of the pancreatic islets. It was shown that nesfatin-1 potentiates glucose-induced insulin secretion by activating the transmembrane transport of Ca</w:t>
      </w:r>
      <w:r w:rsidRPr="008D099F">
        <w:rPr>
          <w:vertAlign w:val="superscript"/>
          <w:lang w:val="en-US"/>
        </w:rPr>
        <w:t>2+</w:t>
      </w:r>
      <w:r w:rsidRPr="008D099F">
        <w:rPr>
          <w:lang w:val="en-US"/>
        </w:rPr>
        <w:t xml:space="preserve"> ions through L-type calcium channels [</w:t>
      </w:r>
      <w:r w:rsidR="00D84389">
        <w:rPr>
          <w:lang w:val="en-US"/>
        </w:rPr>
        <w:t>5</w:t>
      </w:r>
      <w:r w:rsidRPr="008D099F">
        <w:rPr>
          <w:lang w:val="en-US"/>
        </w:rPr>
        <w:t xml:space="preserve">]. Unlike </w:t>
      </w:r>
      <w:proofErr w:type="spellStart"/>
      <w:r w:rsidRPr="008D099F">
        <w:rPr>
          <w:lang w:val="en-US"/>
        </w:rPr>
        <w:t>anorexigenic</w:t>
      </w:r>
      <w:proofErr w:type="spellEnd"/>
      <w:r w:rsidRPr="008D099F">
        <w:rPr>
          <w:lang w:val="en-US"/>
        </w:rPr>
        <w:t xml:space="preserve"> effect with CNS-mediated mechanism, peripheral nesfatin-1 improves glucose metabolism (shown in rodents, both non-obese and obese) by direct action on insulin targeted organs: skeletal muscle, liver and adipose tissue [</w:t>
      </w:r>
      <w:r w:rsidR="00D84389">
        <w:rPr>
          <w:lang w:val="en-US"/>
        </w:rPr>
        <w:t>6</w:t>
      </w:r>
      <w:r w:rsidRPr="008D099F">
        <w:rPr>
          <w:lang w:val="en-US"/>
        </w:rPr>
        <w:t>].</w:t>
      </w:r>
    </w:p>
    <w:p w:rsidR="00322629" w:rsidRPr="008D099F" w:rsidRDefault="00C12709">
      <w:pPr>
        <w:rPr>
          <w:lang w:val="en-US"/>
        </w:rPr>
      </w:pPr>
      <w:r w:rsidRPr="008D099F">
        <w:rPr>
          <w:lang w:val="en-US"/>
        </w:rPr>
        <w:t>During 10 years studying by different authors</w:t>
      </w:r>
      <w:r w:rsidR="00BA1C68">
        <w:rPr>
          <w:lang w:val="en-US"/>
        </w:rPr>
        <w:t>,</w:t>
      </w:r>
      <w:r w:rsidRPr="008D099F">
        <w:rPr>
          <w:lang w:val="en-US"/>
        </w:rPr>
        <w:t xml:space="preserve"> it has been identified both positive and negative properties of nesfatin-1. For example, due to its anorectic effect, the administration of nesfatin-1 is regarded as a potential method of obesity correction [</w:t>
      </w:r>
      <w:r w:rsidR="00D84389">
        <w:rPr>
          <w:lang w:val="en-US"/>
        </w:rPr>
        <w:t>7</w:t>
      </w:r>
      <w:r w:rsidRPr="008D099F">
        <w:rPr>
          <w:lang w:val="en-US"/>
        </w:rPr>
        <w:t>]. The increase in insulin secretion by nesfatin-1</w:t>
      </w:r>
      <w:r w:rsidRPr="008D099F">
        <w:rPr>
          <w:color w:val="000000"/>
          <w:lang w:val="en-US"/>
        </w:rPr>
        <w:t xml:space="preserve"> </w:t>
      </w:r>
      <w:r w:rsidRPr="008D099F">
        <w:rPr>
          <w:lang w:val="en-US"/>
        </w:rPr>
        <w:t>administration</w:t>
      </w:r>
      <w:r w:rsidR="00BA1C68">
        <w:rPr>
          <w:lang w:val="en-US"/>
        </w:rPr>
        <w:t xml:space="preserve"> gives hope for the possible using</w:t>
      </w:r>
      <w:r w:rsidRPr="008D099F">
        <w:rPr>
          <w:lang w:val="en-US"/>
        </w:rPr>
        <w:t xml:space="preserve"> of it for the correction of hyperglycemia in patients with diabetes [</w:t>
      </w:r>
      <w:r w:rsidR="00ED6A8E">
        <w:rPr>
          <w:lang w:val="en-US"/>
        </w:rPr>
        <w:t>5</w:t>
      </w:r>
      <w:r w:rsidRPr="008D099F">
        <w:rPr>
          <w:lang w:val="en-US"/>
        </w:rPr>
        <w:t xml:space="preserve">]. At the same time, other researchers identified some adverse effects of increasing its level. Tanida et al. showed that </w:t>
      </w:r>
      <w:proofErr w:type="spellStart"/>
      <w:r w:rsidRPr="008D099F">
        <w:rPr>
          <w:lang w:val="en-US"/>
        </w:rPr>
        <w:t>intracerebroventricular</w:t>
      </w:r>
      <w:proofErr w:type="spellEnd"/>
      <w:r w:rsidRPr="008D099F">
        <w:rPr>
          <w:lang w:val="en-US"/>
        </w:rPr>
        <w:t xml:space="preserve"> injection of nesfatin-1 stimulates the activity of the sympathetic nervous system</w:t>
      </w:r>
      <w:r w:rsidR="00BA1C68">
        <w:rPr>
          <w:lang w:val="en-US"/>
        </w:rPr>
        <w:t>,</w:t>
      </w:r>
      <w:r w:rsidRPr="008D099F">
        <w:rPr>
          <w:lang w:val="en-US"/>
        </w:rPr>
        <w:t xml:space="preserve"> and the blood pressure rises significantly through the central </w:t>
      </w:r>
      <w:proofErr w:type="spellStart"/>
      <w:r w:rsidRPr="008D099F">
        <w:rPr>
          <w:lang w:val="en-US"/>
        </w:rPr>
        <w:t>melanocortin</w:t>
      </w:r>
      <w:proofErr w:type="spellEnd"/>
      <w:r w:rsidRPr="008D099F">
        <w:rPr>
          <w:lang w:val="en-US"/>
        </w:rPr>
        <w:t xml:space="preserve"> system [</w:t>
      </w:r>
      <w:r w:rsidR="00CA1085">
        <w:rPr>
          <w:lang w:val="en-US"/>
        </w:rPr>
        <w:t>8</w:t>
      </w:r>
      <w:r w:rsidRPr="008D099F">
        <w:rPr>
          <w:lang w:val="en-US"/>
        </w:rPr>
        <w:t>]. Recently nesfatin-1 was presented as a factor regulating thyroid function in patients with T2DM and the aging process, due to its significant role in energy balance and glucose metabolism [</w:t>
      </w:r>
      <w:r w:rsidR="00CA1085">
        <w:rPr>
          <w:lang w:val="en-US"/>
        </w:rPr>
        <w:t>9</w:t>
      </w:r>
      <w:r w:rsidRPr="008D099F">
        <w:rPr>
          <w:lang w:val="en-US"/>
        </w:rPr>
        <w:t>,</w:t>
      </w:r>
      <w:r w:rsidR="00CA1085">
        <w:rPr>
          <w:lang w:val="en-US"/>
        </w:rPr>
        <w:t xml:space="preserve"> 10</w:t>
      </w:r>
      <w:r w:rsidRPr="008D099F">
        <w:rPr>
          <w:lang w:val="en-US"/>
        </w:rPr>
        <w:t>].</w:t>
      </w:r>
    </w:p>
    <w:p w:rsidR="00322629" w:rsidRPr="008D099F" w:rsidRDefault="00C12709">
      <w:pPr>
        <w:rPr>
          <w:lang w:val="en-US"/>
        </w:rPr>
      </w:pPr>
      <w:r w:rsidRPr="008D099F">
        <w:rPr>
          <w:lang w:val="en-US"/>
        </w:rPr>
        <w:lastRenderedPageBreak/>
        <w:t>Given the ambiguity of the clinical manifestations of nesfatin-1 plasma level changes, it is required further study of its relationship with the development of comorbid metabolic disorders in humans.</w:t>
      </w:r>
    </w:p>
    <w:p w:rsidR="00322629" w:rsidRPr="008D099F" w:rsidRDefault="00322629">
      <w:pPr>
        <w:rPr>
          <w:lang w:val="en-US"/>
        </w:rPr>
      </w:pPr>
    </w:p>
    <w:p w:rsidR="00322629" w:rsidRPr="008D099F" w:rsidRDefault="00C12709">
      <w:pPr>
        <w:rPr>
          <w:b/>
          <w:lang w:val="en-US"/>
        </w:rPr>
      </w:pPr>
      <w:r w:rsidRPr="008D099F">
        <w:rPr>
          <w:b/>
          <w:lang w:val="en-US"/>
        </w:rPr>
        <w:t>OBJECTIVE</w:t>
      </w:r>
    </w:p>
    <w:p w:rsidR="00322629" w:rsidRPr="008D099F" w:rsidRDefault="00C12709">
      <w:pPr>
        <w:rPr>
          <w:color w:val="212121"/>
          <w:lang w:val="en-US"/>
        </w:rPr>
      </w:pPr>
      <w:r w:rsidRPr="008D099F">
        <w:rPr>
          <w:lang w:val="en-US"/>
        </w:rPr>
        <w:t xml:space="preserve">The aim of this study is </w:t>
      </w:r>
      <w:r w:rsidRPr="008D099F">
        <w:rPr>
          <w:color w:val="212121"/>
          <w:lang w:val="en-US"/>
        </w:rPr>
        <w:t>to analyze changes in the nesfatin-1 level in hypertensive patients depending on the carbohydrate profile parameters.</w:t>
      </w:r>
    </w:p>
    <w:p w:rsidR="00322629" w:rsidRPr="008D099F" w:rsidRDefault="00322629">
      <w:pPr>
        <w:rPr>
          <w:lang w:val="en-US"/>
        </w:rPr>
      </w:pPr>
    </w:p>
    <w:p w:rsidR="00322629" w:rsidRPr="008D099F" w:rsidRDefault="00C12709">
      <w:pPr>
        <w:rPr>
          <w:b/>
          <w:lang w:val="en-US"/>
        </w:rPr>
      </w:pPr>
      <w:r w:rsidRPr="008D099F">
        <w:rPr>
          <w:b/>
          <w:lang w:val="en-US"/>
        </w:rPr>
        <w:t>MATERIALS AND METHODS</w:t>
      </w:r>
    </w:p>
    <w:p w:rsidR="00322629" w:rsidRPr="008D099F" w:rsidRDefault="00C12709">
      <w:pPr>
        <w:rPr>
          <w:lang w:val="en-US"/>
        </w:rPr>
      </w:pPr>
      <w:r w:rsidRPr="008D099F">
        <w:rPr>
          <w:lang w:val="en-US"/>
        </w:rPr>
        <w:t xml:space="preserve">83 hypertensive patients aged 33 to 77 years were examined. </w:t>
      </w:r>
      <w:r w:rsidR="00BA1C68">
        <w:rPr>
          <w:lang w:val="en-US"/>
        </w:rPr>
        <w:t xml:space="preserve">All </w:t>
      </w:r>
      <w:r w:rsidR="00BA1C68" w:rsidRPr="008D099F">
        <w:rPr>
          <w:lang w:val="en-US"/>
        </w:rPr>
        <w:t xml:space="preserve">patients were divided into 3 groups </w:t>
      </w:r>
      <w:r w:rsidR="00BA1C68">
        <w:rPr>
          <w:lang w:val="en-US"/>
        </w:rPr>
        <w:t>b</w:t>
      </w:r>
      <w:r w:rsidRPr="008D099F">
        <w:rPr>
          <w:lang w:val="en-US"/>
        </w:rPr>
        <w:t xml:space="preserve">y clinical characteristics: Group 1 - 50 (60%) patients with hypertension and </w:t>
      </w:r>
      <w:proofErr w:type="spellStart"/>
      <w:r w:rsidRPr="008D099F">
        <w:rPr>
          <w:lang w:val="en-US"/>
        </w:rPr>
        <w:t>normoglycemia</w:t>
      </w:r>
      <w:proofErr w:type="spellEnd"/>
      <w:r w:rsidRPr="008D099F">
        <w:rPr>
          <w:lang w:val="en-US"/>
        </w:rPr>
        <w:t>, Group 2 - 15 (18%) patients with hypertension and prediabetes, Group 3 - 18 (22%) patients with hypertension and T2DM. The control group consisted of 12 healthy individuals.</w:t>
      </w:r>
    </w:p>
    <w:p w:rsidR="00322629" w:rsidRPr="008D099F" w:rsidRDefault="00C12709">
      <w:pPr>
        <w:rPr>
          <w:lang w:val="en-US"/>
        </w:rPr>
      </w:pPr>
      <w:r w:rsidRPr="008D099F">
        <w:rPr>
          <w:lang w:val="en-US"/>
        </w:rPr>
        <w:t>Patients with next pathology were excluded from the study: secondary hypertension; heart rhythm or AV conduction disturbances; presence of chronic heart failure stage IIB-III (NYHA classification); acute myocardial infarction or stroke in the past, acute left- or right ventricular failure; traumatic lesions of the central nervous system; comorbid psychiatric disorders, alcoholism; decompensated liver disease (increased AST, ALT more than 3 times); diffuse connective tissue diseases; infectious diseases or cancer.</w:t>
      </w:r>
    </w:p>
    <w:p w:rsidR="00322629" w:rsidRPr="008D099F" w:rsidRDefault="00C12709">
      <w:pPr>
        <w:rPr>
          <w:lang w:val="en-US"/>
        </w:rPr>
      </w:pPr>
      <w:r w:rsidRPr="008D099F">
        <w:rPr>
          <w:lang w:val="en-US"/>
        </w:rPr>
        <w:t>Blood pressure was measured in the sitting position of the patient after 5 min of rest. EH verification was based on the revision of the European Society of Hypertension recommendations (ESH, 2013). T2DM has been verified on the basis of recommendations of the American Diabetes Association (ADA, 2014).</w:t>
      </w:r>
    </w:p>
    <w:p w:rsidR="00322629" w:rsidRPr="008D099F" w:rsidRDefault="00C12709">
      <w:pPr>
        <w:rPr>
          <w:lang w:val="en-US"/>
        </w:rPr>
      </w:pPr>
      <w:r w:rsidRPr="008D099F">
        <w:rPr>
          <w:lang w:val="en-US"/>
        </w:rPr>
        <w:t>The blood sample for the biochemical and enzyme immunoassay researches was taken from the ul</w:t>
      </w:r>
      <w:r w:rsidR="001F73C0">
        <w:rPr>
          <w:lang w:val="en-US"/>
        </w:rPr>
        <w:t>nar vein in the morning after</w:t>
      </w:r>
      <w:r w:rsidRPr="008D099F">
        <w:rPr>
          <w:lang w:val="en-US"/>
        </w:rPr>
        <w:t xml:space="preserve"> </w:t>
      </w:r>
      <w:r w:rsidR="001F73C0">
        <w:rPr>
          <w:lang w:val="en-US"/>
        </w:rPr>
        <w:t>6-</w:t>
      </w:r>
      <w:r w:rsidRPr="008D099F">
        <w:rPr>
          <w:lang w:val="en-US"/>
        </w:rPr>
        <w:t xml:space="preserve">12-hours starvation. Anthropometric measurements included height (cm), weight (kg), waist circumference (WC, cm) and hips circumference (HC, cm). It was followed by </w:t>
      </w:r>
      <w:r w:rsidRPr="008D099F">
        <w:rPr>
          <w:lang w:val="en-US"/>
        </w:rPr>
        <w:lastRenderedPageBreak/>
        <w:t>calculation of body mass index (BMI, kg/m</w:t>
      </w:r>
      <w:r w:rsidRPr="008D099F">
        <w:rPr>
          <w:vertAlign w:val="superscript"/>
          <w:lang w:val="en-US"/>
        </w:rPr>
        <w:t>2</w:t>
      </w:r>
      <w:r w:rsidRPr="008D099F">
        <w:rPr>
          <w:lang w:val="en-US"/>
        </w:rPr>
        <w:t>) according to the formula BMI = body weight / height</w:t>
      </w:r>
      <w:r w:rsidRPr="008D099F">
        <w:rPr>
          <w:vertAlign w:val="superscript"/>
          <w:lang w:val="en-US"/>
        </w:rPr>
        <w:t>2</w:t>
      </w:r>
      <w:r w:rsidRPr="008D099F">
        <w:rPr>
          <w:lang w:val="en-US"/>
        </w:rPr>
        <w:t xml:space="preserve"> as well as calculation of the waist to hip ratio (WHR).</w:t>
      </w:r>
    </w:p>
    <w:p w:rsidR="00322629" w:rsidRPr="008D099F" w:rsidRDefault="00BA1C68">
      <w:pPr>
        <w:rPr>
          <w:color w:val="212121"/>
          <w:lang w:val="en-US"/>
        </w:rPr>
      </w:pPr>
      <w:r>
        <w:rPr>
          <w:lang w:val="en-US"/>
        </w:rPr>
        <w:t>F</w:t>
      </w:r>
      <w:r w:rsidRPr="008D099F">
        <w:rPr>
          <w:lang w:val="en-US"/>
        </w:rPr>
        <w:t xml:space="preserve">asting glucose of serum was taken and determined by the glucose oxidase method </w:t>
      </w:r>
      <w:r>
        <w:rPr>
          <w:lang w:val="en-US"/>
        </w:rPr>
        <w:t>f</w:t>
      </w:r>
      <w:r w:rsidR="00C12709" w:rsidRPr="008D099F">
        <w:rPr>
          <w:lang w:val="en-US"/>
        </w:rPr>
        <w:t>or the con</w:t>
      </w:r>
      <w:r>
        <w:rPr>
          <w:lang w:val="en-US"/>
        </w:rPr>
        <w:t>trol of carbohydrate metabolism</w:t>
      </w:r>
      <w:r w:rsidR="00C12709" w:rsidRPr="008D099F">
        <w:rPr>
          <w:lang w:val="en-US"/>
        </w:rPr>
        <w:t xml:space="preserve">. In case of the diabetes absence and with patient’s </w:t>
      </w:r>
      <w:r w:rsidR="00C12709" w:rsidRPr="008D099F">
        <w:rPr>
          <w:color w:val="212121"/>
          <w:lang w:val="en-US"/>
        </w:rPr>
        <w:t xml:space="preserve">agreement </w:t>
      </w:r>
      <w:r w:rsidR="00C12709" w:rsidRPr="008D099F">
        <w:rPr>
          <w:lang w:val="en-US"/>
        </w:rPr>
        <w:t xml:space="preserve">the glucose tolerance test was conducted: during 5 minutes after </w:t>
      </w:r>
      <w:r w:rsidR="001F73C0">
        <w:rPr>
          <w:lang w:val="en-US"/>
        </w:rPr>
        <w:t>taking</w:t>
      </w:r>
      <w:r w:rsidR="001F73C0" w:rsidRPr="008D099F">
        <w:rPr>
          <w:lang w:val="en-US"/>
        </w:rPr>
        <w:t xml:space="preserve"> </w:t>
      </w:r>
      <w:r w:rsidR="001F73C0">
        <w:rPr>
          <w:lang w:val="en-US"/>
        </w:rPr>
        <w:t xml:space="preserve">of </w:t>
      </w:r>
      <w:r w:rsidR="00C12709" w:rsidRPr="008D099F">
        <w:rPr>
          <w:lang w:val="en-US"/>
        </w:rPr>
        <w:t>fasting blood sample</w:t>
      </w:r>
      <w:r w:rsidR="001F73C0">
        <w:rPr>
          <w:lang w:val="en-US"/>
        </w:rPr>
        <w:t xml:space="preserve">, </w:t>
      </w:r>
      <w:r w:rsidR="00C12709" w:rsidRPr="008D099F">
        <w:rPr>
          <w:lang w:val="en-US"/>
        </w:rPr>
        <w:t xml:space="preserve">patient drinks a glass of warm water </w:t>
      </w:r>
      <w:r w:rsidR="00AC54A0">
        <w:rPr>
          <w:lang w:val="en-US"/>
        </w:rPr>
        <w:t xml:space="preserve">with </w:t>
      </w:r>
      <w:r w:rsidR="00AC54A0" w:rsidRPr="008D099F">
        <w:rPr>
          <w:lang w:val="en-US"/>
        </w:rPr>
        <w:t xml:space="preserve">glucose </w:t>
      </w:r>
      <w:r w:rsidR="00AC54A0">
        <w:rPr>
          <w:lang w:val="en-US"/>
        </w:rPr>
        <w:t>solution</w:t>
      </w:r>
      <w:r w:rsidR="00C12709" w:rsidRPr="008D099F">
        <w:rPr>
          <w:lang w:val="en-US"/>
        </w:rPr>
        <w:t xml:space="preserve"> </w:t>
      </w:r>
      <w:r w:rsidR="00AC54A0">
        <w:rPr>
          <w:lang w:val="en-US"/>
        </w:rPr>
        <w:t>(75 g), followed by blood sampling in</w:t>
      </w:r>
      <w:r w:rsidR="00C12709" w:rsidRPr="008D099F">
        <w:rPr>
          <w:lang w:val="en-US"/>
        </w:rPr>
        <w:t xml:space="preserve"> 2 hours. According to the ADA recommendations (2014), prediabetes has been established in patients with impaired fasting glucose (5.6-6.9 mmol/l) and postprandial hyperglycemia (7.8-11.0 mmol/L).</w:t>
      </w:r>
    </w:p>
    <w:p w:rsidR="00322629" w:rsidRPr="008D099F" w:rsidRDefault="00C12709">
      <w:pPr>
        <w:rPr>
          <w:lang w:val="en-US"/>
        </w:rPr>
      </w:pPr>
      <w:r w:rsidRPr="008D099F">
        <w:rPr>
          <w:lang w:val="en-US"/>
        </w:rPr>
        <w:t>Insulin levels (</w:t>
      </w:r>
      <w:proofErr w:type="spellStart"/>
      <w:r w:rsidRPr="008D099F">
        <w:rPr>
          <w:lang w:val="en-US"/>
        </w:rPr>
        <w:t>mkIE</w:t>
      </w:r>
      <w:proofErr w:type="spellEnd"/>
      <w:r w:rsidRPr="008D099F">
        <w:rPr>
          <w:lang w:val="en-US"/>
        </w:rPr>
        <w:t>/ml) were determined by enzyme immunoassay method using «DRG Instruments GmbH» kit of reagents (Germany). Insulin resistance (IR) was assessed using HOMA-IR (Homeostasis Model Assessment Insulin Resistance) = concentration of insulin (</w:t>
      </w:r>
      <w:proofErr w:type="spellStart"/>
      <w:r w:rsidRPr="008D099F">
        <w:rPr>
          <w:lang w:val="en-US"/>
        </w:rPr>
        <w:t>mkIE</w:t>
      </w:r>
      <w:proofErr w:type="spellEnd"/>
      <w:r w:rsidRPr="008D099F">
        <w:rPr>
          <w:lang w:val="en-US"/>
        </w:rPr>
        <w:t xml:space="preserve">/ml) × fasting glucose (mmol/L) / 22.5. Caro indexes were calculated additionally as a ratio of fasting glucose to insulin levels. Nesfatin-1 levels (ng/ml) were determined by enzyme immunoassay method using </w:t>
      </w:r>
      <w:proofErr w:type="spellStart"/>
      <w:r w:rsidRPr="008D099F">
        <w:rPr>
          <w:lang w:val="en-US"/>
        </w:rPr>
        <w:t>Kono</w:t>
      </w:r>
      <w:proofErr w:type="spellEnd"/>
      <w:r w:rsidRPr="008D099F">
        <w:rPr>
          <w:lang w:val="en-US"/>
        </w:rPr>
        <w:t xml:space="preserve"> Biotech® Human Nesfatin-1 ELISA Kit reagents.</w:t>
      </w:r>
    </w:p>
    <w:p w:rsidR="00322629" w:rsidRPr="008D099F" w:rsidRDefault="00C12709">
      <w:pPr>
        <w:rPr>
          <w:lang w:val="en-US"/>
        </w:rPr>
      </w:pPr>
      <w:r w:rsidRPr="008D099F">
        <w:rPr>
          <w:lang w:val="en-US"/>
        </w:rPr>
        <w:t xml:space="preserve">Analysis of the data was carried out by methods of nonparametric statistics. In samples with the non-parametric data distribution the results are presented as </w:t>
      </w:r>
      <w:proofErr w:type="gramStart"/>
      <w:r w:rsidRPr="008D099F">
        <w:rPr>
          <w:lang w:val="en-US"/>
        </w:rPr>
        <w:t>Me</w:t>
      </w:r>
      <w:proofErr w:type="gramEnd"/>
      <w:r w:rsidRPr="008D099F">
        <w:rPr>
          <w:lang w:val="en-US"/>
        </w:rPr>
        <w:t xml:space="preserve"> (Q25-Q75), where Me – median (the 50th percentile), Q25 and Q75 – the 25th and 75th percentiles respectively (the upper and lower quartiles). The Mann-Whitney test, ANOVA rank </w:t>
      </w:r>
      <w:proofErr w:type="spellStart"/>
      <w:r w:rsidRPr="008D099F">
        <w:rPr>
          <w:lang w:val="en-US"/>
        </w:rPr>
        <w:t>Kruskal</w:t>
      </w:r>
      <w:proofErr w:type="spellEnd"/>
      <w:r w:rsidRPr="008D099F">
        <w:rPr>
          <w:lang w:val="en-US"/>
        </w:rPr>
        <w:t>-Wallis test, the median test were used for comparison of the results between groups. Spearman's rank correlation coefficient was used for estimation of the relationship between two variables. The null hypothesis is excluded at the level of p&lt;0.05 significance.</w:t>
      </w:r>
    </w:p>
    <w:p w:rsidR="00322629" w:rsidRPr="008D099F" w:rsidRDefault="00322629">
      <w:pPr>
        <w:rPr>
          <w:lang w:val="en-US"/>
        </w:rPr>
      </w:pPr>
    </w:p>
    <w:p w:rsidR="00322629" w:rsidRPr="008D099F" w:rsidRDefault="00C12709">
      <w:pPr>
        <w:rPr>
          <w:b/>
          <w:lang w:val="en-US"/>
        </w:rPr>
      </w:pPr>
      <w:r w:rsidRPr="008D099F">
        <w:rPr>
          <w:b/>
          <w:lang w:val="en-US"/>
        </w:rPr>
        <w:t>RESULTS AND DISCUSSION</w:t>
      </w:r>
    </w:p>
    <w:p w:rsidR="00322629" w:rsidRPr="008D099F" w:rsidRDefault="00C12709">
      <w:pPr>
        <w:rPr>
          <w:lang w:val="en-US"/>
        </w:rPr>
      </w:pPr>
      <w:r w:rsidRPr="008D099F">
        <w:rPr>
          <w:lang w:val="en-US"/>
        </w:rPr>
        <w:t>The data of patients groups are shown in Table.</w:t>
      </w:r>
    </w:p>
    <w:p w:rsidR="00DE3F81" w:rsidRPr="00DE3F81" w:rsidRDefault="00DE3F81" w:rsidP="00DE3F81">
      <w:pPr>
        <w:jc w:val="right"/>
        <w:rPr>
          <w:lang w:val="en-US"/>
        </w:rPr>
      </w:pPr>
      <w:r>
        <w:rPr>
          <w:lang w:val="en-US"/>
        </w:rPr>
        <w:t>Table</w:t>
      </w:r>
    </w:p>
    <w:p w:rsidR="00322629" w:rsidRPr="008D099F" w:rsidRDefault="00C12709" w:rsidP="00DE3F81">
      <w:pPr>
        <w:ind w:firstLine="0"/>
        <w:jc w:val="center"/>
        <w:rPr>
          <w:lang w:val="en-US"/>
        </w:rPr>
      </w:pPr>
      <w:r w:rsidRPr="008D099F">
        <w:rPr>
          <w:lang w:val="en-US"/>
        </w:rPr>
        <w:t>Clinical characteristics, anthropometric and laboratory indicators of patients</w:t>
      </w:r>
    </w:p>
    <w:tbl>
      <w:tblPr>
        <w:tblStyle w:val="a3"/>
        <w:tblW w:w="5000" w:type="pct"/>
        <w:tblLook w:val="04A0"/>
      </w:tblPr>
      <w:tblGrid>
        <w:gridCol w:w="2127"/>
        <w:gridCol w:w="1932"/>
        <w:gridCol w:w="1931"/>
        <w:gridCol w:w="1931"/>
        <w:gridCol w:w="1933"/>
      </w:tblGrid>
      <w:tr w:rsidR="00322629" w:rsidRPr="00253AD6" w:rsidTr="00DE3F81">
        <w:tc>
          <w:tcPr>
            <w:tcW w:w="1079" w:type="pct"/>
            <w:vMerge w:val="restart"/>
            <w:vAlign w:val="center"/>
          </w:tcPr>
          <w:p w:rsidR="00322629" w:rsidRPr="00253AD6" w:rsidRDefault="00322629" w:rsidP="00DE3F81">
            <w:pPr>
              <w:spacing w:line="240" w:lineRule="auto"/>
              <w:ind w:firstLine="0"/>
              <w:jc w:val="center"/>
              <w:rPr>
                <w:szCs w:val="28"/>
                <w:lang w:val="en-US"/>
              </w:rPr>
            </w:pPr>
          </w:p>
          <w:p w:rsidR="00322629" w:rsidRPr="00253AD6" w:rsidRDefault="00C12709" w:rsidP="00DE3F81">
            <w:pPr>
              <w:spacing w:line="240" w:lineRule="auto"/>
              <w:ind w:firstLine="0"/>
              <w:jc w:val="center"/>
              <w:rPr>
                <w:szCs w:val="28"/>
                <w:lang w:val="en-US"/>
              </w:rPr>
            </w:pPr>
            <w:r w:rsidRPr="00253AD6">
              <w:rPr>
                <w:szCs w:val="28"/>
                <w:lang w:val="en-US"/>
              </w:rPr>
              <w:t>Index</w:t>
            </w:r>
          </w:p>
        </w:tc>
        <w:tc>
          <w:tcPr>
            <w:tcW w:w="3921" w:type="pct"/>
            <w:gridSpan w:val="4"/>
            <w:vAlign w:val="center"/>
          </w:tcPr>
          <w:p w:rsidR="00322629" w:rsidRPr="00253AD6" w:rsidRDefault="00C12709" w:rsidP="00DE3F81">
            <w:pPr>
              <w:spacing w:line="240" w:lineRule="auto"/>
              <w:ind w:firstLine="0"/>
              <w:jc w:val="center"/>
              <w:rPr>
                <w:szCs w:val="28"/>
                <w:lang w:val="en-US"/>
              </w:rPr>
            </w:pPr>
            <w:r w:rsidRPr="00253AD6">
              <w:rPr>
                <w:szCs w:val="28"/>
                <w:lang w:val="en-US"/>
              </w:rPr>
              <w:t>Index value, Me (Q25-Q75)</w:t>
            </w:r>
          </w:p>
        </w:tc>
      </w:tr>
      <w:tr w:rsidR="00322629" w:rsidRPr="008D099F" w:rsidTr="00DE3F81">
        <w:tc>
          <w:tcPr>
            <w:tcW w:w="1079" w:type="pct"/>
            <w:vMerge/>
            <w:vAlign w:val="center"/>
          </w:tcPr>
          <w:p w:rsidR="00322629" w:rsidRPr="008D099F" w:rsidRDefault="00322629" w:rsidP="00DE3F81">
            <w:pPr>
              <w:spacing w:line="240" w:lineRule="auto"/>
              <w:ind w:firstLine="0"/>
              <w:jc w:val="center"/>
              <w:rPr>
                <w:sz w:val="24"/>
                <w:lang w:val="en-US"/>
              </w:rPr>
            </w:pPr>
          </w:p>
        </w:tc>
        <w:tc>
          <w:tcPr>
            <w:tcW w:w="980" w:type="pct"/>
            <w:vAlign w:val="center"/>
          </w:tcPr>
          <w:p w:rsidR="00322629" w:rsidRPr="008D099F" w:rsidRDefault="00C12709" w:rsidP="00DE3F81">
            <w:pPr>
              <w:spacing w:line="240" w:lineRule="auto"/>
              <w:ind w:firstLine="0"/>
              <w:jc w:val="center"/>
              <w:rPr>
                <w:sz w:val="24"/>
                <w:lang w:val="en-US"/>
              </w:rPr>
            </w:pPr>
            <w:r w:rsidRPr="008D099F">
              <w:rPr>
                <w:sz w:val="24"/>
                <w:lang w:val="en-US"/>
              </w:rPr>
              <w:t>Group 1</w:t>
            </w:r>
          </w:p>
        </w:tc>
        <w:tc>
          <w:tcPr>
            <w:tcW w:w="980" w:type="pct"/>
            <w:vAlign w:val="center"/>
          </w:tcPr>
          <w:p w:rsidR="00322629" w:rsidRPr="008D099F" w:rsidRDefault="00C12709" w:rsidP="00DE3F81">
            <w:pPr>
              <w:spacing w:line="240" w:lineRule="auto"/>
              <w:ind w:firstLine="0"/>
              <w:jc w:val="center"/>
              <w:rPr>
                <w:sz w:val="24"/>
                <w:lang w:val="en-US"/>
              </w:rPr>
            </w:pPr>
            <w:r w:rsidRPr="008D099F">
              <w:rPr>
                <w:sz w:val="24"/>
                <w:lang w:val="en-US"/>
              </w:rPr>
              <w:t>Group 2</w:t>
            </w:r>
          </w:p>
        </w:tc>
        <w:tc>
          <w:tcPr>
            <w:tcW w:w="980" w:type="pct"/>
            <w:vAlign w:val="center"/>
          </w:tcPr>
          <w:p w:rsidR="00322629" w:rsidRPr="008D099F" w:rsidRDefault="00C12709" w:rsidP="00DE3F81">
            <w:pPr>
              <w:spacing w:line="240" w:lineRule="auto"/>
              <w:ind w:firstLine="0"/>
              <w:jc w:val="center"/>
              <w:rPr>
                <w:sz w:val="24"/>
                <w:lang w:val="en-US"/>
              </w:rPr>
            </w:pPr>
            <w:r w:rsidRPr="008D099F">
              <w:rPr>
                <w:sz w:val="24"/>
                <w:lang w:val="en-US"/>
              </w:rPr>
              <w:t>Group 3</w:t>
            </w:r>
          </w:p>
        </w:tc>
        <w:tc>
          <w:tcPr>
            <w:tcW w:w="980" w:type="pct"/>
            <w:vAlign w:val="center"/>
          </w:tcPr>
          <w:p w:rsidR="00322629" w:rsidRPr="008D099F" w:rsidRDefault="00C12709" w:rsidP="00DE3F81">
            <w:pPr>
              <w:spacing w:line="240" w:lineRule="auto"/>
              <w:ind w:firstLine="0"/>
              <w:jc w:val="center"/>
              <w:rPr>
                <w:sz w:val="24"/>
                <w:lang w:val="en-US"/>
              </w:rPr>
            </w:pPr>
            <w:r w:rsidRPr="008D099F">
              <w:rPr>
                <w:sz w:val="24"/>
                <w:lang w:val="en-US"/>
              </w:rPr>
              <w:t>Control group</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Age, years</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60.5 (52.0-64.0)</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0</w:t>
            </w:r>
            <w:r w:rsidRPr="008D099F">
              <w:rPr>
                <w:sz w:val="20"/>
                <w:lang w:val="en-US"/>
              </w:rPr>
              <w:t>=0.05</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61.0 (55.0-66.0)</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0</w:t>
            </w:r>
            <w:r w:rsidRPr="008D099F">
              <w:rPr>
                <w:sz w:val="20"/>
                <w:lang w:val="en-US"/>
              </w:rPr>
              <w:t>=0.05</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65.0 (58.0-69.0)</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0</w:t>
            </w:r>
            <w:r w:rsidRPr="008D099F">
              <w:rPr>
                <w:sz w:val="20"/>
                <w:lang w:val="en-US"/>
              </w:rPr>
              <w:t>=0.05</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53.0 (49.5-55.0)</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Height, cm</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165.0 (160.0-172.0)</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0</w:t>
            </w:r>
            <w:r w:rsidRPr="008D099F">
              <w:rPr>
                <w:sz w:val="20"/>
                <w:lang w:val="en-US"/>
              </w:rPr>
              <w:t>˃0.05</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168.0 (159.0-175.0)</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0</w:t>
            </w:r>
            <w:r w:rsidRPr="008D099F">
              <w:rPr>
                <w:sz w:val="20"/>
                <w:lang w:val="en-US"/>
              </w:rPr>
              <w:t>˃0.05</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165.0 (160.0-170.0)</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0</w:t>
            </w:r>
            <w:r w:rsidRPr="008D099F">
              <w:rPr>
                <w:sz w:val="20"/>
                <w:lang w:val="en-US"/>
              </w:rPr>
              <w:t>˃0.05</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170.0 (164.0-177.0)</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Weight, kg</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88.0 (80.0-98.0)</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103.0 (91.0-118.0)</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˂0.001</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3</w:t>
            </w:r>
            <w:r w:rsidRPr="008D099F">
              <w:rPr>
                <w:b/>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89.0 (75.0-112.0)</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63.5 (59.0-70.5)</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BMI, kg/m</w:t>
            </w:r>
            <w:r w:rsidRPr="008D099F">
              <w:rPr>
                <w:sz w:val="24"/>
                <w:vertAlign w:val="superscript"/>
                <w:lang w:val="en-US"/>
              </w:rPr>
              <w:t>2</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32.36 (28.84-36.84)</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38.83 (33.57-44.58)</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˂0.001</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3</w:t>
            </w:r>
            <w:r w:rsidRPr="008D099F">
              <w:rPr>
                <w:b/>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31.92 (28.35-40.90)</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22.47 (21.47-23.09)</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WC, cm</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104,0 (94,0-116,0)</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120.0 (111.0-130.0)</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˂0.001</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3</w:t>
            </w:r>
            <w:r w:rsidRPr="008D099F">
              <w:rPr>
                <w:b/>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102.0 (94.0-125.0)</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73.5 (71.0-80.0)</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HC, cm</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117.0 (103.0-122.0)</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128.0 (111.0-139.0)</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115.5 (102.0-139.0)</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95.0 (94.0-98.0)</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WHR</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0.90 (0.87-0.95)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0.94 (0.88-0.98)</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˂0.01</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3</w:t>
            </w:r>
            <w:r w:rsidRPr="008D099F">
              <w:rPr>
                <w:b/>
                <w:sz w:val="20"/>
                <w:lang w:val="en-US"/>
              </w:rPr>
              <w:t>˂0.01</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0.91 (0.83-0.94)</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˂0.01</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0.76 (0.74-0.85)</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Fasting glucose, mmol/L</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4.52 (4.18-5.00)</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˂0.001</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3</w:t>
            </w:r>
            <w:r w:rsidRPr="008D099F">
              <w:rPr>
                <w:b/>
                <w:sz w:val="20"/>
                <w:lang w:val="en-US"/>
              </w:rPr>
              <w:t>˂0.001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0</w:t>
            </w:r>
            <w:r w:rsidRPr="008D099F">
              <w:rPr>
                <w:sz w:val="20"/>
                <w:lang w:val="en-US"/>
              </w:rPr>
              <w:t>˃0.05</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6.63 (5.91-6.78)</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7.45 (5.00-8.23)</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4.62 (4.30-4.93)</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Postprandial glucose, mmol/L</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5.09 (3.63-6.88)</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8.52 (7.79-9.22)</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 xml:space="preserve">Insulin, </w:t>
            </w:r>
            <w:proofErr w:type="spellStart"/>
            <w:r w:rsidRPr="008D099F">
              <w:rPr>
                <w:sz w:val="24"/>
                <w:lang w:val="en-US"/>
              </w:rPr>
              <w:t>mkIE</w:t>
            </w:r>
            <w:proofErr w:type="spellEnd"/>
            <w:r w:rsidRPr="008D099F">
              <w:rPr>
                <w:sz w:val="24"/>
                <w:lang w:val="en-US"/>
              </w:rPr>
              <w:t>/ml</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29.90 (20.93-39.24)</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˂0.001</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3</w:t>
            </w:r>
            <w:r w:rsidRPr="008D099F">
              <w:rPr>
                <w:b/>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38.58 (27.16-58.62)</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40.57 (20.03-48.80)</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13.15 (11.26-15.01)</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HOMA-IR</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5.54 (4.04-8.33)</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˂0.001</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3</w:t>
            </w:r>
            <w:r w:rsidRPr="008D099F">
              <w:rPr>
                <w:b/>
                <w:sz w:val="20"/>
                <w:lang w:val="en-US"/>
              </w:rPr>
              <w:t>˂0.001</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11.42 (7.25-18.05)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9.22 (7.30-14.97)</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˂0.001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2.61 (2.30-3.13)</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Caro index</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0.15 (0.12-0.21)</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3</w:t>
            </w:r>
            <w:r w:rsidRPr="008D099F">
              <w:rPr>
                <w:b/>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0.16 (0.12-0.22)</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3</w:t>
            </w:r>
            <w:r w:rsidRPr="008D099F">
              <w:rPr>
                <w:b/>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0.19 (0.13-0.33)</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1</w:t>
            </w:r>
            <w:r w:rsidRPr="008D099F">
              <w:rPr>
                <w:b/>
                <w:sz w:val="20"/>
                <w:lang w:val="en-US"/>
              </w:rPr>
              <w:t>˂0.05</w:t>
            </w:r>
          </w:p>
          <w:p w:rsidR="00322629" w:rsidRPr="008D099F" w:rsidRDefault="00C12709" w:rsidP="00DE3F81">
            <w:pPr>
              <w:spacing w:line="240" w:lineRule="auto"/>
              <w:ind w:firstLine="0"/>
              <w:jc w:val="center"/>
              <w:rPr>
                <w:b/>
                <w:sz w:val="20"/>
                <w:lang w:val="en-US"/>
              </w:rPr>
            </w:pPr>
            <w:r w:rsidRPr="008D099F">
              <w:rPr>
                <w:b/>
                <w:sz w:val="20"/>
                <w:lang w:val="en-US"/>
              </w:rPr>
              <w:t>p</w:t>
            </w:r>
            <w:r w:rsidRPr="008D099F">
              <w:rPr>
                <w:b/>
                <w:sz w:val="20"/>
                <w:vertAlign w:val="subscript"/>
                <w:lang w:val="en-US"/>
              </w:rPr>
              <w:t>2</w:t>
            </w:r>
            <w:r w:rsidRPr="008D099F">
              <w:rPr>
                <w:b/>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0.34 (0.29-0.41)</w:t>
            </w:r>
          </w:p>
        </w:tc>
      </w:tr>
      <w:tr w:rsidR="00322629" w:rsidRPr="008D099F" w:rsidTr="00DE3F81">
        <w:tc>
          <w:tcPr>
            <w:tcW w:w="1079" w:type="pct"/>
            <w:vAlign w:val="center"/>
          </w:tcPr>
          <w:p w:rsidR="00322629" w:rsidRPr="008D099F" w:rsidRDefault="00C12709" w:rsidP="00DE3F81">
            <w:pPr>
              <w:spacing w:line="240" w:lineRule="auto"/>
              <w:ind w:firstLine="0"/>
              <w:jc w:val="center"/>
              <w:rPr>
                <w:sz w:val="24"/>
                <w:lang w:val="en-US"/>
              </w:rPr>
            </w:pPr>
            <w:r w:rsidRPr="008D099F">
              <w:rPr>
                <w:sz w:val="24"/>
                <w:lang w:val="en-US"/>
              </w:rPr>
              <w:t>Nesfatin-1, ng/ml</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7.62 (6.94-8.43)</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7.21 (6.79-8.27)</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3</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7.76 (6.60-8.47)</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1</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sz w:val="20"/>
                <w:lang w:val="en-US"/>
              </w:rPr>
              <w:t>p</w:t>
            </w:r>
            <w:r w:rsidRPr="008D099F">
              <w:rPr>
                <w:sz w:val="20"/>
                <w:vertAlign w:val="subscript"/>
                <w:lang w:val="en-US"/>
              </w:rPr>
              <w:t>2</w:t>
            </w:r>
            <w:r w:rsidRPr="008D099F">
              <w:rPr>
                <w:sz w:val="20"/>
                <w:lang w:val="en-US"/>
              </w:rPr>
              <w:t>˃0.05</w:t>
            </w:r>
          </w:p>
          <w:p w:rsidR="00322629" w:rsidRPr="008D099F" w:rsidRDefault="00C12709" w:rsidP="00DE3F81">
            <w:pPr>
              <w:spacing w:line="240" w:lineRule="auto"/>
              <w:ind w:firstLine="0"/>
              <w:jc w:val="center"/>
              <w:rPr>
                <w:sz w:val="20"/>
                <w:lang w:val="en-US"/>
              </w:rPr>
            </w:pPr>
            <w:r w:rsidRPr="008D099F">
              <w:rPr>
                <w:b/>
                <w:sz w:val="20"/>
                <w:lang w:val="en-US"/>
              </w:rPr>
              <w:t>p</w:t>
            </w:r>
            <w:r w:rsidRPr="008D099F">
              <w:rPr>
                <w:b/>
                <w:sz w:val="20"/>
                <w:vertAlign w:val="subscript"/>
                <w:lang w:val="en-US"/>
              </w:rPr>
              <w:t>0</w:t>
            </w:r>
            <w:r w:rsidRPr="008D099F">
              <w:rPr>
                <w:b/>
                <w:sz w:val="20"/>
                <w:lang w:val="en-US"/>
              </w:rPr>
              <w:t>˂0.001</w:t>
            </w:r>
          </w:p>
        </w:tc>
        <w:tc>
          <w:tcPr>
            <w:tcW w:w="980" w:type="pct"/>
            <w:vAlign w:val="center"/>
          </w:tcPr>
          <w:p w:rsidR="00322629" w:rsidRPr="008D099F" w:rsidRDefault="00C12709" w:rsidP="00DE3F81">
            <w:pPr>
              <w:spacing w:line="240" w:lineRule="auto"/>
              <w:ind w:firstLine="0"/>
              <w:jc w:val="center"/>
              <w:rPr>
                <w:sz w:val="20"/>
                <w:lang w:val="en-US"/>
              </w:rPr>
            </w:pPr>
            <w:r w:rsidRPr="008D099F">
              <w:rPr>
                <w:sz w:val="20"/>
                <w:lang w:val="en-US"/>
              </w:rPr>
              <w:t>4.53 (4.23-4.87)</w:t>
            </w:r>
          </w:p>
        </w:tc>
      </w:tr>
    </w:tbl>
    <w:p w:rsidR="00322629" w:rsidRPr="00DE3F81" w:rsidRDefault="00C12709" w:rsidP="00DE3F81">
      <w:pPr>
        <w:pStyle w:val="HTML"/>
        <w:jc w:val="both"/>
        <w:rPr>
          <w:rFonts w:ascii="Times New Roman" w:hAnsi="Times New Roman"/>
          <w:i/>
          <w:color w:val="212121"/>
          <w:sz w:val="24"/>
          <w:lang w:val="en-US"/>
        </w:rPr>
      </w:pPr>
      <w:r w:rsidRPr="00DE3F81">
        <w:rPr>
          <w:rFonts w:ascii="Times New Roman" w:hAnsi="Times New Roman"/>
          <w:i/>
          <w:color w:val="212121"/>
          <w:sz w:val="24"/>
          <w:lang w:val="en-US"/>
        </w:rPr>
        <w:t>where p</w:t>
      </w:r>
      <w:r w:rsidRPr="00DE3F81">
        <w:rPr>
          <w:rFonts w:ascii="Times New Roman" w:hAnsi="Times New Roman"/>
          <w:i/>
          <w:color w:val="212121"/>
          <w:sz w:val="24"/>
          <w:vertAlign w:val="subscript"/>
          <w:lang w:val="en-US"/>
        </w:rPr>
        <w:t>1</w:t>
      </w:r>
      <w:r w:rsidRPr="00DE3F81">
        <w:rPr>
          <w:rFonts w:ascii="Times New Roman" w:hAnsi="Times New Roman"/>
          <w:i/>
          <w:color w:val="212121"/>
          <w:sz w:val="24"/>
          <w:lang w:val="en-US"/>
        </w:rPr>
        <w:t xml:space="preserve"> - confidence level in comparison with parameters of Group 1, p</w:t>
      </w:r>
      <w:r w:rsidRPr="00DE3F81">
        <w:rPr>
          <w:rFonts w:ascii="Times New Roman" w:hAnsi="Times New Roman"/>
          <w:i/>
          <w:color w:val="212121"/>
          <w:sz w:val="24"/>
          <w:vertAlign w:val="subscript"/>
          <w:lang w:val="en-US"/>
        </w:rPr>
        <w:t>2</w:t>
      </w:r>
      <w:r w:rsidRPr="00DE3F81">
        <w:rPr>
          <w:rFonts w:ascii="Times New Roman" w:hAnsi="Times New Roman"/>
          <w:i/>
          <w:color w:val="212121"/>
          <w:sz w:val="24"/>
          <w:lang w:val="en-US"/>
        </w:rPr>
        <w:t xml:space="preserve"> - confidence level in comparison with parameters of Group 2, p</w:t>
      </w:r>
      <w:r w:rsidRPr="00DE3F81">
        <w:rPr>
          <w:rFonts w:ascii="Times New Roman" w:hAnsi="Times New Roman"/>
          <w:i/>
          <w:color w:val="212121"/>
          <w:sz w:val="24"/>
          <w:vertAlign w:val="subscript"/>
          <w:lang w:val="en-US"/>
        </w:rPr>
        <w:t>3</w:t>
      </w:r>
      <w:r w:rsidRPr="00DE3F81">
        <w:rPr>
          <w:rFonts w:ascii="Times New Roman" w:hAnsi="Times New Roman"/>
          <w:i/>
          <w:color w:val="212121"/>
          <w:sz w:val="24"/>
          <w:lang w:val="en-US"/>
        </w:rPr>
        <w:t xml:space="preserve"> - confidence level in comparison with parameters of Group 3, p</w:t>
      </w:r>
      <w:r w:rsidRPr="00DE3F81">
        <w:rPr>
          <w:rFonts w:ascii="Times New Roman" w:hAnsi="Times New Roman"/>
          <w:i/>
          <w:color w:val="212121"/>
          <w:sz w:val="24"/>
          <w:vertAlign w:val="subscript"/>
          <w:lang w:val="en-US"/>
        </w:rPr>
        <w:t>0</w:t>
      </w:r>
      <w:r w:rsidRPr="00DE3F81">
        <w:rPr>
          <w:rFonts w:ascii="Times New Roman" w:hAnsi="Times New Roman"/>
          <w:i/>
          <w:color w:val="212121"/>
          <w:sz w:val="24"/>
          <w:lang w:val="en-US"/>
        </w:rPr>
        <w:t xml:space="preserve"> - confidence level in comparison with parameters of the control group.</w:t>
      </w:r>
    </w:p>
    <w:p w:rsidR="00322629" w:rsidRPr="008D099F" w:rsidRDefault="00322629">
      <w:pPr>
        <w:rPr>
          <w:lang w:val="en-US"/>
        </w:rPr>
      </w:pPr>
    </w:p>
    <w:p w:rsidR="00322629" w:rsidRPr="008D099F" w:rsidRDefault="00C12709">
      <w:pPr>
        <w:rPr>
          <w:color w:val="212121"/>
          <w:lang w:val="en-US"/>
        </w:rPr>
      </w:pPr>
      <w:r w:rsidRPr="008D099F">
        <w:rPr>
          <w:lang w:val="en-US"/>
        </w:rPr>
        <w:t xml:space="preserve">The analysis of these parameters showed that insulin levels were significantly higher in all hypertensive patients compared with control subjects. </w:t>
      </w:r>
      <w:r w:rsidRPr="008D099F">
        <w:rPr>
          <w:color w:val="212121"/>
          <w:lang w:val="en-US"/>
        </w:rPr>
        <w:t xml:space="preserve">First of all, this </w:t>
      </w:r>
      <w:r w:rsidRPr="008D099F">
        <w:rPr>
          <w:color w:val="212121"/>
          <w:lang w:val="en-US"/>
        </w:rPr>
        <w:lastRenderedPageBreak/>
        <w:t>may be due to the fact that most of the patients have varying degrees of obesity, which is</w:t>
      </w:r>
      <w:r w:rsidR="004F3C99">
        <w:rPr>
          <w:color w:val="212121"/>
          <w:lang w:val="en-US"/>
        </w:rPr>
        <w:t xml:space="preserve"> often</w:t>
      </w:r>
      <w:r w:rsidRPr="008D099F">
        <w:rPr>
          <w:color w:val="212121"/>
          <w:lang w:val="en-US"/>
        </w:rPr>
        <w:t xml:space="preserve"> characterized by insulin resistance. </w:t>
      </w:r>
      <w:proofErr w:type="gramStart"/>
      <w:r w:rsidRPr="008D099F">
        <w:rPr>
          <w:lang w:val="en-US"/>
        </w:rPr>
        <w:t>In hypertensive non-obese patients peripheral insulin resistance manifests in more than half of the cases [</w:t>
      </w:r>
      <w:r w:rsidR="00CA1085">
        <w:rPr>
          <w:lang w:val="en-US"/>
        </w:rPr>
        <w:t>11</w:t>
      </w:r>
      <w:r w:rsidRPr="008D099F">
        <w:rPr>
          <w:lang w:val="en-US"/>
        </w:rPr>
        <w:t>,</w:t>
      </w:r>
      <w:r w:rsidR="00CA1085">
        <w:rPr>
          <w:lang w:val="en-US"/>
        </w:rPr>
        <w:t xml:space="preserve"> 12</w:t>
      </w:r>
      <w:r w:rsidRPr="008D099F">
        <w:rPr>
          <w:lang w:val="en-US"/>
        </w:rPr>
        <w:t>].</w:t>
      </w:r>
      <w:proofErr w:type="gramEnd"/>
      <w:r w:rsidRPr="008D099F">
        <w:rPr>
          <w:lang w:val="en-US"/>
        </w:rPr>
        <w:t xml:space="preserve"> Insulin levels in Groups 2 and 3 were significantly higher than in Group 1. However, difference wasn’t established in comparison</w:t>
      </w:r>
      <w:r w:rsidR="003B7801">
        <w:rPr>
          <w:lang w:val="en-US"/>
        </w:rPr>
        <w:t xml:space="preserve"> of</w:t>
      </w:r>
      <w:r w:rsidRPr="008D099F">
        <w:rPr>
          <w:lang w:val="en-US"/>
        </w:rPr>
        <w:t xml:space="preserve"> the levels of insulin in prediabetes and T2DM patients.</w:t>
      </w:r>
    </w:p>
    <w:p w:rsidR="00322629" w:rsidRPr="008D099F" w:rsidRDefault="00C12709">
      <w:pPr>
        <w:rPr>
          <w:color w:val="212121"/>
          <w:lang w:val="en-US"/>
        </w:rPr>
      </w:pPr>
      <w:r w:rsidRPr="008D099F">
        <w:rPr>
          <w:color w:val="212121"/>
          <w:lang w:val="en-US"/>
        </w:rPr>
        <w:t xml:space="preserve">HOMA-IR index in hypertensive patients with </w:t>
      </w:r>
      <w:proofErr w:type="spellStart"/>
      <w:r w:rsidRPr="008D099F">
        <w:rPr>
          <w:color w:val="212121"/>
          <w:lang w:val="en-US"/>
        </w:rPr>
        <w:t>dysglycemia</w:t>
      </w:r>
      <w:proofErr w:type="spellEnd"/>
      <w:r w:rsidRPr="008D099F">
        <w:rPr>
          <w:color w:val="212121"/>
          <w:lang w:val="en-US"/>
        </w:rPr>
        <w:t xml:space="preserve"> was also higher than in Group 1 or control group. Differences between HOMA-IR indexes in prediabetes and </w:t>
      </w:r>
      <w:r w:rsidRPr="008D099F">
        <w:rPr>
          <w:lang w:val="en-US"/>
        </w:rPr>
        <w:t>T2DM</w:t>
      </w:r>
      <w:r w:rsidRPr="008D099F">
        <w:rPr>
          <w:color w:val="212121"/>
          <w:lang w:val="en-US"/>
        </w:rPr>
        <w:t xml:space="preserve"> patients were not significant. </w:t>
      </w:r>
    </w:p>
    <w:p w:rsidR="00322629" w:rsidRPr="008D099F" w:rsidRDefault="00C12709">
      <w:pPr>
        <w:rPr>
          <w:lang w:val="en-US"/>
        </w:rPr>
      </w:pPr>
      <w:r w:rsidRPr="008D099F">
        <w:rPr>
          <w:lang w:val="en-US"/>
        </w:rPr>
        <w:t xml:space="preserve">Caro index among all patients was significantly lower in Groups 1 and 2. In hypertensive patients with T2DM, this parameter is somewhat higher, that is probably due to higher levels of fasting blood glucose. </w:t>
      </w:r>
    </w:p>
    <w:p w:rsidR="00322629" w:rsidRPr="008D099F" w:rsidRDefault="00C12709">
      <w:pPr>
        <w:rPr>
          <w:lang w:val="en-US"/>
        </w:rPr>
      </w:pPr>
      <w:r w:rsidRPr="008D099F">
        <w:rPr>
          <w:lang w:val="en-US"/>
        </w:rPr>
        <w:t xml:space="preserve">Nesfatin-1 levels in all patients </w:t>
      </w:r>
      <w:proofErr w:type="gramStart"/>
      <w:r w:rsidRPr="008D099F">
        <w:rPr>
          <w:lang w:val="en-US"/>
        </w:rPr>
        <w:t>(7.63 (6.91-8.43) ng/ml)</w:t>
      </w:r>
      <w:proofErr w:type="gramEnd"/>
      <w:r w:rsidRPr="008D099F">
        <w:rPr>
          <w:lang w:val="en-US"/>
        </w:rPr>
        <w:t xml:space="preserve"> were significantly higher than in the control group, regardless of the carbohydrat</w:t>
      </w:r>
      <w:r w:rsidR="003B7801">
        <w:rPr>
          <w:lang w:val="en-US"/>
        </w:rPr>
        <w:t xml:space="preserve">e status. It can indicate </w:t>
      </w:r>
      <w:r w:rsidRPr="008D099F">
        <w:rPr>
          <w:lang w:val="en-US"/>
        </w:rPr>
        <w:t xml:space="preserve">possible </w:t>
      </w:r>
      <w:proofErr w:type="spellStart"/>
      <w:r w:rsidRPr="008D099F">
        <w:rPr>
          <w:lang w:val="en-US"/>
        </w:rPr>
        <w:t>prohypertensive</w:t>
      </w:r>
      <w:proofErr w:type="spellEnd"/>
      <w:r w:rsidRPr="008D099F">
        <w:rPr>
          <w:lang w:val="en-US"/>
        </w:rPr>
        <w:t xml:space="preserve"> effect of this </w:t>
      </w:r>
      <w:proofErr w:type="spellStart"/>
      <w:r w:rsidRPr="008D099F">
        <w:rPr>
          <w:lang w:val="en-US"/>
        </w:rPr>
        <w:t>adipocytokine</w:t>
      </w:r>
      <w:proofErr w:type="spellEnd"/>
      <w:r w:rsidRPr="008D099F">
        <w:rPr>
          <w:lang w:val="en-US"/>
        </w:rPr>
        <w:t xml:space="preserve">. According to some studies, </w:t>
      </w:r>
      <w:proofErr w:type="spellStart"/>
      <w:r w:rsidRPr="008D099F">
        <w:rPr>
          <w:lang w:val="en-US"/>
        </w:rPr>
        <w:t>intracerebroventricular</w:t>
      </w:r>
      <w:proofErr w:type="spellEnd"/>
      <w:r w:rsidRPr="008D099F">
        <w:rPr>
          <w:lang w:val="en-US"/>
        </w:rPr>
        <w:t xml:space="preserve"> injection of nesfatin-1 increased blood pressure in rats due to stimulation the sympathetic nervous system by acting on the central </w:t>
      </w:r>
      <w:proofErr w:type="spellStart"/>
      <w:r w:rsidRPr="008D099F">
        <w:rPr>
          <w:lang w:val="en-US"/>
        </w:rPr>
        <w:t>melanocortin</w:t>
      </w:r>
      <w:proofErr w:type="spellEnd"/>
      <w:r w:rsidRPr="008D099F">
        <w:rPr>
          <w:lang w:val="en-US"/>
        </w:rPr>
        <w:t xml:space="preserve"> receptors [</w:t>
      </w:r>
      <w:r w:rsidR="00CA1085">
        <w:rPr>
          <w:lang w:val="en-US"/>
        </w:rPr>
        <w:t>13</w:t>
      </w:r>
      <w:r w:rsidRPr="008D099F">
        <w:rPr>
          <w:lang w:val="en-US"/>
        </w:rPr>
        <w:t>]. It has also been shown that intravenous injections of nesfatin-1 to rats cause vasoconstriction by inhibiting the synthesis of nitric oxide, thereby increasing blood pressure [</w:t>
      </w:r>
      <w:r w:rsidR="0025468B">
        <w:rPr>
          <w:lang w:val="en-US"/>
        </w:rPr>
        <w:t>14</w:t>
      </w:r>
      <w:r w:rsidRPr="008D099F">
        <w:rPr>
          <w:lang w:val="en-US"/>
        </w:rPr>
        <w:t xml:space="preserve">]. </w:t>
      </w:r>
    </w:p>
    <w:p w:rsidR="00322629" w:rsidRPr="008D099F" w:rsidRDefault="003B7801">
      <w:pPr>
        <w:rPr>
          <w:lang w:val="en-US"/>
        </w:rPr>
      </w:pPr>
      <w:r>
        <w:rPr>
          <w:lang w:val="en-US"/>
        </w:rPr>
        <w:t>N</w:t>
      </w:r>
      <w:r w:rsidRPr="008D099F">
        <w:rPr>
          <w:lang w:val="en-US"/>
        </w:rPr>
        <w:t xml:space="preserve">o significant differences have been identified </w:t>
      </w:r>
      <w:r>
        <w:rPr>
          <w:lang w:val="en-US"/>
        </w:rPr>
        <w:t>i</w:t>
      </w:r>
      <w:r w:rsidR="00C12709" w:rsidRPr="008D099F">
        <w:rPr>
          <w:lang w:val="en-US"/>
        </w:rPr>
        <w:t>n comparing of ne</w:t>
      </w:r>
      <w:r>
        <w:rPr>
          <w:lang w:val="en-US"/>
        </w:rPr>
        <w:t>sfatin-1 levels of the groups</w:t>
      </w:r>
      <w:r w:rsidR="00C12709" w:rsidRPr="008D099F">
        <w:rPr>
          <w:lang w:val="en-US"/>
        </w:rPr>
        <w:t xml:space="preserve">. This was probably due to the fact, that some of patients in each group had concomitant obesity, which can be accompanied by changes in </w:t>
      </w:r>
      <w:proofErr w:type="spellStart"/>
      <w:r w:rsidR="00C12709" w:rsidRPr="008D099F">
        <w:rPr>
          <w:lang w:val="en-US"/>
        </w:rPr>
        <w:t>adipocytokine</w:t>
      </w:r>
      <w:proofErr w:type="spellEnd"/>
      <w:r w:rsidR="00C12709" w:rsidRPr="008D099F">
        <w:rPr>
          <w:lang w:val="en-US"/>
        </w:rPr>
        <w:t xml:space="preserve"> level. So, given the fact that initially nesfatin-1 has been identified as a satiety molecule, scientists have shown its ability to reduce the c</w:t>
      </w:r>
      <w:r w:rsidR="009A27CB">
        <w:rPr>
          <w:lang w:val="en-US"/>
        </w:rPr>
        <w:t>onsumption of food by rodents [</w:t>
      </w:r>
      <w:r w:rsidR="009A27CB" w:rsidRPr="009A27CB">
        <w:rPr>
          <w:lang w:val="en-US"/>
        </w:rPr>
        <w:t>7</w:t>
      </w:r>
      <w:r w:rsidR="00C12709" w:rsidRPr="008D099F">
        <w:rPr>
          <w:lang w:val="en-US"/>
        </w:rPr>
        <w:t>]. It is also necessary to consider that the production of nesfatin-1 by adipose tissue is increasing in obesity and varies depending on the type of food [</w:t>
      </w:r>
      <w:r w:rsidR="00CA1085">
        <w:rPr>
          <w:lang w:val="en-US"/>
        </w:rPr>
        <w:t>15</w:t>
      </w:r>
      <w:r w:rsidR="00C12709" w:rsidRPr="008D099F">
        <w:rPr>
          <w:lang w:val="en-US"/>
        </w:rPr>
        <w:t>].</w:t>
      </w:r>
    </w:p>
    <w:p w:rsidR="00322629" w:rsidRPr="008D099F" w:rsidRDefault="00C12709">
      <w:pPr>
        <w:rPr>
          <w:lang w:val="en-US"/>
        </w:rPr>
      </w:pPr>
      <w:r w:rsidRPr="008D099F">
        <w:rPr>
          <w:lang w:val="en-US"/>
        </w:rPr>
        <w:t xml:space="preserve">A negative correlation of nesfatin-1 levels with BMI (r = -0.164, p &lt;0.05) in hypertensive patients with </w:t>
      </w:r>
      <w:proofErr w:type="spellStart"/>
      <w:r w:rsidRPr="008D099F">
        <w:rPr>
          <w:lang w:val="en-US"/>
        </w:rPr>
        <w:t>normoglycemia</w:t>
      </w:r>
      <w:proofErr w:type="spellEnd"/>
      <w:r w:rsidRPr="008D099F">
        <w:rPr>
          <w:lang w:val="en-US"/>
        </w:rPr>
        <w:t xml:space="preserve"> could be evidence of its </w:t>
      </w:r>
      <w:proofErr w:type="spellStart"/>
      <w:r w:rsidRPr="008D099F">
        <w:rPr>
          <w:lang w:val="en-US"/>
        </w:rPr>
        <w:t>anorexigenic</w:t>
      </w:r>
      <w:proofErr w:type="spellEnd"/>
      <w:r w:rsidRPr="008D099F">
        <w:rPr>
          <w:lang w:val="en-US"/>
        </w:rPr>
        <w:t xml:space="preserve"> </w:t>
      </w:r>
      <w:r w:rsidR="00964857">
        <w:rPr>
          <w:lang w:val="en-US"/>
        </w:rPr>
        <w:t>effect [3, 7</w:t>
      </w:r>
      <w:r w:rsidRPr="008D099F">
        <w:rPr>
          <w:lang w:val="en-US"/>
        </w:rPr>
        <w:t>], preventing the development of obesity. Positive correlations of nesfatin-</w:t>
      </w:r>
      <w:r w:rsidRPr="008D099F">
        <w:rPr>
          <w:lang w:val="en-US"/>
        </w:rPr>
        <w:lastRenderedPageBreak/>
        <w:t>1 levels were detected with the levels of fasting glucose (r = 0,198, p &lt;0</w:t>
      </w:r>
      <w:proofErr w:type="gramStart"/>
      <w:r w:rsidRPr="008D099F">
        <w:rPr>
          <w:lang w:val="en-US"/>
        </w:rPr>
        <w:t>,05</w:t>
      </w:r>
      <w:proofErr w:type="gramEnd"/>
      <w:r w:rsidRPr="008D099F">
        <w:rPr>
          <w:lang w:val="en-US"/>
        </w:rPr>
        <w:t xml:space="preserve">), insulin (r = 0,180, p &lt;0,05) and HOMA-IR index (r= 0,205, p&lt;0,05). These data may be a confirmation of previous studies, which have shown glucose-induced </w:t>
      </w:r>
      <w:proofErr w:type="spellStart"/>
      <w:r w:rsidRPr="008D099F">
        <w:rPr>
          <w:lang w:val="en-US"/>
        </w:rPr>
        <w:t>insuli</w:t>
      </w:r>
      <w:r w:rsidR="00964857">
        <w:rPr>
          <w:lang w:val="en-US"/>
        </w:rPr>
        <w:t>notropic</w:t>
      </w:r>
      <w:proofErr w:type="spellEnd"/>
      <w:r w:rsidR="00964857">
        <w:rPr>
          <w:lang w:val="en-US"/>
        </w:rPr>
        <w:t xml:space="preserve"> action of nesfatin-1 [5</w:t>
      </w:r>
      <w:r w:rsidRPr="008D099F">
        <w:rPr>
          <w:lang w:val="en-US"/>
        </w:rPr>
        <w:t xml:space="preserve">]. </w:t>
      </w:r>
    </w:p>
    <w:p w:rsidR="00322629" w:rsidRPr="008D099F" w:rsidRDefault="003B7801">
      <w:pPr>
        <w:rPr>
          <w:lang w:val="en-US"/>
        </w:rPr>
      </w:pPr>
      <w:r>
        <w:rPr>
          <w:lang w:val="en-US"/>
        </w:rPr>
        <w:t>N</w:t>
      </w:r>
      <w:r w:rsidR="00C12709" w:rsidRPr="008D099F">
        <w:rPr>
          <w:lang w:val="en-US"/>
        </w:rPr>
        <w:t>esfatin-1 levels were positively correlated with WHR (r = 0.529, p &lt;0.001</w:t>
      </w:r>
      <w:r>
        <w:rPr>
          <w:lang w:val="en-US"/>
        </w:rPr>
        <w:t>) i</w:t>
      </w:r>
      <w:r w:rsidRPr="008D099F">
        <w:rPr>
          <w:lang w:val="en-US"/>
        </w:rPr>
        <w:t>n the group of patients with hypertension and diagnosed prediabetes</w:t>
      </w:r>
      <w:r>
        <w:rPr>
          <w:lang w:val="en-US"/>
        </w:rPr>
        <w:t xml:space="preserve">. By </w:t>
      </w:r>
      <w:r w:rsidR="00C12709" w:rsidRPr="008D099F">
        <w:rPr>
          <w:lang w:val="en-US"/>
        </w:rPr>
        <w:t xml:space="preserve">detailed examination of the characteristics of Group 2 </w:t>
      </w:r>
      <w:r>
        <w:rPr>
          <w:lang w:val="en-US"/>
        </w:rPr>
        <w:t xml:space="preserve">it </w:t>
      </w:r>
      <w:r w:rsidR="00C12709" w:rsidRPr="008D099F">
        <w:rPr>
          <w:lang w:val="en-US"/>
        </w:rPr>
        <w:t>become apparent significantly higher levels of body weight, BMI, WC, HC, WHR in comparison with other groups. This can be explained by the fact that patients with obesity (especially abdominal) have higher risk of insulin resistance or T2DM development. At the same time, adipose tissue that is increased in obesity can play a role of nesfatin-1 producing organ [4]. Furthermore, a negative correlation was found between levels of nesfatin-1 and postprandial glucose (r = -0.430, p &lt;0.05</w:t>
      </w:r>
      <w:r w:rsidR="00A30090">
        <w:rPr>
          <w:lang w:val="en-US"/>
        </w:rPr>
        <w:t>)</w:t>
      </w:r>
      <w:r w:rsidR="00A30090" w:rsidRPr="00A30090">
        <w:rPr>
          <w:lang w:val="en-US"/>
        </w:rPr>
        <w:t xml:space="preserve"> </w:t>
      </w:r>
      <w:r w:rsidR="00A30090" w:rsidRPr="008D099F">
        <w:rPr>
          <w:lang w:val="en-US"/>
        </w:rPr>
        <w:t>in Group 2</w:t>
      </w:r>
      <w:r w:rsidR="00C12709" w:rsidRPr="008D099F">
        <w:rPr>
          <w:lang w:val="en-US"/>
        </w:rPr>
        <w:t>.  As was already stated earlier, according to some studies, nesfatin-1 is also produced by pancreatic β-cells in addition to other organs, increasing insulin secretion and the sensitivity of skeletal muscle, liver a</w:t>
      </w:r>
      <w:r w:rsidR="00964857">
        <w:rPr>
          <w:lang w:val="en-US"/>
        </w:rPr>
        <w:t>nd adipose tissues to insulin [6</w:t>
      </w:r>
      <w:r w:rsidR="00C12709" w:rsidRPr="008D099F">
        <w:rPr>
          <w:lang w:val="en-US"/>
        </w:rPr>
        <w:t>]. As a result of these mechanisms, rising of nesfatin-1 concentration may lead to reduction of blood glucose levels.</w:t>
      </w:r>
    </w:p>
    <w:p w:rsidR="00322629" w:rsidRPr="008D099F" w:rsidRDefault="00C12709">
      <w:pPr>
        <w:rPr>
          <w:lang w:val="en-US"/>
        </w:rPr>
      </w:pPr>
      <w:r w:rsidRPr="008D099F">
        <w:rPr>
          <w:lang w:val="en-US"/>
        </w:rPr>
        <w:t>Patients of Group 3 were characterized by similar anthropometric data with patients of Group 1. There were negative correlations of nesfatin-1 level with body weight (r = -0.318, p &lt;0.05), BMI (r = -0.285, p &lt;0.05) and WC (r = -0.271, p &lt;0.05) in this group. No significant correlations between nesfatin-1 level and parameters of the carbohydrate metabolism have been identified that may be due to the influence of hypoglycemic drugs.</w:t>
      </w:r>
    </w:p>
    <w:p w:rsidR="00322629" w:rsidRPr="008D099F" w:rsidRDefault="00C12709">
      <w:pPr>
        <w:rPr>
          <w:lang w:val="en-US"/>
        </w:rPr>
      </w:pPr>
      <w:r w:rsidRPr="008D099F">
        <w:rPr>
          <w:lang w:val="en-US"/>
        </w:rPr>
        <w:t xml:space="preserve">Thus, hypertensive patients had significantly increased nesfatin-1 levels. </w:t>
      </w:r>
      <w:r w:rsidR="004D2EA5" w:rsidRPr="004D2EA5">
        <w:rPr>
          <w:lang w:val="en-US"/>
        </w:rPr>
        <w:t xml:space="preserve">It can be </w:t>
      </w:r>
      <w:r w:rsidR="004D2EA5">
        <w:rPr>
          <w:lang w:val="en-US"/>
        </w:rPr>
        <w:t>assumed</w:t>
      </w:r>
      <w:r w:rsidR="004D2EA5" w:rsidRPr="004D2EA5">
        <w:rPr>
          <w:lang w:val="en-US"/>
        </w:rPr>
        <w:t xml:space="preserve"> possible </w:t>
      </w:r>
      <w:proofErr w:type="spellStart"/>
      <w:r w:rsidR="004D2EA5" w:rsidRPr="004D2EA5">
        <w:rPr>
          <w:lang w:val="en-US"/>
        </w:rPr>
        <w:t>antihyperglycemic</w:t>
      </w:r>
      <w:proofErr w:type="spellEnd"/>
      <w:r w:rsidR="004D2EA5" w:rsidRPr="004D2EA5">
        <w:rPr>
          <w:lang w:val="en-US"/>
        </w:rPr>
        <w:t xml:space="preserve"> and </w:t>
      </w:r>
      <w:proofErr w:type="spellStart"/>
      <w:r w:rsidR="004D2EA5" w:rsidRPr="004D2EA5">
        <w:rPr>
          <w:lang w:val="en-US"/>
        </w:rPr>
        <w:t>insulinotropic</w:t>
      </w:r>
      <w:proofErr w:type="spellEnd"/>
      <w:r w:rsidR="004D2EA5" w:rsidRPr="004D2EA5">
        <w:rPr>
          <w:lang w:val="en-US"/>
        </w:rPr>
        <w:t xml:space="preserve"> effect of this </w:t>
      </w:r>
      <w:proofErr w:type="spellStart"/>
      <w:r w:rsidR="004D2EA5" w:rsidRPr="004D2EA5">
        <w:rPr>
          <w:lang w:val="en-US"/>
        </w:rPr>
        <w:t>adipocytokine</w:t>
      </w:r>
      <w:proofErr w:type="spellEnd"/>
      <w:r w:rsidR="004D2EA5" w:rsidRPr="004D2EA5">
        <w:rPr>
          <w:lang w:val="en-US"/>
        </w:rPr>
        <w:t xml:space="preserve"> in hypertensive patients with </w:t>
      </w:r>
      <w:proofErr w:type="spellStart"/>
      <w:r w:rsidR="004D2EA5" w:rsidRPr="004D2EA5">
        <w:rPr>
          <w:lang w:val="en-US"/>
        </w:rPr>
        <w:t>normoglycemia</w:t>
      </w:r>
      <w:proofErr w:type="spellEnd"/>
      <w:r w:rsidR="004D2EA5" w:rsidRPr="004D2EA5">
        <w:rPr>
          <w:lang w:val="en-US"/>
        </w:rPr>
        <w:t xml:space="preserve"> or </w:t>
      </w:r>
      <w:proofErr w:type="spellStart"/>
      <w:r w:rsidR="004D2EA5" w:rsidRPr="004D2EA5">
        <w:rPr>
          <w:lang w:val="en-US"/>
        </w:rPr>
        <w:t>prediabetes</w:t>
      </w:r>
      <w:proofErr w:type="spellEnd"/>
      <w:r w:rsidR="004D2EA5">
        <w:rPr>
          <w:lang w:val="en-US"/>
        </w:rPr>
        <w:t>.</w:t>
      </w:r>
      <w:r w:rsidRPr="008D099F">
        <w:rPr>
          <w:lang w:val="en-US"/>
        </w:rPr>
        <w:t xml:space="preserve"> These dat</w:t>
      </w:r>
      <w:r w:rsidR="00A30090">
        <w:rPr>
          <w:lang w:val="en-US"/>
        </w:rPr>
        <w:t>a may indicate a</w:t>
      </w:r>
      <w:r w:rsidRPr="008D099F">
        <w:rPr>
          <w:lang w:val="en-US"/>
        </w:rPr>
        <w:t xml:space="preserve"> role of nesfatin-1 in the mechanism of metabolic disorders formation in hypertensive patients.</w:t>
      </w:r>
    </w:p>
    <w:p w:rsidR="00322629" w:rsidRPr="008D099F" w:rsidRDefault="00322629">
      <w:pPr>
        <w:rPr>
          <w:b/>
          <w:lang w:val="en-US"/>
        </w:rPr>
      </w:pPr>
    </w:p>
    <w:p w:rsidR="00322629" w:rsidRPr="008D099F" w:rsidRDefault="00C12709">
      <w:pPr>
        <w:rPr>
          <w:b/>
          <w:lang w:val="en-US"/>
        </w:rPr>
      </w:pPr>
      <w:r w:rsidRPr="008D099F">
        <w:rPr>
          <w:b/>
          <w:lang w:val="en-US"/>
        </w:rPr>
        <w:t>CONCLUSIONS</w:t>
      </w:r>
    </w:p>
    <w:p w:rsidR="00322629" w:rsidRPr="008D099F" w:rsidRDefault="00C12709" w:rsidP="00DE3F81">
      <w:pPr>
        <w:pStyle w:val="a4"/>
        <w:numPr>
          <w:ilvl w:val="0"/>
          <w:numId w:val="2"/>
        </w:numPr>
        <w:ind w:left="0" w:firstLine="0"/>
        <w:rPr>
          <w:lang w:val="en-US"/>
        </w:rPr>
      </w:pPr>
      <w:r w:rsidRPr="008D099F">
        <w:rPr>
          <w:lang w:val="en-US"/>
        </w:rPr>
        <w:lastRenderedPageBreak/>
        <w:t xml:space="preserve">Nesfatin-1 levels in hypertensive patients </w:t>
      </w:r>
      <w:proofErr w:type="gramStart"/>
      <w:r w:rsidRPr="008D099F">
        <w:rPr>
          <w:lang w:val="en-US"/>
        </w:rPr>
        <w:t>(7.63 ng/ml)</w:t>
      </w:r>
      <w:proofErr w:type="gramEnd"/>
      <w:r w:rsidRPr="008D099F">
        <w:rPr>
          <w:lang w:val="en-US"/>
        </w:rPr>
        <w:t xml:space="preserve"> were significantly higher than in the control group (4.53 ng/ml). No significant differences were found between nesfatin-1 levels in hypertensive patients with </w:t>
      </w:r>
      <w:proofErr w:type="spellStart"/>
      <w:r w:rsidRPr="008D099F">
        <w:rPr>
          <w:lang w:val="en-US"/>
        </w:rPr>
        <w:t>normoglycemia</w:t>
      </w:r>
      <w:proofErr w:type="spellEnd"/>
      <w:r w:rsidRPr="008D099F">
        <w:rPr>
          <w:lang w:val="en-US"/>
        </w:rPr>
        <w:t xml:space="preserve">, </w:t>
      </w:r>
      <w:proofErr w:type="spellStart"/>
      <w:r w:rsidRPr="008D099F">
        <w:rPr>
          <w:lang w:val="en-US"/>
        </w:rPr>
        <w:t>prediabetes</w:t>
      </w:r>
      <w:proofErr w:type="spellEnd"/>
      <w:r w:rsidRPr="008D099F">
        <w:rPr>
          <w:lang w:val="en-US"/>
        </w:rPr>
        <w:t xml:space="preserve"> or T2DM (7.62, 7.21 and 7.76 ng/ml respectively). However patients of Group 2 </w:t>
      </w:r>
      <w:r w:rsidR="00A30090">
        <w:rPr>
          <w:lang w:val="en-US"/>
        </w:rPr>
        <w:t>had</w:t>
      </w:r>
      <w:r w:rsidRPr="008D099F">
        <w:rPr>
          <w:lang w:val="en-US"/>
        </w:rPr>
        <w:t xml:space="preserve"> significantly higher BMI.</w:t>
      </w:r>
    </w:p>
    <w:p w:rsidR="00322629" w:rsidRPr="008D099F" w:rsidRDefault="00A30090" w:rsidP="00DE3F81">
      <w:pPr>
        <w:pStyle w:val="a4"/>
        <w:numPr>
          <w:ilvl w:val="0"/>
          <w:numId w:val="2"/>
        </w:numPr>
        <w:ind w:left="0" w:firstLine="0"/>
        <w:rPr>
          <w:lang w:val="en-US"/>
        </w:rPr>
      </w:pPr>
      <w:r>
        <w:rPr>
          <w:lang w:val="en-US"/>
        </w:rPr>
        <w:t>N</w:t>
      </w:r>
      <w:r w:rsidRPr="008D099F">
        <w:rPr>
          <w:lang w:val="en-US"/>
        </w:rPr>
        <w:t xml:space="preserve">esfatin-1 levels positively correlate with the fasting glucose levels </w:t>
      </w:r>
      <w:r>
        <w:rPr>
          <w:lang w:val="en-US"/>
        </w:rPr>
        <w:t>i</w:t>
      </w:r>
      <w:r w:rsidR="00C12709" w:rsidRPr="008D099F">
        <w:rPr>
          <w:lang w:val="en-US"/>
        </w:rPr>
        <w:t xml:space="preserve">n patients with hypertension and without disturbances of carbohydrate profile. Increasing of nesfatin-1 level in blood is accompanied by increased secretion of insulin. These links are not observed among parameters of hypertensive patients with </w:t>
      </w:r>
      <w:proofErr w:type="spellStart"/>
      <w:r w:rsidR="00C12709" w:rsidRPr="008D099F">
        <w:rPr>
          <w:lang w:val="en-US"/>
        </w:rPr>
        <w:t>dysglycemia</w:t>
      </w:r>
      <w:proofErr w:type="spellEnd"/>
      <w:r w:rsidR="00C12709" w:rsidRPr="008D099F">
        <w:rPr>
          <w:lang w:val="en-US"/>
        </w:rPr>
        <w:t>.</w:t>
      </w:r>
    </w:p>
    <w:p w:rsidR="00322629" w:rsidRPr="008D099F" w:rsidRDefault="00C12709" w:rsidP="00DE3F81">
      <w:pPr>
        <w:pStyle w:val="a4"/>
        <w:numPr>
          <w:ilvl w:val="0"/>
          <w:numId w:val="2"/>
        </w:numPr>
        <w:ind w:left="0" w:firstLine="0"/>
        <w:rPr>
          <w:lang w:val="en-US"/>
        </w:rPr>
      </w:pPr>
      <w:r w:rsidRPr="008D099F">
        <w:rPr>
          <w:lang w:val="en-US"/>
        </w:rPr>
        <w:t xml:space="preserve">Determination of nesfatin-1 level in hypertensive patients with </w:t>
      </w:r>
      <w:proofErr w:type="spellStart"/>
      <w:r w:rsidRPr="008D099F">
        <w:rPr>
          <w:lang w:val="en-US"/>
        </w:rPr>
        <w:t>normoglycemia</w:t>
      </w:r>
      <w:proofErr w:type="spellEnd"/>
      <w:r w:rsidRPr="008D099F">
        <w:rPr>
          <w:lang w:val="en-US"/>
        </w:rPr>
        <w:t xml:space="preserve"> in </w:t>
      </w:r>
      <w:r w:rsidR="00A30090">
        <w:rPr>
          <w:lang w:val="en-US"/>
        </w:rPr>
        <w:t>combination</w:t>
      </w:r>
      <w:r w:rsidRPr="008D099F">
        <w:rPr>
          <w:lang w:val="en-US"/>
        </w:rPr>
        <w:t xml:space="preserve"> with the carbohydrate metabolism parameters may have important diagnostic value in the assessment of glucose tolerance.</w:t>
      </w:r>
    </w:p>
    <w:p w:rsidR="00322629" w:rsidRPr="008D099F" w:rsidRDefault="00322629">
      <w:pPr>
        <w:rPr>
          <w:lang w:val="en-US"/>
        </w:rPr>
      </w:pPr>
    </w:p>
    <w:p w:rsidR="00322629" w:rsidRPr="008D099F" w:rsidRDefault="00C12709">
      <w:pPr>
        <w:rPr>
          <w:b/>
          <w:lang w:val="en-US"/>
        </w:rPr>
      </w:pPr>
      <w:r w:rsidRPr="008D099F">
        <w:rPr>
          <w:b/>
          <w:lang w:val="en-US"/>
        </w:rPr>
        <w:t>PROSPECTS FOR FUTURE STUDIES</w:t>
      </w:r>
    </w:p>
    <w:p w:rsidR="00322629" w:rsidRPr="008D099F" w:rsidRDefault="00C12709">
      <w:pPr>
        <w:rPr>
          <w:lang w:val="en-US"/>
        </w:rPr>
      </w:pPr>
      <w:r w:rsidRPr="008D099F">
        <w:rPr>
          <w:lang w:val="en-US"/>
        </w:rPr>
        <w:t xml:space="preserve">It seems appropriate to investigate the role of nesfatin-1 on the carbohydrate metabolism in isolated pathology (in patients without EH and with normal weight), given the diversity of its effects in </w:t>
      </w:r>
      <w:proofErr w:type="spellStart"/>
      <w:r w:rsidRPr="008D099F">
        <w:rPr>
          <w:lang w:val="en-US"/>
        </w:rPr>
        <w:t>polymorbidity</w:t>
      </w:r>
      <w:proofErr w:type="spellEnd"/>
      <w:r w:rsidRPr="008D099F">
        <w:rPr>
          <w:lang w:val="en-US"/>
        </w:rPr>
        <w:t>.</w:t>
      </w:r>
    </w:p>
    <w:p w:rsidR="00322629" w:rsidRPr="008D099F" w:rsidRDefault="00322629">
      <w:pPr>
        <w:rPr>
          <w:b/>
          <w:lang w:val="en-US"/>
        </w:rPr>
      </w:pPr>
    </w:p>
    <w:p w:rsidR="00322629" w:rsidRPr="008D099F" w:rsidRDefault="00C12709">
      <w:pPr>
        <w:rPr>
          <w:b/>
          <w:lang w:val="en-US"/>
        </w:rPr>
      </w:pPr>
      <w:r w:rsidRPr="008D099F">
        <w:rPr>
          <w:b/>
          <w:lang w:val="en-US"/>
        </w:rPr>
        <w:t>REFERENCES</w:t>
      </w:r>
    </w:p>
    <w:p w:rsidR="00322629" w:rsidRPr="00DE3F81" w:rsidRDefault="00A30090" w:rsidP="00DE3F81">
      <w:pPr>
        <w:pStyle w:val="a4"/>
        <w:numPr>
          <w:ilvl w:val="0"/>
          <w:numId w:val="1"/>
        </w:numPr>
        <w:ind w:left="0" w:firstLine="0"/>
        <w:rPr>
          <w:szCs w:val="28"/>
          <w:lang w:val="en-US"/>
        </w:rPr>
      </w:pPr>
      <w:proofErr w:type="spellStart"/>
      <w:r w:rsidRPr="00DE3F81">
        <w:rPr>
          <w:szCs w:val="28"/>
          <w:shd w:val="clear" w:color="auto" w:fill="FFFFFF"/>
        </w:rPr>
        <w:t>Kovalenk</w:t>
      </w:r>
      <w:r w:rsidR="000F5725" w:rsidRPr="00DE3F81">
        <w:rPr>
          <w:szCs w:val="28"/>
          <w:shd w:val="clear" w:color="auto" w:fill="FFFFFF"/>
        </w:rPr>
        <w:t>o</w:t>
      </w:r>
      <w:proofErr w:type="spellEnd"/>
      <w:r w:rsidR="009F11FB" w:rsidRPr="00DE3F81">
        <w:rPr>
          <w:szCs w:val="28"/>
          <w:shd w:val="clear" w:color="auto" w:fill="FFFFFF"/>
        </w:rPr>
        <w:t xml:space="preserve">  V.</w:t>
      </w:r>
      <w:r w:rsidR="00CF5550">
        <w:rPr>
          <w:szCs w:val="28"/>
          <w:shd w:val="clear" w:color="auto" w:fill="FFFFFF"/>
        </w:rPr>
        <w:t xml:space="preserve"> </w:t>
      </w:r>
      <w:r w:rsidR="009F11FB" w:rsidRPr="00DE3F81">
        <w:rPr>
          <w:szCs w:val="28"/>
          <w:shd w:val="clear" w:color="auto" w:fill="FFFFFF"/>
        </w:rPr>
        <w:t>M.</w:t>
      </w:r>
      <w:r w:rsidR="009F11FB" w:rsidRPr="00DE3F81">
        <w:rPr>
          <w:szCs w:val="28"/>
          <w:shd w:val="clear" w:color="auto" w:fill="FFFFFF"/>
          <w:lang w:val="en-US"/>
        </w:rPr>
        <w:t xml:space="preserve"> </w:t>
      </w:r>
      <w:r w:rsidR="000F5725" w:rsidRPr="00DE3F81">
        <w:rPr>
          <w:szCs w:val="28"/>
          <w:shd w:val="clear" w:color="auto" w:fill="FFFFFF"/>
        </w:rPr>
        <w:t>Sertsevo-sudinn</w:t>
      </w:r>
      <w:proofErr w:type="spellStart"/>
      <w:r w:rsidR="000F5725" w:rsidRPr="00DE3F81">
        <w:rPr>
          <w:szCs w:val="28"/>
          <w:shd w:val="clear" w:color="auto" w:fill="FFFFFF"/>
          <w:lang w:val="en-US"/>
        </w:rPr>
        <w:t>i</w:t>
      </w:r>
      <w:proofErr w:type="spellEnd"/>
      <w:r w:rsidR="000F5725" w:rsidRPr="00DE3F81">
        <w:rPr>
          <w:szCs w:val="28"/>
          <w:shd w:val="clear" w:color="auto" w:fill="FFFFFF"/>
        </w:rPr>
        <w:t xml:space="preserve"> </w:t>
      </w:r>
      <w:proofErr w:type="spellStart"/>
      <w:r w:rsidR="000F5725" w:rsidRPr="00DE3F81">
        <w:rPr>
          <w:szCs w:val="28"/>
          <w:shd w:val="clear" w:color="auto" w:fill="FFFFFF"/>
        </w:rPr>
        <w:t>hvorobi</w:t>
      </w:r>
      <w:proofErr w:type="spellEnd"/>
      <w:r w:rsidR="000F5725" w:rsidRPr="00DE3F81">
        <w:rPr>
          <w:szCs w:val="28"/>
          <w:shd w:val="clear" w:color="auto" w:fill="FFFFFF"/>
        </w:rPr>
        <w:t>: medichno-sots</w:t>
      </w:r>
      <w:proofErr w:type="spellStart"/>
      <w:r w:rsidR="000F5725" w:rsidRPr="00DE3F81">
        <w:rPr>
          <w:szCs w:val="28"/>
          <w:shd w:val="clear" w:color="auto" w:fill="FFFFFF"/>
          <w:lang w:val="en-US"/>
        </w:rPr>
        <w:t>i</w:t>
      </w:r>
      <w:r w:rsidRPr="00DE3F81">
        <w:rPr>
          <w:szCs w:val="28"/>
          <w:shd w:val="clear" w:color="auto" w:fill="FFFFFF"/>
        </w:rPr>
        <w:t>alne</w:t>
      </w:r>
      <w:proofErr w:type="spellEnd"/>
      <w:r w:rsidRPr="00DE3F81">
        <w:rPr>
          <w:szCs w:val="28"/>
          <w:shd w:val="clear" w:color="auto" w:fill="FFFFFF"/>
        </w:rPr>
        <w:t xml:space="preserve"> </w:t>
      </w:r>
      <w:proofErr w:type="spellStart"/>
      <w:r w:rsidRPr="00DE3F81">
        <w:rPr>
          <w:szCs w:val="28"/>
          <w:shd w:val="clear" w:color="auto" w:fill="FFFFFF"/>
        </w:rPr>
        <w:t>znachennya</w:t>
      </w:r>
      <w:proofErr w:type="spellEnd"/>
      <w:r w:rsidRPr="00DE3F81">
        <w:rPr>
          <w:szCs w:val="28"/>
          <w:shd w:val="clear" w:color="auto" w:fill="FFFFFF"/>
        </w:rPr>
        <w:t xml:space="preserve"> </w:t>
      </w:r>
      <w:proofErr w:type="spellStart"/>
      <w:r w:rsidRPr="00DE3F81">
        <w:rPr>
          <w:szCs w:val="28"/>
          <w:shd w:val="clear" w:color="auto" w:fill="FFFFFF"/>
        </w:rPr>
        <w:t>ta</w:t>
      </w:r>
      <w:proofErr w:type="spellEnd"/>
      <w:r w:rsidRPr="00DE3F81">
        <w:rPr>
          <w:szCs w:val="28"/>
          <w:shd w:val="clear" w:color="auto" w:fill="FFFFFF"/>
        </w:rPr>
        <w:t xml:space="preserve"> </w:t>
      </w:r>
      <w:proofErr w:type="spellStart"/>
      <w:r w:rsidRPr="00DE3F81">
        <w:rPr>
          <w:szCs w:val="28"/>
          <w:shd w:val="clear" w:color="auto" w:fill="FFFFFF"/>
        </w:rPr>
        <w:t>strateg</w:t>
      </w:r>
      <w:r w:rsidR="000F5725" w:rsidRPr="00DE3F81">
        <w:rPr>
          <w:szCs w:val="28"/>
          <w:shd w:val="clear" w:color="auto" w:fill="FFFFFF"/>
          <w:lang w:val="en-US"/>
        </w:rPr>
        <w:t>i</w:t>
      </w:r>
      <w:r w:rsidR="000F5725" w:rsidRPr="00DE3F81">
        <w:rPr>
          <w:szCs w:val="28"/>
          <w:shd w:val="clear" w:color="auto" w:fill="FFFFFF"/>
        </w:rPr>
        <w:t>ya</w:t>
      </w:r>
      <w:proofErr w:type="spellEnd"/>
      <w:r w:rsidR="000F5725" w:rsidRPr="00DE3F81">
        <w:rPr>
          <w:szCs w:val="28"/>
          <w:shd w:val="clear" w:color="auto" w:fill="FFFFFF"/>
        </w:rPr>
        <w:t xml:space="preserve"> </w:t>
      </w:r>
      <w:proofErr w:type="spellStart"/>
      <w:r w:rsidR="000F5725" w:rsidRPr="00DE3F81">
        <w:rPr>
          <w:szCs w:val="28"/>
          <w:shd w:val="clear" w:color="auto" w:fill="FFFFFF"/>
        </w:rPr>
        <w:t>rozvitku</w:t>
      </w:r>
      <w:proofErr w:type="spellEnd"/>
      <w:r w:rsidR="000F5725" w:rsidRPr="00DE3F81">
        <w:rPr>
          <w:szCs w:val="28"/>
          <w:shd w:val="clear" w:color="auto" w:fill="FFFFFF"/>
        </w:rPr>
        <w:t xml:space="preserve"> </w:t>
      </w:r>
      <w:proofErr w:type="spellStart"/>
      <w:r w:rsidR="000F5725" w:rsidRPr="00DE3F81">
        <w:rPr>
          <w:szCs w:val="28"/>
          <w:shd w:val="clear" w:color="auto" w:fill="FFFFFF"/>
        </w:rPr>
        <w:t>kard</w:t>
      </w:r>
      <w:r w:rsidR="000F5725" w:rsidRPr="00DE3F81">
        <w:rPr>
          <w:szCs w:val="28"/>
          <w:shd w:val="clear" w:color="auto" w:fill="FFFFFF"/>
          <w:lang w:val="en-US"/>
        </w:rPr>
        <w:t>i</w:t>
      </w:r>
      <w:r w:rsidR="000F5725" w:rsidRPr="00DE3F81">
        <w:rPr>
          <w:szCs w:val="28"/>
          <w:shd w:val="clear" w:color="auto" w:fill="FFFFFF"/>
        </w:rPr>
        <w:t>olog</w:t>
      </w:r>
      <w:r w:rsidR="000F5725" w:rsidRPr="00DE3F81">
        <w:rPr>
          <w:szCs w:val="28"/>
          <w:shd w:val="clear" w:color="auto" w:fill="FFFFFF"/>
          <w:lang w:val="en-US"/>
        </w:rPr>
        <w:t>iy</w:t>
      </w:r>
      <w:proofErr w:type="spellEnd"/>
      <w:r w:rsidR="000F5725" w:rsidRPr="00DE3F81">
        <w:rPr>
          <w:szCs w:val="28"/>
          <w:shd w:val="clear" w:color="auto" w:fill="FFFFFF"/>
        </w:rPr>
        <w:t xml:space="preserve">i v </w:t>
      </w:r>
      <w:proofErr w:type="spellStart"/>
      <w:r w:rsidR="000F5725" w:rsidRPr="00DE3F81">
        <w:rPr>
          <w:szCs w:val="28"/>
          <w:shd w:val="clear" w:color="auto" w:fill="FFFFFF"/>
        </w:rPr>
        <w:t>Ukra</w:t>
      </w:r>
      <w:proofErr w:type="spellEnd"/>
      <w:r w:rsidR="000F5725" w:rsidRPr="00DE3F81">
        <w:rPr>
          <w:szCs w:val="28"/>
          <w:shd w:val="clear" w:color="auto" w:fill="FFFFFF"/>
          <w:lang w:val="en-US"/>
        </w:rPr>
        <w:t>y</w:t>
      </w:r>
      <w:proofErr w:type="spellStart"/>
      <w:r w:rsidR="000F5725" w:rsidRPr="00DE3F81">
        <w:rPr>
          <w:szCs w:val="28"/>
          <w:shd w:val="clear" w:color="auto" w:fill="FFFFFF"/>
        </w:rPr>
        <w:t>in</w:t>
      </w:r>
      <w:r w:rsidR="000F5725" w:rsidRPr="00DE3F81">
        <w:rPr>
          <w:szCs w:val="28"/>
          <w:shd w:val="clear" w:color="auto" w:fill="FFFFFF"/>
          <w:lang w:val="en-US"/>
        </w:rPr>
        <w:t>i</w:t>
      </w:r>
      <w:proofErr w:type="spellEnd"/>
      <w:r w:rsidR="009F11FB" w:rsidRPr="00DE3F81">
        <w:rPr>
          <w:szCs w:val="28"/>
          <w:shd w:val="clear" w:color="auto" w:fill="FFFFFF"/>
        </w:rPr>
        <w:t xml:space="preserve"> /</w:t>
      </w:r>
      <w:r w:rsidR="000F5725" w:rsidRPr="00DE3F81">
        <w:rPr>
          <w:szCs w:val="28"/>
          <w:shd w:val="clear" w:color="auto" w:fill="FFFFFF"/>
        </w:rPr>
        <w:t xml:space="preserve"> </w:t>
      </w:r>
      <w:r w:rsidR="009F11FB" w:rsidRPr="00DE3F81">
        <w:rPr>
          <w:szCs w:val="28"/>
          <w:shd w:val="clear" w:color="auto" w:fill="FFFFFF"/>
        </w:rPr>
        <w:t>V.</w:t>
      </w:r>
      <w:r w:rsidR="00964857">
        <w:rPr>
          <w:szCs w:val="28"/>
          <w:shd w:val="clear" w:color="auto" w:fill="FFFFFF"/>
          <w:lang w:val="en-US"/>
        </w:rPr>
        <w:t xml:space="preserve"> </w:t>
      </w:r>
      <w:r w:rsidR="009F11FB" w:rsidRPr="00DE3F81">
        <w:rPr>
          <w:szCs w:val="28"/>
          <w:shd w:val="clear" w:color="auto" w:fill="FFFFFF"/>
        </w:rPr>
        <w:t xml:space="preserve">M. </w:t>
      </w:r>
      <w:proofErr w:type="spellStart"/>
      <w:r w:rsidR="009F11FB" w:rsidRPr="00DE3F81">
        <w:rPr>
          <w:szCs w:val="28"/>
          <w:shd w:val="clear" w:color="auto" w:fill="FFFFFF"/>
        </w:rPr>
        <w:t>Kovalenko</w:t>
      </w:r>
      <w:proofErr w:type="spellEnd"/>
      <w:r w:rsidR="009F11FB" w:rsidRPr="00DE3F81">
        <w:rPr>
          <w:szCs w:val="28"/>
          <w:shd w:val="clear" w:color="auto" w:fill="FFFFFF"/>
          <w:lang w:val="en-US"/>
        </w:rPr>
        <w:t>,</w:t>
      </w:r>
      <w:r w:rsidR="009F11FB" w:rsidRPr="00DE3F81">
        <w:rPr>
          <w:szCs w:val="28"/>
          <w:shd w:val="clear" w:color="auto" w:fill="FFFFFF"/>
        </w:rPr>
        <w:t xml:space="preserve"> A.</w:t>
      </w:r>
      <w:r w:rsidR="00964857">
        <w:rPr>
          <w:szCs w:val="28"/>
          <w:shd w:val="clear" w:color="auto" w:fill="FFFFFF"/>
          <w:lang w:val="en-US"/>
        </w:rPr>
        <w:t xml:space="preserve"> </w:t>
      </w:r>
      <w:r w:rsidR="009F11FB" w:rsidRPr="00DE3F81">
        <w:rPr>
          <w:szCs w:val="28"/>
          <w:shd w:val="clear" w:color="auto" w:fill="FFFFFF"/>
        </w:rPr>
        <w:t>P.</w:t>
      </w:r>
      <w:r w:rsidR="009F11FB" w:rsidRPr="00DE3F81">
        <w:rPr>
          <w:szCs w:val="28"/>
          <w:shd w:val="clear" w:color="auto" w:fill="FFFFFF"/>
          <w:lang w:val="en-US"/>
        </w:rPr>
        <w:t xml:space="preserve"> </w:t>
      </w:r>
      <w:proofErr w:type="spellStart"/>
      <w:r w:rsidR="009F11FB" w:rsidRPr="00DE3F81">
        <w:rPr>
          <w:szCs w:val="28"/>
          <w:shd w:val="clear" w:color="auto" w:fill="FFFFFF"/>
        </w:rPr>
        <w:t>Dorogoy</w:t>
      </w:r>
      <w:proofErr w:type="spellEnd"/>
      <w:r w:rsidR="009F11FB" w:rsidRPr="00DE3F81">
        <w:rPr>
          <w:szCs w:val="28"/>
          <w:shd w:val="clear" w:color="auto" w:fill="FFFFFF"/>
          <w:lang w:val="en-US"/>
        </w:rPr>
        <w:t xml:space="preserve"> //</w:t>
      </w:r>
      <w:r w:rsidR="009F11FB" w:rsidRPr="00DE3F81">
        <w:rPr>
          <w:szCs w:val="28"/>
          <w:shd w:val="clear" w:color="auto" w:fill="FFFFFF"/>
        </w:rPr>
        <w:t xml:space="preserve"> </w:t>
      </w:r>
      <w:proofErr w:type="spellStart"/>
      <w:r w:rsidR="000F5725" w:rsidRPr="00DE3F81">
        <w:rPr>
          <w:szCs w:val="28"/>
          <w:shd w:val="clear" w:color="auto" w:fill="FFFFFF"/>
        </w:rPr>
        <w:t>Ukra</w:t>
      </w:r>
      <w:proofErr w:type="spellEnd"/>
      <w:r w:rsidR="000F5725" w:rsidRPr="00DE3F81">
        <w:rPr>
          <w:szCs w:val="28"/>
          <w:shd w:val="clear" w:color="auto" w:fill="FFFFFF"/>
          <w:lang w:val="en-US"/>
        </w:rPr>
        <w:t>y</w:t>
      </w:r>
      <w:proofErr w:type="spellStart"/>
      <w:r w:rsidR="000F5725" w:rsidRPr="00DE3F81">
        <w:rPr>
          <w:szCs w:val="28"/>
          <w:shd w:val="clear" w:color="auto" w:fill="FFFFFF"/>
        </w:rPr>
        <w:t>inskiy</w:t>
      </w:r>
      <w:proofErr w:type="spellEnd"/>
      <w:r w:rsidR="000F5725" w:rsidRPr="00DE3F81">
        <w:rPr>
          <w:szCs w:val="28"/>
          <w:shd w:val="clear" w:color="auto" w:fill="FFFFFF"/>
        </w:rPr>
        <w:t xml:space="preserve"> </w:t>
      </w:r>
      <w:proofErr w:type="spellStart"/>
      <w:r w:rsidR="000F5725" w:rsidRPr="00DE3F81">
        <w:rPr>
          <w:szCs w:val="28"/>
          <w:shd w:val="clear" w:color="auto" w:fill="FFFFFF"/>
        </w:rPr>
        <w:t>kard</w:t>
      </w:r>
      <w:r w:rsidR="000F5725" w:rsidRPr="00DE3F81">
        <w:rPr>
          <w:szCs w:val="28"/>
          <w:shd w:val="clear" w:color="auto" w:fill="FFFFFF"/>
          <w:lang w:val="en-US"/>
        </w:rPr>
        <w:t>i</w:t>
      </w:r>
      <w:r w:rsidR="000F5725" w:rsidRPr="00DE3F81">
        <w:rPr>
          <w:szCs w:val="28"/>
          <w:shd w:val="clear" w:color="auto" w:fill="FFFFFF"/>
        </w:rPr>
        <w:t>olog</w:t>
      </w:r>
      <w:r w:rsidR="000F5725" w:rsidRPr="00DE3F81">
        <w:rPr>
          <w:szCs w:val="28"/>
          <w:shd w:val="clear" w:color="auto" w:fill="FFFFFF"/>
          <w:lang w:val="en-US"/>
        </w:rPr>
        <w:t>i</w:t>
      </w:r>
      <w:r w:rsidR="009F11FB" w:rsidRPr="00DE3F81">
        <w:rPr>
          <w:szCs w:val="28"/>
          <w:shd w:val="clear" w:color="auto" w:fill="FFFFFF"/>
        </w:rPr>
        <w:t>chniy</w:t>
      </w:r>
      <w:proofErr w:type="spellEnd"/>
      <w:r w:rsidR="009F11FB" w:rsidRPr="00DE3F81">
        <w:rPr>
          <w:szCs w:val="28"/>
          <w:shd w:val="clear" w:color="auto" w:fill="FFFFFF"/>
        </w:rPr>
        <w:t xml:space="preserve"> </w:t>
      </w:r>
      <w:proofErr w:type="spellStart"/>
      <w:r w:rsidR="009F11FB" w:rsidRPr="00DE3F81">
        <w:rPr>
          <w:szCs w:val="28"/>
          <w:shd w:val="clear" w:color="auto" w:fill="FFFFFF"/>
        </w:rPr>
        <w:t>zhurnal</w:t>
      </w:r>
      <w:proofErr w:type="spellEnd"/>
      <w:r w:rsidR="009F11FB" w:rsidRPr="00DE3F81">
        <w:rPr>
          <w:szCs w:val="28"/>
          <w:shd w:val="clear" w:color="auto" w:fill="FFFFFF"/>
          <w:lang w:val="en-US"/>
        </w:rPr>
        <w:t>. –</w:t>
      </w:r>
      <w:r w:rsidR="00C8449B">
        <w:rPr>
          <w:szCs w:val="28"/>
          <w:shd w:val="clear" w:color="auto" w:fill="FFFFFF"/>
        </w:rPr>
        <w:t xml:space="preserve"> 2016</w:t>
      </w:r>
      <w:r w:rsidR="000F5725" w:rsidRPr="00DE3F81">
        <w:rPr>
          <w:szCs w:val="28"/>
          <w:shd w:val="clear" w:color="auto" w:fill="FFFFFF"/>
        </w:rPr>
        <w:t>.</w:t>
      </w:r>
      <w:r w:rsidR="00DE3F81">
        <w:rPr>
          <w:szCs w:val="28"/>
          <w:shd w:val="clear" w:color="auto" w:fill="FFFFFF"/>
          <w:lang w:val="en-US"/>
        </w:rPr>
        <w:t xml:space="preserve"> </w:t>
      </w:r>
      <w:r w:rsidR="000F5725" w:rsidRPr="00DE3F81">
        <w:rPr>
          <w:szCs w:val="28"/>
          <w:shd w:val="clear" w:color="auto" w:fill="FFFFFF"/>
        </w:rPr>
        <w:t xml:space="preserve">– </w:t>
      </w:r>
      <w:proofErr w:type="spellStart"/>
      <w:r w:rsidR="00C8449B">
        <w:rPr>
          <w:szCs w:val="28"/>
          <w:shd w:val="clear" w:color="auto" w:fill="FFFFFF"/>
          <w:lang w:val="en-US"/>
        </w:rPr>
        <w:t>Dod</w:t>
      </w:r>
      <w:proofErr w:type="spellEnd"/>
      <w:r w:rsidR="00C8449B">
        <w:rPr>
          <w:szCs w:val="28"/>
          <w:shd w:val="clear" w:color="auto" w:fill="FFFFFF"/>
        </w:rPr>
        <w:t>.</w:t>
      </w:r>
      <w:r w:rsidR="00346DC9">
        <w:rPr>
          <w:szCs w:val="28"/>
          <w:shd w:val="clear" w:color="auto" w:fill="FFFFFF"/>
          <w:lang w:val="en-US"/>
        </w:rPr>
        <w:t xml:space="preserve"> </w:t>
      </w:r>
      <w:r w:rsidR="00C8449B">
        <w:rPr>
          <w:szCs w:val="28"/>
          <w:shd w:val="clear" w:color="auto" w:fill="FFFFFF"/>
        </w:rPr>
        <w:t>3. – S.</w:t>
      </w:r>
      <w:r w:rsidR="00346DC9">
        <w:rPr>
          <w:szCs w:val="28"/>
          <w:shd w:val="clear" w:color="auto" w:fill="FFFFFF"/>
          <w:lang w:val="en-US"/>
        </w:rPr>
        <w:t xml:space="preserve"> </w:t>
      </w:r>
      <w:r w:rsidR="00C8449B">
        <w:rPr>
          <w:szCs w:val="28"/>
          <w:shd w:val="clear" w:color="auto" w:fill="FFFFFF"/>
        </w:rPr>
        <w:t>5-1</w:t>
      </w:r>
      <w:r w:rsidR="00C8449B">
        <w:rPr>
          <w:szCs w:val="28"/>
          <w:shd w:val="clear" w:color="auto" w:fill="FFFFFF"/>
          <w:lang w:val="en-US"/>
        </w:rPr>
        <w:t>4</w:t>
      </w:r>
      <w:r w:rsidRPr="00DE3F81">
        <w:rPr>
          <w:szCs w:val="28"/>
          <w:shd w:val="clear" w:color="auto" w:fill="FFFFFF"/>
        </w:rPr>
        <w:t>.</w:t>
      </w:r>
    </w:p>
    <w:p w:rsidR="00322629" w:rsidRPr="00DE3F81" w:rsidRDefault="000F5725" w:rsidP="00DE3F81">
      <w:pPr>
        <w:pStyle w:val="a4"/>
        <w:numPr>
          <w:ilvl w:val="0"/>
          <w:numId w:val="1"/>
        </w:numPr>
        <w:ind w:left="0" w:firstLine="0"/>
        <w:rPr>
          <w:lang w:val="en-US"/>
        </w:rPr>
      </w:pPr>
      <w:proofErr w:type="spellStart"/>
      <w:r w:rsidRPr="00DE3F81">
        <w:rPr>
          <w:szCs w:val="28"/>
          <w:shd w:val="clear" w:color="auto" w:fill="FFFFFF"/>
        </w:rPr>
        <w:t>Bratus</w:t>
      </w:r>
      <w:proofErr w:type="spellEnd"/>
      <w:r w:rsidRPr="00DE3F81">
        <w:rPr>
          <w:szCs w:val="28"/>
          <w:shd w:val="clear" w:color="auto" w:fill="FFFFFF"/>
        </w:rPr>
        <w:t xml:space="preserve"> V.</w:t>
      </w:r>
      <w:r w:rsidR="00F600F4">
        <w:rPr>
          <w:szCs w:val="28"/>
          <w:shd w:val="clear" w:color="auto" w:fill="FFFFFF"/>
          <w:lang w:val="en-US"/>
        </w:rPr>
        <w:t xml:space="preserve"> </w:t>
      </w:r>
      <w:r w:rsidRPr="00DE3F81">
        <w:rPr>
          <w:szCs w:val="28"/>
          <w:shd w:val="clear" w:color="auto" w:fill="FFFFFF"/>
        </w:rPr>
        <w:t xml:space="preserve">V. </w:t>
      </w:r>
      <w:proofErr w:type="spellStart"/>
      <w:r w:rsidRPr="00DE3F81">
        <w:rPr>
          <w:szCs w:val="28"/>
          <w:shd w:val="clear" w:color="auto" w:fill="FFFFFF"/>
        </w:rPr>
        <w:t>Ozhirenie</w:t>
      </w:r>
      <w:proofErr w:type="spellEnd"/>
      <w:r w:rsidRPr="00DE3F81">
        <w:rPr>
          <w:szCs w:val="28"/>
          <w:shd w:val="clear" w:color="auto" w:fill="FFFFFF"/>
        </w:rPr>
        <w:t xml:space="preserve">, </w:t>
      </w:r>
      <w:proofErr w:type="spellStart"/>
      <w:r w:rsidRPr="00DE3F81">
        <w:rPr>
          <w:szCs w:val="28"/>
          <w:shd w:val="clear" w:color="auto" w:fill="FFFFFF"/>
        </w:rPr>
        <w:t>insulinorezistetnost</w:t>
      </w:r>
      <w:proofErr w:type="spellEnd"/>
      <w:r w:rsidRPr="00DE3F81">
        <w:rPr>
          <w:szCs w:val="28"/>
          <w:shd w:val="clear" w:color="auto" w:fill="FFFFFF"/>
        </w:rPr>
        <w:t xml:space="preserve">, </w:t>
      </w:r>
      <w:proofErr w:type="spellStart"/>
      <w:r w:rsidRPr="00DE3F81">
        <w:rPr>
          <w:szCs w:val="28"/>
          <w:shd w:val="clear" w:color="auto" w:fill="FFFFFF"/>
        </w:rPr>
        <w:t>metabolicheskiy</w:t>
      </w:r>
      <w:proofErr w:type="spellEnd"/>
      <w:r w:rsidRPr="00DE3F81">
        <w:rPr>
          <w:szCs w:val="28"/>
          <w:shd w:val="clear" w:color="auto" w:fill="FFFFFF"/>
        </w:rPr>
        <w:t xml:space="preserve"> </w:t>
      </w:r>
      <w:proofErr w:type="spellStart"/>
      <w:r w:rsidRPr="00DE3F81">
        <w:rPr>
          <w:szCs w:val="28"/>
          <w:shd w:val="clear" w:color="auto" w:fill="FFFFFF"/>
        </w:rPr>
        <w:t>sindrom</w:t>
      </w:r>
      <w:proofErr w:type="spellEnd"/>
      <w:r w:rsidRPr="00DE3F81">
        <w:rPr>
          <w:szCs w:val="28"/>
          <w:shd w:val="clear" w:color="auto" w:fill="FFFFFF"/>
        </w:rPr>
        <w:t xml:space="preserve">: </w:t>
      </w:r>
      <w:proofErr w:type="spellStart"/>
      <w:r w:rsidRPr="00DE3F81">
        <w:rPr>
          <w:szCs w:val="28"/>
          <w:shd w:val="clear" w:color="auto" w:fill="FFFFFF"/>
        </w:rPr>
        <w:t>fundamentalnyie</w:t>
      </w:r>
      <w:proofErr w:type="spellEnd"/>
      <w:r w:rsidRPr="00DE3F81">
        <w:rPr>
          <w:szCs w:val="28"/>
          <w:shd w:val="clear" w:color="auto" w:fill="FFFFFF"/>
        </w:rPr>
        <w:t xml:space="preserve"> i </w:t>
      </w:r>
      <w:proofErr w:type="spellStart"/>
      <w:r w:rsidRPr="00DE3F81">
        <w:rPr>
          <w:szCs w:val="28"/>
          <w:shd w:val="clear" w:color="auto" w:fill="FFFFFF"/>
        </w:rPr>
        <w:t>klinicheskie</w:t>
      </w:r>
      <w:proofErr w:type="spellEnd"/>
      <w:r w:rsidRPr="00DE3F81">
        <w:rPr>
          <w:szCs w:val="28"/>
          <w:shd w:val="clear" w:color="auto" w:fill="FFFFFF"/>
        </w:rPr>
        <w:t xml:space="preserve"> </w:t>
      </w:r>
      <w:proofErr w:type="spellStart"/>
      <w:r w:rsidRPr="00DE3F81">
        <w:rPr>
          <w:szCs w:val="28"/>
          <w:shd w:val="clear" w:color="auto" w:fill="FFFFFF"/>
        </w:rPr>
        <w:t>aspektyi</w:t>
      </w:r>
      <w:proofErr w:type="spellEnd"/>
      <w:r w:rsidRPr="00DE3F81">
        <w:rPr>
          <w:szCs w:val="28"/>
          <w:shd w:val="clear" w:color="auto" w:fill="FFFFFF"/>
        </w:rPr>
        <w:t xml:space="preserve"> /</w:t>
      </w:r>
      <w:r w:rsidR="00F600F4">
        <w:rPr>
          <w:szCs w:val="28"/>
          <w:shd w:val="clear" w:color="auto" w:fill="FFFFFF"/>
          <w:lang w:val="en-US"/>
        </w:rPr>
        <w:t xml:space="preserve"> </w:t>
      </w:r>
      <w:r w:rsidR="00F600F4" w:rsidRPr="00DE3F81">
        <w:rPr>
          <w:szCs w:val="28"/>
          <w:shd w:val="clear" w:color="auto" w:fill="FFFFFF"/>
        </w:rPr>
        <w:t>V.</w:t>
      </w:r>
      <w:r w:rsidR="00F600F4">
        <w:rPr>
          <w:szCs w:val="28"/>
          <w:shd w:val="clear" w:color="auto" w:fill="FFFFFF"/>
          <w:lang w:val="en-US"/>
        </w:rPr>
        <w:t xml:space="preserve"> </w:t>
      </w:r>
      <w:r w:rsidR="00F600F4" w:rsidRPr="00DE3F81">
        <w:rPr>
          <w:szCs w:val="28"/>
          <w:shd w:val="clear" w:color="auto" w:fill="FFFFFF"/>
        </w:rPr>
        <w:t>V.</w:t>
      </w:r>
      <w:r w:rsidR="00F600F4">
        <w:rPr>
          <w:szCs w:val="28"/>
          <w:shd w:val="clear" w:color="auto" w:fill="FFFFFF"/>
          <w:lang w:val="en-US"/>
        </w:rPr>
        <w:t xml:space="preserve"> </w:t>
      </w:r>
      <w:proofErr w:type="spellStart"/>
      <w:r w:rsidR="00F600F4" w:rsidRPr="00DE3F81">
        <w:rPr>
          <w:szCs w:val="28"/>
          <w:shd w:val="clear" w:color="auto" w:fill="FFFFFF"/>
        </w:rPr>
        <w:t>Bratus</w:t>
      </w:r>
      <w:proofErr w:type="spellEnd"/>
      <w:r w:rsidR="00F600F4" w:rsidRPr="00DE3F81">
        <w:rPr>
          <w:szCs w:val="28"/>
          <w:shd w:val="clear" w:color="auto" w:fill="FFFFFF"/>
        </w:rPr>
        <w:t>, T.</w:t>
      </w:r>
      <w:r w:rsidR="00F600F4">
        <w:rPr>
          <w:szCs w:val="28"/>
          <w:shd w:val="clear" w:color="auto" w:fill="FFFFFF"/>
          <w:lang w:val="en-US"/>
        </w:rPr>
        <w:t xml:space="preserve"> </w:t>
      </w:r>
      <w:r w:rsidR="00F600F4" w:rsidRPr="00DE3F81">
        <w:rPr>
          <w:szCs w:val="28"/>
          <w:shd w:val="clear" w:color="auto" w:fill="FFFFFF"/>
        </w:rPr>
        <w:t>V.</w:t>
      </w:r>
      <w:r w:rsidR="00F600F4">
        <w:rPr>
          <w:szCs w:val="28"/>
          <w:shd w:val="clear" w:color="auto" w:fill="FFFFFF"/>
          <w:lang w:val="en-US"/>
        </w:rPr>
        <w:t xml:space="preserve"> </w:t>
      </w:r>
      <w:proofErr w:type="spellStart"/>
      <w:r w:rsidR="00F600F4" w:rsidRPr="00DE3F81">
        <w:rPr>
          <w:szCs w:val="28"/>
          <w:shd w:val="clear" w:color="auto" w:fill="FFFFFF"/>
        </w:rPr>
        <w:t>Talaeva</w:t>
      </w:r>
      <w:proofErr w:type="spellEnd"/>
      <w:r w:rsidR="00F600F4" w:rsidRPr="00DE3F81">
        <w:rPr>
          <w:szCs w:val="28"/>
          <w:shd w:val="clear" w:color="auto" w:fill="FFFFFF"/>
        </w:rPr>
        <w:t>, V.</w:t>
      </w:r>
      <w:r w:rsidR="00964857">
        <w:rPr>
          <w:szCs w:val="28"/>
          <w:shd w:val="clear" w:color="auto" w:fill="FFFFFF"/>
          <w:lang w:val="en-US"/>
        </w:rPr>
        <w:t xml:space="preserve"> </w:t>
      </w:r>
      <w:proofErr w:type="spellStart"/>
      <w:r w:rsidR="00F600F4" w:rsidRPr="00DE3F81">
        <w:rPr>
          <w:szCs w:val="28"/>
          <w:shd w:val="clear" w:color="auto" w:fill="FFFFFF"/>
        </w:rPr>
        <w:t>A.Shumakov</w:t>
      </w:r>
      <w:proofErr w:type="spellEnd"/>
      <w:r w:rsidR="00346DC9">
        <w:rPr>
          <w:szCs w:val="28"/>
          <w:shd w:val="clear" w:color="auto" w:fill="FFFFFF"/>
          <w:lang w:val="en-US"/>
        </w:rPr>
        <w:t>; p</w:t>
      </w:r>
      <w:proofErr w:type="spellStart"/>
      <w:r w:rsidR="00346DC9" w:rsidRPr="00DE3F81">
        <w:rPr>
          <w:szCs w:val="28"/>
          <w:shd w:val="clear" w:color="auto" w:fill="FFFFFF"/>
        </w:rPr>
        <w:t>od</w:t>
      </w:r>
      <w:proofErr w:type="spellEnd"/>
      <w:r w:rsidR="00346DC9" w:rsidRPr="00DE3F81">
        <w:rPr>
          <w:szCs w:val="28"/>
          <w:shd w:val="clear" w:color="auto" w:fill="FFFFFF"/>
        </w:rPr>
        <w:t xml:space="preserve"> </w:t>
      </w:r>
      <w:proofErr w:type="spellStart"/>
      <w:r w:rsidR="00346DC9" w:rsidRPr="00DE3F81">
        <w:rPr>
          <w:szCs w:val="28"/>
          <w:shd w:val="clear" w:color="auto" w:fill="FFFFFF"/>
        </w:rPr>
        <w:t>red</w:t>
      </w:r>
      <w:proofErr w:type="spellEnd"/>
      <w:r w:rsidR="00346DC9" w:rsidRPr="00DE3F81">
        <w:rPr>
          <w:szCs w:val="28"/>
          <w:shd w:val="clear" w:color="auto" w:fill="FFFFFF"/>
        </w:rPr>
        <w:t>. V.</w:t>
      </w:r>
      <w:r w:rsidR="00346DC9">
        <w:rPr>
          <w:szCs w:val="28"/>
          <w:shd w:val="clear" w:color="auto" w:fill="FFFFFF"/>
          <w:lang w:val="en-US"/>
        </w:rPr>
        <w:t xml:space="preserve"> </w:t>
      </w:r>
      <w:r w:rsidR="00346DC9">
        <w:rPr>
          <w:szCs w:val="28"/>
          <w:shd w:val="clear" w:color="auto" w:fill="FFFFFF"/>
        </w:rPr>
        <w:t xml:space="preserve">N. </w:t>
      </w:r>
      <w:proofErr w:type="spellStart"/>
      <w:r w:rsidR="00346DC9">
        <w:rPr>
          <w:szCs w:val="28"/>
          <w:shd w:val="clear" w:color="auto" w:fill="FFFFFF"/>
        </w:rPr>
        <w:t>Kovalenko</w:t>
      </w:r>
      <w:proofErr w:type="spellEnd"/>
      <w:r w:rsidR="00346DC9">
        <w:rPr>
          <w:szCs w:val="28"/>
          <w:shd w:val="clear" w:color="auto" w:fill="FFFFFF"/>
          <w:lang w:val="en-US"/>
        </w:rPr>
        <w:t>.</w:t>
      </w:r>
      <w:r w:rsidR="00F600F4">
        <w:rPr>
          <w:szCs w:val="28"/>
          <w:shd w:val="clear" w:color="auto" w:fill="FFFFFF"/>
          <w:lang w:val="en-US"/>
        </w:rPr>
        <w:t xml:space="preserve"> </w:t>
      </w:r>
      <w:r w:rsidRPr="00DE3F81">
        <w:rPr>
          <w:szCs w:val="28"/>
          <w:shd w:val="clear" w:color="auto" w:fill="FFFFFF"/>
        </w:rPr>
        <w:t xml:space="preserve">– K.: </w:t>
      </w:r>
      <w:proofErr w:type="spellStart"/>
      <w:r w:rsidRPr="00DE3F81">
        <w:rPr>
          <w:szCs w:val="28"/>
          <w:shd w:val="clear" w:color="auto" w:fill="FFFFFF"/>
        </w:rPr>
        <w:t>Chetverta</w:t>
      </w:r>
      <w:proofErr w:type="spellEnd"/>
      <w:r w:rsidRPr="00DE3F81">
        <w:rPr>
          <w:szCs w:val="28"/>
          <w:shd w:val="clear" w:color="auto" w:fill="FFFFFF"/>
        </w:rPr>
        <w:t xml:space="preserve"> </w:t>
      </w:r>
      <w:proofErr w:type="spellStart"/>
      <w:r w:rsidRPr="00DE3F81">
        <w:rPr>
          <w:szCs w:val="28"/>
          <w:shd w:val="clear" w:color="auto" w:fill="FFFFFF"/>
        </w:rPr>
        <w:t>hvilya</w:t>
      </w:r>
      <w:proofErr w:type="spellEnd"/>
      <w:r w:rsidRPr="00DE3F81">
        <w:rPr>
          <w:szCs w:val="28"/>
          <w:shd w:val="clear" w:color="auto" w:fill="FFFFFF"/>
        </w:rPr>
        <w:t>, 2009.</w:t>
      </w:r>
      <w:r w:rsidR="00346DC9">
        <w:rPr>
          <w:szCs w:val="28"/>
          <w:shd w:val="clear" w:color="auto" w:fill="FFFFFF"/>
          <w:lang w:val="en-US"/>
        </w:rPr>
        <w:t xml:space="preserve"> </w:t>
      </w:r>
      <w:r w:rsidR="00346DC9">
        <w:rPr>
          <w:szCs w:val="28"/>
          <w:shd w:val="clear" w:color="auto" w:fill="FFFFFF"/>
        </w:rPr>
        <w:t>– 413</w:t>
      </w:r>
      <w:r w:rsidR="00346DC9">
        <w:rPr>
          <w:szCs w:val="28"/>
          <w:shd w:val="clear" w:color="auto" w:fill="FFFFFF"/>
          <w:lang w:val="en-US"/>
        </w:rPr>
        <w:t xml:space="preserve"> </w:t>
      </w:r>
      <w:r w:rsidRPr="00DE3F81">
        <w:rPr>
          <w:szCs w:val="28"/>
          <w:shd w:val="clear" w:color="auto" w:fill="FFFFFF"/>
        </w:rPr>
        <w:t>s</w:t>
      </w:r>
      <w:r w:rsidR="00C12709" w:rsidRPr="00DE3F81">
        <w:rPr>
          <w:lang w:val="en-US"/>
        </w:rPr>
        <w:t>.</w:t>
      </w:r>
    </w:p>
    <w:p w:rsidR="00322629" w:rsidRPr="00DE3F81" w:rsidRDefault="00C12709" w:rsidP="00DE3F81">
      <w:pPr>
        <w:pStyle w:val="a4"/>
        <w:numPr>
          <w:ilvl w:val="0"/>
          <w:numId w:val="1"/>
        </w:numPr>
        <w:ind w:left="0" w:firstLine="0"/>
        <w:rPr>
          <w:lang w:val="en-US"/>
        </w:rPr>
      </w:pPr>
      <w:r w:rsidRPr="00DE3F81">
        <w:rPr>
          <w:lang w:val="en-US"/>
        </w:rPr>
        <w:t>Oh-I S</w:t>
      </w:r>
      <w:r w:rsidR="003E50CD">
        <w:rPr>
          <w:lang w:val="en-US"/>
        </w:rPr>
        <w:t xml:space="preserve">. </w:t>
      </w:r>
      <w:r w:rsidRPr="00DE3F81">
        <w:rPr>
          <w:lang w:val="en-US"/>
        </w:rPr>
        <w:t>Identification of nesfatin-1 as a satiety molecule in the hypothalamus</w:t>
      </w:r>
      <w:r w:rsidR="003E50CD">
        <w:rPr>
          <w:lang w:val="en-US"/>
        </w:rPr>
        <w:t xml:space="preserve"> / S. Oh-I, H</w:t>
      </w:r>
      <w:r w:rsidRPr="00DE3F81">
        <w:rPr>
          <w:lang w:val="en-US"/>
        </w:rPr>
        <w:t>.</w:t>
      </w:r>
      <w:r w:rsidRPr="00DE3F81">
        <w:rPr>
          <w:rStyle w:val="apple-converted-space"/>
          <w:lang w:val="en-US"/>
        </w:rPr>
        <w:t> </w:t>
      </w:r>
      <w:r w:rsidR="003E50CD" w:rsidRPr="00DE3F81">
        <w:rPr>
          <w:lang w:val="en-US"/>
        </w:rPr>
        <w:t>Shimizu</w:t>
      </w:r>
      <w:r w:rsidR="003E50CD">
        <w:rPr>
          <w:lang w:val="en-US"/>
        </w:rPr>
        <w:t xml:space="preserve"> // </w:t>
      </w:r>
      <w:r w:rsidRPr="00DE3F81">
        <w:rPr>
          <w:rStyle w:val="ref-journal"/>
          <w:lang w:val="en-US"/>
        </w:rPr>
        <w:t>Nature.</w:t>
      </w:r>
      <w:r w:rsidR="003E50CD">
        <w:rPr>
          <w:rStyle w:val="ref-journal"/>
          <w:lang w:val="en-US"/>
        </w:rPr>
        <w:t xml:space="preserve"> – </w:t>
      </w:r>
      <w:r w:rsidRPr="00DE3F81">
        <w:rPr>
          <w:lang w:val="en-US"/>
        </w:rPr>
        <w:t>2006</w:t>
      </w:r>
      <w:r w:rsidR="003E50CD">
        <w:rPr>
          <w:lang w:val="en-US"/>
        </w:rPr>
        <w:t xml:space="preserve">. – № </w:t>
      </w:r>
      <w:r w:rsidRPr="00DE3F81">
        <w:rPr>
          <w:rStyle w:val="ref-vol"/>
          <w:lang w:val="en-US"/>
        </w:rPr>
        <w:t>443</w:t>
      </w:r>
      <w:r w:rsidR="003E50CD">
        <w:rPr>
          <w:rStyle w:val="ref-vol"/>
        </w:rPr>
        <w:t>.</w:t>
      </w:r>
      <w:r w:rsidR="003E50CD">
        <w:rPr>
          <w:rStyle w:val="ref-vol"/>
          <w:lang w:val="en-US"/>
        </w:rPr>
        <w:t xml:space="preserve"> – P. </w:t>
      </w:r>
      <w:r w:rsidR="003E50CD">
        <w:rPr>
          <w:lang w:val="en-US"/>
        </w:rPr>
        <w:t>709-</w:t>
      </w:r>
      <w:r w:rsidRPr="00DE3F81">
        <w:rPr>
          <w:lang w:val="en-US"/>
        </w:rPr>
        <w:t>712.</w:t>
      </w:r>
    </w:p>
    <w:p w:rsidR="00322629" w:rsidRPr="00DE3F81" w:rsidRDefault="00C12709" w:rsidP="00DE3F81">
      <w:pPr>
        <w:pStyle w:val="a4"/>
        <w:numPr>
          <w:ilvl w:val="0"/>
          <w:numId w:val="1"/>
        </w:numPr>
        <w:ind w:left="0" w:firstLine="0"/>
        <w:rPr>
          <w:lang w:val="en-US"/>
        </w:rPr>
      </w:pPr>
      <w:r w:rsidRPr="00DE3F81">
        <w:rPr>
          <w:lang w:val="en-US"/>
        </w:rPr>
        <w:t>Goebel-Stengel M</w:t>
      </w:r>
      <w:r w:rsidR="00121780">
        <w:rPr>
          <w:lang w:val="en-US"/>
        </w:rPr>
        <w:t>.</w:t>
      </w:r>
      <w:r w:rsidRPr="00DE3F81">
        <w:rPr>
          <w:lang w:val="en-US"/>
        </w:rPr>
        <w:t xml:space="preserve"> Central and peripheral expression and distribution of NUCB2/nesfatin-1</w:t>
      </w:r>
      <w:r w:rsidR="00121780">
        <w:rPr>
          <w:lang w:val="en-US"/>
        </w:rPr>
        <w:t xml:space="preserve"> / M. </w:t>
      </w:r>
      <w:r w:rsidR="00121780" w:rsidRPr="00DE3F81">
        <w:rPr>
          <w:lang w:val="en-US"/>
        </w:rPr>
        <w:t>Goebel-Stengel</w:t>
      </w:r>
      <w:r w:rsidR="00121780">
        <w:rPr>
          <w:lang w:val="en-US"/>
        </w:rPr>
        <w:t>,</w:t>
      </w:r>
      <w:r w:rsidRPr="00DE3F81">
        <w:rPr>
          <w:rStyle w:val="apple-converted-space"/>
          <w:lang w:val="en-US"/>
        </w:rPr>
        <w:t> </w:t>
      </w:r>
      <w:r w:rsidR="00121780">
        <w:rPr>
          <w:rStyle w:val="apple-converted-space"/>
          <w:lang w:val="en-US"/>
        </w:rPr>
        <w:t xml:space="preserve">L. </w:t>
      </w:r>
      <w:r w:rsidR="00121780" w:rsidRPr="00DE3F81">
        <w:rPr>
          <w:lang w:val="en-US"/>
        </w:rPr>
        <w:t>Wang</w:t>
      </w:r>
      <w:r w:rsidR="00121780">
        <w:rPr>
          <w:lang w:val="en-US"/>
        </w:rPr>
        <w:t xml:space="preserve"> //</w:t>
      </w:r>
      <w:r w:rsidR="00121780" w:rsidRPr="00DE3F81">
        <w:rPr>
          <w:lang w:val="en-US"/>
        </w:rPr>
        <w:t xml:space="preserve"> </w:t>
      </w:r>
      <w:proofErr w:type="spellStart"/>
      <w:r w:rsidR="00121780" w:rsidRPr="00121780">
        <w:rPr>
          <w:iCs/>
          <w:color w:val="252525"/>
          <w:szCs w:val="28"/>
          <w:shd w:val="clear" w:color="auto" w:fill="FFFFFF"/>
        </w:rPr>
        <w:t>Current</w:t>
      </w:r>
      <w:proofErr w:type="spellEnd"/>
      <w:r w:rsidR="00121780" w:rsidRPr="00121780">
        <w:rPr>
          <w:iCs/>
          <w:color w:val="252525"/>
          <w:szCs w:val="28"/>
          <w:shd w:val="clear" w:color="auto" w:fill="FFFFFF"/>
        </w:rPr>
        <w:t xml:space="preserve"> </w:t>
      </w:r>
      <w:proofErr w:type="spellStart"/>
      <w:r w:rsidR="00121780" w:rsidRPr="00121780">
        <w:rPr>
          <w:iCs/>
          <w:color w:val="252525"/>
          <w:szCs w:val="28"/>
          <w:shd w:val="clear" w:color="auto" w:fill="FFFFFF"/>
        </w:rPr>
        <w:t>Pharmaceutical</w:t>
      </w:r>
      <w:proofErr w:type="spellEnd"/>
      <w:r w:rsidR="00121780" w:rsidRPr="00121780">
        <w:rPr>
          <w:iCs/>
          <w:color w:val="252525"/>
          <w:szCs w:val="28"/>
          <w:shd w:val="clear" w:color="auto" w:fill="FFFFFF"/>
        </w:rPr>
        <w:t xml:space="preserve"> </w:t>
      </w:r>
      <w:proofErr w:type="spellStart"/>
      <w:r w:rsidR="00121780" w:rsidRPr="00121780">
        <w:rPr>
          <w:iCs/>
          <w:color w:val="252525"/>
          <w:szCs w:val="28"/>
          <w:shd w:val="clear" w:color="auto" w:fill="FFFFFF"/>
        </w:rPr>
        <w:t>Design</w:t>
      </w:r>
      <w:proofErr w:type="spellEnd"/>
      <w:r w:rsidRPr="00DE3F81">
        <w:rPr>
          <w:rStyle w:val="ref-journal"/>
          <w:lang w:val="en-US"/>
        </w:rPr>
        <w:t>.</w:t>
      </w:r>
      <w:r w:rsidR="00121780">
        <w:rPr>
          <w:rStyle w:val="ref-journal"/>
          <w:lang w:val="en-US"/>
        </w:rPr>
        <w:t xml:space="preserve"> – </w:t>
      </w:r>
      <w:r w:rsidRPr="00DE3F81">
        <w:rPr>
          <w:lang w:val="en-US"/>
        </w:rPr>
        <w:t>2013</w:t>
      </w:r>
      <w:r w:rsidR="00121780">
        <w:rPr>
          <w:lang w:val="en-US"/>
        </w:rPr>
        <w:t xml:space="preserve">. – </w:t>
      </w:r>
      <w:r w:rsidR="00121780">
        <w:t xml:space="preserve">№ </w:t>
      </w:r>
      <w:r w:rsidRPr="00DE3F81">
        <w:rPr>
          <w:rStyle w:val="ref-vol"/>
          <w:lang w:val="en-US"/>
        </w:rPr>
        <w:t>19</w:t>
      </w:r>
      <w:r w:rsidR="00121780">
        <w:rPr>
          <w:rStyle w:val="ref-vol"/>
          <w:lang w:val="en-US"/>
        </w:rPr>
        <w:t xml:space="preserve">. – P. </w:t>
      </w:r>
      <w:r w:rsidR="00121780">
        <w:rPr>
          <w:lang w:val="en-US"/>
        </w:rPr>
        <w:t>6935-</w:t>
      </w:r>
      <w:r w:rsidRPr="00DE3F81">
        <w:rPr>
          <w:lang w:val="en-US"/>
        </w:rPr>
        <w:t>6940.</w:t>
      </w:r>
    </w:p>
    <w:p w:rsidR="00322629" w:rsidRPr="00DE3F81" w:rsidRDefault="00D84389" w:rsidP="00DE3F81">
      <w:pPr>
        <w:pStyle w:val="a4"/>
        <w:numPr>
          <w:ilvl w:val="0"/>
          <w:numId w:val="1"/>
        </w:numPr>
        <w:ind w:left="0" w:firstLine="0"/>
        <w:rPr>
          <w:lang w:val="en-US"/>
        </w:rPr>
      </w:pPr>
      <w:r w:rsidRPr="00DE3F81">
        <w:rPr>
          <w:lang w:val="en-US"/>
        </w:rPr>
        <w:lastRenderedPageBreak/>
        <w:t>Nakata M</w:t>
      </w:r>
      <w:r>
        <w:rPr>
          <w:lang w:val="en-US"/>
        </w:rPr>
        <w:t>.</w:t>
      </w:r>
      <w:r w:rsidRPr="00DE3F81">
        <w:rPr>
          <w:lang w:val="en-US"/>
        </w:rPr>
        <w:t xml:space="preserve"> </w:t>
      </w:r>
      <w:r w:rsidRPr="00DE3F81">
        <w:rPr>
          <w:rStyle w:val="ref-title"/>
          <w:lang w:val="en-US"/>
        </w:rPr>
        <w:t>Nesfatin-1 enhances glucose-induced insulin secretion by promoting Ca(2+) influx through L-type channels in mouse islet beta-cells</w:t>
      </w:r>
      <w:r>
        <w:rPr>
          <w:rStyle w:val="ref-title"/>
          <w:lang w:val="en-US"/>
        </w:rPr>
        <w:t xml:space="preserve"> / M. Nakata, K.</w:t>
      </w:r>
      <w:r w:rsidRPr="00DE3F81">
        <w:rPr>
          <w:lang w:val="en-US"/>
        </w:rPr>
        <w:t xml:space="preserve"> Manaka,</w:t>
      </w:r>
      <w:r>
        <w:rPr>
          <w:lang w:val="en-US"/>
        </w:rPr>
        <w:t xml:space="preserve"> S.</w:t>
      </w:r>
      <w:r w:rsidRPr="00DE3F81">
        <w:rPr>
          <w:lang w:val="en-US"/>
        </w:rPr>
        <w:t xml:space="preserve"> Yamamoto</w:t>
      </w:r>
      <w:r>
        <w:rPr>
          <w:lang w:val="en-US"/>
        </w:rPr>
        <w:t xml:space="preserve"> [et al.] // Endocrine Journal. – 2011. – </w:t>
      </w:r>
      <w:r>
        <w:t>№</w:t>
      </w:r>
      <w:r w:rsidRPr="00DE3F81">
        <w:rPr>
          <w:rStyle w:val="apple-converted-space"/>
          <w:lang w:val="en-US"/>
        </w:rPr>
        <w:t> </w:t>
      </w:r>
      <w:r w:rsidRPr="00DE3F81">
        <w:rPr>
          <w:rStyle w:val="ref-vol"/>
          <w:lang w:val="en-US"/>
        </w:rPr>
        <w:t>58</w:t>
      </w:r>
      <w:r>
        <w:rPr>
          <w:rStyle w:val="ref-vol"/>
        </w:rPr>
        <w:t>.</w:t>
      </w:r>
      <w:r>
        <w:rPr>
          <w:rStyle w:val="ref-vol"/>
          <w:lang w:val="en-US"/>
        </w:rPr>
        <w:t xml:space="preserve"> – P. </w:t>
      </w:r>
      <w:r>
        <w:rPr>
          <w:lang w:val="en-US"/>
        </w:rPr>
        <w:t>305-</w:t>
      </w:r>
      <w:r w:rsidRPr="00DE3F81">
        <w:rPr>
          <w:lang w:val="en-US"/>
        </w:rPr>
        <w:t>313</w:t>
      </w:r>
      <w:r>
        <w:rPr>
          <w:lang w:val="en-US"/>
        </w:rPr>
        <w:t>.</w:t>
      </w:r>
    </w:p>
    <w:p w:rsidR="00CA1085" w:rsidRDefault="00D84389" w:rsidP="00CA1085">
      <w:pPr>
        <w:pStyle w:val="a4"/>
        <w:numPr>
          <w:ilvl w:val="0"/>
          <w:numId w:val="1"/>
        </w:numPr>
        <w:ind w:left="0" w:firstLine="0"/>
        <w:rPr>
          <w:lang w:val="en-US"/>
        </w:rPr>
      </w:pPr>
      <w:r w:rsidRPr="00DE3F81">
        <w:rPr>
          <w:lang w:val="en-US"/>
        </w:rPr>
        <w:t>Li Z</w:t>
      </w:r>
      <w:r>
        <w:rPr>
          <w:lang w:val="en-US"/>
        </w:rPr>
        <w:t>.</w:t>
      </w:r>
      <w:r w:rsidRPr="00DE3F81">
        <w:rPr>
          <w:lang w:val="en-US"/>
        </w:rPr>
        <w:t xml:space="preserve"> </w:t>
      </w:r>
      <w:r>
        <w:rPr>
          <w:lang w:val="en-US"/>
        </w:rPr>
        <w:t>Peripheral effects of nesfatin-1 on glucose h</w:t>
      </w:r>
      <w:r w:rsidRPr="00DE3F81">
        <w:rPr>
          <w:lang w:val="en-US"/>
        </w:rPr>
        <w:t>omeostasis</w:t>
      </w:r>
      <w:r>
        <w:rPr>
          <w:lang w:val="en-US"/>
        </w:rPr>
        <w:t xml:space="preserve"> / Z. Li, L. </w:t>
      </w:r>
      <w:proofErr w:type="spellStart"/>
      <w:r w:rsidRPr="00DE3F81">
        <w:rPr>
          <w:lang w:val="en-US"/>
        </w:rPr>
        <w:t>Gao</w:t>
      </w:r>
      <w:proofErr w:type="spellEnd"/>
      <w:r w:rsidRPr="00DE3F81">
        <w:rPr>
          <w:lang w:val="en-US"/>
        </w:rPr>
        <w:t xml:space="preserve">, </w:t>
      </w:r>
      <w:r>
        <w:rPr>
          <w:lang w:val="en-US"/>
        </w:rPr>
        <w:t xml:space="preserve">H. </w:t>
      </w:r>
      <w:r w:rsidRPr="00DE3F81">
        <w:rPr>
          <w:lang w:val="en-US"/>
        </w:rPr>
        <w:t>Tang</w:t>
      </w:r>
      <w:r>
        <w:rPr>
          <w:lang w:val="en-US"/>
        </w:rPr>
        <w:t xml:space="preserve"> [</w:t>
      </w:r>
      <w:r w:rsidRPr="00DE3F81">
        <w:rPr>
          <w:lang w:val="en-US"/>
        </w:rPr>
        <w:t>et al.</w:t>
      </w:r>
      <w:r>
        <w:rPr>
          <w:lang w:val="en-US"/>
        </w:rPr>
        <w:t xml:space="preserve">] // </w:t>
      </w:r>
      <w:proofErr w:type="spellStart"/>
      <w:r>
        <w:rPr>
          <w:lang w:val="en-US"/>
        </w:rPr>
        <w:t>PLoS</w:t>
      </w:r>
      <w:proofErr w:type="spellEnd"/>
      <w:r>
        <w:rPr>
          <w:lang w:val="en-US"/>
        </w:rPr>
        <w:t xml:space="preserve"> ONE. – </w:t>
      </w:r>
      <w:r w:rsidRPr="00DE3F81">
        <w:rPr>
          <w:lang w:val="en-US"/>
        </w:rPr>
        <w:t>2013</w:t>
      </w:r>
      <w:r>
        <w:rPr>
          <w:lang w:val="en-US"/>
        </w:rPr>
        <w:t xml:space="preserve">. – № </w:t>
      </w:r>
      <w:r w:rsidRPr="00DE3F81">
        <w:rPr>
          <w:lang w:val="en-US"/>
        </w:rPr>
        <w:t>8(8)</w:t>
      </w:r>
      <w:r>
        <w:t>.</w:t>
      </w:r>
      <w:r>
        <w:rPr>
          <w:lang w:val="en-US"/>
        </w:rPr>
        <w:t xml:space="preserve"> – </w:t>
      </w:r>
      <w:r w:rsidRPr="00DE3F81">
        <w:rPr>
          <w:lang w:val="en-US"/>
        </w:rPr>
        <w:t>e71513.</w:t>
      </w:r>
    </w:p>
    <w:p w:rsidR="00322629" w:rsidRPr="00CA1085" w:rsidRDefault="00E5662C" w:rsidP="00CA1085">
      <w:pPr>
        <w:pStyle w:val="a4"/>
        <w:numPr>
          <w:ilvl w:val="0"/>
          <w:numId w:val="1"/>
        </w:numPr>
        <w:ind w:left="0" w:firstLine="0"/>
        <w:rPr>
          <w:szCs w:val="28"/>
          <w:lang w:val="en-US"/>
        </w:rPr>
      </w:pPr>
      <w:r w:rsidRPr="00DE3F81">
        <w:rPr>
          <w:lang w:val="en-US"/>
        </w:rPr>
        <w:t>Shimizu H</w:t>
      </w:r>
      <w:r>
        <w:rPr>
          <w:lang w:val="en-US"/>
        </w:rPr>
        <w:t>.</w:t>
      </w:r>
      <w:r w:rsidRPr="00DE3F81">
        <w:rPr>
          <w:lang w:val="en-US"/>
        </w:rPr>
        <w:t xml:space="preserve"> Peripheral administration of nesfatin-1 reduces food intake in mice: the </w:t>
      </w:r>
      <w:proofErr w:type="spellStart"/>
      <w:r w:rsidRPr="00DE3F81">
        <w:rPr>
          <w:lang w:val="en-US"/>
        </w:rPr>
        <w:t>leptin</w:t>
      </w:r>
      <w:proofErr w:type="spellEnd"/>
      <w:r w:rsidRPr="00DE3F81">
        <w:rPr>
          <w:lang w:val="en-US"/>
        </w:rPr>
        <w:t>-independent mechanism</w:t>
      </w:r>
      <w:r>
        <w:rPr>
          <w:lang w:val="en-US"/>
        </w:rPr>
        <w:t xml:space="preserve"> / H. Shimizu,</w:t>
      </w:r>
      <w:r w:rsidRPr="00DE3F81">
        <w:rPr>
          <w:rStyle w:val="apple-converted-space"/>
          <w:lang w:val="en-US"/>
        </w:rPr>
        <w:t> </w:t>
      </w:r>
      <w:r>
        <w:rPr>
          <w:rStyle w:val="apple-converted-space"/>
          <w:lang w:val="en-US"/>
        </w:rPr>
        <w:t xml:space="preserve">S. </w:t>
      </w:r>
      <w:r w:rsidRPr="00DE3F81">
        <w:rPr>
          <w:lang w:val="en-US"/>
        </w:rPr>
        <w:t>Oh-I</w:t>
      </w:r>
      <w:r>
        <w:rPr>
          <w:lang w:val="en-US"/>
        </w:rPr>
        <w:t xml:space="preserve"> // </w:t>
      </w:r>
      <w:r w:rsidRPr="00DE3F81">
        <w:rPr>
          <w:rStyle w:val="ref-journal"/>
          <w:lang w:val="en-US"/>
        </w:rPr>
        <w:t>Endocrinology.</w:t>
      </w:r>
      <w:r>
        <w:rPr>
          <w:rStyle w:val="ref-journal"/>
          <w:lang w:val="en-US"/>
        </w:rPr>
        <w:t xml:space="preserve"> – </w:t>
      </w:r>
      <w:r w:rsidRPr="00DE3F81">
        <w:rPr>
          <w:lang w:val="en-US"/>
        </w:rPr>
        <w:t>2009</w:t>
      </w:r>
      <w:r>
        <w:rPr>
          <w:lang w:val="en-US"/>
        </w:rPr>
        <w:t xml:space="preserve">. – </w:t>
      </w:r>
      <w:r>
        <w:t xml:space="preserve">№ </w:t>
      </w:r>
      <w:r w:rsidRPr="00DE3F81">
        <w:rPr>
          <w:rStyle w:val="ref-vol"/>
          <w:lang w:val="en-US"/>
        </w:rPr>
        <w:t>150</w:t>
      </w:r>
      <w:r>
        <w:rPr>
          <w:rStyle w:val="ref-vol"/>
          <w:lang w:val="en-US"/>
        </w:rPr>
        <w:t xml:space="preserve">. – P. </w:t>
      </w:r>
      <w:r>
        <w:rPr>
          <w:lang w:val="en-US"/>
        </w:rPr>
        <w:t>662-</w:t>
      </w:r>
      <w:r w:rsidRPr="00DE3F81">
        <w:rPr>
          <w:lang w:val="en-US"/>
        </w:rPr>
        <w:t>671.</w:t>
      </w:r>
      <w:r>
        <w:rPr>
          <w:lang w:val="en-US"/>
        </w:rPr>
        <w:t xml:space="preserve"> </w:t>
      </w:r>
    </w:p>
    <w:p w:rsidR="00322629" w:rsidRPr="00DE3F81" w:rsidRDefault="00D84389" w:rsidP="00DE3F81">
      <w:pPr>
        <w:pStyle w:val="a4"/>
        <w:numPr>
          <w:ilvl w:val="0"/>
          <w:numId w:val="1"/>
        </w:numPr>
        <w:ind w:left="0" w:firstLine="0"/>
        <w:rPr>
          <w:lang w:val="en-US"/>
        </w:rPr>
      </w:pPr>
      <w:r w:rsidRPr="00DE3F81">
        <w:rPr>
          <w:lang w:val="en-US"/>
        </w:rPr>
        <w:t>Tanida M</w:t>
      </w:r>
      <w:r>
        <w:rPr>
          <w:lang w:val="en-US"/>
        </w:rPr>
        <w:t>.</w:t>
      </w:r>
      <w:r w:rsidRPr="00DE3F81">
        <w:rPr>
          <w:lang w:val="en-US"/>
        </w:rPr>
        <w:t xml:space="preserve"> Nesfatin-1 stimulates renal sympathetic nerve activity in rats</w:t>
      </w:r>
      <w:r>
        <w:rPr>
          <w:lang w:val="en-US"/>
        </w:rPr>
        <w:t xml:space="preserve"> / M. Tanida, M.</w:t>
      </w:r>
      <w:r w:rsidRPr="00DE3F81">
        <w:rPr>
          <w:lang w:val="en-US"/>
        </w:rPr>
        <w:t xml:space="preserve"> Mori</w:t>
      </w:r>
      <w:r>
        <w:rPr>
          <w:lang w:val="en-US"/>
        </w:rPr>
        <w:t xml:space="preserve"> // </w:t>
      </w:r>
      <w:proofErr w:type="spellStart"/>
      <w:r w:rsidRPr="00DE3F81">
        <w:rPr>
          <w:rStyle w:val="ref-journal"/>
          <w:lang w:val="en-US"/>
        </w:rPr>
        <w:t>Neuroreport</w:t>
      </w:r>
      <w:proofErr w:type="spellEnd"/>
      <w:r w:rsidRPr="00DE3F81">
        <w:rPr>
          <w:rStyle w:val="ref-journal"/>
          <w:lang w:val="en-US"/>
        </w:rPr>
        <w:t>.</w:t>
      </w:r>
      <w:r>
        <w:rPr>
          <w:rStyle w:val="ref-journal"/>
          <w:lang w:val="en-US"/>
        </w:rPr>
        <w:t xml:space="preserve"> – </w:t>
      </w:r>
      <w:r w:rsidRPr="00DE3F81">
        <w:rPr>
          <w:lang w:val="en-US"/>
        </w:rPr>
        <w:t>2011</w:t>
      </w:r>
      <w:r>
        <w:rPr>
          <w:lang w:val="en-US"/>
        </w:rPr>
        <w:t xml:space="preserve">. – </w:t>
      </w:r>
      <w:r>
        <w:t xml:space="preserve">№ </w:t>
      </w:r>
      <w:r w:rsidRPr="00DE3F81">
        <w:rPr>
          <w:rStyle w:val="ref-vol"/>
          <w:lang w:val="en-US"/>
        </w:rPr>
        <w:t>22</w:t>
      </w:r>
      <w:r>
        <w:rPr>
          <w:rStyle w:val="ref-vol"/>
          <w:lang w:val="en-US"/>
        </w:rPr>
        <w:t xml:space="preserve">. – P. </w:t>
      </w:r>
      <w:r>
        <w:rPr>
          <w:lang w:val="en-US"/>
        </w:rPr>
        <w:t>309-</w:t>
      </w:r>
      <w:r w:rsidRPr="00DE3F81">
        <w:rPr>
          <w:lang w:val="en-US"/>
        </w:rPr>
        <w:t>312.</w:t>
      </w:r>
      <w:r>
        <w:rPr>
          <w:lang w:val="en-US"/>
        </w:rPr>
        <w:t xml:space="preserve"> </w:t>
      </w:r>
    </w:p>
    <w:p w:rsidR="00322629" w:rsidRPr="00DE3F81" w:rsidRDefault="00D84389" w:rsidP="00DE3F81">
      <w:pPr>
        <w:pStyle w:val="a4"/>
        <w:numPr>
          <w:ilvl w:val="0"/>
          <w:numId w:val="1"/>
        </w:numPr>
        <w:ind w:left="0" w:firstLine="0"/>
        <w:rPr>
          <w:lang w:val="en-US"/>
        </w:rPr>
      </w:pPr>
      <w:r w:rsidRPr="00DE3F81">
        <w:rPr>
          <w:lang w:val="en-US"/>
        </w:rPr>
        <w:t>Liu F</w:t>
      </w:r>
      <w:r>
        <w:rPr>
          <w:lang w:val="en-US"/>
        </w:rPr>
        <w:t>.</w:t>
      </w:r>
      <w:r w:rsidRPr="00DE3F81">
        <w:rPr>
          <w:lang w:val="en-US"/>
        </w:rPr>
        <w:t xml:space="preserve"> Decreased plasma nesfatin-1 level is related to the thyroid dysfunction in patients with type 2 diabetes mellitus</w:t>
      </w:r>
      <w:r>
        <w:rPr>
          <w:lang w:val="en-US"/>
        </w:rPr>
        <w:t xml:space="preserve"> / F. Liu, Q.</w:t>
      </w:r>
      <w:r w:rsidRPr="00DE3F81">
        <w:rPr>
          <w:lang w:val="en-US"/>
        </w:rPr>
        <w:t xml:space="preserve"> Yang,</w:t>
      </w:r>
      <w:r>
        <w:rPr>
          <w:lang w:val="en-US"/>
        </w:rPr>
        <w:t xml:space="preserve"> N.</w:t>
      </w:r>
      <w:r w:rsidRPr="00DE3F81">
        <w:rPr>
          <w:lang w:val="en-US"/>
        </w:rPr>
        <w:t xml:space="preserve"> </w:t>
      </w:r>
      <w:proofErr w:type="spellStart"/>
      <w:r w:rsidRPr="00DE3F81">
        <w:rPr>
          <w:lang w:val="en-US"/>
        </w:rPr>
        <w:t>Gao</w:t>
      </w:r>
      <w:proofErr w:type="spellEnd"/>
      <w:r>
        <w:rPr>
          <w:lang w:val="en-US"/>
        </w:rPr>
        <w:t xml:space="preserve"> [et al.] // </w:t>
      </w:r>
      <w:proofErr w:type="spellStart"/>
      <w:r w:rsidRPr="00951252">
        <w:rPr>
          <w:color w:val="000000"/>
          <w:szCs w:val="28"/>
          <w:shd w:val="clear" w:color="auto" w:fill="FFFFFF"/>
        </w:rPr>
        <w:t>Journal</w:t>
      </w:r>
      <w:proofErr w:type="spellEnd"/>
      <w:r w:rsidRPr="00951252">
        <w:rPr>
          <w:color w:val="000000"/>
          <w:szCs w:val="28"/>
          <w:shd w:val="clear" w:color="auto" w:fill="FFFFFF"/>
        </w:rPr>
        <w:t xml:space="preserve"> </w:t>
      </w:r>
      <w:proofErr w:type="spellStart"/>
      <w:r w:rsidRPr="00951252">
        <w:rPr>
          <w:color w:val="000000"/>
          <w:szCs w:val="28"/>
          <w:shd w:val="clear" w:color="auto" w:fill="FFFFFF"/>
        </w:rPr>
        <w:t>of</w:t>
      </w:r>
      <w:proofErr w:type="spellEnd"/>
      <w:r w:rsidRPr="00951252">
        <w:rPr>
          <w:color w:val="000000"/>
          <w:szCs w:val="28"/>
          <w:shd w:val="clear" w:color="auto" w:fill="FFFFFF"/>
        </w:rPr>
        <w:t xml:space="preserve"> </w:t>
      </w:r>
      <w:proofErr w:type="spellStart"/>
      <w:r w:rsidRPr="00951252">
        <w:rPr>
          <w:color w:val="000000"/>
          <w:szCs w:val="28"/>
          <w:shd w:val="clear" w:color="auto" w:fill="FFFFFF"/>
        </w:rPr>
        <w:t>Diabetes</w:t>
      </w:r>
      <w:proofErr w:type="spellEnd"/>
      <w:r w:rsidRPr="00951252">
        <w:rPr>
          <w:color w:val="000000"/>
          <w:szCs w:val="28"/>
          <w:shd w:val="clear" w:color="auto" w:fill="FFFFFF"/>
        </w:rPr>
        <w:t xml:space="preserve"> </w:t>
      </w:r>
      <w:proofErr w:type="spellStart"/>
      <w:r w:rsidRPr="00951252">
        <w:rPr>
          <w:color w:val="000000"/>
          <w:szCs w:val="28"/>
          <w:shd w:val="clear" w:color="auto" w:fill="FFFFFF"/>
        </w:rPr>
        <w:t>Research</w:t>
      </w:r>
      <w:proofErr w:type="spellEnd"/>
      <w:r>
        <w:rPr>
          <w:color w:val="000000"/>
          <w:szCs w:val="28"/>
          <w:shd w:val="clear" w:color="auto" w:fill="FFFFFF"/>
          <w:lang w:val="en-US"/>
        </w:rPr>
        <w:t xml:space="preserve">. – </w:t>
      </w:r>
      <w:r w:rsidRPr="00DE3F81">
        <w:rPr>
          <w:lang w:val="en-US"/>
        </w:rPr>
        <w:t>2014</w:t>
      </w:r>
      <w:r>
        <w:rPr>
          <w:lang w:val="en-US"/>
        </w:rPr>
        <w:t xml:space="preserve">. – </w:t>
      </w:r>
      <w:r>
        <w:t xml:space="preserve">№ </w:t>
      </w:r>
      <w:r w:rsidRPr="00DE3F81">
        <w:rPr>
          <w:rStyle w:val="ref-vol"/>
          <w:lang w:val="en-US"/>
        </w:rPr>
        <w:t>2014</w:t>
      </w:r>
      <w:r>
        <w:rPr>
          <w:rStyle w:val="ref-vol"/>
        </w:rPr>
        <w:t>.</w:t>
      </w:r>
      <w:r>
        <w:rPr>
          <w:rStyle w:val="ref-vol"/>
          <w:lang w:val="en-US"/>
        </w:rPr>
        <w:t xml:space="preserve"> – </w:t>
      </w:r>
      <w:r w:rsidRPr="00DE3F81">
        <w:rPr>
          <w:lang w:val="en-US"/>
        </w:rPr>
        <w:t>128014.</w:t>
      </w:r>
    </w:p>
    <w:p w:rsidR="00322629" w:rsidRPr="00DE3F81" w:rsidRDefault="00D84389" w:rsidP="00DE3F81">
      <w:pPr>
        <w:pStyle w:val="a4"/>
        <w:numPr>
          <w:ilvl w:val="0"/>
          <w:numId w:val="1"/>
        </w:numPr>
        <w:ind w:left="0" w:firstLine="0"/>
        <w:rPr>
          <w:rStyle w:val="element-citation"/>
          <w:lang w:val="en-US"/>
        </w:rPr>
      </w:pPr>
      <w:r w:rsidRPr="00DE3F81">
        <w:rPr>
          <w:lang w:val="en-US"/>
        </w:rPr>
        <w:t>Li J</w:t>
      </w:r>
      <w:r>
        <w:rPr>
          <w:lang w:val="en-US"/>
        </w:rPr>
        <w:t xml:space="preserve">. </w:t>
      </w:r>
      <w:r w:rsidRPr="00DE3F81">
        <w:rPr>
          <w:lang w:val="en-US"/>
        </w:rPr>
        <w:t>B</w:t>
      </w:r>
      <w:r>
        <w:rPr>
          <w:lang w:val="en-US"/>
        </w:rPr>
        <w:t>.</w:t>
      </w:r>
      <w:r w:rsidRPr="00DE3F81">
        <w:rPr>
          <w:lang w:val="en-US"/>
        </w:rPr>
        <w:t xml:space="preserve"> Effects of aging on the plasma levels of nesfatin-1 and </w:t>
      </w:r>
      <w:proofErr w:type="spellStart"/>
      <w:r w:rsidRPr="00DE3F81">
        <w:rPr>
          <w:lang w:val="en-US"/>
        </w:rPr>
        <w:t>adiponectin</w:t>
      </w:r>
      <w:proofErr w:type="spellEnd"/>
      <w:r>
        <w:rPr>
          <w:lang w:val="en-US"/>
        </w:rPr>
        <w:t xml:space="preserve"> / J. B. Li,</w:t>
      </w:r>
      <w:r w:rsidRPr="00DE3F81">
        <w:rPr>
          <w:lang w:val="en-US"/>
        </w:rPr>
        <w:t xml:space="preserve"> </w:t>
      </w:r>
      <w:r>
        <w:rPr>
          <w:lang w:val="en-US"/>
        </w:rPr>
        <w:t xml:space="preserve">M. </w:t>
      </w:r>
      <w:r w:rsidRPr="00DE3F81">
        <w:rPr>
          <w:lang w:val="en-US"/>
        </w:rPr>
        <w:t xml:space="preserve">Nishida, </w:t>
      </w:r>
      <w:r>
        <w:rPr>
          <w:lang w:val="en-US"/>
        </w:rPr>
        <w:t xml:space="preserve"> K. </w:t>
      </w:r>
      <w:proofErr w:type="spellStart"/>
      <w:r w:rsidRPr="00DE3F81">
        <w:rPr>
          <w:lang w:val="en-US"/>
        </w:rPr>
        <w:t>Kaimoto</w:t>
      </w:r>
      <w:proofErr w:type="spellEnd"/>
      <w:r w:rsidRPr="00DE3F81">
        <w:rPr>
          <w:lang w:val="en-US"/>
        </w:rPr>
        <w:t xml:space="preserve"> </w:t>
      </w:r>
      <w:r>
        <w:rPr>
          <w:lang w:val="en-US"/>
        </w:rPr>
        <w:t>[</w:t>
      </w:r>
      <w:r w:rsidRPr="00DE3F81">
        <w:rPr>
          <w:lang w:val="en-US"/>
        </w:rPr>
        <w:t>et al.</w:t>
      </w:r>
      <w:r>
        <w:rPr>
          <w:lang w:val="en-US"/>
        </w:rPr>
        <w:t>] //</w:t>
      </w:r>
      <w:r w:rsidRPr="00DE3F81">
        <w:rPr>
          <w:rStyle w:val="apple-converted-space"/>
          <w:lang w:val="en-US"/>
        </w:rPr>
        <w:t> </w:t>
      </w:r>
      <w:r w:rsidRPr="00DE3F81">
        <w:rPr>
          <w:rStyle w:val="ref-journal"/>
          <w:lang w:val="en-US"/>
        </w:rPr>
        <w:t>Biomed</w:t>
      </w:r>
      <w:r>
        <w:rPr>
          <w:rStyle w:val="ref-journal"/>
          <w:lang w:val="en-US"/>
        </w:rPr>
        <w:t>ical</w:t>
      </w:r>
      <w:r w:rsidRPr="00DE3F81">
        <w:rPr>
          <w:rStyle w:val="ref-journal"/>
          <w:lang w:val="en-US"/>
        </w:rPr>
        <w:t xml:space="preserve"> Rep</w:t>
      </w:r>
      <w:r>
        <w:rPr>
          <w:rStyle w:val="ref-journal"/>
          <w:lang w:val="en-US"/>
        </w:rPr>
        <w:t>orts</w:t>
      </w:r>
      <w:r w:rsidRPr="00DE3F81">
        <w:rPr>
          <w:rStyle w:val="ref-journal"/>
          <w:lang w:val="en-US"/>
        </w:rPr>
        <w:t>.</w:t>
      </w:r>
      <w:r>
        <w:rPr>
          <w:rStyle w:val="ref-journal"/>
          <w:lang w:val="en-US"/>
        </w:rPr>
        <w:t xml:space="preserve"> – </w:t>
      </w:r>
      <w:r w:rsidRPr="00DE3F81">
        <w:rPr>
          <w:lang w:val="en-US"/>
        </w:rPr>
        <w:t>2014</w:t>
      </w:r>
      <w:r>
        <w:rPr>
          <w:lang w:val="en-US"/>
        </w:rPr>
        <w:t xml:space="preserve">. – № </w:t>
      </w:r>
      <w:r w:rsidRPr="00DE3F81">
        <w:rPr>
          <w:rStyle w:val="ref-vol"/>
          <w:lang w:val="en-US"/>
        </w:rPr>
        <w:t>2</w:t>
      </w:r>
      <w:r>
        <w:rPr>
          <w:rStyle w:val="ref-vol"/>
        </w:rPr>
        <w:t xml:space="preserve">. </w:t>
      </w:r>
      <w:r>
        <w:rPr>
          <w:rStyle w:val="ref-vol"/>
          <w:lang w:val="en-US"/>
        </w:rPr>
        <w:t xml:space="preserve">– P. </w:t>
      </w:r>
      <w:r>
        <w:rPr>
          <w:lang w:val="en-US"/>
        </w:rPr>
        <w:t>152-</w:t>
      </w:r>
      <w:r w:rsidRPr="00DE3F81">
        <w:rPr>
          <w:lang w:val="en-US"/>
        </w:rPr>
        <w:t>156.</w:t>
      </w:r>
      <w:r w:rsidR="00C12709" w:rsidRPr="00DE3F81">
        <w:rPr>
          <w:rStyle w:val="element-citation"/>
          <w:lang w:val="en-US"/>
        </w:rPr>
        <w:t xml:space="preserve"> </w:t>
      </w:r>
    </w:p>
    <w:p w:rsidR="00322629" w:rsidRPr="00DE3F81" w:rsidRDefault="00D84389" w:rsidP="00DE3F81">
      <w:pPr>
        <w:pStyle w:val="a4"/>
        <w:numPr>
          <w:ilvl w:val="0"/>
          <w:numId w:val="1"/>
        </w:numPr>
        <w:ind w:left="0" w:firstLine="0"/>
        <w:rPr>
          <w:lang w:val="en-US"/>
        </w:rPr>
      </w:pPr>
      <w:proofErr w:type="spellStart"/>
      <w:r w:rsidRPr="00DE3F81">
        <w:rPr>
          <w:szCs w:val="28"/>
          <w:shd w:val="clear" w:color="auto" w:fill="FFFFFF"/>
        </w:rPr>
        <w:t>Demidenko</w:t>
      </w:r>
      <w:proofErr w:type="spellEnd"/>
      <w:r w:rsidRPr="00DE3F81">
        <w:rPr>
          <w:szCs w:val="28"/>
          <w:shd w:val="clear" w:color="auto" w:fill="FFFFFF"/>
        </w:rPr>
        <w:t xml:space="preserve"> G.</w:t>
      </w:r>
      <w:r>
        <w:rPr>
          <w:szCs w:val="28"/>
          <w:shd w:val="clear" w:color="auto" w:fill="FFFFFF"/>
          <w:lang w:val="en-US"/>
        </w:rPr>
        <w:t xml:space="preserve"> </w:t>
      </w:r>
      <w:r w:rsidRPr="00DE3F81">
        <w:rPr>
          <w:szCs w:val="28"/>
          <w:shd w:val="clear" w:color="auto" w:fill="FFFFFF"/>
        </w:rPr>
        <w:t xml:space="preserve">V. </w:t>
      </w:r>
      <w:proofErr w:type="spellStart"/>
      <w:r w:rsidRPr="00DE3F81">
        <w:rPr>
          <w:szCs w:val="28"/>
          <w:shd w:val="clear" w:color="auto" w:fill="FFFFFF"/>
        </w:rPr>
        <w:t>DisfunktsIya</w:t>
      </w:r>
      <w:proofErr w:type="spellEnd"/>
      <w:r w:rsidRPr="00DE3F81">
        <w:rPr>
          <w:szCs w:val="28"/>
          <w:shd w:val="clear" w:color="auto" w:fill="FFFFFF"/>
        </w:rPr>
        <w:t xml:space="preserve"> </w:t>
      </w:r>
      <w:proofErr w:type="spellStart"/>
      <w:r w:rsidRPr="00DE3F81">
        <w:rPr>
          <w:szCs w:val="28"/>
          <w:shd w:val="clear" w:color="auto" w:fill="FFFFFF"/>
        </w:rPr>
        <w:t>endoteliyu</w:t>
      </w:r>
      <w:proofErr w:type="spellEnd"/>
      <w:r w:rsidRPr="00DE3F81">
        <w:rPr>
          <w:szCs w:val="28"/>
          <w:shd w:val="clear" w:color="auto" w:fill="FFFFFF"/>
        </w:rPr>
        <w:t xml:space="preserve"> </w:t>
      </w:r>
      <w:proofErr w:type="spellStart"/>
      <w:r w:rsidRPr="00DE3F81">
        <w:rPr>
          <w:szCs w:val="28"/>
          <w:shd w:val="clear" w:color="auto" w:fill="FFFFFF"/>
        </w:rPr>
        <w:t>yak</w:t>
      </w:r>
      <w:proofErr w:type="spellEnd"/>
      <w:r w:rsidRPr="00DE3F81">
        <w:rPr>
          <w:szCs w:val="28"/>
          <w:shd w:val="clear" w:color="auto" w:fill="FFFFFF"/>
        </w:rPr>
        <w:t xml:space="preserve"> </w:t>
      </w:r>
      <w:proofErr w:type="spellStart"/>
      <w:r w:rsidRPr="00DE3F81">
        <w:rPr>
          <w:szCs w:val="28"/>
          <w:shd w:val="clear" w:color="auto" w:fill="FFFFFF"/>
        </w:rPr>
        <w:t>faktor</w:t>
      </w:r>
      <w:proofErr w:type="spellEnd"/>
      <w:r w:rsidRPr="00DE3F81">
        <w:rPr>
          <w:szCs w:val="28"/>
          <w:shd w:val="clear" w:color="auto" w:fill="FFFFFF"/>
        </w:rPr>
        <w:t xml:space="preserve"> </w:t>
      </w:r>
      <w:proofErr w:type="spellStart"/>
      <w:r w:rsidRPr="00DE3F81">
        <w:rPr>
          <w:szCs w:val="28"/>
          <w:shd w:val="clear" w:color="auto" w:fill="FFFFFF"/>
        </w:rPr>
        <w:t>rozvitku</w:t>
      </w:r>
      <w:proofErr w:type="spellEnd"/>
      <w:r w:rsidRPr="00DE3F81">
        <w:rPr>
          <w:szCs w:val="28"/>
          <w:shd w:val="clear" w:color="auto" w:fill="FFFFFF"/>
        </w:rPr>
        <w:t xml:space="preserve"> </w:t>
      </w:r>
      <w:proofErr w:type="spellStart"/>
      <w:r w:rsidRPr="00DE3F81">
        <w:rPr>
          <w:szCs w:val="28"/>
          <w:shd w:val="clear" w:color="auto" w:fill="FFFFFF"/>
          <w:lang w:val="en-US"/>
        </w:rPr>
        <w:t>i</w:t>
      </w:r>
      <w:r w:rsidRPr="00DE3F81">
        <w:rPr>
          <w:szCs w:val="28"/>
          <w:shd w:val="clear" w:color="auto" w:fill="FFFFFF"/>
        </w:rPr>
        <w:t>nsul</w:t>
      </w:r>
      <w:r w:rsidRPr="00DE3F81">
        <w:rPr>
          <w:szCs w:val="28"/>
          <w:shd w:val="clear" w:color="auto" w:fill="FFFFFF"/>
          <w:lang w:val="en-US"/>
        </w:rPr>
        <w:t>i</w:t>
      </w:r>
      <w:r w:rsidRPr="00DE3F81">
        <w:rPr>
          <w:szCs w:val="28"/>
          <w:shd w:val="clear" w:color="auto" w:fill="FFFFFF"/>
        </w:rPr>
        <w:t>norezistentnost</w:t>
      </w:r>
      <w:r w:rsidRPr="00DE3F81">
        <w:rPr>
          <w:szCs w:val="28"/>
          <w:shd w:val="clear" w:color="auto" w:fill="FFFFFF"/>
          <w:lang w:val="en-US"/>
        </w:rPr>
        <w:t>i</w:t>
      </w:r>
      <w:proofErr w:type="spellEnd"/>
      <w:r w:rsidRPr="00DE3F81">
        <w:rPr>
          <w:szCs w:val="28"/>
          <w:shd w:val="clear" w:color="auto" w:fill="FFFFFF"/>
        </w:rPr>
        <w:t xml:space="preserve"> u </w:t>
      </w:r>
      <w:proofErr w:type="spellStart"/>
      <w:r w:rsidRPr="00DE3F81">
        <w:rPr>
          <w:szCs w:val="28"/>
          <w:shd w:val="clear" w:color="auto" w:fill="FFFFFF"/>
        </w:rPr>
        <w:t>hvorih</w:t>
      </w:r>
      <w:proofErr w:type="spellEnd"/>
      <w:r w:rsidRPr="00DE3F81">
        <w:rPr>
          <w:szCs w:val="28"/>
          <w:shd w:val="clear" w:color="auto" w:fill="FFFFFF"/>
        </w:rPr>
        <w:t xml:space="preserve"> </w:t>
      </w:r>
      <w:proofErr w:type="spellStart"/>
      <w:r w:rsidRPr="00DE3F81">
        <w:rPr>
          <w:szCs w:val="28"/>
          <w:shd w:val="clear" w:color="auto" w:fill="FFFFFF"/>
        </w:rPr>
        <w:t>na</w:t>
      </w:r>
      <w:proofErr w:type="spellEnd"/>
      <w:r w:rsidRPr="00DE3F81">
        <w:rPr>
          <w:szCs w:val="28"/>
          <w:shd w:val="clear" w:color="auto" w:fill="FFFFFF"/>
        </w:rPr>
        <w:t xml:space="preserve"> g</w:t>
      </w:r>
      <w:proofErr w:type="spellStart"/>
      <w:r w:rsidRPr="00DE3F81">
        <w:rPr>
          <w:szCs w:val="28"/>
          <w:shd w:val="clear" w:color="auto" w:fill="FFFFFF"/>
          <w:lang w:val="en-US"/>
        </w:rPr>
        <w:t>i</w:t>
      </w:r>
      <w:r w:rsidRPr="00DE3F81">
        <w:rPr>
          <w:szCs w:val="28"/>
          <w:shd w:val="clear" w:color="auto" w:fill="FFFFFF"/>
        </w:rPr>
        <w:t>perton</w:t>
      </w:r>
      <w:r w:rsidRPr="00DE3F81">
        <w:rPr>
          <w:szCs w:val="28"/>
          <w:shd w:val="clear" w:color="auto" w:fill="FFFFFF"/>
          <w:lang w:val="en-US"/>
        </w:rPr>
        <w:t>i</w:t>
      </w:r>
      <w:r w:rsidRPr="00DE3F81">
        <w:rPr>
          <w:szCs w:val="28"/>
          <w:shd w:val="clear" w:color="auto" w:fill="FFFFFF"/>
        </w:rPr>
        <w:t>chnu</w:t>
      </w:r>
      <w:proofErr w:type="spellEnd"/>
      <w:r w:rsidRPr="00DE3F81">
        <w:rPr>
          <w:szCs w:val="28"/>
          <w:shd w:val="clear" w:color="auto" w:fill="FFFFFF"/>
        </w:rPr>
        <w:t xml:space="preserve"> </w:t>
      </w:r>
      <w:proofErr w:type="spellStart"/>
      <w:r w:rsidRPr="00DE3F81">
        <w:rPr>
          <w:szCs w:val="28"/>
          <w:shd w:val="clear" w:color="auto" w:fill="FFFFFF"/>
        </w:rPr>
        <w:t>hvorobu</w:t>
      </w:r>
      <w:proofErr w:type="spellEnd"/>
      <w:r>
        <w:rPr>
          <w:szCs w:val="28"/>
          <w:shd w:val="clear" w:color="auto" w:fill="FFFFFF"/>
          <w:lang w:val="en-US"/>
        </w:rPr>
        <w:t xml:space="preserve"> / G. V. </w:t>
      </w:r>
      <w:proofErr w:type="spellStart"/>
      <w:r>
        <w:rPr>
          <w:szCs w:val="28"/>
          <w:shd w:val="clear" w:color="auto" w:fill="FFFFFF"/>
          <w:lang w:val="en-US"/>
        </w:rPr>
        <w:t>Demidenko</w:t>
      </w:r>
      <w:proofErr w:type="spellEnd"/>
      <w:r>
        <w:rPr>
          <w:szCs w:val="28"/>
          <w:shd w:val="clear" w:color="auto" w:fill="FFFFFF"/>
          <w:lang w:val="en-US"/>
        </w:rPr>
        <w:t xml:space="preserve"> // </w:t>
      </w:r>
      <w:proofErr w:type="spellStart"/>
      <w:r w:rsidRPr="00DE3F81">
        <w:rPr>
          <w:szCs w:val="28"/>
          <w:shd w:val="clear" w:color="auto" w:fill="FFFFFF"/>
        </w:rPr>
        <w:t>Meditsina</w:t>
      </w:r>
      <w:proofErr w:type="spellEnd"/>
      <w:r w:rsidRPr="00DE3F81">
        <w:rPr>
          <w:szCs w:val="28"/>
          <w:shd w:val="clear" w:color="auto" w:fill="FFFFFF"/>
        </w:rPr>
        <w:t xml:space="preserve"> </w:t>
      </w:r>
      <w:proofErr w:type="spellStart"/>
      <w:r w:rsidRPr="00DE3F81">
        <w:rPr>
          <w:szCs w:val="28"/>
          <w:shd w:val="clear" w:color="auto" w:fill="FFFFFF"/>
        </w:rPr>
        <w:t>sogodn</w:t>
      </w:r>
      <w:r w:rsidRPr="00DE3F81">
        <w:rPr>
          <w:szCs w:val="28"/>
          <w:shd w:val="clear" w:color="auto" w:fill="FFFFFF"/>
          <w:lang w:val="en-US"/>
        </w:rPr>
        <w:t>i</w:t>
      </w:r>
      <w:proofErr w:type="spellEnd"/>
      <w:r w:rsidRPr="00DE3F81">
        <w:rPr>
          <w:szCs w:val="28"/>
          <w:shd w:val="clear" w:color="auto" w:fill="FFFFFF"/>
        </w:rPr>
        <w:t xml:space="preserve"> </w:t>
      </w:r>
      <w:proofErr w:type="spellStart"/>
      <w:r w:rsidRPr="00DE3F81">
        <w:rPr>
          <w:szCs w:val="28"/>
          <w:shd w:val="clear" w:color="auto" w:fill="FFFFFF"/>
          <w:lang w:val="en-US"/>
        </w:rPr>
        <w:t>i</w:t>
      </w:r>
      <w:proofErr w:type="spellEnd"/>
      <w:r w:rsidRPr="00DE3F81">
        <w:rPr>
          <w:szCs w:val="28"/>
          <w:shd w:val="clear" w:color="auto" w:fill="FFFFFF"/>
        </w:rPr>
        <w:t xml:space="preserve"> </w:t>
      </w:r>
      <w:proofErr w:type="spellStart"/>
      <w:r w:rsidRPr="00DE3F81">
        <w:rPr>
          <w:szCs w:val="28"/>
          <w:shd w:val="clear" w:color="auto" w:fill="FFFFFF"/>
        </w:rPr>
        <w:t>zavtra</w:t>
      </w:r>
      <w:proofErr w:type="spellEnd"/>
      <w:r w:rsidRPr="00DE3F81">
        <w:rPr>
          <w:szCs w:val="28"/>
          <w:shd w:val="clear" w:color="auto" w:fill="FFFFFF"/>
        </w:rPr>
        <w:t>. – 2012. – № 3-4. – S.</w:t>
      </w:r>
      <w:r>
        <w:rPr>
          <w:szCs w:val="28"/>
          <w:shd w:val="clear" w:color="auto" w:fill="FFFFFF"/>
          <w:lang w:val="en-US"/>
        </w:rPr>
        <w:t xml:space="preserve"> </w:t>
      </w:r>
      <w:r w:rsidRPr="00DE3F81">
        <w:rPr>
          <w:szCs w:val="28"/>
          <w:shd w:val="clear" w:color="auto" w:fill="FFFFFF"/>
        </w:rPr>
        <w:t>75-81.</w:t>
      </w:r>
      <w:r w:rsidR="00C12709" w:rsidRPr="00DE3F81">
        <w:rPr>
          <w:rStyle w:val="element-citation"/>
          <w:lang w:val="en-US"/>
        </w:rPr>
        <w:t xml:space="preserve"> </w:t>
      </w:r>
    </w:p>
    <w:p w:rsidR="00322629" w:rsidRPr="00DE3F81" w:rsidRDefault="00D84389" w:rsidP="00DE3F81">
      <w:pPr>
        <w:pStyle w:val="a4"/>
        <w:numPr>
          <w:ilvl w:val="0"/>
          <w:numId w:val="1"/>
        </w:numPr>
        <w:ind w:left="0" w:firstLine="0"/>
        <w:rPr>
          <w:lang w:val="en-US"/>
        </w:rPr>
      </w:pPr>
      <w:proofErr w:type="spellStart"/>
      <w:r w:rsidRPr="00DE3F81">
        <w:rPr>
          <w:lang w:val="en-US"/>
        </w:rPr>
        <w:t>Lastra</w:t>
      </w:r>
      <w:proofErr w:type="spellEnd"/>
      <w:r w:rsidRPr="00DE3F81">
        <w:rPr>
          <w:lang w:val="en-US"/>
        </w:rPr>
        <w:t xml:space="preserve"> G</w:t>
      </w:r>
      <w:r>
        <w:rPr>
          <w:lang w:val="en-US"/>
        </w:rPr>
        <w:t xml:space="preserve">. </w:t>
      </w:r>
      <w:r w:rsidRPr="00DE3F81">
        <w:rPr>
          <w:lang w:val="en-US"/>
        </w:rPr>
        <w:t>Type 2 diabetes mellitus and hypertension: An update</w:t>
      </w:r>
      <w:r>
        <w:rPr>
          <w:lang w:val="en-US"/>
        </w:rPr>
        <w:t xml:space="preserve"> / G. </w:t>
      </w:r>
      <w:proofErr w:type="spellStart"/>
      <w:r>
        <w:rPr>
          <w:lang w:val="en-US"/>
        </w:rPr>
        <w:t>Lastra</w:t>
      </w:r>
      <w:proofErr w:type="spellEnd"/>
      <w:r>
        <w:rPr>
          <w:lang w:val="en-US"/>
        </w:rPr>
        <w:t>,</w:t>
      </w:r>
      <w:r w:rsidRPr="00DE3F81">
        <w:rPr>
          <w:lang w:val="en-US"/>
        </w:rPr>
        <w:t xml:space="preserve"> </w:t>
      </w:r>
      <w:r>
        <w:rPr>
          <w:lang w:val="en-US"/>
        </w:rPr>
        <w:t xml:space="preserve">S. </w:t>
      </w:r>
      <w:proofErr w:type="spellStart"/>
      <w:r w:rsidRPr="00DE3F81">
        <w:rPr>
          <w:lang w:val="en-US"/>
        </w:rPr>
        <w:t>Syed</w:t>
      </w:r>
      <w:proofErr w:type="spellEnd"/>
      <w:r w:rsidRPr="00DE3F81">
        <w:rPr>
          <w:lang w:val="en-US"/>
        </w:rPr>
        <w:t xml:space="preserve">, </w:t>
      </w:r>
      <w:r>
        <w:rPr>
          <w:lang w:val="en-US"/>
        </w:rPr>
        <w:t xml:space="preserve">L. R. </w:t>
      </w:r>
      <w:proofErr w:type="spellStart"/>
      <w:r w:rsidRPr="00DE3F81">
        <w:rPr>
          <w:lang w:val="en-US"/>
        </w:rPr>
        <w:t>Kurukulasuriya</w:t>
      </w:r>
      <w:proofErr w:type="spellEnd"/>
      <w:r>
        <w:rPr>
          <w:lang w:val="en-US"/>
        </w:rPr>
        <w:t xml:space="preserve"> [et al.] //</w:t>
      </w:r>
      <w:r w:rsidRPr="00DE3F81">
        <w:rPr>
          <w:rStyle w:val="apple-converted-space"/>
          <w:lang w:val="en-US"/>
        </w:rPr>
        <w:t> </w:t>
      </w:r>
      <w:r w:rsidRPr="00DE3F81">
        <w:rPr>
          <w:iCs/>
          <w:lang w:val="en-US"/>
        </w:rPr>
        <w:t>Endocrinology and metabolism clinics of North America</w:t>
      </w:r>
      <w:r w:rsidRPr="00DE3F81">
        <w:rPr>
          <w:lang w:val="en-US"/>
        </w:rPr>
        <w:t>.</w:t>
      </w:r>
      <w:r>
        <w:rPr>
          <w:lang w:val="en-US"/>
        </w:rPr>
        <w:t xml:space="preserve"> –</w:t>
      </w:r>
      <w:r w:rsidRPr="00DE3F81">
        <w:rPr>
          <w:lang w:val="en-US"/>
        </w:rPr>
        <w:t xml:space="preserve"> 2014</w:t>
      </w:r>
      <w:r>
        <w:rPr>
          <w:lang w:val="en-US"/>
        </w:rPr>
        <w:t xml:space="preserve">. – </w:t>
      </w:r>
      <w:r>
        <w:t xml:space="preserve">№ </w:t>
      </w:r>
      <w:r w:rsidRPr="00DE3F81">
        <w:rPr>
          <w:lang w:val="en-US"/>
        </w:rPr>
        <w:t>43(1)</w:t>
      </w:r>
      <w:r>
        <w:rPr>
          <w:lang w:val="en-US"/>
        </w:rPr>
        <w:t xml:space="preserve">. – S. </w:t>
      </w:r>
      <w:r w:rsidRPr="00DE3F81">
        <w:rPr>
          <w:lang w:val="en-US"/>
        </w:rPr>
        <w:t>103-122.</w:t>
      </w:r>
    </w:p>
    <w:p w:rsidR="00322629" w:rsidRPr="00DE3F81" w:rsidRDefault="00D84389" w:rsidP="00DE3F81">
      <w:pPr>
        <w:pStyle w:val="a4"/>
        <w:numPr>
          <w:ilvl w:val="0"/>
          <w:numId w:val="1"/>
        </w:numPr>
        <w:ind w:left="0" w:firstLine="0"/>
        <w:rPr>
          <w:szCs w:val="28"/>
          <w:lang w:val="en-US"/>
        </w:rPr>
      </w:pPr>
      <w:proofErr w:type="spellStart"/>
      <w:r w:rsidRPr="00DE3F81">
        <w:rPr>
          <w:lang w:val="en-US"/>
        </w:rPr>
        <w:t>Yosten</w:t>
      </w:r>
      <w:proofErr w:type="spellEnd"/>
      <w:r w:rsidRPr="00DE3F81">
        <w:rPr>
          <w:lang w:val="en-US"/>
        </w:rPr>
        <w:t xml:space="preserve"> G</w:t>
      </w:r>
      <w:r>
        <w:rPr>
          <w:lang w:val="en-US"/>
        </w:rPr>
        <w:t xml:space="preserve">. </w:t>
      </w:r>
      <w:r w:rsidRPr="00DE3F81">
        <w:rPr>
          <w:lang w:val="en-US"/>
        </w:rPr>
        <w:t>L</w:t>
      </w:r>
      <w:r>
        <w:rPr>
          <w:lang w:val="en-US"/>
        </w:rPr>
        <w:t xml:space="preserve">. </w:t>
      </w:r>
      <w:r w:rsidRPr="00DE3F81">
        <w:rPr>
          <w:lang w:val="en-US"/>
        </w:rPr>
        <w:t xml:space="preserve">Nesfatin-1 exerts cardiovascular actions in brain^ possible interaction with the central </w:t>
      </w:r>
      <w:proofErr w:type="spellStart"/>
      <w:r w:rsidRPr="00DE3F81">
        <w:rPr>
          <w:lang w:val="en-US"/>
        </w:rPr>
        <w:t>melanocortin</w:t>
      </w:r>
      <w:proofErr w:type="spellEnd"/>
      <w:r w:rsidRPr="00DE3F81">
        <w:rPr>
          <w:lang w:val="en-US"/>
        </w:rPr>
        <w:t xml:space="preserve"> system</w:t>
      </w:r>
      <w:r>
        <w:rPr>
          <w:lang w:val="en-US"/>
        </w:rPr>
        <w:t xml:space="preserve"> /</w:t>
      </w:r>
      <w:r w:rsidRPr="00DE3F81">
        <w:rPr>
          <w:lang w:val="en-US"/>
        </w:rPr>
        <w:t xml:space="preserve"> </w:t>
      </w:r>
      <w:r>
        <w:rPr>
          <w:lang w:val="en-US"/>
        </w:rPr>
        <w:t xml:space="preserve">G. L. </w:t>
      </w:r>
      <w:proofErr w:type="spellStart"/>
      <w:r>
        <w:rPr>
          <w:lang w:val="en-US"/>
        </w:rPr>
        <w:t>Yosten</w:t>
      </w:r>
      <w:proofErr w:type="spellEnd"/>
      <w:r>
        <w:rPr>
          <w:lang w:val="en-US"/>
        </w:rPr>
        <w:t xml:space="preserve">, W. K. </w:t>
      </w:r>
      <w:r w:rsidRPr="00DE3F81">
        <w:rPr>
          <w:lang w:val="en-US"/>
        </w:rPr>
        <w:t xml:space="preserve">Samson // </w:t>
      </w:r>
      <w:proofErr w:type="spellStart"/>
      <w:r w:rsidRPr="0025468B">
        <w:rPr>
          <w:color w:val="000000"/>
          <w:szCs w:val="28"/>
          <w:shd w:val="clear" w:color="auto" w:fill="FFFFFF"/>
        </w:rPr>
        <w:t>American</w:t>
      </w:r>
      <w:proofErr w:type="spellEnd"/>
      <w:r w:rsidRPr="0025468B">
        <w:rPr>
          <w:color w:val="000000"/>
          <w:szCs w:val="28"/>
          <w:shd w:val="clear" w:color="auto" w:fill="FFFFFF"/>
        </w:rPr>
        <w:t xml:space="preserve"> </w:t>
      </w:r>
      <w:proofErr w:type="spellStart"/>
      <w:r w:rsidRPr="0025468B">
        <w:rPr>
          <w:color w:val="000000"/>
          <w:szCs w:val="28"/>
          <w:shd w:val="clear" w:color="auto" w:fill="FFFFFF"/>
        </w:rPr>
        <w:t>journal</w:t>
      </w:r>
      <w:proofErr w:type="spellEnd"/>
      <w:r w:rsidRPr="0025468B">
        <w:rPr>
          <w:color w:val="000000"/>
          <w:szCs w:val="28"/>
          <w:shd w:val="clear" w:color="auto" w:fill="FFFFFF"/>
        </w:rPr>
        <w:t xml:space="preserve"> </w:t>
      </w:r>
      <w:proofErr w:type="spellStart"/>
      <w:r w:rsidRPr="0025468B">
        <w:rPr>
          <w:color w:val="000000"/>
          <w:szCs w:val="28"/>
          <w:shd w:val="clear" w:color="auto" w:fill="FFFFFF"/>
        </w:rPr>
        <w:t>of</w:t>
      </w:r>
      <w:proofErr w:type="spellEnd"/>
      <w:r w:rsidRPr="0025468B">
        <w:rPr>
          <w:color w:val="000000"/>
          <w:szCs w:val="28"/>
          <w:shd w:val="clear" w:color="auto" w:fill="FFFFFF"/>
        </w:rPr>
        <w:t xml:space="preserve"> </w:t>
      </w:r>
      <w:proofErr w:type="spellStart"/>
      <w:r w:rsidRPr="0025468B">
        <w:rPr>
          <w:color w:val="000000"/>
          <w:szCs w:val="28"/>
          <w:shd w:val="clear" w:color="auto" w:fill="FFFFFF"/>
        </w:rPr>
        <w:t>physiology</w:t>
      </w:r>
      <w:proofErr w:type="spellEnd"/>
      <w:r w:rsidRPr="0025468B">
        <w:rPr>
          <w:color w:val="000000"/>
          <w:szCs w:val="28"/>
          <w:shd w:val="clear" w:color="auto" w:fill="FFFFFF"/>
        </w:rPr>
        <w:t xml:space="preserve">. </w:t>
      </w:r>
      <w:proofErr w:type="spellStart"/>
      <w:r w:rsidRPr="0025468B">
        <w:rPr>
          <w:color w:val="000000"/>
          <w:szCs w:val="28"/>
          <w:shd w:val="clear" w:color="auto" w:fill="FFFFFF"/>
        </w:rPr>
        <w:t>Regulatory</w:t>
      </w:r>
      <w:proofErr w:type="spellEnd"/>
      <w:r w:rsidRPr="0025468B">
        <w:rPr>
          <w:color w:val="000000"/>
          <w:szCs w:val="28"/>
          <w:shd w:val="clear" w:color="auto" w:fill="FFFFFF"/>
        </w:rPr>
        <w:t xml:space="preserve">, </w:t>
      </w:r>
      <w:proofErr w:type="spellStart"/>
      <w:r w:rsidRPr="0025468B">
        <w:rPr>
          <w:color w:val="000000"/>
          <w:szCs w:val="28"/>
          <w:shd w:val="clear" w:color="auto" w:fill="FFFFFF"/>
        </w:rPr>
        <w:t>integrative</w:t>
      </w:r>
      <w:proofErr w:type="spellEnd"/>
      <w:r w:rsidRPr="0025468B">
        <w:rPr>
          <w:color w:val="000000"/>
          <w:szCs w:val="28"/>
          <w:shd w:val="clear" w:color="auto" w:fill="FFFFFF"/>
        </w:rPr>
        <w:t xml:space="preserve"> </w:t>
      </w:r>
      <w:proofErr w:type="spellStart"/>
      <w:r w:rsidRPr="0025468B">
        <w:rPr>
          <w:color w:val="000000"/>
          <w:szCs w:val="28"/>
          <w:shd w:val="clear" w:color="auto" w:fill="FFFFFF"/>
        </w:rPr>
        <w:t>and</w:t>
      </w:r>
      <w:proofErr w:type="spellEnd"/>
      <w:r w:rsidRPr="0025468B">
        <w:rPr>
          <w:color w:val="000000"/>
          <w:szCs w:val="28"/>
          <w:shd w:val="clear" w:color="auto" w:fill="FFFFFF"/>
        </w:rPr>
        <w:t xml:space="preserve"> </w:t>
      </w:r>
      <w:proofErr w:type="spellStart"/>
      <w:r w:rsidRPr="0025468B">
        <w:rPr>
          <w:color w:val="000000"/>
          <w:szCs w:val="28"/>
          <w:shd w:val="clear" w:color="auto" w:fill="FFFFFF"/>
        </w:rPr>
        <w:t>comparative</w:t>
      </w:r>
      <w:proofErr w:type="spellEnd"/>
      <w:r w:rsidRPr="0025468B">
        <w:rPr>
          <w:color w:val="000000"/>
          <w:szCs w:val="28"/>
          <w:shd w:val="clear" w:color="auto" w:fill="FFFFFF"/>
        </w:rPr>
        <w:t xml:space="preserve"> </w:t>
      </w:r>
      <w:proofErr w:type="spellStart"/>
      <w:r w:rsidRPr="0025468B">
        <w:rPr>
          <w:color w:val="000000"/>
          <w:szCs w:val="28"/>
          <w:shd w:val="clear" w:color="auto" w:fill="FFFFFF"/>
        </w:rPr>
        <w:t>physiology</w:t>
      </w:r>
      <w:proofErr w:type="spellEnd"/>
      <w:r>
        <w:rPr>
          <w:color w:val="000000"/>
          <w:szCs w:val="28"/>
          <w:shd w:val="clear" w:color="auto" w:fill="FFFFFF"/>
          <w:lang w:val="en-US"/>
        </w:rPr>
        <w:t>.</w:t>
      </w:r>
      <w:r w:rsidRPr="0025468B">
        <w:rPr>
          <w:szCs w:val="28"/>
          <w:lang w:val="en-US"/>
        </w:rPr>
        <w:t xml:space="preserve"> – </w:t>
      </w:r>
      <w:r w:rsidRPr="00DE3F81">
        <w:rPr>
          <w:lang w:val="en-US"/>
        </w:rPr>
        <w:t>2009.</w:t>
      </w:r>
      <w:r>
        <w:rPr>
          <w:lang w:val="en-US"/>
        </w:rPr>
        <w:t xml:space="preserve"> </w:t>
      </w:r>
      <w:r w:rsidRPr="00DE3F81">
        <w:rPr>
          <w:lang w:val="en-US"/>
        </w:rPr>
        <w:t xml:space="preserve">– </w:t>
      </w:r>
      <w:r>
        <w:t xml:space="preserve">№ </w:t>
      </w:r>
      <w:r w:rsidRPr="00DE3F81">
        <w:rPr>
          <w:lang w:val="en-US"/>
        </w:rPr>
        <w:t>297(2).</w:t>
      </w:r>
      <w:r>
        <w:rPr>
          <w:lang w:val="en-US"/>
        </w:rPr>
        <w:t xml:space="preserve"> </w:t>
      </w:r>
      <w:r w:rsidRPr="00DE3F81">
        <w:rPr>
          <w:lang w:val="en-US"/>
        </w:rPr>
        <w:t xml:space="preserve">– </w:t>
      </w:r>
      <w:proofErr w:type="gramStart"/>
      <w:r w:rsidRPr="00DE3F81">
        <w:rPr>
          <w:lang w:val="en-US"/>
        </w:rPr>
        <w:t>Р. 330</w:t>
      </w:r>
      <w:proofErr w:type="gramEnd"/>
      <w:r w:rsidRPr="00DE3F81">
        <w:rPr>
          <w:lang w:val="en-US"/>
        </w:rPr>
        <w:t>–</w:t>
      </w:r>
      <w:r>
        <w:rPr>
          <w:lang w:val="en-US"/>
        </w:rPr>
        <w:t>33</w:t>
      </w:r>
      <w:r w:rsidRPr="00DE3F81">
        <w:rPr>
          <w:lang w:val="en-US"/>
        </w:rPr>
        <w:t>6.</w:t>
      </w:r>
      <w:r w:rsidR="00C12709" w:rsidRPr="00DE3F81">
        <w:rPr>
          <w:lang w:val="en-US"/>
        </w:rPr>
        <w:t xml:space="preserve"> </w:t>
      </w:r>
    </w:p>
    <w:p w:rsidR="00322629" w:rsidRPr="00DE3F81" w:rsidRDefault="00D84389" w:rsidP="00DE3F81">
      <w:pPr>
        <w:pStyle w:val="a4"/>
        <w:numPr>
          <w:ilvl w:val="0"/>
          <w:numId w:val="1"/>
        </w:numPr>
        <w:ind w:left="0" w:firstLine="0"/>
        <w:rPr>
          <w:lang w:val="en-US"/>
        </w:rPr>
      </w:pPr>
      <w:proofErr w:type="spellStart"/>
      <w:r w:rsidRPr="00DE3F81">
        <w:rPr>
          <w:lang w:val="en-US"/>
        </w:rPr>
        <w:t>Yamawaki</w:t>
      </w:r>
      <w:proofErr w:type="spellEnd"/>
      <w:r w:rsidRPr="00DE3F81">
        <w:rPr>
          <w:lang w:val="en-US"/>
        </w:rPr>
        <w:t xml:space="preserve"> H.</w:t>
      </w:r>
      <w:r>
        <w:rPr>
          <w:lang w:val="en-US"/>
        </w:rPr>
        <w:t xml:space="preserve"> </w:t>
      </w:r>
      <w:r w:rsidRPr="00DE3F81">
        <w:rPr>
          <w:lang w:val="en-US"/>
        </w:rPr>
        <w:t xml:space="preserve">A novel </w:t>
      </w:r>
      <w:proofErr w:type="spellStart"/>
      <w:r w:rsidRPr="00DE3F81">
        <w:rPr>
          <w:lang w:val="en-US"/>
        </w:rPr>
        <w:t>adipocytokine</w:t>
      </w:r>
      <w:proofErr w:type="spellEnd"/>
      <w:r w:rsidRPr="00DE3F81">
        <w:rPr>
          <w:lang w:val="en-US"/>
        </w:rPr>
        <w:t>? Nesfatin-1 modulates peripheral arterial contractility and blood pressure in rats</w:t>
      </w:r>
      <w:r>
        <w:rPr>
          <w:lang w:val="en-US"/>
        </w:rPr>
        <w:t xml:space="preserve"> / H. </w:t>
      </w:r>
      <w:proofErr w:type="spellStart"/>
      <w:r>
        <w:rPr>
          <w:lang w:val="en-US"/>
        </w:rPr>
        <w:t>Yamawaki</w:t>
      </w:r>
      <w:proofErr w:type="spellEnd"/>
      <w:r>
        <w:rPr>
          <w:lang w:val="en-US"/>
        </w:rPr>
        <w:t>,</w:t>
      </w:r>
      <w:r w:rsidRPr="00DE3F81">
        <w:rPr>
          <w:lang w:val="en-US"/>
        </w:rPr>
        <w:t xml:space="preserve"> </w:t>
      </w:r>
      <w:r>
        <w:rPr>
          <w:lang w:val="en-US"/>
        </w:rPr>
        <w:t xml:space="preserve">M. </w:t>
      </w:r>
      <w:r w:rsidRPr="00DE3F81">
        <w:rPr>
          <w:lang w:val="en-US"/>
        </w:rPr>
        <w:t xml:space="preserve">Takahashi, </w:t>
      </w:r>
      <w:r>
        <w:rPr>
          <w:lang w:val="en-US"/>
        </w:rPr>
        <w:t xml:space="preserve">M. </w:t>
      </w:r>
      <w:proofErr w:type="spellStart"/>
      <w:r w:rsidRPr="00DE3F81">
        <w:rPr>
          <w:lang w:val="en-US"/>
        </w:rPr>
        <w:t>Mukohda</w:t>
      </w:r>
      <w:proofErr w:type="spellEnd"/>
      <w:r w:rsidRPr="00DE3F81">
        <w:rPr>
          <w:lang w:val="en-US"/>
        </w:rPr>
        <w:t xml:space="preserve"> </w:t>
      </w:r>
      <w:r>
        <w:rPr>
          <w:lang w:val="en-US"/>
        </w:rPr>
        <w:lastRenderedPageBreak/>
        <w:t>[</w:t>
      </w:r>
      <w:r w:rsidRPr="00DE3F81">
        <w:rPr>
          <w:lang w:val="en-US"/>
        </w:rPr>
        <w:t>et al.</w:t>
      </w:r>
      <w:r>
        <w:rPr>
          <w:lang w:val="en-US"/>
        </w:rPr>
        <w:t>]</w:t>
      </w:r>
      <w:r w:rsidRPr="00DE3F81">
        <w:rPr>
          <w:lang w:val="en-US"/>
        </w:rPr>
        <w:t xml:space="preserve"> </w:t>
      </w:r>
      <w:r w:rsidRPr="009A27CB">
        <w:rPr>
          <w:lang w:val="en-US"/>
        </w:rPr>
        <w:t xml:space="preserve">// </w:t>
      </w:r>
      <w:proofErr w:type="spellStart"/>
      <w:r w:rsidRPr="009A27CB">
        <w:rPr>
          <w:rFonts w:eastAsia="Arial Unicode MS"/>
          <w:szCs w:val="28"/>
        </w:rPr>
        <w:t>Biochemical</w:t>
      </w:r>
      <w:proofErr w:type="spellEnd"/>
      <w:r w:rsidRPr="009A27CB">
        <w:rPr>
          <w:rFonts w:eastAsia="Arial Unicode MS"/>
          <w:szCs w:val="28"/>
        </w:rPr>
        <w:t xml:space="preserve"> </w:t>
      </w:r>
      <w:proofErr w:type="spellStart"/>
      <w:r w:rsidRPr="009A27CB">
        <w:rPr>
          <w:rFonts w:eastAsia="Arial Unicode MS"/>
          <w:szCs w:val="28"/>
        </w:rPr>
        <w:t>and</w:t>
      </w:r>
      <w:proofErr w:type="spellEnd"/>
      <w:r w:rsidRPr="009A27CB">
        <w:rPr>
          <w:rFonts w:eastAsia="Arial Unicode MS"/>
          <w:szCs w:val="28"/>
        </w:rPr>
        <w:t xml:space="preserve"> </w:t>
      </w:r>
      <w:proofErr w:type="spellStart"/>
      <w:r w:rsidRPr="009A27CB">
        <w:rPr>
          <w:rFonts w:eastAsia="Arial Unicode MS"/>
          <w:szCs w:val="28"/>
        </w:rPr>
        <w:t>Biophysical</w:t>
      </w:r>
      <w:proofErr w:type="spellEnd"/>
      <w:r w:rsidRPr="009A27CB">
        <w:rPr>
          <w:rFonts w:eastAsia="Arial Unicode MS"/>
          <w:szCs w:val="28"/>
        </w:rPr>
        <w:t xml:space="preserve"> </w:t>
      </w:r>
      <w:proofErr w:type="spellStart"/>
      <w:r w:rsidRPr="009A27CB">
        <w:rPr>
          <w:rFonts w:eastAsia="Arial Unicode MS"/>
          <w:szCs w:val="28"/>
        </w:rPr>
        <w:t>Research</w:t>
      </w:r>
      <w:proofErr w:type="spellEnd"/>
      <w:r w:rsidRPr="009A27CB">
        <w:rPr>
          <w:rFonts w:eastAsia="Arial Unicode MS"/>
          <w:szCs w:val="28"/>
        </w:rPr>
        <w:t xml:space="preserve"> </w:t>
      </w:r>
      <w:proofErr w:type="spellStart"/>
      <w:r w:rsidRPr="009A27CB">
        <w:rPr>
          <w:rFonts w:eastAsia="Arial Unicode MS"/>
          <w:szCs w:val="28"/>
        </w:rPr>
        <w:t>Communications</w:t>
      </w:r>
      <w:proofErr w:type="spellEnd"/>
      <w:r w:rsidRPr="00DE3F81">
        <w:rPr>
          <w:lang w:val="en-US"/>
        </w:rPr>
        <w:t>. – 2012.</w:t>
      </w:r>
      <w:r>
        <w:rPr>
          <w:lang w:val="en-US"/>
        </w:rPr>
        <w:t xml:space="preserve"> </w:t>
      </w:r>
      <w:r w:rsidRPr="00DE3F81">
        <w:rPr>
          <w:lang w:val="en-US"/>
        </w:rPr>
        <w:t>–</w:t>
      </w:r>
      <w:r>
        <w:rPr>
          <w:lang w:val="en-US"/>
        </w:rPr>
        <w:t xml:space="preserve"> </w:t>
      </w:r>
      <w:r w:rsidRPr="009A27CB">
        <w:rPr>
          <w:lang w:val="en-US"/>
        </w:rPr>
        <w:t>№</w:t>
      </w:r>
      <w:r w:rsidRPr="00DE3F81">
        <w:rPr>
          <w:lang w:val="en-US"/>
        </w:rPr>
        <w:t xml:space="preserve"> 418(4).</w:t>
      </w:r>
      <w:r w:rsidRPr="009A27CB">
        <w:rPr>
          <w:lang w:val="en-US"/>
        </w:rPr>
        <w:t xml:space="preserve"> </w:t>
      </w:r>
      <w:r w:rsidRPr="00DE3F81">
        <w:rPr>
          <w:lang w:val="en-US"/>
        </w:rPr>
        <w:t xml:space="preserve">– </w:t>
      </w:r>
      <w:proofErr w:type="gramStart"/>
      <w:r w:rsidRPr="00DE3F81">
        <w:rPr>
          <w:lang w:val="en-US"/>
        </w:rPr>
        <w:t>Р. 676</w:t>
      </w:r>
      <w:proofErr w:type="gramEnd"/>
      <w:r w:rsidRPr="00DE3F81">
        <w:rPr>
          <w:lang w:val="en-US"/>
        </w:rPr>
        <w:t>–</w:t>
      </w:r>
      <w:r w:rsidRPr="009A27CB">
        <w:rPr>
          <w:lang w:val="en-US"/>
        </w:rPr>
        <w:t>6</w:t>
      </w:r>
      <w:r w:rsidRPr="00DE3F81">
        <w:rPr>
          <w:lang w:val="en-US"/>
        </w:rPr>
        <w:t>81.</w:t>
      </w:r>
      <w:r w:rsidR="00C12709" w:rsidRPr="00DE3F81">
        <w:rPr>
          <w:lang w:val="en-US"/>
        </w:rPr>
        <w:t xml:space="preserve"> </w:t>
      </w:r>
    </w:p>
    <w:p w:rsidR="000F5725" w:rsidRPr="00D84389" w:rsidRDefault="00D84389" w:rsidP="00D84389">
      <w:pPr>
        <w:pStyle w:val="a4"/>
        <w:numPr>
          <w:ilvl w:val="0"/>
          <w:numId w:val="1"/>
        </w:numPr>
        <w:ind w:left="0" w:firstLine="0"/>
        <w:rPr>
          <w:lang w:val="en-US"/>
        </w:rPr>
      </w:pPr>
      <w:proofErr w:type="spellStart"/>
      <w:r w:rsidRPr="00DE3F81">
        <w:rPr>
          <w:lang w:val="en-US"/>
        </w:rPr>
        <w:t>Ramanjaneya</w:t>
      </w:r>
      <w:proofErr w:type="spellEnd"/>
      <w:r w:rsidRPr="00DE3F81">
        <w:rPr>
          <w:lang w:val="en-US"/>
        </w:rPr>
        <w:t xml:space="preserve"> M</w:t>
      </w:r>
      <w:r>
        <w:rPr>
          <w:lang w:val="en-US"/>
        </w:rPr>
        <w:t>.</w:t>
      </w:r>
      <w:r w:rsidRPr="00DE3F81">
        <w:rPr>
          <w:lang w:val="en-US"/>
        </w:rPr>
        <w:t xml:space="preserve"> Identification of nesfatin-1 in human and </w:t>
      </w:r>
      <w:proofErr w:type="spellStart"/>
      <w:r w:rsidRPr="00DE3F81">
        <w:rPr>
          <w:lang w:val="en-US"/>
        </w:rPr>
        <w:t>murine</w:t>
      </w:r>
      <w:proofErr w:type="spellEnd"/>
      <w:r w:rsidRPr="00DE3F81">
        <w:rPr>
          <w:lang w:val="en-US"/>
        </w:rPr>
        <w:t xml:space="preserve"> adipose tissue: a novel depot-specific </w:t>
      </w:r>
      <w:proofErr w:type="spellStart"/>
      <w:r w:rsidRPr="00DE3F81">
        <w:rPr>
          <w:lang w:val="en-US"/>
        </w:rPr>
        <w:t>adipokine</w:t>
      </w:r>
      <w:proofErr w:type="spellEnd"/>
      <w:r w:rsidRPr="00DE3F81">
        <w:rPr>
          <w:lang w:val="en-US"/>
        </w:rPr>
        <w:t xml:space="preserve"> with increased levels in obesity</w:t>
      </w:r>
      <w:r>
        <w:rPr>
          <w:lang w:val="en-US"/>
        </w:rPr>
        <w:t xml:space="preserve"> / M. </w:t>
      </w:r>
      <w:proofErr w:type="spellStart"/>
      <w:r w:rsidRPr="00DE3F81">
        <w:rPr>
          <w:lang w:val="en-US"/>
        </w:rPr>
        <w:t>Ramanjaneya</w:t>
      </w:r>
      <w:proofErr w:type="spellEnd"/>
      <w:r>
        <w:rPr>
          <w:lang w:val="en-US"/>
        </w:rPr>
        <w:t>, J</w:t>
      </w:r>
      <w:r w:rsidRPr="00DE3F81">
        <w:rPr>
          <w:lang w:val="en-US"/>
        </w:rPr>
        <w:t xml:space="preserve"> Chen, </w:t>
      </w:r>
      <w:r>
        <w:rPr>
          <w:lang w:val="en-US"/>
        </w:rPr>
        <w:t xml:space="preserve">J. E. </w:t>
      </w:r>
      <w:r w:rsidRPr="00DE3F81">
        <w:rPr>
          <w:lang w:val="en-US"/>
        </w:rPr>
        <w:t>Brown</w:t>
      </w:r>
      <w:r>
        <w:rPr>
          <w:lang w:val="en-US"/>
        </w:rPr>
        <w:t xml:space="preserve"> [et al.] //</w:t>
      </w:r>
      <w:r w:rsidRPr="00DE3F81">
        <w:rPr>
          <w:rStyle w:val="apple-converted-space"/>
          <w:lang w:val="en-US"/>
        </w:rPr>
        <w:t> </w:t>
      </w:r>
      <w:r w:rsidRPr="00DE3F81">
        <w:rPr>
          <w:rStyle w:val="ref-journal"/>
          <w:lang w:val="en-US"/>
        </w:rPr>
        <w:t>Endocrinology.</w:t>
      </w:r>
      <w:r>
        <w:rPr>
          <w:rStyle w:val="ref-journal"/>
          <w:lang w:val="en-US"/>
        </w:rPr>
        <w:t xml:space="preserve"> –</w:t>
      </w:r>
      <w:r w:rsidRPr="00DE3F81">
        <w:rPr>
          <w:rStyle w:val="apple-converted-space"/>
          <w:lang w:val="en-US"/>
        </w:rPr>
        <w:t> </w:t>
      </w:r>
      <w:r w:rsidRPr="00DE3F81">
        <w:rPr>
          <w:lang w:val="en-US"/>
        </w:rPr>
        <w:t>2010</w:t>
      </w:r>
      <w:r>
        <w:rPr>
          <w:lang w:val="en-US"/>
        </w:rPr>
        <w:t xml:space="preserve">. – </w:t>
      </w:r>
      <w:r>
        <w:t xml:space="preserve">№ </w:t>
      </w:r>
      <w:r w:rsidRPr="00DE3F81">
        <w:rPr>
          <w:rStyle w:val="ref-vol"/>
          <w:lang w:val="en-US"/>
        </w:rPr>
        <w:t>151</w:t>
      </w:r>
      <w:r>
        <w:rPr>
          <w:rStyle w:val="ref-vol"/>
          <w:lang w:val="en-US"/>
        </w:rPr>
        <w:t xml:space="preserve">. – </w:t>
      </w:r>
      <w:r w:rsidRPr="00DE3F81">
        <w:rPr>
          <w:lang w:val="en-US"/>
        </w:rPr>
        <w:t>3169–3180.</w:t>
      </w:r>
    </w:p>
    <w:sectPr w:rsidR="000F5725" w:rsidRPr="00D84389" w:rsidSect="0032262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20AF0"/>
    <w:multiLevelType w:val="hybridMultilevel"/>
    <w:tmpl w:val="55A28758"/>
    <w:lvl w:ilvl="0" w:tplc="C05C3B8C">
      <w:start w:val="1"/>
      <w:numFmt w:val="decimal"/>
      <w:lvlText w:val="%1."/>
      <w:lvlJc w:val="left"/>
      <w:pPr>
        <w:ind w:left="1729" w:hanging="1020"/>
      </w:pPr>
      <w:rPr>
        <w:rFonts w:ascii="Times New Roman" w:hAnsi="Times New Roman"/>
      </w:rPr>
    </w:lvl>
    <w:lvl w:ilvl="1" w:tplc="BD9A2E26">
      <w:start w:val="1"/>
      <w:numFmt w:val="lowerLetter"/>
      <w:lvlText w:val="%2."/>
      <w:lvlJc w:val="left"/>
      <w:pPr>
        <w:ind w:left="1789" w:hanging="360"/>
      </w:pPr>
    </w:lvl>
    <w:lvl w:ilvl="2" w:tplc="C2E2F7CA">
      <w:start w:val="1"/>
      <w:numFmt w:val="lowerRoman"/>
      <w:lvlText w:val="%3."/>
      <w:lvlJc w:val="right"/>
      <w:pPr>
        <w:ind w:left="2509" w:hanging="180"/>
      </w:pPr>
    </w:lvl>
    <w:lvl w:ilvl="3" w:tplc="A7C6C59E">
      <w:start w:val="1"/>
      <w:numFmt w:val="decimal"/>
      <w:lvlText w:val="%4."/>
      <w:lvlJc w:val="left"/>
      <w:pPr>
        <w:ind w:left="3229" w:hanging="360"/>
      </w:pPr>
    </w:lvl>
    <w:lvl w:ilvl="4" w:tplc="B270E8E0">
      <w:start w:val="1"/>
      <w:numFmt w:val="lowerLetter"/>
      <w:lvlText w:val="%5."/>
      <w:lvlJc w:val="left"/>
      <w:pPr>
        <w:ind w:left="3949" w:hanging="360"/>
      </w:pPr>
    </w:lvl>
    <w:lvl w:ilvl="5" w:tplc="64441068">
      <w:start w:val="1"/>
      <w:numFmt w:val="lowerRoman"/>
      <w:lvlText w:val="%6."/>
      <w:lvlJc w:val="right"/>
      <w:pPr>
        <w:ind w:left="4669" w:hanging="180"/>
      </w:pPr>
    </w:lvl>
    <w:lvl w:ilvl="6" w:tplc="DBF0047E">
      <w:start w:val="1"/>
      <w:numFmt w:val="decimal"/>
      <w:lvlText w:val="%7."/>
      <w:lvlJc w:val="left"/>
      <w:pPr>
        <w:ind w:left="5389" w:hanging="360"/>
      </w:pPr>
    </w:lvl>
    <w:lvl w:ilvl="7" w:tplc="BFE2C752">
      <w:start w:val="1"/>
      <w:numFmt w:val="lowerLetter"/>
      <w:lvlText w:val="%8."/>
      <w:lvlJc w:val="left"/>
      <w:pPr>
        <w:ind w:left="6109" w:hanging="360"/>
      </w:pPr>
    </w:lvl>
    <w:lvl w:ilvl="8" w:tplc="46606468">
      <w:start w:val="1"/>
      <w:numFmt w:val="lowerRoman"/>
      <w:lvlText w:val="%9."/>
      <w:lvlJc w:val="right"/>
      <w:pPr>
        <w:ind w:left="6829" w:hanging="180"/>
      </w:pPr>
    </w:lvl>
  </w:abstractNum>
  <w:abstractNum w:abstractNumId="1">
    <w:nsid w:val="6F1F5605"/>
    <w:multiLevelType w:val="hybridMultilevel"/>
    <w:tmpl w:val="E3A001C4"/>
    <w:lvl w:ilvl="0" w:tplc="1C542B4C">
      <w:start w:val="1"/>
      <w:numFmt w:val="decimal"/>
      <w:lvlText w:val="%1."/>
      <w:lvlJc w:val="left"/>
      <w:pPr>
        <w:ind w:left="720" w:hanging="360"/>
      </w:pPr>
    </w:lvl>
    <w:lvl w:ilvl="1" w:tplc="8D2078A8">
      <w:start w:val="1"/>
      <w:numFmt w:val="lowerLetter"/>
      <w:lvlText w:val="%2."/>
      <w:lvlJc w:val="left"/>
      <w:pPr>
        <w:ind w:left="1440" w:hanging="360"/>
      </w:pPr>
    </w:lvl>
    <w:lvl w:ilvl="2" w:tplc="286AEDA6">
      <w:start w:val="1"/>
      <w:numFmt w:val="lowerRoman"/>
      <w:lvlText w:val="%3."/>
      <w:lvlJc w:val="right"/>
      <w:pPr>
        <w:ind w:left="2160" w:hanging="180"/>
      </w:pPr>
    </w:lvl>
    <w:lvl w:ilvl="3" w:tplc="A350BDD4">
      <w:start w:val="1"/>
      <w:numFmt w:val="decimal"/>
      <w:lvlText w:val="%4."/>
      <w:lvlJc w:val="left"/>
      <w:pPr>
        <w:ind w:left="2880" w:hanging="360"/>
      </w:pPr>
    </w:lvl>
    <w:lvl w:ilvl="4" w:tplc="F99C9276">
      <w:start w:val="1"/>
      <w:numFmt w:val="lowerLetter"/>
      <w:lvlText w:val="%5."/>
      <w:lvlJc w:val="left"/>
      <w:pPr>
        <w:ind w:left="3600" w:hanging="360"/>
      </w:pPr>
    </w:lvl>
    <w:lvl w:ilvl="5" w:tplc="59B26230">
      <w:start w:val="1"/>
      <w:numFmt w:val="lowerRoman"/>
      <w:lvlText w:val="%6."/>
      <w:lvlJc w:val="right"/>
      <w:pPr>
        <w:ind w:left="4320" w:hanging="180"/>
      </w:pPr>
    </w:lvl>
    <w:lvl w:ilvl="6" w:tplc="41B64A4A">
      <w:start w:val="1"/>
      <w:numFmt w:val="decimal"/>
      <w:lvlText w:val="%7."/>
      <w:lvlJc w:val="left"/>
      <w:pPr>
        <w:ind w:left="5040" w:hanging="360"/>
      </w:pPr>
    </w:lvl>
    <w:lvl w:ilvl="7" w:tplc="7696FA06">
      <w:start w:val="1"/>
      <w:numFmt w:val="lowerLetter"/>
      <w:lvlText w:val="%8."/>
      <w:lvlJc w:val="left"/>
      <w:pPr>
        <w:ind w:left="5760" w:hanging="360"/>
      </w:pPr>
    </w:lvl>
    <w:lvl w:ilvl="8" w:tplc="83CCBC3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1234A8"/>
    <w:rsid w:val="00013090"/>
    <w:rsid w:val="0006510D"/>
    <w:rsid w:val="000B236C"/>
    <w:rsid w:val="000D2986"/>
    <w:rsid w:val="000D5D0C"/>
    <w:rsid w:val="000F5725"/>
    <w:rsid w:val="0010546A"/>
    <w:rsid w:val="00106A69"/>
    <w:rsid w:val="001170CF"/>
    <w:rsid w:val="00121780"/>
    <w:rsid w:val="001226DD"/>
    <w:rsid w:val="001234A8"/>
    <w:rsid w:val="00155579"/>
    <w:rsid w:val="00156ADE"/>
    <w:rsid w:val="00160335"/>
    <w:rsid w:val="00170AB2"/>
    <w:rsid w:val="00181F31"/>
    <w:rsid w:val="00193BCD"/>
    <w:rsid w:val="001961B0"/>
    <w:rsid w:val="001C7696"/>
    <w:rsid w:val="001E1C85"/>
    <w:rsid w:val="001E7CB0"/>
    <w:rsid w:val="001F73C0"/>
    <w:rsid w:val="0022215D"/>
    <w:rsid w:val="00246BEF"/>
    <w:rsid w:val="00253295"/>
    <w:rsid w:val="00253AD6"/>
    <w:rsid w:val="0025468B"/>
    <w:rsid w:val="0027264D"/>
    <w:rsid w:val="00290D6C"/>
    <w:rsid w:val="002F101A"/>
    <w:rsid w:val="003207A1"/>
    <w:rsid w:val="00322629"/>
    <w:rsid w:val="00344665"/>
    <w:rsid w:val="00346DC9"/>
    <w:rsid w:val="00361D83"/>
    <w:rsid w:val="00376368"/>
    <w:rsid w:val="0038507D"/>
    <w:rsid w:val="003B7801"/>
    <w:rsid w:val="003C290A"/>
    <w:rsid w:val="003E2E7F"/>
    <w:rsid w:val="003E50CD"/>
    <w:rsid w:val="0041048D"/>
    <w:rsid w:val="00450823"/>
    <w:rsid w:val="00457CA6"/>
    <w:rsid w:val="0049471A"/>
    <w:rsid w:val="004B24A4"/>
    <w:rsid w:val="004C3FBE"/>
    <w:rsid w:val="004D2EA5"/>
    <w:rsid w:val="004D41E9"/>
    <w:rsid w:val="004F3C99"/>
    <w:rsid w:val="00503B40"/>
    <w:rsid w:val="005056B3"/>
    <w:rsid w:val="00517411"/>
    <w:rsid w:val="00526A91"/>
    <w:rsid w:val="005A0F58"/>
    <w:rsid w:val="005C224B"/>
    <w:rsid w:val="006136AB"/>
    <w:rsid w:val="00622254"/>
    <w:rsid w:val="00652D1B"/>
    <w:rsid w:val="0068151F"/>
    <w:rsid w:val="00692C16"/>
    <w:rsid w:val="006D58B5"/>
    <w:rsid w:val="00714044"/>
    <w:rsid w:val="007211CA"/>
    <w:rsid w:val="00741B4E"/>
    <w:rsid w:val="00745519"/>
    <w:rsid w:val="00763B13"/>
    <w:rsid w:val="007900C0"/>
    <w:rsid w:val="007A2D8C"/>
    <w:rsid w:val="007C51CE"/>
    <w:rsid w:val="007C7B8F"/>
    <w:rsid w:val="0085217E"/>
    <w:rsid w:val="0087128F"/>
    <w:rsid w:val="0087174A"/>
    <w:rsid w:val="00871B09"/>
    <w:rsid w:val="008D099F"/>
    <w:rsid w:val="008F2FE5"/>
    <w:rsid w:val="00902593"/>
    <w:rsid w:val="00951252"/>
    <w:rsid w:val="00964857"/>
    <w:rsid w:val="00971F5C"/>
    <w:rsid w:val="00974857"/>
    <w:rsid w:val="009A27CB"/>
    <w:rsid w:val="009F11FB"/>
    <w:rsid w:val="009F3C3F"/>
    <w:rsid w:val="00A30090"/>
    <w:rsid w:val="00A52E1B"/>
    <w:rsid w:val="00AA1952"/>
    <w:rsid w:val="00AC54A0"/>
    <w:rsid w:val="00AF4B68"/>
    <w:rsid w:val="00B30BA6"/>
    <w:rsid w:val="00B41902"/>
    <w:rsid w:val="00B5331F"/>
    <w:rsid w:val="00B63780"/>
    <w:rsid w:val="00B97A43"/>
    <w:rsid w:val="00BA1C68"/>
    <w:rsid w:val="00BC0F83"/>
    <w:rsid w:val="00BD0DF3"/>
    <w:rsid w:val="00BD1E1F"/>
    <w:rsid w:val="00BF20A2"/>
    <w:rsid w:val="00C007F5"/>
    <w:rsid w:val="00C00A21"/>
    <w:rsid w:val="00C12709"/>
    <w:rsid w:val="00C13230"/>
    <w:rsid w:val="00C16DCB"/>
    <w:rsid w:val="00C8449B"/>
    <w:rsid w:val="00C8695F"/>
    <w:rsid w:val="00CA1085"/>
    <w:rsid w:val="00CF5550"/>
    <w:rsid w:val="00D1066B"/>
    <w:rsid w:val="00D33CE1"/>
    <w:rsid w:val="00D6338D"/>
    <w:rsid w:val="00D84389"/>
    <w:rsid w:val="00DE3F81"/>
    <w:rsid w:val="00DF2407"/>
    <w:rsid w:val="00E0405D"/>
    <w:rsid w:val="00E222A9"/>
    <w:rsid w:val="00E47EDB"/>
    <w:rsid w:val="00E5662C"/>
    <w:rsid w:val="00E667FE"/>
    <w:rsid w:val="00ED6A8E"/>
    <w:rsid w:val="00EF79E0"/>
    <w:rsid w:val="00F24D87"/>
    <w:rsid w:val="00F600F4"/>
    <w:rsid w:val="00F8013B"/>
    <w:rsid w:val="00FD47FC"/>
    <w:rsid w:val="00FE1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A8"/>
    <w:pPr>
      <w:spacing w:after="0" w:line="360" w:lineRule="auto"/>
      <w:ind w:firstLine="709"/>
      <w:jc w:val="both"/>
    </w:pPr>
    <w:rPr>
      <w:rFonts w:ascii="Times New Roman" w:hAnsi="Times New Roman" w:cs="Times New Roman"/>
      <w:sz w:val="28"/>
      <w:szCs w:val="24"/>
      <w:lang w:val="uk-UA" w:eastAsia="ru-RU"/>
    </w:rPr>
  </w:style>
  <w:style w:type="paragraph" w:styleId="1">
    <w:name w:val="heading 1"/>
    <w:basedOn w:val="a"/>
    <w:link w:val="10"/>
    <w:uiPriority w:val="9"/>
    <w:qFormat/>
    <w:rsid w:val="00CA1085"/>
    <w:pPr>
      <w:spacing w:before="100" w:beforeAutospacing="1" w:after="100" w:afterAutospacing="1" w:line="240" w:lineRule="auto"/>
      <w:ind w:firstLine="0"/>
      <w:jc w:val="left"/>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4A8"/>
    <w:pPr>
      <w:spacing w:after="0" w:line="240" w:lineRule="auto"/>
    </w:pPr>
    <w:rPr>
      <w:rFonts w:ascii="Times New Roman" w:eastAsiaTheme="minorHAnsi" w:hAnsi="Times New Roman"/>
      <w:sz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34A8"/>
    <w:pPr>
      <w:ind w:left="720"/>
      <w:contextualSpacing/>
    </w:pPr>
  </w:style>
  <w:style w:type="character" w:customStyle="1" w:styleId="apple-converted-space">
    <w:name w:val="apple-converted-space"/>
    <w:basedOn w:val="a0"/>
    <w:rsid w:val="001234A8"/>
  </w:style>
  <w:style w:type="character" w:customStyle="1" w:styleId="ref-journal">
    <w:name w:val="ref-journal"/>
    <w:basedOn w:val="a0"/>
    <w:rsid w:val="001234A8"/>
  </w:style>
  <w:style w:type="character" w:customStyle="1" w:styleId="ref-vol">
    <w:name w:val="ref-vol"/>
    <w:basedOn w:val="a0"/>
    <w:rsid w:val="001234A8"/>
  </w:style>
  <w:style w:type="character" w:customStyle="1" w:styleId="element-citation">
    <w:name w:val="element-citation"/>
    <w:basedOn w:val="a0"/>
    <w:rsid w:val="001234A8"/>
  </w:style>
  <w:style w:type="character" w:customStyle="1" w:styleId="ref-title">
    <w:name w:val="ref-title"/>
    <w:basedOn w:val="a0"/>
    <w:rsid w:val="001234A8"/>
  </w:style>
  <w:style w:type="paragraph" w:styleId="HTML">
    <w:name w:val="HTML Preformatted"/>
    <w:basedOn w:val="a"/>
    <w:link w:val="HTML0"/>
    <w:uiPriority w:val="99"/>
    <w:semiHidden/>
    <w:unhideWhenUsed/>
    <w:rsid w:val="0012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1234A8"/>
    <w:rPr>
      <w:rFonts w:ascii="Courier New" w:hAnsi="Courier New" w:cs="Courier New"/>
      <w:sz w:val="20"/>
      <w:szCs w:val="20"/>
      <w:lang w:eastAsia="ru-RU"/>
    </w:rPr>
  </w:style>
  <w:style w:type="character" w:styleId="a5">
    <w:name w:val="Hyperlink"/>
    <w:basedOn w:val="a0"/>
    <w:uiPriority w:val="99"/>
    <w:unhideWhenUsed/>
    <w:rsid w:val="000F5725"/>
    <w:rPr>
      <w:color w:val="0000FF" w:themeColor="hyperlink"/>
      <w:u w:val="single"/>
    </w:rPr>
  </w:style>
  <w:style w:type="character" w:customStyle="1" w:styleId="10">
    <w:name w:val="Заголовок 1 Знак"/>
    <w:basedOn w:val="a0"/>
    <w:link w:val="1"/>
    <w:uiPriority w:val="9"/>
    <w:rsid w:val="00CA1085"/>
    <w:rPr>
      <w:rFonts w:ascii="Times New Roman" w:hAnsi="Times New Roman" w:cs="Times New Roman"/>
      <w:b/>
      <w:bCs/>
      <w:kern w:val="36"/>
      <w:sz w:val="48"/>
      <w:szCs w:val="48"/>
      <w:lang w:eastAsia="ru-RU"/>
    </w:rPr>
  </w:style>
  <w:style w:type="character" w:customStyle="1" w:styleId="highlight">
    <w:name w:val="highlight"/>
    <w:basedOn w:val="a0"/>
    <w:rsid w:val="00CA1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A8"/>
    <w:pPr>
      <w:spacing w:after="0" w:line="360" w:lineRule="auto"/>
      <w:ind w:firstLine="709"/>
      <w:jc w:val="both"/>
    </w:pPr>
    <w:rPr>
      <w:rFonts w:ascii="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4A8"/>
    <w:pPr>
      <w:spacing w:after="0" w:line="240" w:lineRule="auto"/>
    </w:pPr>
    <w:rPr>
      <w:rFonts w:ascii="Times New Roman" w:eastAsiaTheme="minorHAnsi" w:hAnsi="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34A8"/>
    <w:pPr>
      <w:ind w:left="720"/>
      <w:contextualSpacing/>
    </w:pPr>
  </w:style>
  <w:style w:type="character" w:customStyle="1" w:styleId="apple-converted-space">
    <w:name w:val="apple-converted-space"/>
    <w:basedOn w:val="a0"/>
    <w:rsid w:val="001234A8"/>
  </w:style>
  <w:style w:type="character" w:customStyle="1" w:styleId="ref-journal">
    <w:name w:val="ref-journal"/>
    <w:basedOn w:val="a0"/>
    <w:rsid w:val="001234A8"/>
  </w:style>
  <w:style w:type="character" w:customStyle="1" w:styleId="ref-vol">
    <w:name w:val="ref-vol"/>
    <w:basedOn w:val="a0"/>
    <w:rsid w:val="001234A8"/>
  </w:style>
  <w:style w:type="character" w:customStyle="1" w:styleId="element-citation">
    <w:name w:val="element-citation"/>
    <w:basedOn w:val="a0"/>
    <w:rsid w:val="001234A8"/>
  </w:style>
  <w:style w:type="character" w:customStyle="1" w:styleId="ref-title">
    <w:name w:val="ref-title"/>
    <w:basedOn w:val="a0"/>
    <w:rsid w:val="001234A8"/>
  </w:style>
  <w:style w:type="paragraph" w:styleId="HTML">
    <w:name w:val="HTML Preformatted"/>
    <w:basedOn w:val="a"/>
    <w:link w:val="HTML0"/>
    <w:uiPriority w:val="99"/>
    <w:semiHidden/>
    <w:unhideWhenUsed/>
    <w:rsid w:val="0012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1234A8"/>
    <w:rPr>
      <w:rFonts w:ascii="Courier New" w:hAnsi="Courier New" w:cs="Courier New"/>
      <w:sz w:val="20"/>
      <w:szCs w:val="20"/>
      <w:lang w:eastAsia="ru-RU"/>
    </w:rPr>
  </w:style>
  <w:style w:type="character" w:styleId="a5">
    <w:name w:val="Hyperlink"/>
    <w:basedOn w:val="a0"/>
    <w:uiPriority w:val="99"/>
    <w:unhideWhenUsed/>
    <w:rsid w:val="000F57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148888">
      <w:bodyDiv w:val="1"/>
      <w:marLeft w:val="0"/>
      <w:marRight w:val="0"/>
      <w:marTop w:val="0"/>
      <w:marBottom w:val="0"/>
      <w:divBdr>
        <w:top w:val="none" w:sz="0" w:space="0" w:color="auto"/>
        <w:left w:val="none" w:sz="0" w:space="0" w:color="auto"/>
        <w:bottom w:val="none" w:sz="0" w:space="0" w:color="auto"/>
        <w:right w:val="none" w:sz="0" w:space="0" w:color="auto"/>
      </w:divBdr>
    </w:div>
    <w:div w:id="79059277">
      <w:bodyDiv w:val="1"/>
      <w:marLeft w:val="0"/>
      <w:marRight w:val="0"/>
      <w:marTop w:val="0"/>
      <w:marBottom w:val="0"/>
      <w:divBdr>
        <w:top w:val="none" w:sz="0" w:space="0" w:color="auto"/>
        <w:left w:val="none" w:sz="0" w:space="0" w:color="auto"/>
        <w:bottom w:val="none" w:sz="0" w:space="0" w:color="auto"/>
        <w:right w:val="none" w:sz="0" w:space="0" w:color="auto"/>
      </w:divBdr>
    </w:div>
    <w:div w:id="113377727">
      <w:bodyDiv w:val="1"/>
      <w:marLeft w:val="0"/>
      <w:marRight w:val="0"/>
      <w:marTop w:val="0"/>
      <w:marBottom w:val="0"/>
      <w:divBdr>
        <w:top w:val="none" w:sz="0" w:space="0" w:color="auto"/>
        <w:left w:val="none" w:sz="0" w:space="0" w:color="auto"/>
        <w:bottom w:val="none" w:sz="0" w:space="0" w:color="auto"/>
        <w:right w:val="none" w:sz="0" w:space="0" w:color="auto"/>
      </w:divBdr>
    </w:div>
    <w:div w:id="123275923">
      <w:bodyDiv w:val="1"/>
      <w:marLeft w:val="0"/>
      <w:marRight w:val="0"/>
      <w:marTop w:val="0"/>
      <w:marBottom w:val="0"/>
      <w:divBdr>
        <w:top w:val="none" w:sz="0" w:space="0" w:color="auto"/>
        <w:left w:val="none" w:sz="0" w:space="0" w:color="auto"/>
        <w:bottom w:val="none" w:sz="0" w:space="0" w:color="auto"/>
        <w:right w:val="none" w:sz="0" w:space="0" w:color="auto"/>
      </w:divBdr>
    </w:div>
    <w:div w:id="134808653">
      <w:bodyDiv w:val="1"/>
      <w:marLeft w:val="0"/>
      <w:marRight w:val="0"/>
      <w:marTop w:val="0"/>
      <w:marBottom w:val="0"/>
      <w:divBdr>
        <w:top w:val="none" w:sz="0" w:space="0" w:color="auto"/>
        <w:left w:val="none" w:sz="0" w:space="0" w:color="auto"/>
        <w:bottom w:val="none" w:sz="0" w:space="0" w:color="auto"/>
        <w:right w:val="none" w:sz="0" w:space="0" w:color="auto"/>
      </w:divBdr>
    </w:div>
    <w:div w:id="142475715">
      <w:bodyDiv w:val="1"/>
      <w:marLeft w:val="0"/>
      <w:marRight w:val="0"/>
      <w:marTop w:val="0"/>
      <w:marBottom w:val="0"/>
      <w:divBdr>
        <w:top w:val="none" w:sz="0" w:space="0" w:color="auto"/>
        <w:left w:val="none" w:sz="0" w:space="0" w:color="auto"/>
        <w:bottom w:val="none" w:sz="0" w:space="0" w:color="auto"/>
        <w:right w:val="none" w:sz="0" w:space="0" w:color="auto"/>
      </w:divBdr>
    </w:div>
    <w:div w:id="251403402">
      <w:bodyDiv w:val="1"/>
      <w:marLeft w:val="0"/>
      <w:marRight w:val="0"/>
      <w:marTop w:val="0"/>
      <w:marBottom w:val="0"/>
      <w:divBdr>
        <w:top w:val="none" w:sz="0" w:space="0" w:color="auto"/>
        <w:left w:val="none" w:sz="0" w:space="0" w:color="auto"/>
        <w:bottom w:val="none" w:sz="0" w:space="0" w:color="auto"/>
        <w:right w:val="none" w:sz="0" w:space="0" w:color="auto"/>
      </w:divBdr>
    </w:div>
    <w:div w:id="307560456">
      <w:bodyDiv w:val="1"/>
      <w:marLeft w:val="0"/>
      <w:marRight w:val="0"/>
      <w:marTop w:val="0"/>
      <w:marBottom w:val="0"/>
      <w:divBdr>
        <w:top w:val="none" w:sz="0" w:space="0" w:color="auto"/>
        <w:left w:val="none" w:sz="0" w:space="0" w:color="auto"/>
        <w:bottom w:val="none" w:sz="0" w:space="0" w:color="auto"/>
        <w:right w:val="none" w:sz="0" w:space="0" w:color="auto"/>
      </w:divBdr>
    </w:div>
    <w:div w:id="378631744">
      <w:bodyDiv w:val="1"/>
      <w:marLeft w:val="0"/>
      <w:marRight w:val="0"/>
      <w:marTop w:val="0"/>
      <w:marBottom w:val="0"/>
      <w:divBdr>
        <w:top w:val="none" w:sz="0" w:space="0" w:color="auto"/>
        <w:left w:val="none" w:sz="0" w:space="0" w:color="auto"/>
        <w:bottom w:val="none" w:sz="0" w:space="0" w:color="auto"/>
        <w:right w:val="none" w:sz="0" w:space="0" w:color="auto"/>
      </w:divBdr>
    </w:div>
    <w:div w:id="428159612">
      <w:bodyDiv w:val="1"/>
      <w:marLeft w:val="0"/>
      <w:marRight w:val="0"/>
      <w:marTop w:val="0"/>
      <w:marBottom w:val="0"/>
      <w:divBdr>
        <w:top w:val="none" w:sz="0" w:space="0" w:color="auto"/>
        <w:left w:val="none" w:sz="0" w:space="0" w:color="auto"/>
        <w:bottom w:val="none" w:sz="0" w:space="0" w:color="auto"/>
        <w:right w:val="none" w:sz="0" w:space="0" w:color="auto"/>
      </w:divBdr>
    </w:div>
    <w:div w:id="546913455">
      <w:bodyDiv w:val="1"/>
      <w:marLeft w:val="0"/>
      <w:marRight w:val="0"/>
      <w:marTop w:val="0"/>
      <w:marBottom w:val="0"/>
      <w:divBdr>
        <w:top w:val="none" w:sz="0" w:space="0" w:color="auto"/>
        <w:left w:val="none" w:sz="0" w:space="0" w:color="auto"/>
        <w:bottom w:val="none" w:sz="0" w:space="0" w:color="auto"/>
        <w:right w:val="none" w:sz="0" w:space="0" w:color="auto"/>
      </w:divBdr>
    </w:div>
    <w:div w:id="557400278">
      <w:bodyDiv w:val="1"/>
      <w:marLeft w:val="0"/>
      <w:marRight w:val="0"/>
      <w:marTop w:val="0"/>
      <w:marBottom w:val="0"/>
      <w:divBdr>
        <w:top w:val="none" w:sz="0" w:space="0" w:color="auto"/>
        <w:left w:val="none" w:sz="0" w:space="0" w:color="auto"/>
        <w:bottom w:val="none" w:sz="0" w:space="0" w:color="auto"/>
        <w:right w:val="none" w:sz="0" w:space="0" w:color="auto"/>
      </w:divBdr>
    </w:div>
    <w:div w:id="581261003">
      <w:bodyDiv w:val="1"/>
      <w:marLeft w:val="0"/>
      <w:marRight w:val="0"/>
      <w:marTop w:val="0"/>
      <w:marBottom w:val="0"/>
      <w:divBdr>
        <w:top w:val="none" w:sz="0" w:space="0" w:color="auto"/>
        <w:left w:val="none" w:sz="0" w:space="0" w:color="auto"/>
        <w:bottom w:val="none" w:sz="0" w:space="0" w:color="auto"/>
        <w:right w:val="none" w:sz="0" w:space="0" w:color="auto"/>
      </w:divBdr>
    </w:div>
    <w:div w:id="590820371">
      <w:bodyDiv w:val="1"/>
      <w:marLeft w:val="0"/>
      <w:marRight w:val="0"/>
      <w:marTop w:val="0"/>
      <w:marBottom w:val="0"/>
      <w:divBdr>
        <w:top w:val="none" w:sz="0" w:space="0" w:color="auto"/>
        <w:left w:val="none" w:sz="0" w:space="0" w:color="auto"/>
        <w:bottom w:val="none" w:sz="0" w:space="0" w:color="auto"/>
        <w:right w:val="none" w:sz="0" w:space="0" w:color="auto"/>
      </w:divBdr>
    </w:div>
    <w:div w:id="661470849">
      <w:bodyDiv w:val="1"/>
      <w:marLeft w:val="0"/>
      <w:marRight w:val="0"/>
      <w:marTop w:val="0"/>
      <w:marBottom w:val="0"/>
      <w:divBdr>
        <w:top w:val="none" w:sz="0" w:space="0" w:color="auto"/>
        <w:left w:val="none" w:sz="0" w:space="0" w:color="auto"/>
        <w:bottom w:val="none" w:sz="0" w:space="0" w:color="auto"/>
        <w:right w:val="none" w:sz="0" w:space="0" w:color="auto"/>
      </w:divBdr>
    </w:div>
    <w:div w:id="753747327">
      <w:bodyDiv w:val="1"/>
      <w:marLeft w:val="0"/>
      <w:marRight w:val="0"/>
      <w:marTop w:val="0"/>
      <w:marBottom w:val="0"/>
      <w:divBdr>
        <w:top w:val="none" w:sz="0" w:space="0" w:color="auto"/>
        <w:left w:val="none" w:sz="0" w:space="0" w:color="auto"/>
        <w:bottom w:val="none" w:sz="0" w:space="0" w:color="auto"/>
        <w:right w:val="none" w:sz="0" w:space="0" w:color="auto"/>
      </w:divBdr>
    </w:div>
    <w:div w:id="785975792">
      <w:bodyDiv w:val="1"/>
      <w:marLeft w:val="0"/>
      <w:marRight w:val="0"/>
      <w:marTop w:val="0"/>
      <w:marBottom w:val="0"/>
      <w:divBdr>
        <w:top w:val="none" w:sz="0" w:space="0" w:color="auto"/>
        <w:left w:val="none" w:sz="0" w:space="0" w:color="auto"/>
        <w:bottom w:val="none" w:sz="0" w:space="0" w:color="auto"/>
        <w:right w:val="none" w:sz="0" w:space="0" w:color="auto"/>
      </w:divBdr>
    </w:div>
    <w:div w:id="853223155">
      <w:bodyDiv w:val="1"/>
      <w:marLeft w:val="0"/>
      <w:marRight w:val="0"/>
      <w:marTop w:val="0"/>
      <w:marBottom w:val="0"/>
      <w:divBdr>
        <w:top w:val="none" w:sz="0" w:space="0" w:color="auto"/>
        <w:left w:val="none" w:sz="0" w:space="0" w:color="auto"/>
        <w:bottom w:val="none" w:sz="0" w:space="0" w:color="auto"/>
        <w:right w:val="none" w:sz="0" w:space="0" w:color="auto"/>
      </w:divBdr>
    </w:div>
    <w:div w:id="868908005">
      <w:bodyDiv w:val="1"/>
      <w:marLeft w:val="0"/>
      <w:marRight w:val="0"/>
      <w:marTop w:val="0"/>
      <w:marBottom w:val="0"/>
      <w:divBdr>
        <w:top w:val="none" w:sz="0" w:space="0" w:color="auto"/>
        <w:left w:val="none" w:sz="0" w:space="0" w:color="auto"/>
        <w:bottom w:val="none" w:sz="0" w:space="0" w:color="auto"/>
        <w:right w:val="none" w:sz="0" w:space="0" w:color="auto"/>
      </w:divBdr>
    </w:div>
    <w:div w:id="942766759">
      <w:bodyDiv w:val="1"/>
      <w:marLeft w:val="0"/>
      <w:marRight w:val="0"/>
      <w:marTop w:val="0"/>
      <w:marBottom w:val="0"/>
      <w:divBdr>
        <w:top w:val="none" w:sz="0" w:space="0" w:color="auto"/>
        <w:left w:val="none" w:sz="0" w:space="0" w:color="auto"/>
        <w:bottom w:val="none" w:sz="0" w:space="0" w:color="auto"/>
        <w:right w:val="none" w:sz="0" w:space="0" w:color="auto"/>
      </w:divBdr>
    </w:div>
    <w:div w:id="1140803415">
      <w:bodyDiv w:val="1"/>
      <w:marLeft w:val="0"/>
      <w:marRight w:val="0"/>
      <w:marTop w:val="0"/>
      <w:marBottom w:val="0"/>
      <w:divBdr>
        <w:top w:val="none" w:sz="0" w:space="0" w:color="auto"/>
        <w:left w:val="none" w:sz="0" w:space="0" w:color="auto"/>
        <w:bottom w:val="none" w:sz="0" w:space="0" w:color="auto"/>
        <w:right w:val="none" w:sz="0" w:space="0" w:color="auto"/>
      </w:divBdr>
    </w:div>
    <w:div w:id="1236162715">
      <w:bodyDiv w:val="1"/>
      <w:marLeft w:val="0"/>
      <w:marRight w:val="0"/>
      <w:marTop w:val="0"/>
      <w:marBottom w:val="0"/>
      <w:divBdr>
        <w:top w:val="none" w:sz="0" w:space="0" w:color="auto"/>
        <w:left w:val="none" w:sz="0" w:space="0" w:color="auto"/>
        <w:bottom w:val="none" w:sz="0" w:space="0" w:color="auto"/>
        <w:right w:val="none" w:sz="0" w:space="0" w:color="auto"/>
      </w:divBdr>
    </w:div>
    <w:div w:id="1236937580">
      <w:bodyDiv w:val="1"/>
      <w:marLeft w:val="0"/>
      <w:marRight w:val="0"/>
      <w:marTop w:val="0"/>
      <w:marBottom w:val="0"/>
      <w:divBdr>
        <w:top w:val="none" w:sz="0" w:space="0" w:color="auto"/>
        <w:left w:val="none" w:sz="0" w:space="0" w:color="auto"/>
        <w:bottom w:val="none" w:sz="0" w:space="0" w:color="auto"/>
        <w:right w:val="none" w:sz="0" w:space="0" w:color="auto"/>
      </w:divBdr>
    </w:div>
    <w:div w:id="1277836240">
      <w:bodyDiv w:val="1"/>
      <w:marLeft w:val="0"/>
      <w:marRight w:val="0"/>
      <w:marTop w:val="0"/>
      <w:marBottom w:val="0"/>
      <w:divBdr>
        <w:top w:val="none" w:sz="0" w:space="0" w:color="auto"/>
        <w:left w:val="none" w:sz="0" w:space="0" w:color="auto"/>
        <w:bottom w:val="none" w:sz="0" w:space="0" w:color="auto"/>
        <w:right w:val="none" w:sz="0" w:space="0" w:color="auto"/>
      </w:divBdr>
    </w:div>
    <w:div w:id="1300065262">
      <w:bodyDiv w:val="1"/>
      <w:marLeft w:val="0"/>
      <w:marRight w:val="0"/>
      <w:marTop w:val="0"/>
      <w:marBottom w:val="0"/>
      <w:divBdr>
        <w:top w:val="none" w:sz="0" w:space="0" w:color="auto"/>
        <w:left w:val="none" w:sz="0" w:space="0" w:color="auto"/>
        <w:bottom w:val="none" w:sz="0" w:space="0" w:color="auto"/>
        <w:right w:val="none" w:sz="0" w:space="0" w:color="auto"/>
      </w:divBdr>
    </w:div>
    <w:div w:id="1342318692">
      <w:bodyDiv w:val="1"/>
      <w:marLeft w:val="0"/>
      <w:marRight w:val="0"/>
      <w:marTop w:val="0"/>
      <w:marBottom w:val="0"/>
      <w:divBdr>
        <w:top w:val="none" w:sz="0" w:space="0" w:color="auto"/>
        <w:left w:val="none" w:sz="0" w:space="0" w:color="auto"/>
        <w:bottom w:val="none" w:sz="0" w:space="0" w:color="auto"/>
        <w:right w:val="none" w:sz="0" w:space="0" w:color="auto"/>
      </w:divBdr>
    </w:div>
    <w:div w:id="1375884308">
      <w:bodyDiv w:val="1"/>
      <w:marLeft w:val="0"/>
      <w:marRight w:val="0"/>
      <w:marTop w:val="0"/>
      <w:marBottom w:val="0"/>
      <w:divBdr>
        <w:top w:val="none" w:sz="0" w:space="0" w:color="auto"/>
        <w:left w:val="none" w:sz="0" w:space="0" w:color="auto"/>
        <w:bottom w:val="none" w:sz="0" w:space="0" w:color="auto"/>
        <w:right w:val="none" w:sz="0" w:space="0" w:color="auto"/>
      </w:divBdr>
    </w:div>
    <w:div w:id="1407148884">
      <w:bodyDiv w:val="1"/>
      <w:marLeft w:val="0"/>
      <w:marRight w:val="0"/>
      <w:marTop w:val="0"/>
      <w:marBottom w:val="0"/>
      <w:divBdr>
        <w:top w:val="none" w:sz="0" w:space="0" w:color="auto"/>
        <w:left w:val="none" w:sz="0" w:space="0" w:color="auto"/>
        <w:bottom w:val="none" w:sz="0" w:space="0" w:color="auto"/>
        <w:right w:val="none" w:sz="0" w:space="0" w:color="auto"/>
      </w:divBdr>
    </w:div>
    <w:div w:id="1687752959">
      <w:bodyDiv w:val="1"/>
      <w:marLeft w:val="0"/>
      <w:marRight w:val="0"/>
      <w:marTop w:val="0"/>
      <w:marBottom w:val="0"/>
      <w:divBdr>
        <w:top w:val="none" w:sz="0" w:space="0" w:color="auto"/>
        <w:left w:val="none" w:sz="0" w:space="0" w:color="auto"/>
        <w:bottom w:val="none" w:sz="0" w:space="0" w:color="auto"/>
        <w:right w:val="none" w:sz="0" w:space="0" w:color="auto"/>
      </w:divBdr>
    </w:div>
    <w:div w:id="1710110414">
      <w:bodyDiv w:val="1"/>
      <w:marLeft w:val="0"/>
      <w:marRight w:val="0"/>
      <w:marTop w:val="0"/>
      <w:marBottom w:val="0"/>
      <w:divBdr>
        <w:top w:val="none" w:sz="0" w:space="0" w:color="auto"/>
        <w:left w:val="none" w:sz="0" w:space="0" w:color="auto"/>
        <w:bottom w:val="none" w:sz="0" w:space="0" w:color="auto"/>
        <w:right w:val="none" w:sz="0" w:space="0" w:color="auto"/>
      </w:divBdr>
    </w:div>
    <w:div w:id="1863593358">
      <w:bodyDiv w:val="1"/>
      <w:marLeft w:val="0"/>
      <w:marRight w:val="0"/>
      <w:marTop w:val="0"/>
      <w:marBottom w:val="0"/>
      <w:divBdr>
        <w:top w:val="none" w:sz="0" w:space="0" w:color="auto"/>
        <w:left w:val="none" w:sz="0" w:space="0" w:color="auto"/>
        <w:bottom w:val="none" w:sz="0" w:space="0" w:color="auto"/>
        <w:right w:val="none" w:sz="0" w:space="0" w:color="auto"/>
      </w:divBdr>
    </w:div>
    <w:div w:id="2061198761">
      <w:bodyDiv w:val="1"/>
      <w:marLeft w:val="0"/>
      <w:marRight w:val="0"/>
      <w:marTop w:val="0"/>
      <w:marBottom w:val="0"/>
      <w:divBdr>
        <w:top w:val="none" w:sz="0" w:space="0" w:color="auto"/>
        <w:left w:val="none" w:sz="0" w:space="0" w:color="auto"/>
        <w:bottom w:val="none" w:sz="0" w:space="0" w:color="auto"/>
        <w:right w:val="none" w:sz="0" w:space="0" w:color="auto"/>
      </w:divBdr>
    </w:div>
    <w:div w:id="21421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1D288-1E43-41C5-936B-7B8BA873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11</Pages>
  <Words>3125</Words>
  <Characters>17818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Маруся</cp:lastModifiedBy>
  <cp:revision>4</cp:revision>
  <dcterms:created xsi:type="dcterms:W3CDTF">2016-11-04T10:11:00Z</dcterms:created>
  <dcterms:modified xsi:type="dcterms:W3CDTF">2016-11-04T23:16:00Z</dcterms:modified>
</cp:coreProperties>
</file>