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46" w:rsidRPr="001F3FC1" w:rsidRDefault="002E3F46" w:rsidP="00920869">
      <w:pPr>
        <w:spacing w:line="360" w:lineRule="auto"/>
        <w:jc w:val="both"/>
        <w:rPr>
          <w:sz w:val="28"/>
          <w:szCs w:val="28"/>
          <w:lang w:val="ru-RU"/>
        </w:rPr>
      </w:pPr>
      <w:r w:rsidRPr="00920869">
        <w:rPr>
          <w:sz w:val="28"/>
          <w:szCs w:val="28"/>
          <w:lang w:val="ru-RU"/>
        </w:rPr>
        <w:t>УДК</w:t>
      </w:r>
      <w:r w:rsidR="001F3FC1" w:rsidRPr="00A672A8">
        <w:rPr>
          <w:sz w:val="28"/>
          <w:szCs w:val="28"/>
          <w:lang w:val="ru-RU"/>
        </w:rPr>
        <w:t xml:space="preserve"> [616.12-008.331.1-056.257]-055.1/</w:t>
      </w:r>
      <w:r w:rsidR="001F3FC1">
        <w:rPr>
          <w:sz w:val="28"/>
          <w:szCs w:val="28"/>
          <w:lang w:val="ru-RU"/>
        </w:rPr>
        <w:t>.3-078:57.088.6</w:t>
      </w:r>
    </w:p>
    <w:p w:rsidR="002E3F46" w:rsidRPr="00920869" w:rsidRDefault="002E3F46" w:rsidP="00920869">
      <w:pPr>
        <w:spacing w:line="360" w:lineRule="auto"/>
        <w:ind w:firstLine="709"/>
        <w:jc w:val="both"/>
        <w:rPr>
          <w:sz w:val="28"/>
          <w:szCs w:val="28"/>
        </w:rPr>
      </w:pPr>
      <w:r w:rsidRPr="00920869">
        <w:rPr>
          <w:sz w:val="28"/>
          <w:szCs w:val="28"/>
        </w:rPr>
        <w:t>В</w:t>
      </w:r>
      <w:proofErr w:type="spellStart"/>
      <w:r w:rsidRPr="00920869">
        <w:rPr>
          <w:sz w:val="28"/>
          <w:szCs w:val="28"/>
          <w:lang w:val="ru-RU"/>
        </w:rPr>
        <w:t>изи</w:t>
      </w:r>
      <w:proofErr w:type="spellEnd"/>
      <w:r w:rsidRPr="00920869">
        <w:rPr>
          <w:sz w:val="28"/>
          <w:szCs w:val="28"/>
        </w:rPr>
        <w:t>р М.</w:t>
      </w:r>
      <w:r w:rsidRPr="00920869">
        <w:rPr>
          <w:sz w:val="28"/>
          <w:szCs w:val="28"/>
          <w:lang w:val="ru-RU"/>
        </w:rPr>
        <w:t>А</w:t>
      </w:r>
      <w:r w:rsidRPr="00920869">
        <w:rPr>
          <w:sz w:val="28"/>
          <w:szCs w:val="28"/>
        </w:rPr>
        <w:t>.</w:t>
      </w:r>
    </w:p>
    <w:p w:rsidR="005A0DC9" w:rsidRPr="00920869" w:rsidRDefault="002E3F46" w:rsidP="0092086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20869">
        <w:rPr>
          <w:b/>
          <w:sz w:val="28"/>
          <w:szCs w:val="28"/>
          <w:lang w:val="ru-RU"/>
        </w:rPr>
        <w:t>Гендерные особенности уровня несфатина-1 у больных гипертонической болезнью с сопутствующим ожирением</w:t>
      </w:r>
    </w:p>
    <w:p w:rsidR="005A0DC9" w:rsidRPr="00920869" w:rsidRDefault="001A6D91" w:rsidP="009208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0869">
        <w:rPr>
          <w:sz w:val="28"/>
          <w:szCs w:val="28"/>
          <w:lang w:val="ru-RU"/>
        </w:rPr>
        <w:t>Харьковский национальный медицинский университет</w:t>
      </w:r>
      <w:r w:rsidR="008476A2" w:rsidRPr="00920869">
        <w:rPr>
          <w:sz w:val="28"/>
          <w:szCs w:val="28"/>
          <w:lang w:val="ru-RU"/>
        </w:rPr>
        <w:t xml:space="preserve">, </w:t>
      </w:r>
      <w:proofErr w:type="spellStart"/>
      <w:r w:rsidR="008476A2" w:rsidRPr="00920869">
        <w:rPr>
          <w:sz w:val="28"/>
          <w:szCs w:val="28"/>
          <w:lang w:val="ru-RU"/>
        </w:rPr>
        <w:t>г</w:t>
      </w:r>
      <w:proofErr w:type="gramStart"/>
      <w:r w:rsidR="008476A2" w:rsidRPr="00920869">
        <w:rPr>
          <w:sz w:val="28"/>
          <w:szCs w:val="28"/>
          <w:lang w:val="ru-RU"/>
        </w:rPr>
        <w:t>.Х</w:t>
      </w:r>
      <w:proofErr w:type="gramEnd"/>
      <w:r w:rsidR="008476A2" w:rsidRPr="00920869">
        <w:rPr>
          <w:sz w:val="28"/>
          <w:szCs w:val="28"/>
          <w:lang w:val="ru-RU"/>
        </w:rPr>
        <w:t>арьков</w:t>
      </w:r>
      <w:proofErr w:type="spellEnd"/>
    </w:p>
    <w:p w:rsidR="00920869" w:rsidRPr="00920869" w:rsidRDefault="00920869" w:rsidP="009208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0869">
        <w:rPr>
          <w:sz w:val="28"/>
          <w:szCs w:val="28"/>
          <w:lang w:val="en-US"/>
        </w:rPr>
        <w:t>marina</w:t>
      </w:r>
      <w:r w:rsidRPr="00920869">
        <w:rPr>
          <w:sz w:val="28"/>
          <w:szCs w:val="28"/>
          <w:lang w:val="ru-RU"/>
        </w:rPr>
        <w:t>.</w:t>
      </w:r>
      <w:proofErr w:type="spellStart"/>
      <w:r w:rsidRPr="00920869">
        <w:rPr>
          <w:sz w:val="28"/>
          <w:szCs w:val="28"/>
          <w:lang w:val="en-US"/>
        </w:rPr>
        <w:t>vizir</w:t>
      </w:r>
      <w:proofErr w:type="spellEnd"/>
      <w:r w:rsidRPr="00920869">
        <w:rPr>
          <w:sz w:val="28"/>
          <w:szCs w:val="28"/>
          <w:lang w:val="ru-RU"/>
        </w:rPr>
        <w:t>@</w:t>
      </w:r>
      <w:proofErr w:type="spellStart"/>
      <w:r w:rsidRPr="00920869">
        <w:rPr>
          <w:sz w:val="28"/>
          <w:szCs w:val="28"/>
          <w:lang w:val="en-US"/>
        </w:rPr>
        <w:t>gmail</w:t>
      </w:r>
      <w:proofErr w:type="spellEnd"/>
      <w:r w:rsidRPr="00920869">
        <w:rPr>
          <w:sz w:val="28"/>
          <w:szCs w:val="28"/>
          <w:lang w:val="ru-RU"/>
        </w:rPr>
        <w:t>.</w:t>
      </w:r>
      <w:r w:rsidRPr="00920869">
        <w:rPr>
          <w:sz w:val="28"/>
          <w:szCs w:val="28"/>
          <w:lang w:val="en-US"/>
        </w:rPr>
        <w:t>com</w:t>
      </w:r>
    </w:p>
    <w:p w:rsidR="001A6D91" w:rsidRPr="00920869" w:rsidRDefault="001A6D91" w:rsidP="009208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8C4282" w:rsidRPr="00920869" w:rsidRDefault="004E5978" w:rsidP="009208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0869">
        <w:rPr>
          <w:sz w:val="28"/>
          <w:szCs w:val="28"/>
          <w:lang w:val="ru-RU"/>
        </w:rPr>
        <w:t>Гипертоническая болезнь</w:t>
      </w:r>
      <w:r w:rsidR="00674093" w:rsidRPr="00920869">
        <w:rPr>
          <w:sz w:val="28"/>
          <w:szCs w:val="28"/>
          <w:lang w:val="ru-RU"/>
        </w:rPr>
        <w:t xml:space="preserve"> (ГБ)</w:t>
      </w:r>
      <w:r w:rsidRPr="00920869">
        <w:rPr>
          <w:sz w:val="28"/>
          <w:szCs w:val="28"/>
          <w:lang w:val="ru-RU"/>
        </w:rPr>
        <w:t xml:space="preserve"> признана одной из наиболее значимых проблем здравоохранения во всем мире в связи с </w:t>
      </w:r>
      <w:r w:rsidR="00DF6325">
        <w:rPr>
          <w:sz w:val="28"/>
          <w:szCs w:val="28"/>
          <w:lang w:val="ru-RU"/>
        </w:rPr>
        <w:t>возникновением таких осложнений</w:t>
      </w:r>
      <w:r w:rsidRPr="00920869">
        <w:rPr>
          <w:sz w:val="28"/>
          <w:szCs w:val="28"/>
          <w:lang w:val="ru-RU"/>
        </w:rPr>
        <w:t>, как инсульт, инфаркт миокарда, сердечная и почечная недостаточность.</w:t>
      </w:r>
      <w:r w:rsidR="00C20C81" w:rsidRPr="00920869">
        <w:rPr>
          <w:sz w:val="28"/>
          <w:szCs w:val="28"/>
          <w:lang w:val="ru-RU"/>
        </w:rPr>
        <w:t xml:space="preserve"> По данным официальной статистики Министерства здравоохранения Украины по состоянию на 2013 год в Украине зарегистрировано почти </w:t>
      </w:r>
      <w:r w:rsidR="00C20C81" w:rsidRPr="00920869">
        <w:rPr>
          <w:sz w:val="28"/>
          <w:szCs w:val="28"/>
        </w:rPr>
        <w:t xml:space="preserve">10,4 </w:t>
      </w:r>
      <w:proofErr w:type="spellStart"/>
      <w:proofErr w:type="gramStart"/>
      <w:r w:rsidR="00C20C81" w:rsidRPr="00920869">
        <w:rPr>
          <w:sz w:val="28"/>
          <w:szCs w:val="28"/>
        </w:rPr>
        <w:t>млн</w:t>
      </w:r>
      <w:proofErr w:type="spellEnd"/>
      <w:proofErr w:type="gramEnd"/>
      <w:r w:rsidR="00C20C81" w:rsidRPr="00920869">
        <w:rPr>
          <w:sz w:val="28"/>
          <w:szCs w:val="28"/>
        </w:rPr>
        <w:t xml:space="preserve"> </w:t>
      </w:r>
      <w:r w:rsidR="00C20C81" w:rsidRPr="00920869">
        <w:rPr>
          <w:sz w:val="28"/>
          <w:szCs w:val="28"/>
          <w:lang w:val="ru-RU"/>
        </w:rPr>
        <w:t>больных артериальной гипертензией, что составляет около 30% взрослого населения страны</w:t>
      </w:r>
      <w:r w:rsidR="00C20C81" w:rsidRPr="00920869">
        <w:rPr>
          <w:sz w:val="28"/>
          <w:szCs w:val="28"/>
        </w:rPr>
        <w:t xml:space="preserve"> </w:t>
      </w:r>
      <w:r w:rsidR="003D26A6">
        <w:rPr>
          <w:sz w:val="28"/>
          <w:szCs w:val="28"/>
          <w:lang w:val="ru-RU"/>
        </w:rPr>
        <w:t>[</w:t>
      </w:r>
      <w:r w:rsidR="003D26A6" w:rsidRPr="003D26A6">
        <w:rPr>
          <w:sz w:val="28"/>
          <w:szCs w:val="28"/>
          <w:lang w:val="ru-RU"/>
        </w:rPr>
        <w:t>3</w:t>
      </w:r>
      <w:r w:rsidR="00C20C81" w:rsidRPr="00920869">
        <w:rPr>
          <w:sz w:val="28"/>
          <w:szCs w:val="28"/>
          <w:lang w:val="ru-RU"/>
        </w:rPr>
        <w:t>]</w:t>
      </w:r>
      <w:r w:rsidR="00C20C81" w:rsidRPr="00920869">
        <w:rPr>
          <w:sz w:val="28"/>
          <w:szCs w:val="28"/>
        </w:rPr>
        <w:t>.</w:t>
      </w:r>
      <w:r w:rsidRPr="00920869">
        <w:rPr>
          <w:sz w:val="28"/>
          <w:szCs w:val="28"/>
          <w:lang w:val="ru-RU"/>
        </w:rPr>
        <w:t xml:space="preserve"> </w:t>
      </w:r>
      <w:r w:rsidR="00674093" w:rsidRPr="00920869">
        <w:rPr>
          <w:sz w:val="28"/>
          <w:szCs w:val="28"/>
          <w:lang w:val="ru-RU"/>
        </w:rPr>
        <w:t>Распространенность ГБ с возрастом увеличивается как у мужчин, так и у женщин</w:t>
      </w:r>
      <w:r w:rsidR="002F6EF9" w:rsidRPr="00920869">
        <w:rPr>
          <w:sz w:val="28"/>
          <w:szCs w:val="28"/>
          <w:lang w:val="ru-RU"/>
        </w:rPr>
        <w:t xml:space="preserve">. </w:t>
      </w:r>
      <w:r w:rsidR="008642B9" w:rsidRPr="00920869">
        <w:rPr>
          <w:sz w:val="28"/>
          <w:szCs w:val="28"/>
          <w:lang w:val="ru-RU"/>
        </w:rPr>
        <w:t>Тем не менее, показана и существенная половая дифференциация в заболеваемости и смертности от осложнений ГБ</w:t>
      </w:r>
      <w:r w:rsidR="00885B94" w:rsidRPr="00920869">
        <w:rPr>
          <w:sz w:val="28"/>
          <w:szCs w:val="28"/>
          <w:lang w:val="ru-RU"/>
        </w:rPr>
        <w:t xml:space="preserve">. Так, в частности, смертность вследствие </w:t>
      </w:r>
      <w:proofErr w:type="gramStart"/>
      <w:r w:rsidR="00885B94" w:rsidRPr="00920869">
        <w:rPr>
          <w:sz w:val="28"/>
          <w:szCs w:val="28"/>
          <w:lang w:val="ru-RU"/>
        </w:rPr>
        <w:t>сердечно-сосудистой</w:t>
      </w:r>
      <w:proofErr w:type="gramEnd"/>
      <w:r w:rsidR="00885B94" w:rsidRPr="00920869">
        <w:rPr>
          <w:sz w:val="28"/>
          <w:szCs w:val="28"/>
          <w:lang w:val="ru-RU"/>
        </w:rPr>
        <w:t xml:space="preserve"> патологии в популяции среди женщин в 1,6-2,0 раза меньше, чем среди мужчин</w:t>
      </w:r>
      <w:r w:rsidR="003D26A6">
        <w:rPr>
          <w:sz w:val="28"/>
          <w:szCs w:val="28"/>
          <w:lang w:val="ru-RU"/>
        </w:rPr>
        <w:t xml:space="preserve"> [</w:t>
      </w:r>
      <w:r w:rsidR="003D26A6" w:rsidRPr="003D26A6">
        <w:rPr>
          <w:sz w:val="28"/>
          <w:szCs w:val="28"/>
          <w:lang w:val="ru-RU"/>
        </w:rPr>
        <w:t>1</w:t>
      </w:r>
      <w:r w:rsidR="008642B9" w:rsidRPr="00920869">
        <w:rPr>
          <w:sz w:val="28"/>
          <w:szCs w:val="28"/>
          <w:lang w:val="ru-RU"/>
        </w:rPr>
        <w:t>].</w:t>
      </w:r>
      <w:r w:rsidR="008C4282" w:rsidRPr="00920869">
        <w:rPr>
          <w:sz w:val="28"/>
          <w:szCs w:val="28"/>
          <w:lang w:val="ru-RU"/>
        </w:rPr>
        <w:t xml:space="preserve"> </w:t>
      </w:r>
    </w:p>
    <w:p w:rsidR="00BB4BBC" w:rsidRPr="00920869" w:rsidRDefault="008C4282" w:rsidP="009208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0869">
        <w:rPr>
          <w:sz w:val="28"/>
          <w:szCs w:val="28"/>
          <w:lang w:val="ru-RU"/>
        </w:rPr>
        <w:t xml:space="preserve">Одним из первостепенных факторов риска развития </w:t>
      </w:r>
      <w:proofErr w:type="gramStart"/>
      <w:r w:rsidRPr="00920869">
        <w:rPr>
          <w:sz w:val="28"/>
          <w:szCs w:val="28"/>
          <w:lang w:val="ru-RU"/>
        </w:rPr>
        <w:t>сердечно-сосудистых</w:t>
      </w:r>
      <w:proofErr w:type="gramEnd"/>
      <w:r w:rsidR="0056563B" w:rsidRPr="00920869">
        <w:rPr>
          <w:sz w:val="28"/>
          <w:szCs w:val="28"/>
          <w:lang w:val="ru-RU"/>
        </w:rPr>
        <w:t xml:space="preserve"> заболеваний является избыточная масса тела, которая наблюдается более чем 2/3 мужчи</w:t>
      </w:r>
      <w:r w:rsidR="003D26A6">
        <w:rPr>
          <w:sz w:val="28"/>
          <w:szCs w:val="28"/>
          <w:lang w:val="ru-RU"/>
        </w:rPr>
        <w:t>н и 3/4 женщин, страдающих ГБ [</w:t>
      </w:r>
      <w:r w:rsidR="003D26A6" w:rsidRPr="003D26A6">
        <w:rPr>
          <w:sz w:val="28"/>
          <w:szCs w:val="28"/>
          <w:lang w:val="ru-RU"/>
        </w:rPr>
        <w:t>1</w:t>
      </w:r>
      <w:r w:rsidR="0056563B" w:rsidRPr="00920869">
        <w:rPr>
          <w:sz w:val="28"/>
          <w:szCs w:val="28"/>
          <w:lang w:val="ru-RU"/>
        </w:rPr>
        <w:t xml:space="preserve">]. </w:t>
      </w:r>
      <w:r w:rsidR="005730BB" w:rsidRPr="00920869">
        <w:rPr>
          <w:sz w:val="28"/>
          <w:szCs w:val="28"/>
          <w:lang w:val="ru-RU"/>
        </w:rPr>
        <w:t>Кроме того, темпы увеличения индекса массы тела (ИМТ) в течение жизни ассоциировались с пропорциональным повышением</w:t>
      </w:r>
      <w:r w:rsidR="000574A2" w:rsidRPr="00920869">
        <w:rPr>
          <w:sz w:val="28"/>
          <w:szCs w:val="28"/>
          <w:lang w:val="ru-RU"/>
        </w:rPr>
        <w:t xml:space="preserve"> риска развития ГБ у здоровых людей [9]. </w:t>
      </w:r>
      <w:r w:rsidR="005323E4" w:rsidRPr="00920869">
        <w:rPr>
          <w:sz w:val="28"/>
          <w:szCs w:val="28"/>
          <w:lang w:val="ru-RU"/>
        </w:rPr>
        <w:t xml:space="preserve">А при </w:t>
      </w:r>
      <w:proofErr w:type="spellStart"/>
      <w:r w:rsidR="005323E4" w:rsidRPr="00920869">
        <w:rPr>
          <w:sz w:val="28"/>
          <w:szCs w:val="28"/>
          <w:lang w:val="ru-RU"/>
        </w:rPr>
        <w:t>морбидном</w:t>
      </w:r>
      <w:proofErr w:type="spellEnd"/>
      <w:r w:rsidR="005323E4" w:rsidRPr="00920869">
        <w:rPr>
          <w:sz w:val="28"/>
          <w:szCs w:val="28"/>
          <w:lang w:val="ru-RU"/>
        </w:rPr>
        <w:t xml:space="preserve"> типе ожирения с ИМТ более </w:t>
      </w:r>
      <w:r w:rsidR="005323E4" w:rsidRPr="00920869">
        <w:rPr>
          <w:sz w:val="28"/>
          <w:szCs w:val="28"/>
        </w:rPr>
        <w:t>40 кг/м</w:t>
      </w:r>
      <w:proofErr w:type="gramStart"/>
      <w:r w:rsidR="005323E4" w:rsidRPr="00920869">
        <w:rPr>
          <w:sz w:val="28"/>
          <w:szCs w:val="28"/>
          <w:vertAlign w:val="superscript"/>
        </w:rPr>
        <w:t>2</w:t>
      </w:r>
      <w:proofErr w:type="gramEnd"/>
      <w:r w:rsidR="005323E4" w:rsidRPr="00920869">
        <w:rPr>
          <w:sz w:val="28"/>
          <w:szCs w:val="28"/>
          <w:lang w:val="ru-RU"/>
        </w:rPr>
        <w:t xml:space="preserve"> практически вс</w:t>
      </w:r>
      <w:r w:rsidR="003D26A6">
        <w:rPr>
          <w:sz w:val="28"/>
          <w:szCs w:val="28"/>
          <w:lang w:val="ru-RU"/>
        </w:rPr>
        <w:t>е пациенты (98%) страдают ГБ [2</w:t>
      </w:r>
      <w:r w:rsidR="005323E4" w:rsidRPr="00920869">
        <w:rPr>
          <w:sz w:val="28"/>
          <w:szCs w:val="28"/>
          <w:lang w:val="ru-RU"/>
        </w:rPr>
        <w:t>]</w:t>
      </w:r>
      <w:r w:rsidR="005323E4" w:rsidRPr="00920869">
        <w:rPr>
          <w:sz w:val="28"/>
          <w:szCs w:val="28"/>
        </w:rPr>
        <w:t>.</w:t>
      </w:r>
    </w:p>
    <w:p w:rsidR="008476A2" w:rsidRPr="00920869" w:rsidRDefault="00BB4BBC" w:rsidP="009208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0869">
        <w:rPr>
          <w:sz w:val="28"/>
          <w:szCs w:val="28"/>
          <w:lang w:val="ru-RU"/>
        </w:rPr>
        <w:t>Поддержание</w:t>
      </w:r>
      <w:r w:rsidR="00EA6DE2" w:rsidRPr="00920869">
        <w:rPr>
          <w:sz w:val="28"/>
          <w:szCs w:val="28"/>
          <w:lang w:val="ru-RU"/>
        </w:rPr>
        <w:t xml:space="preserve"> постоянства массы тела (</w:t>
      </w:r>
      <w:proofErr w:type="spellStart"/>
      <w:r w:rsidR="00EA6DE2" w:rsidRPr="00920869">
        <w:rPr>
          <w:sz w:val="28"/>
          <w:szCs w:val="28"/>
          <w:lang w:val="ru-RU"/>
        </w:rPr>
        <w:t>липостата</w:t>
      </w:r>
      <w:proofErr w:type="spellEnd"/>
      <w:r w:rsidR="00EA6DE2" w:rsidRPr="00920869">
        <w:rPr>
          <w:sz w:val="28"/>
          <w:szCs w:val="28"/>
          <w:lang w:val="ru-RU"/>
        </w:rPr>
        <w:t xml:space="preserve">) </w:t>
      </w:r>
      <w:r w:rsidRPr="00920869">
        <w:rPr>
          <w:sz w:val="28"/>
          <w:szCs w:val="28"/>
          <w:lang w:val="ru-RU"/>
        </w:rPr>
        <w:t>обеспечивается взаимодействием гормональных и нервных механизмов</w:t>
      </w:r>
      <w:r w:rsidR="00EA6DE2" w:rsidRPr="00920869">
        <w:rPr>
          <w:sz w:val="28"/>
          <w:szCs w:val="28"/>
        </w:rPr>
        <w:t>.</w:t>
      </w:r>
      <w:r w:rsidRPr="00920869">
        <w:rPr>
          <w:sz w:val="28"/>
          <w:szCs w:val="28"/>
          <w:lang w:val="ru-RU"/>
        </w:rPr>
        <w:t xml:space="preserve"> </w:t>
      </w:r>
      <w:r w:rsidR="00E35B28" w:rsidRPr="00920869">
        <w:rPr>
          <w:sz w:val="28"/>
          <w:szCs w:val="28"/>
          <w:lang w:val="ru-RU"/>
        </w:rPr>
        <w:t>В последнее время активно изучаются гормонально активные вещества</w:t>
      </w:r>
      <w:r w:rsidR="006F6403" w:rsidRPr="00920869">
        <w:rPr>
          <w:sz w:val="28"/>
          <w:szCs w:val="28"/>
          <w:lang w:val="ru-RU"/>
        </w:rPr>
        <w:t xml:space="preserve">, продуцируемые гипоталамусом и влияющие посредством регуляции аппетита на развитие </w:t>
      </w:r>
      <w:r w:rsidR="006F6403" w:rsidRPr="00920869">
        <w:rPr>
          <w:sz w:val="28"/>
          <w:szCs w:val="28"/>
          <w:lang w:val="ru-RU"/>
        </w:rPr>
        <w:lastRenderedPageBreak/>
        <w:t xml:space="preserve">ожирения. Одним из таких </w:t>
      </w:r>
      <w:proofErr w:type="spellStart"/>
      <w:r w:rsidR="006F6403" w:rsidRPr="00920869">
        <w:rPr>
          <w:sz w:val="28"/>
          <w:szCs w:val="28"/>
          <w:lang w:val="ru-RU"/>
        </w:rPr>
        <w:t>нейропептид</w:t>
      </w:r>
      <w:r w:rsidR="009A3FAF" w:rsidRPr="00920869">
        <w:rPr>
          <w:sz w:val="28"/>
          <w:szCs w:val="28"/>
          <w:lang w:val="ru-RU"/>
        </w:rPr>
        <w:t>ов</w:t>
      </w:r>
      <w:proofErr w:type="spellEnd"/>
      <w:r w:rsidR="009A3FAF" w:rsidRPr="00920869">
        <w:rPr>
          <w:sz w:val="28"/>
          <w:szCs w:val="28"/>
          <w:lang w:val="ru-RU"/>
        </w:rPr>
        <w:t xml:space="preserve"> является несфатин-1, выраженная экспрессия которого была установлена не только в головном мозге, но и в периферических органах, таких как жировая ткань, желудок, поджелудочная железа, сердце и </w:t>
      </w:r>
      <w:r w:rsidR="003D26A6">
        <w:rPr>
          <w:sz w:val="28"/>
          <w:szCs w:val="28"/>
          <w:lang w:val="ru-RU"/>
        </w:rPr>
        <w:t>органы репродуктивной системы [</w:t>
      </w:r>
      <w:r w:rsidR="003D26A6" w:rsidRPr="003D26A6">
        <w:rPr>
          <w:sz w:val="28"/>
          <w:szCs w:val="28"/>
          <w:lang w:val="ru-RU"/>
        </w:rPr>
        <w:t>6</w:t>
      </w:r>
      <w:r w:rsidR="003D26A6">
        <w:rPr>
          <w:sz w:val="28"/>
          <w:szCs w:val="28"/>
          <w:lang w:val="ru-RU"/>
        </w:rPr>
        <w:t>, 10</w:t>
      </w:r>
      <w:r w:rsidR="009A3FAF" w:rsidRPr="00920869">
        <w:rPr>
          <w:sz w:val="28"/>
          <w:szCs w:val="28"/>
          <w:lang w:val="ru-RU"/>
        </w:rPr>
        <w:t>].</w:t>
      </w:r>
      <w:r w:rsidR="006F6403" w:rsidRPr="00920869">
        <w:rPr>
          <w:sz w:val="28"/>
          <w:szCs w:val="28"/>
          <w:lang w:val="ru-RU"/>
        </w:rPr>
        <w:t xml:space="preserve"> </w:t>
      </w:r>
      <w:r w:rsidR="009A3FAF" w:rsidRPr="00920869">
        <w:rPr>
          <w:sz w:val="28"/>
          <w:szCs w:val="28"/>
          <w:lang w:val="ru-RU"/>
        </w:rPr>
        <w:t>П</w:t>
      </w:r>
      <w:r w:rsidR="006F6403" w:rsidRPr="00920869">
        <w:rPr>
          <w:sz w:val="28"/>
          <w:szCs w:val="28"/>
          <w:lang w:val="ru-RU"/>
        </w:rPr>
        <w:t>о данным некоторых исследований</w:t>
      </w:r>
      <w:r w:rsidR="00DF6325">
        <w:rPr>
          <w:sz w:val="28"/>
          <w:szCs w:val="28"/>
          <w:lang w:val="ru-RU"/>
        </w:rPr>
        <w:t xml:space="preserve">, </w:t>
      </w:r>
      <w:proofErr w:type="gramStart"/>
      <w:r w:rsidR="00DF6325">
        <w:rPr>
          <w:sz w:val="28"/>
          <w:szCs w:val="28"/>
          <w:lang w:val="ru-RU"/>
        </w:rPr>
        <w:t>данный</w:t>
      </w:r>
      <w:proofErr w:type="gramEnd"/>
      <w:r w:rsidR="00DF6325">
        <w:rPr>
          <w:sz w:val="28"/>
          <w:szCs w:val="28"/>
          <w:lang w:val="ru-RU"/>
        </w:rPr>
        <w:t xml:space="preserve"> </w:t>
      </w:r>
      <w:proofErr w:type="spellStart"/>
      <w:r w:rsidR="00DF6325">
        <w:rPr>
          <w:sz w:val="28"/>
          <w:szCs w:val="28"/>
          <w:lang w:val="ru-RU"/>
        </w:rPr>
        <w:t>адипоцитокин</w:t>
      </w:r>
      <w:proofErr w:type="spellEnd"/>
      <w:r w:rsidR="006F6403" w:rsidRPr="00920869">
        <w:rPr>
          <w:sz w:val="28"/>
          <w:szCs w:val="28"/>
          <w:lang w:val="ru-RU"/>
        </w:rPr>
        <w:t xml:space="preserve"> характеризуется </w:t>
      </w:r>
      <w:proofErr w:type="spellStart"/>
      <w:r w:rsidR="006F6403" w:rsidRPr="00920869">
        <w:rPr>
          <w:sz w:val="28"/>
          <w:szCs w:val="28"/>
          <w:lang w:val="ru-RU"/>
        </w:rPr>
        <w:t>анорексигенным</w:t>
      </w:r>
      <w:proofErr w:type="spellEnd"/>
      <w:r w:rsidR="006F6403" w:rsidRPr="00920869">
        <w:rPr>
          <w:sz w:val="28"/>
          <w:szCs w:val="28"/>
          <w:lang w:val="ru-RU"/>
        </w:rPr>
        <w:t xml:space="preserve"> эффектом, регулирует потребление воды, участвует в поддержании энергетического гомеостаза, температуры тела, а также обладает </w:t>
      </w:r>
      <w:proofErr w:type="spellStart"/>
      <w:r w:rsidR="006F6403" w:rsidRPr="00920869">
        <w:rPr>
          <w:sz w:val="28"/>
          <w:szCs w:val="28"/>
          <w:lang w:val="ru-RU"/>
        </w:rPr>
        <w:t>п</w:t>
      </w:r>
      <w:r w:rsidR="003D26A6">
        <w:rPr>
          <w:sz w:val="28"/>
          <w:szCs w:val="28"/>
          <w:lang w:val="ru-RU"/>
        </w:rPr>
        <w:t>рогипертензивным</w:t>
      </w:r>
      <w:proofErr w:type="spellEnd"/>
      <w:r w:rsidR="003D26A6">
        <w:rPr>
          <w:sz w:val="28"/>
          <w:szCs w:val="28"/>
          <w:lang w:val="ru-RU"/>
        </w:rPr>
        <w:t xml:space="preserve"> действием [</w:t>
      </w:r>
      <w:r w:rsidR="00F11191">
        <w:rPr>
          <w:sz w:val="28"/>
          <w:szCs w:val="28"/>
          <w:lang w:val="ru-RU"/>
        </w:rPr>
        <w:t>7, 10, 11</w:t>
      </w:r>
      <w:r w:rsidR="006F6403" w:rsidRPr="00920869">
        <w:rPr>
          <w:sz w:val="28"/>
          <w:szCs w:val="28"/>
          <w:lang w:val="ru-RU"/>
        </w:rPr>
        <w:t xml:space="preserve">]. </w:t>
      </w:r>
      <w:r w:rsidR="009A3FAF" w:rsidRPr="00920869">
        <w:rPr>
          <w:sz w:val="28"/>
          <w:szCs w:val="28"/>
          <w:lang w:val="ru-RU"/>
        </w:rPr>
        <w:t xml:space="preserve">Определение биологической роли несфатина-1 было проведено независимыми лабораториями, преимущественно на экспериментальных животных с использованием нейроанатомических исследований и функционального тестирования. Таким образом, учитывая преимущественно экспериментальный характер проведенных ранее </w:t>
      </w:r>
      <w:r w:rsidR="008476A2" w:rsidRPr="00920869">
        <w:rPr>
          <w:sz w:val="28"/>
          <w:szCs w:val="28"/>
          <w:lang w:val="ru-RU"/>
        </w:rPr>
        <w:t>работ, а также распространенность ГБ и ожирения, приводящих к определенным нарушениям метаболизма, остается противоречивой и недостаточно изученной роль несфатина-1 в развитии этих заболеваний у человека.</w:t>
      </w:r>
    </w:p>
    <w:p w:rsidR="001F2F83" w:rsidRPr="00920869" w:rsidRDefault="008476A2" w:rsidP="009208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0869">
        <w:rPr>
          <w:sz w:val="28"/>
          <w:szCs w:val="28"/>
          <w:lang w:val="ru-RU"/>
        </w:rPr>
        <w:t>Цель исследования – определение гендерных особенностей уровня несфатина-1 у больных гипертонической болезнью в зависимости от наличия и степени выраженности избыточной массы тела.</w:t>
      </w:r>
    </w:p>
    <w:p w:rsidR="001F2F83" w:rsidRPr="00920869" w:rsidRDefault="001F2F83" w:rsidP="009208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2632C" w:rsidRPr="00920869" w:rsidRDefault="00A672A8" w:rsidP="009208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Материалы</w:t>
      </w:r>
      <w:bookmarkStart w:id="0" w:name="_GoBack"/>
      <w:bookmarkEnd w:id="0"/>
      <w:r w:rsidR="001F2F83" w:rsidRPr="00920869">
        <w:rPr>
          <w:b/>
          <w:sz w:val="28"/>
          <w:szCs w:val="28"/>
          <w:lang w:val="ru-RU"/>
        </w:rPr>
        <w:t xml:space="preserve"> и методы исследования. </w:t>
      </w:r>
      <w:r w:rsidR="0072632C" w:rsidRPr="00920869">
        <w:rPr>
          <w:sz w:val="28"/>
          <w:szCs w:val="28"/>
          <w:lang w:val="ru-RU"/>
        </w:rPr>
        <w:t>Обследовано 83 больных гипертонической болезнью, 58 из них находились на стационарном лечении в терапевтическом отделении КУОЗ «Харьковская городская клиническая больница №11» и 25 – в терапевтическом отделении КУОЗ «</w:t>
      </w:r>
      <w:proofErr w:type="spellStart"/>
      <w:r w:rsidR="0072632C" w:rsidRPr="00920869">
        <w:rPr>
          <w:sz w:val="28"/>
          <w:szCs w:val="28"/>
          <w:lang w:val="ru-RU"/>
        </w:rPr>
        <w:t>Чугуевская</w:t>
      </w:r>
      <w:proofErr w:type="spellEnd"/>
      <w:r w:rsidR="0072632C" w:rsidRPr="00920869">
        <w:rPr>
          <w:sz w:val="28"/>
          <w:szCs w:val="28"/>
          <w:lang w:val="ru-RU"/>
        </w:rPr>
        <w:t xml:space="preserve"> центральная клиническая больница им. </w:t>
      </w:r>
      <w:proofErr w:type="spellStart"/>
      <w:r w:rsidR="0072632C" w:rsidRPr="00920869">
        <w:rPr>
          <w:sz w:val="28"/>
          <w:szCs w:val="28"/>
          <w:lang w:val="ru-RU"/>
        </w:rPr>
        <w:t>Н.И.Кононенко</w:t>
      </w:r>
      <w:proofErr w:type="spellEnd"/>
      <w:r w:rsidR="0072632C" w:rsidRPr="00920869">
        <w:rPr>
          <w:sz w:val="28"/>
          <w:szCs w:val="28"/>
          <w:lang w:val="ru-RU"/>
        </w:rPr>
        <w:t>».</w:t>
      </w:r>
    </w:p>
    <w:p w:rsidR="0072632C" w:rsidRPr="00920869" w:rsidRDefault="0072632C" w:rsidP="0092086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920869">
        <w:rPr>
          <w:sz w:val="28"/>
          <w:szCs w:val="28"/>
          <w:lang w:val="ru-RU"/>
        </w:rPr>
        <w:t>Верификация диагноза проводилась на основании пересмотра рекомендаций Европейского общества гипертензии (</w:t>
      </w:r>
      <w:r w:rsidRPr="00920869">
        <w:rPr>
          <w:sz w:val="28"/>
          <w:szCs w:val="28"/>
          <w:lang w:val="en-US"/>
        </w:rPr>
        <w:t>ESH</w:t>
      </w:r>
      <w:r w:rsidR="00AC7900" w:rsidRPr="00920869">
        <w:rPr>
          <w:sz w:val="28"/>
          <w:szCs w:val="28"/>
          <w:lang w:val="ru-RU"/>
        </w:rPr>
        <w:t>, 2013). Наличие избыточной массы тела или ожирения устанавли</w:t>
      </w:r>
      <w:r w:rsidR="004247DC" w:rsidRPr="00920869">
        <w:rPr>
          <w:sz w:val="28"/>
          <w:szCs w:val="28"/>
          <w:lang w:val="ru-RU"/>
        </w:rPr>
        <w:t xml:space="preserve">валось при помощи </w:t>
      </w:r>
      <w:r w:rsidR="00A94D73">
        <w:rPr>
          <w:sz w:val="28"/>
          <w:szCs w:val="28"/>
          <w:lang w:val="ru-RU"/>
        </w:rPr>
        <w:t>расчета индекса массы тела</w:t>
      </w:r>
      <w:r w:rsidR="004247DC" w:rsidRPr="00920869">
        <w:rPr>
          <w:sz w:val="28"/>
          <w:szCs w:val="28"/>
          <w:lang w:val="ru-RU"/>
        </w:rPr>
        <w:t xml:space="preserve"> согласно классификации Всемирной организации здравоохранения (</w:t>
      </w:r>
      <w:r w:rsidR="004247DC" w:rsidRPr="00920869">
        <w:rPr>
          <w:sz w:val="28"/>
          <w:szCs w:val="28"/>
          <w:lang w:val="en-US"/>
        </w:rPr>
        <w:t>WHO</w:t>
      </w:r>
      <w:r w:rsidR="004247DC" w:rsidRPr="00920869">
        <w:rPr>
          <w:sz w:val="28"/>
          <w:szCs w:val="28"/>
          <w:lang w:val="ru-RU"/>
        </w:rPr>
        <w:t>, 2016).</w:t>
      </w:r>
      <w:r w:rsidR="00565D58" w:rsidRPr="00920869">
        <w:rPr>
          <w:sz w:val="28"/>
          <w:szCs w:val="28"/>
          <w:lang w:val="ru-RU"/>
        </w:rPr>
        <w:t xml:space="preserve"> </w:t>
      </w:r>
    </w:p>
    <w:p w:rsidR="004247DC" w:rsidRPr="00920869" w:rsidRDefault="004247DC" w:rsidP="0092086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920869">
        <w:rPr>
          <w:sz w:val="28"/>
          <w:szCs w:val="28"/>
          <w:lang w:val="ru-RU"/>
        </w:rPr>
        <w:lastRenderedPageBreak/>
        <w:t>Критериями исключения больных из исследования были: вторичная артериальная гипертензия; наличие сопутствующей эндокринной, аутоиммунной, почечной и онкологической патологии; обострение хронических воспалительных процессов или наличие острых воспалительных заболеваний, острого инфаркта миокарда или инсульта, острой лево- или правожелудочковой недостаточности; приобретенных пороков сердца</w:t>
      </w:r>
      <w:r w:rsidR="002C42E2" w:rsidRPr="00920869">
        <w:rPr>
          <w:sz w:val="28"/>
          <w:szCs w:val="28"/>
          <w:lang w:val="ru-RU"/>
        </w:rPr>
        <w:t>; травматических поражений центральной нервной системы</w:t>
      </w:r>
      <w:r w:rsidR="00293084" w:rsidRPr="00920869">
        <w:rPr>
          <w:sz w:val="28"/>
          <w:szCs w:val="28"/>
          <w:lang w:val="ru-RU"/>
        </w:rPr>
        <w:t>; сопутствующих психических заболеваний, алкоголизма, наркомании; диффузных заболеваний соединительной ткани;</w:t>
      </w:r>
      <w:proofErr w:type="gramEnd"/>
      <w:r w:rsidR="00293084" w:rsidRPr="00920869">
        <w:rPr>
          <w:sz w:val="28"/>
          <w:szCs w:val="28"/>
          <w:lang w:val="ru-RU"/>
        </w:rPr>
        <w:t xml:space="preserve"> хронической сердечной недостаточности </w:t>
      </w:r>
      <w:r w:rsidR="00293084" w:rsidRPr="00920869">
        <w:rPr>
          <w:sz w:val="28"/>
          <w:szCs w:val="28"/>
          <w:lang w:val="en-US"/>
        </w:rPr>
        <w:t>II</w:t>
      </w:r>
      <w:proofErr w:type="gramStart"/>
      <w:r w:rsidR="00293084" w:rsidRPr="00920869">
        <w:rPr>
          <w:sz w:val="28"/>
          <w:szCs w:val="28"/>
          <w:lang w:val="ru-RU"/>
        </w:rPr>
        <w:t>Б</w:t>
      </w:r>
      <w:proofErr w:type="gramEnd"/>
      <w:r w:rsidR="00293084" w:rsidRPr="00920869">
        <w:rPr>
          <w:sz w:val="28"/>
          <w:szCs w:val="28"/>
          <w:lang w:val="ru-RU"/>
        </w:rPr>
        <w:t>-</w:t>
      </w:r>
      <w:r w:rsidR="00293084" w:rsidRPr="00920869">
        <w:rPr>
          <w:sz w:val="28"/>
          <w:szCs w:val="28"/>
          <w:lang w:val="en-US"/>
        </w:rPr>
        <w:t>III</w:t>
      </w:r>
      <w:r w:rsidR="00293084" w:rsidRPr="00920869">
        <w:rPr>
          <w:sz w:val="28"/>
          <w:szCs w:val="28"/>
          <w:lang w:val="ru-RU"/>
        </w:rPr>
        <w:t xml:space="preserve"> стадии.</w:t>
      </w:r>
    </w:p>
    <w:p w:rsidR="00565D58" w:rsidRPr="00920869" w:rsidRDefault="00565D58" w:rsidP="009208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0869">
        <w:rPr>
          <w:sz w:val="28"/>
          <w:szCs w:val="28"/>
          <w:lang w:val="ru-RU"/>
        </w:rPr>
        <w:t xml:space="preserve">У всех больных проведено измерение основных антропометрических показателей (рост, вес, объём талии и бедер), с расчетом ИМТ, индекса талии/бедер (ИТБ) и индекса талии/роста (ИТР). </w:t>
      </w:r>
    </w:p>
    <w:p w:rsidR="00F56AFA" w:rsidRPr="00920869" w:rsidRDefault="00F56AFA" w:rsidP="009208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0869">
        <w:rPr>
          <w:sz w:val="28"/>
          <w:szCs w:val="28"/>
          <w:lang w:val="ru-RU"/>
        </w:rPr>
        <w:t>Забор крови</w:t>
      </w:r>
      <w:r w:rsidR="00293084" w:rsidRPr="00920869">
        <w:rPr>
          <w:sz w:val="28"/>
          <w:szCs w:val="28"/>
          <w:lang w:val="ru-RU"/>
        </w:rPr>
        <w:t xml:space="preserve"> на биохимические и имм</w:t>
      </w:r>
      <w:r w:rsidRPr="00920869">
        <w:rPr>
          <w:sz w:val="28"/>
          <w:szCs w:val="28"/>
          <w:lang w:val="ru-RU"/>
        </w:rPr>
        <w:t>уноферментные исследования осуществляли</w:t>
      </w:r>
      <w:r w:rsidR="00293084" w:rsidRPr="00920869">
        <w:rPr>
          <w:sz w:val="28"/>
          <w:szCs w:val="28"/>
          <w:lang w:val="ru-RU"/>
        </w:rPr>
        <w:t xml:space="preserve"> из </w:t>
      </w:r>
      <w:proofErr w:type="spellStart"/>
      <w:r w:rsidR="00565D58" w:rsidRPr="00920869">
        <w:rPr>
          <w:sz w:val="28"/>
          <w:szCs w:val="28"/>
          <w:lang w:val="ru-RU"/>
        </w:rPr>
        <w:t>кубитальной</w:t>
      </w:r>
      <w:proofErr w:type="spellEnd"/>
      <w:r w:rsidR="00565D58" w:rsidRPr="00920869">
        <w:rPr>
          <w:sz w:val="28"/>
          <w:szCs w:val="28"/>
          <w:lang w:val="ru-RU"/>
        </w:rPr>
        <w:t xml:space="preserve"> вены утром натощак. </w:t>
      </w:r>
      <w:r w:rsidRPr="00920869">
        <w:rPr>
          <w:sz w:val="28"/>
          <w:szCs w:val="28"/>
          <w:lang w:val="ru-RU"/>
        </w:rPr>
        <w:t xml:space="preserve">Для определения уровня несфатина-1 применялся иммуноферментный метод с использованием набора реагентов </w:t>
      </w:r>
      <w:proofErr w:type="spellStart"/>
      <w:r w:rsidRPr="00920869">
        <w:rPr>
          <w:sz w:val="28"/>
          <w:szCs w:val="28"/>
          <w:lang w:eastAsia="uk-UA"/>
        </w:rPr>
        <w:t>Kono</w:t>
      </w:r>
      <w:proofErr w:type="spellEnd"/>
      <w:r w:rsidRPr="00920869">
        <w:rPr>
          <w:sz w:val="28"/>
          <w:szCs w:val="28"/>
          <w:lang w:eastAsia="uk-UA"/>
        </w:rPr>
        <w:t xml:space="preserve"> </w:t>
      </w:r>
      <w:proofErr w:type="spellStart"/>
      <w:r w:rsidRPr="00920869">
        <w:rPr>
          <w:sz w:val="28"/>
          <w:szCs w:val="28"/>
          <w:lang w:eastAsia="uk-UA"/>
        </w:rPr>
        <w:t>Biotech</w:t>
      </w:r>
      <w:proofErr w:type="spellEnd"/>
      <w:r w:rsidRPr="00920869">
        <w:rPr>
          <w:sz w:val="28"/>
          <w:szCs w:val="28"/>
          <w:lang w:eastAsia="uk-UA"/>
        </w:rPr>
        <w:t xml:space="preserve">® </w:t>
      </w:r>
      <w:proofErr w:type="spellStart"/>
      <w:r w:rsidRPr="00920869">
        <w:rPr>
          <w:sz w:val="28"/>
          <w:szCs w:val="28"/>
          <w:lang w:eastAsia="uk-UA"/>
        </w:rPr>
        <w:t>Human</w:t>
      </w:r>
      <w:proofErr w:type="spellEnd"/>
      <w:r w:rsidRPr="00920869">
        <w:rPr>
          <w:sz w:val="28"/>
          <w:szCs w:val="28"/>
          <w:lang w:eastAsia="uk-UA"/>
        </w:rPr>
        <w:t xml:space="preserve"> Nesfatin-1 ELISA </w:t>
      </w:r>
      <w:proofErr w:type="spellStart"/>
      <w:r w:rsidRPr="00920869">
        <w:rPr>
          <w:sz w:val="28"/>
          <w:szCs w:val="28"/>
          <w:lang w:eastAsia="uk-UA"/>
        </w:rPr>
        <w:t>Kit</w:t>
      </w:r>
      <w:proofErr w:type="spellEnd"/>
      <w:r w:rsidRPr="00920869">
        <w:rPr>
          <w:sz w:val="28"/>
          <w:szCs w:val="28"/>
          <w:lang w:eastAsia="uk-UA"/>
        </w:rPr>
        <w:t>.</w:t>
      </w:r>
    </w:p>
    <w:p w:rsidR="00F56AFA" w:rsidRPr="00920869" w:rsidRDefault="00F56AFA" w:rsidP="009208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0869">
        <w:rPr>
          <w:sz w:val="28"/>
          <w:szCs w:val="28"/>
          <w:lang w:val="ru-RU"/>
        </w:rPr>
        <w:t xml:space="preserve">Статистический анализ полученных данных проводили методами непараметрической статистики. В </w:t>
      </w:r>
      <w:proofErr w:type="gramStart"/>
      <w:r w:rsidRPr="00920869">
        <w:rPr>
          <w:sz w:val="28"/>
          <w:szCs w:val="28"/>
          <w:lang w:val="ru-RU"/>
        </w:rPr>
        <w:t>выборках</w:t>
      </w:r>
      <w:proofErr w:type="gramEnd"/>
      <w:r w:rsidRPr="00920869">
        <w:rPr>
          <w:sz w:val="28"/>
          <w:szCs w:val="28"/>
          <w:lang w:val="ru-RU"/>
        </w:rPr>
        <w:t xml:space="preserve"> с непараметрическим распределением данных результаты представлены в виде </w:t>
      </w:r>
      <w:proofErr w:type="spellStart"/>
      <w:r w:rsidRPr="00920869">
        <w:rPr>
          <w:sz w:val="28"/>
          <w:szCs w:val="28"/>
        </w:rPr>
        <w:t>Ме</w:t>
      </w:r>
      <w:proofErr w:type="spellEnd"/>
      <w:r w:rsidRPr="00920869">
        <w:rPr>
          <w:sz w:val="28"/>
          <w:szCs w:val="28"/>
        </w:rPr>
        <w:t xml:space="preserve"> (Q</w:t>
      </w:r>
      <w:r w:rsidRPr="00920869">
        <w:rPr>
          <w:sz w:val="28"/>
          <w:szCs w:val="28"/>
          <w:vertAlign w:val="subscript"/>
        </w:rPr>
        <w:t>25</w:t>
      </w:r>
      <w:r w:rsidRPr="00920869">
        <w:rPr>
          <w:sz w:val="28"/>
          <w:szCs w:val="28"/>
        </w:rPr>
        <w:t>-Q</w:t>
      </w:r>
      <w:r w:rsidRPr="00920869">
        <w:rPr>
          <w:sz w:val="28"/>
          <w:szCs w:val="28"/>
          <w:vertAlign w:val="subscript"/>
        </w:rPr>
        <w:t>75</w:t>
      </w:r>
      <w:r w:rsidRPr="00920869">
        <w:rPr>
          <w:sz w:val="28"/>
          <w:szCs w:val="28"/>
        </w:rPr>
        <w:t xml:space="preserve">), </w:t>
      </w:r>
      <w:r w:rsidR="00A94D73">
        <w:rPr>
          <w:sz w:val="28"/>
          <w:szCs w:val="28"/>
          <w:lang w:val="ru-RU"/>
        </w:rPr>
        <w:t>г</w:t>
      </w:r>
      <w:r w:rsidRPr="00920869">
        <w:rPr>
          <w:sz w:val="28"/>
          <w:szCs w:val="28"/>
        </w:rPr>
        <w:t xml:space="preserve">де </w:t>
      </w:r>
      <w:proofErr w:type="spellStart"/>
      <w:r w:rsidRPr="00920869">
        <w:rPr>
          <w:sz w:val="28"/>
          <w:szCs w:val="28"/>
        </w:rPr>
        <w:t>Ме</w:t>
      </w:r>
      <w:proofErr w:type="spellEnd"/>
      <w:r w:rsidRPr="00920869">
        <w:rPr>
          <w:sz w:val="28"/>
          <w:szCs w:val="28"/>
          <w:lang w:val="ru-RU"/>
        </w:rPr>
        <w:t xml:space="preserve"> – медиана</w:t>
      </w:r>
      <w:r w:rsidRPr="00920869">
        <w:rPr>
          <w:sz w:val="28"/>
          <w:szCs w:val="28"/>
        </w:rPr>
        <w:t xml:space="preserve"> (50-й</w:t>
      </w:r>
      <w:r w:rsidRPr="00920869">
        <w:rPr>
          <w:sz w:val="28"/>
          <w:szCs w:val="28"/>
          <w:lang w:val="ru-RU"/>
        </w:rPr>
        <w:t xml:space="preserve"> </w:t>
      </w:r>
      <w:proofErr w:type="spellStart"/>
      <w:r w:rsidRPr="00920869">
        <w:rPr>
          <w:sz w:val="28"/>
          <w:szCs w:val="28"/>
          <w:lang w:val="ru-RU"/>
        </w:rPr>
        <w:t>процентиль</w:t>
      </w:r>
      <w:proofErr w:type="spellEnd"/>
      <w:r w:rsidRPr="00920869">
        <w:rPr>
          <w:sz w:val="28"/>
          <w:szCs w:val="28"/>
        </w:rPr>
        <w:t>), Q</w:t>
      </w:r>
      <w:r w:rsidRPr="00920869">
        <w:rPr>
          <w:sz w:val="28"/>
          <w:szCs w:val="28"/>
          <w:vertAlign w:val="subscript"/>
        </w:rPr>
        <w:t>25</w:t>
      </w:r>
      <w:r w:rsidR="00A94D73">
        <w:rPr>
          <w:sz w:val="28"/>
          <w:szCs w:val="28"/>
        </w:rPr>
        <w:t xml:space="preserve"> </w:t>
      </w:r>
      <w:r w:rsidR="00A94D73">
        <w:rPr>
          <w:sz w:val="28"/>
          <w:szCs w:val="28"/>
          <w:lang w:val="ru-RU"/>
        </w:rPr>
        <w:t>и</w:t>
      </w:r>
      <w:r w:rsidRPr="00920869">
        <w:rPr>
          <w:sz w:val="28"/>
          <w:szCs w:val="28"/>
        </w:rPr>
        <w:t xml:space="preserve"> Q</w:t>
      </w:r>
      <w:r w:rsidRPr="00920869">
        <w:rPr>
          <w:sz w:val="28"/>
          <w:szCs w:val="28"/>
          <w:vertAlign w:val="subscript"/>
        </w:rPr>
        <w:t>75</w:t>
      </w:r>
      <w:r w:rsidRPr="00920869">
        <w:rPr>
          <w:sz w:val="28"/>
          <w:szCs w:val="28"/>
          <w:lang w:val="ru-RU"/>
        </w:rPr>
        <w:t xml:space="preserve"> – </w:t>
      </w:r>
      <w:r w:rsidR="00A94D73">
        <w:rPr>
          <w:sz w:val="28"/>
          <w:szCs w:val="28"/>
        </w:rPr>
        <w:t xml:space="preserve">25-й </w:t>
      </w:r>
      <w:r w:rsidR="00A94D73">
        <w:rPr>
          <w:sz w:val="28"/>
          <w:szCs w:val="28"/>
          <w:lang w:val="ru-RU"/>
        </w:rPr>
        <w:t>и</w:t>
      </w:r>
      <w:r w:rsidRPr="00920869">
        <w:rPr>
          <w:sz w:val="28"/>
          <w:szCs w:val="28"/>
        </w:rPr>
        <w:t xml:space="preserve"> 75-й</w:t>
      </w:r>
      <w:r w:rsidRPr="00920869">
        <w:rPr>
          <w:sz w:val="28"/>
          <w:szCs w:val="28"/>
          <w:lang w:val="ru-RU"/>
        </w:rPr>
        <w:t xml:space="preserve"> </w:t>
      </w:r>
      <w:proofErr w:type="spellStart"/>
      <w:r w:rsidRPr="00920869">
        <w:rPr>
          <w:sz w:val="28"/>
          <w:szCs w:val="28"/>
          <w:lang w:val="ru-RU"/>
        </w:rPr>
        <w:t>процентили</w:t>
      </w:r>
      <w:proofErr w:type="spellEnd"/>
      <w:r w:rsidRPr="00920869">
        <w:rPr>
          <w:sz w:val="28"/>
          <w:szCs w:val="28"/>
          <w:lang w:val="ru-RU"/>
        </w:rPr>
        <w:t xml:space="preserve"> соответственно </w:t>
      </w:r>
      <w:r w:rsidRPr="00920869">
        <w:rPr>
          <w:sz w:val="28"/>
          <w:szCs w:val="28"/>
        </w:rPr>
        <w:t>(</w:t>
      </w:r>
      <w:r w:rsidRPr="00920869">
        <w:rPr>
          <w:sz w:val="28"/>
          <w:szCs w:val="28"/>
          <w:lang w:val="ru-RU"/>
        </w:rPr>
        <w:t>верхний и нижний квартили</w:t>
      </w:r>
      <w:r w:rsidRPr="00920869">
        <w:rPr>
          <w:sz w:val="28"/>
          <w:szCs w:val="28"/>
        </w:rPr>
        <w:t>).</w:t>
      </w:r>
      <w:r w:rsidRPr="00920869">
        <w:rPr>
          <w:sz w:val="28"/>
          <w:szCs w:val="28"/>
          <w:lang w:val="ru-RU"/>
        </w:rPr>
        <w:t xml:space="preserve"> Для сравнения результатов использовали критерий Манна-Уитни, ранговый дисперсионный анализ </w:t>
      </w:r>
      <w:proofErr w:type="spellStart"/>
      <w:r w:rsidRPr="00920869">
        <w:rPr>
          <w:sz w:val="28"/>
          <w:szCs w:val="28"/>
          <w:lang w:val="ru-RU"/>
        </w:rPr>
        <w:t>Краскела-Уоллиса</w:t>
      </w:r>
      <w:proofErr w:type="spellEnd"/>
      <w:r w:rsidRPr="00920869">
        <w:rPr>
          <w:sz w:val="28"/>
          <w:szCs w:val="28"/>
          <w:lang w:val="ru-RU"/>
        </w:rPr>
        <w:t xml:space="preserve">, медианный тест. Для оценки меры зависимости использовали коэффициент ранговой корреляции </w:t>
      </w:r>
      <w:proofErr w:type="spellStart"/>
      <w:r w:rsidRPr="00920869">
        <w:rPr>
          <w:sz w:val="28"/>
          <w:szCs w:val="28"/>
          <w:lang w:val="ru-RU"/>
        </w:rPr>
        <w:t>Спирмена</w:t>
      </w:r>
      <w:proofErr w:type="spellEnd"/>
      <w:r w:rsidRPr="00920869">
        <w:rPr>
          <w:sz w:val="28"/>
          <w:szCs w:val="28"/>
          <w:lang w:val="ru-RU"/>
        </w:rPr>
        <w:t xml:space="preserve">. Нулевую гипотезу </w:t>
      </w:r>
      <w:r w:rsidR="00EC7899" w:rsidRPr="00920869">
        <w:rPr>
          <w:sz w:val="28"/>
          <w:szCs w:val="28"/>
          <w:lang w:val="ru-RU"/>
        </w:rPr>
        <w:t xml:space="preserve">исключали при уровне достоверности </w:t>
      </w:r>
      <w:r w:rsidR="00AA5E15" w:rsidRPr="00920869">
        <w:rPr>
          <w:sz w:val="28"/>
          <w:szCs w:val="28"/>
          <w:lang w:val="en-US"/>
        </w:rPr>
        <w:t>p</w:t>
      </w:r>
      <w:r w:rsidR="00EC7899" w:rsidRPr="00920869">
        <w:rPr>
          <w:sz w:val="28"/>
          <w:szCs w:val="28"/>
        </w:rPr>
        <w:t>&lt;0,05</w:t>
      </w:r>
      <w:r w:rsidR="00EC7899" w:rsidRPr="00920869">
        <w:rPr>
          <w:sz w:val="28"/>
          <w:szCs w:val="28"/>
          <w:lang w:val="ru-RU"/>
        </w:rPr>
        <w:t>.</w:t>
      </w:r>
    </w:p>
    <w:p w:rsidR="00AA5E15" w:rsidRPr="00920869" w:rsidRDefault="00AA5E15" w:rsidP="009208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BB4BBC" w:rsidRPr="00920869" w:rsidRDefault="00AA5E15" w:rsidP="00920869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920869">
        <w:rPr>
          <w:b/>
          <w:sz w:val="28"/>
          <w:szCs w:val="28"/>
          <w:lang w:val="ru-RU"/>
        </w:rPr>
        <w:t xml:space="preserve">Результаты исследования и их обсуждение. </w:t>
      </w:r>
    </w:p>
    <w:p w:rsidR="00AA5E15" w:rsidRPr="00920869" w:rsidRDefault="002333CB" w:rsidP="009208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0869">
        <w:rPr>
          <w:sz w:val="28"/>
          <w:szCs w:val="28"/>
          <w:lang w:val="ru-RU"/>
        </w:rPr>
        <w:t>В исследовании приняли участие 34 мужчины и 49 женщин, больных гипертонической болезнью. Все пациенты были распределены на т</w:t>
      </w:r>
      <w:r w:rsidR="001A4A36" w:rsidRPr="00920869">
        <w:rPr>
          <w:sz w:val="28"/>
          <w:szCs w:val="28"/>
          <w:lang w:val="ru-RU"/>
        </w:rPr>
        <w:t xml:space="preserve">ри группы следующим образом: в </w:t>
      </w:r>
      <w:r w:rsidR="001A4A36" w:rsidRPr="00920869">
        <w:rPr>
          <w:sz w:val="28"/>
          <w:szCs w:val="28"/>
          <w:lang w:val="en-US"/>
        </w:rPr>
        <w:t>I</w:t>
      </w:r>
      <w:r w:rsidRPr="00920869">
        <w:rPr>
          <w:sz w:val="28"/>
          <w:szCs w:val="28"/>
          <w:lang w:val="ru-RU"/>
        </w:rPr>
        <w:t xml:space="preserve"> группу вошли </w:t>
      </w:r>
      <w:r w:rsidR="00373795" w:rsidRPr="00920869">
        <w:rPr>
          <w:sz w:val="28"/>
          <w:szCs w:val="28"/>
          <w:lang w:val="ru-RU"/>
        </w:rPr>
        <w:t>13 (16</w:t>
      </w:r>
      <w:r w:rsidR="00DB28B5" w:rsidRPr="00920869">
        <w:rPr>
          <w:sz w:val="28"/>
          <w:szCs w:val="28"/>
          <w:lang w:val="ru-RU"/>
        </w:rPr>
        <w:t xml:space="preserve">% от общего количества </w:t>
      </w:r>
      <w:r w:rsidR="00DB28B5" w:rsidRPr="00920869">
        <w:rPr>
          <w:sz w:val="28"/>
          <w:szCs w:val="28"/>
          <w:lang w:val="ru-RU"/>
        </w:rPr>
        <w:lastRenderedPageBreak/>
        <w:t>обследованных пациентов) больных гипертонической бо</w:t>
      </w:r>
      <w:r w:rsidR="001F336F" w:rsidRPr="00920869">
        <w:rPr>
          <w:sz w:val="28"/>
          <w:szCs w:val="28"/>
          <w:lang w:val="ru-RU"/>
        </w:rPr>
        <w:t>лезнью с нормальной массой тела.</w:t>
      </w:r>
      <w:r w:rsidR="001A4A36" w:rsidRPr="00920869">
        <w:rPr>
          <w:sz w:val="28"/>
          <w:szCs w:val="28"/>
          <w:lang w:val="ru-RU"/>
        </w:rPr>
        <w:t xml:space="preserve"> </w:t>
      </w:r>
      <w:proofErr w:type="gramStart"/>
      <w:r w:rsidR="001A4A36" w:rsidRPr="00920869">
        <w:rPr>
          <w:sz w:val="28"/>
          <w:szCs w:val="28"/>
          <w:lang w:val="en-US"/>
        </w:rPr>
        <w:t>II</w:t>
      </w:r>
      <w:r w:rsidR="00DB28B5" w:rsidRPr="00920869">
        <w:rPr>
          <w:sz w:val="28"/>
          <w:szCs w:val="28"/>
          <w:lang w:val="ru-RU"/>
        </w:rPr>
        <w:t xml:space="preserve"> группу составили 37 </w:t>
      </w:r>
      <w:r w:rsidR="00373795" w:rsidRPr="00920869">
        <w:rPr>
          <w:sz w:val="28"/>
          <w:szCs w:val="28"/>
          <w:lang w:val="ru-RU"/>
        </w:rPr>
        <w:t>(44</w:t>
      </w:r>
      <w:r w:rsidR="001F336F" w:rsidRPr="00920869">
        <w:rPr>
          <w:sz w:val="28"/>
          <w:szCs w:val="28"/>
          <w:lang w:val="ru-RU"/>
        </w:rPr>
        <w:t xml:space="preserve">%) пациентов с умеренным увеличением веса (избыточная масса тела и ожирение </w:t>
      </w:r>
      <w:r w:rsidR="001F336F" w:rsidRPr="00920869">
        <w:rPr>
          <w:sz w:val="28"/>
          <w:szCs w:val="28"/>
          <w:lang w:val="en-US"/>
        </w:rPr>
        <w:t>I</w:t>
      </w:r>
      <w:r w:rsidR="00DB28B5" w:rsidRPr="00920869">
        <w:rPr>
          <w:sz w:val="28"/>
          <w:szCs w:val="28"/>
          <w:lang w:val="ru-RU"/>
        </w:rPr>
        <w:t xml:space="preserve"> </w:t>
      </w:r>
      <w:r w:rsidR="001F336F" w:rsidRPr="00920869">
        <w:rPr>
          <w:sz w:val="28"/>
          <w:szCs w:val="28"/>
          <w:lang w:val="ru-RU"/>
        </w:rPr>
        <w:t>ст.).</w:t>
      </w:r>
      <w:proofErr w:type="gramEnd"/>
      <w:r w:rsidR="001F336F" w:rsidRPr="00920869">
        <w:rPr>
          <w:sz w:val="28"/>
          <w:szCs w:val="28"/>
          <w:lang w:val="ru-RU"/>
        </w:rPr>
        <w:t xml:space="preserve"> В с</w:t>
      </w:r>
      <w:r w:rsidR="001A4A36" w:rsidRPr="00920869">
        <w:rPr>
          <w:sz w:val="28"/>
          <w:szCs w:val="28"/>
          <w:lang w:val="ru-RU"/>
        </w:rPr>
        <w:t xml:space="preserve">остав </w:t>
      </w:r>
      <w:r w:rsidR="001A4A36" w:rsidRPr="00920869">
        <w:rPr>
          <w:sz w:val="28"/>
          <w:szCs w:val="28"/>
          <w:lang w:val="en-US"/>
        </w:rPr>
        <w:t>III</w:t>
      </w:r>
      <w:r w:rsidR="00373795" w:rsidRPr="00920869">
        <w:rPr>
          <w:sz w:val="28"/>
          <w:szCs w:val="28"/>
          <w:lang w:val="ru-RU"/>
        </w:rPr>
        <w:t xml:space="preserve"> группы включены 33 (40</w:t>
      </w:r>
      <w:r w:rsidR="001F336F" w:rsidRPr="00920869">
        <w:rPr>
          <w:sz w:val="28"/>
          <w:szCs w:val="28"/>
          <w:lang w:val="ru-RU"/>
        </w:rPr>
        <w:t>%)</w:t>
      </w:r>
      <w:r w:rsidR="00373795" w:rsidRPr="00920869">
        <w:rPr>
          <w:sz w:val="28"/>
          <w:szCs w:val="28"/>
          <w:lang w:val="ru-RU"/>
        </w:rPr>
        <w:t xml:space="preserve"> больных ГБ со значительным лишним весом (ожирение </w:t>
      </w:r>
      <w:r w:rsidR="00373795" w:rsidRPr="00920869">
        <w:rPr>
          <w:sz w:val="28"/>
          <w:szCs w:val="28"/>
          <w:lang w:val="en-US"/>
        </w:rPr>
        <w:t>II</w:t>
      </w:r>
      <w:r w:rsidR="00373795" w:rsidRPr="00920869">
        <w:rPr>
          <w:sz w:val="28"/>
          <w:szCs w:val="28"/>
          <w:lang w:val="ru-RU"/>
        </w:rPr>
        <w:t xml:space="preserve"> и </w:t>
      </w:r>
      <w:r w:rsidR="00373795" w:rsidRPr="00920869">
        <w:rPr>
          <w:sz w:val="28"/>
          <w:szCs w:val="28"/>
          <w:lang w:val="en-US"/>
        </w:rPr>
        <w:t>III</w:t>
      </w:r>
      <w:r w:rsidR="00373795" w:rsidRPr="00920869">
        <w:rPr>
          <w:sz w:val="28"/>
          <w:szCs w:val="28"/>
          <w:lang w:val="ru-RU"/>
        </w:rPr>
        <w:t xml:space="preserve"> ст.).</w:t>
      </w:r>
      <w:r w:rsidR="00B55D75" w:rsidRPr="00920869">
        <w:rPr>
          <w:sz w:val="28"/>
          <w:szCs w:val="28"/>
          <w:lang w:val="ru-RU"/>
        </w:rPr>
        <w:t xml:space="preserve"> </w:t>
      </w:r>
      <w:r w:rsidR="00AA2CA2" w:rsidRPr="00920869">
        <w:rPr>
          <w:sz w:val="28"/>
          <w:szCs w:val="28"/>
          <w:lang w:val="ru-RU"/>
        </w:rPr>
        <w:t xml:space="preserve">Контрольную группу составили 12 практически здоровых особ. </w:t>
      </w:r>
      <w:r w:rsidR="00565D58" w:rsidRPr="00920869">
        <w:rPr>
          <w:sz w:val="28"/>
          <w:szCs w:val="28"/>
          <w:lang w:val="ru-RU"/>
        </w:rPr>
        <w:t>Сравнительная характеристика основных групп пациентов с учетом пола и антропометрических показателей приведена в таблице 1.</w:t>
      </w:r>
    </w:p>
    <w:p w:rsidR="00565D58" w:rsidRPr="00920869" w:rsidRDefault="00565D58" w:rsidP="009208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565D58" w:rsidRPr="00920869" w:rsidRDefault="00565D58" w:rsidP="009208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0869">
        <w:rPr>
          <w:sz w:val="28"/>
          <w:szCs w:val="28"/>
          <w:lang w:val="ru-RU"/>
        </w:rPr>
        <w:t>Таб.1. Характер</w:t>
      </w:r>
      <w:r w:rsidR="00AA2CA2" w:rsidRPr="00920869">
        <w:rPr>
          <w:sz w:val="28"/>
          <w:szCs w:val="28"/>
          <w:lang w:val="ru-RU"/>
        </w:rPr>
        <w:t xml:space="preserve">истика основных групп пациентов, </w:t>
      </w:r>
      <w:proofErr w:type="spellStart"/>
      <w:r w:rsidR="00AA2CA2" w:rsidRPr="00920869">
        <w:rPr>
          <w:sz w:val="28"/>
          <w:szCs w:val="28"/>
        </w:rPr>
        <w:t>Ме</w:t>
      </w:r>
      <w:proofErr w:type="spellEnd"/>
      <w:r w:rsidR="00AA2CA2" w:rsidRPr="00920869">
        <w:rPr>
          <w:sz w:val="28"/>
          <w:szCs w:val="28"/>
        </w:rPr>
        <w:t xml:space="preserve"> (Q</w:t>
      </w:r>
      <w:r w:rsidR="00AA2CA2" w:rsidRPr="00920869">
        <w:rPr>
          <w:sz w:val="28"/>
          <w:szCs w:val="28"/>
          <w:vertAlign w:val="subscript"/>
        </w:rPr>
        <w:t>25</w:t>
      </w:r>
      <w:r w:rsidR="00AA2CA2" w:rsidRPr="00920869">
        <w:rPr>
          <w:sz w:val="28"/>
          <w:szCs w:val="28"/>
        </w:rPr>
        <w:t>-Q</w:t>
      </w:r>
      <w:r w:rsidR="00AA2CA2" w:rsidRPr="00920869">
        <w:rPr>
          <w:sz w:val="28"/>
          <w:szCs w:val="28"/>
          <w:vertAlign w:val="subscript"/>
        </w:rPr>
        <w:t>75</w:t>
      </w:r>
      <w:r w:rsidR="00AA2CA2" w:rsidRPr="00920869">
        <w:rPr>
          <w:sz w:val="28"/>
          <w:szCs w:val="28"/>
        </w:rPr>
        <w:t>)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2"/>
        <w:gridCol w:w="1705"/>
        <w:gridCol w:w="1559"/>
        <w:gridCol w:w="1701"/>
        <w:gridCol w:w="1701"/>
        <w:gridCol w:w="1666"/>
      </w:tblGrid>
      <w:tr w:rsidR="005C34B9" w:rsidRPr="00140BA0" w:rsidTr="00361E25">
        <w:trPr>
          <w:trHeight w:val="1000"/>
          <w:jc w:val="center"/>
        </w:trPr>
        <w:tc>
          <w:tcPr>
            <w:tcW w:w="1522" w:type="dxa"/>
          </w:tcPr>
          <w:p w:rsidR="00D86E31" w:rsidRPr="00140BA0" w:rsidRDefault="00D86E31" w:rsidP="00140BA0">
            <w:pPr>
              <w:spacing w:line="360" w:lineRule="auto"/>
              <w:ind w:firstLine="709"/>
              <w:jc w:val="center"/>
              <w:rPr>
                <w:lang w:val="ru-RU"/>
              </w:rPr>
            </w:pPr>
          </w:p>
        </w:tc>
        <w:tc>
          <w:tcPr>
            <w:tcW w:w="1705" w:type="dxa"/>
          </w:tcPr>
          <w:p w:rsidR="00140BA0" w:rsidRDefault="00D86E31" w:rsidP="00140BA0">
            <w:pPr>
              <w:spacing w:line="360" w:lineRule="auto"/>
              <w:rPr>
                <w:lang w:val="en-US"/>
              </w:rPr>
            </w:pPr>
            <w:r w:rsidRPr="00140BA0">
              <w:rPr>
                <w:lang w:val="en-US"/>
              </w:rPr>
              <w:t>I</w:t>
            </w:r>
            <w:r w:rsidRPr="00140BA0">
              <w:rPr>
                <w:lang w:val="ru-RU"/>
              </w:rPr>
              <w:t xml:space="preserve"> группа, </w:t>
            </w:r>
          </w:p>
          <w:p w:rsidR="00D86E31" w:rsidRPr="00140BA0" w:rsidRDefault="00D86E31" w:rsidP="00140BA0">
            <w:pPr>
              <w:spacing w:line="360" w:lineRule="auto"/>
              <w:rPr>
                <w:lang w:val="ru-RU"/>
              </w:rPr>
            </w:pPr>
            <w:r w:rsidRPr="00140BA0">
              <w:rPr>
                <w:lang w:val="en-US"/>
              </w:rPr>
              <w:t>n</w:t>
            </w:r>
            <w:r w:rsidRPr="00140BA0">
              <w:rPr>
                <w:lang w:val="ru-RU"/>
              </w:rPr>
              <w:t>=13</w:t>
            </w:r>
          </w:p>
        </w:tc>
        <w:tc>
          <w:tcPr>
            <w:tcW w:w="1559" w:type="dxa"/>
          </w:tcPr>
          <w:p w:rsidR="00D86E31" w:rsidRPr="00140BA0" w:rsidRDefault="00D86E31" w:rsidP="00140BA0">
            <w:pPr>
              <w:spacing w:line="360" w:lineRule="auto"/>
              <w:rPr>
                <w:lang w:val="ru-RU"/>
              </w:rPr>
            </w:pPr>
            <w:r w:rsidRPr="00140BA0">
              <w:rPr>
                <w:lang w:val="en-US"/>
              </w:rPr>
              <w:t>II</w:t>
            </w:r>
            <w:r w:rsidRPr="00140BA0">
              <w:rPr>
                <w:lang w:val="ru-RU"/>
              </w:rPr>
              <w:t xml:space="preserve"> группа, </w:t>
            </w:r>
            <w:r w:rsidRPr="00140BA0">
              <w:rPr>
                <w:lang w:val="en-US"/>
              </w:rPr>
              <w:t>n</w:t>
            </w:r>
            <w:r w:rsidRPr="00140BA0">
              <w:rPr>
                <w:lang w:val="ru-RU"/>
              </w:rPr>
              <w:t>=37</w:t>
            </w:r>
          </w:p>
        </w:tc>
        <w:tc>
          <w:tcPr>
            <w:tcW w:w="1701" w:type="dxa"/>
          </w:tcPr>
          <w:p w:rsidR="00D86E31" w:rsidRPr="00140BA0" w:rsidRDefault="00D86E31" w:rsidP="00140BA0">
            <w:pPr>
              <w:spacing w:line="360" w:lineRule="auto"/>
              <w:rPr>
                <w:lang w:val="ru-RU"/>
              </w:rPr>
            </w:pPr>
            <w:r w:rsidRPr="00140BA0">
              <w:rPr>
                <w:lang w:val="en-US"/>
              </w:rPr>
              <w:t>III</w:t>
            </w:r>
            <w:r w:rsidRPr="00140BA0">
              <w:rPr>
                <w:lang w:val="ru-RU"/>
              </w:rPr>
              <w:t xml:space="preserve"> группа, </w:t>
            </w:r>
            <w:r w:rsidRPr="00140BA0">
              <w:rPr>
                <w:lang w:val="en-US"/>
              </w:rPr>
              <w:t>n</w:t>
            </w:r>
            <w:r w:rsidRPr="00140BA0">
              <w:rPr>
                <w:lang w:val="ru-RU"/>
              </w:rPr>
              <w:t>=33</w:t>
            </w:r>
          </w:p>
        </w:tc>
        <w:tc>
          <w:tcPr>
            <w:tcW w:w="1701" w:type="dxa"/>
          </w:tcPr>
          <w:p w:rsidR="00140BA0" w:rsidRDefault="00D86E31" w:rsidP="00140BA0">
            <w:pPr>
              <w:spacing w:line="360" w:lineRule="auto"/>
              <w:rPr>
                <w:lang w:val="en-US"/>
              </w:rPr>
            </w:pPr>
            <w:r w:rsidRPr="00140BA0">
              <w:rPr>
                <w:lang w:val="ru-RU"/>
              </w:rPr>
              <w:t>Контрольная группа,</w:t>
            </w:r>
            <w:r w:rsidR="00140BA0">
              <w:rPr>
                <w:lang w:val="en-US"/>
              </w:rPr>
              <w:t xml:space="preserve"> </w:t>
            </w:r>
          </w:p>
          <w:p w:rsidR="00D86E31" w:rsidRPr="00140BA0" w:rsidRDefault="00D86E31" w:rsidP="00140BA0">
            <w:pPr>
              <w:spacing w:line="360" w:lineRule="auto"/>
              <w:rPr>
                <w:lang w:val="ru-RU"/>
              </w:rPr>
            </w:pPr>
            <w:r w:rsidRPr="00140BA0">
              <w:rPr>
                <w:lang w:val="en-US"/>
              </w:rPr>
              <w:t>n</w:t>
            </w:r>
            <w:r w:rsidRPr="00140BA0">
              <w:rPr>
                <w:lang w:val="ru-RU"/>
              </w:rPr>
              <w:t>=12</w:t>
            </w:r>
          </w:p>
        </w:tc>
        <w:tc>
          <w:tcPr>
            <w:tcW w:w="1666" w:type="dxa"/>
          </w:tcPr>
          <w:p w:rsidR="00D86E31" w:rsidRPr="00140BA0" w:rsidRDefault="00D86E31" w:rsidP="00140BA0">
            <w:pPr>
              <w:spacing w:line="360" w:lineRule="auto"/>
              <w:rPr>
                <w:lang w:val="ru-RU"/>
              </w:rPr>
            </w:pPr>
            <w:r w:rsidRPr="00140BA0">
              <w:t>р (Kruskal-Wallis ANOVA)</w:t>
            </w:r>
          </w:p>
        </w:tc>
      </w:tr>
      <w:tr w:rsidR="005C34B9" w:rsidRPr="00920869" w:rsidTr="002A30BD">
        <w:trPr>
          <w:trHeight w:val="964"/>
          <w:jc w:val="center"/>
        </w:trPr>
        <w:tc>
          <w:tcPr>
            <w:tcW w:w="1522" w:type="dxa"/>
          </w:tcPr>
          <w:p w:rsidR="005C34B9" w:rsidRPr="00920869" w:rsidRDefault="00D86E31" w:rsidP="00140BA0">
            <w:pPr>
              <w:spacing w:line="360" w:lineRule="auto"/>
              <w:rPr>
                <w:lang w:val="ru-RU"/>
              </w:rPr>
            </w:pPr>
            <w:r w:rsidRPr="00920869">
              <w:rPr>
                <w:lang w:val="ru-RU"/>
              </w:rPr>
              <w:t>Мужчины</w:t>
            </w:r>
            <w:r w:rsidRPr="00920869">
              <w:rPr>
                <w:lang w:val="en-US"/>
              </w:rPr>
              <w:t>/</w:t>
            </w:r>
          </w:p>
          <w:p w:rsidR="00D86E31" w:rsidRPr="00920869" w:rsidRDefault="00D86E31" w:rsidP="00140BA0">
            <w:pPr>
              <w:spacing w:line="360" w:lineRule="auto"/>
              <w:rPr>
                <w:lang w:val="ru-RU"/>
              </w:rPr>
            </w:pPr>
            <w:r w:rsidRPr="00920869">
              <w:rPr>
                <w:lang w:val="ru-RU"/>
              </w:rPr>
              <w:t>женщины</w:t>
            </w:r>
          </w:p>
        </w:tc>
        <w:tc>
          <w:tcPr>
            <w:tcW w:w="1705" w:type="dxa"/>
          </w:tcPr>
          <w:p w:rsidR="00D86E31" w:rsidRPr="00920869" w:rsidRDefault="0028481F" w:rsidP="00140BA0">
            <w:pPr>
              <w:spacing w:line="360" w:lineRule="auto"/>
              <w:jc w:val="both"/>
              <w:rPr>
                <w:lang w:val="en-US"/>
              </w:rPr>
            </w:pPr>
            <w:r w:rsidRPr="00920869">
              <w:rPr>
                <w:lang w:val="en-US"/>
              </w:rPr>
              <w:t>9/4</w:t>
            </w:r>
          </w:p>
        </w:tc>
        <w:tc>
          <w:tcPr>
            <w:tcW w:w="1559" w:type="dxa"/>
          </w:tcPr>
          <w:p w:rsidR="00D86E31" w:rsidRPr="00920869" w:rsidRDefault="0028481F" w:rsidP="00140BA0">
            <w:pPr>
              <w:spacing w:line="360" w:lineRule="auto"/>
              <w:jc w:val="both"/>
              <w:rPr>
                <w:lang w:val="en-US"/>
              </w:rPr>
            </w:pPr>
            <w:r w:rsidRPr="00920869">
              <w:rPr>
                <w:lang w:val="en-US"/>
              </w:rPr>
              <w:t>15/22</w:t>
            </w:r>
          </w:p>
        </w:tc>
        <w:tc>
          <w:tcPr>
            <w:tcW w:w="1701" w:type="dxa"/>
          </w:tcPr>
          <w:p w:rsidR="00D86E31" w:rsidRPr="00920869" w:rsidRDefault="0028481F" w:rsidP="00140BA0">
            <w:pPr>
              <w:spacing w:line="360" w:lineRule="auto"/>
              <w:jc w:val="both"/>
              <w:rPr>
                <w:lang w:val="en-US"/>
              </w:rPr>
            </w:pPr>
            <w:r w:rsidRPr="00920869">
              <w:rPr>
                <w:lang w:val="en-US"/>
              </w:rPr>
              <w:t>10/23</w:t>
            </w:r>
          </w:p>
        </w:tc>
        <w:tc>
          <w:tcPr>
            <w:tcW w:w="1701" w:type="dxa"/>
          </w:tcPr>
          <w:p w:rsidR="00D86E31" w:rsidRPr="00920869" w:rsidRDefault="0028481F" w:rsidP="00140BA0">
            <w:pPr>
              <w:spacing w:line="360" w:lineRule="auto"/>
              <w:jc w:val="both"/>
              <w:rPr>
                <w:lang w:val="en-US"/>
              </w:rPr>
            </w:pPr>
            <w:r w:rsidRPr="00920869">
              <w:rPr>
                <w:lang w:val="en-US"/>
              </w:rPr>
              <w:t>4/8</w:t>
            </w:r>
          </w:p>
        </w:tc>
        <w:tc>
          <w:tcPr>
            <w:tcW w:w="1666" w:type="dxa"/>
          </w:tcPr>
          <w:p w:rsidR="00D86E31" w:rsidRPr="00920869" w:rsidRDefault="00D86E31" w:rsidP="00140BA0">
            <w:pPr>
              <w:spacing w:line="360" w:lineRule="auto"/>
              <w:ind w:firstLine="709"/>
              <w:jc w:val="both"/>
              <w:rPr>
                <w:lang w:val="ru-RU"/>
              </w:rPr>
            </w:pPr>
          </w:p>
        </w:tc>
      </w:tr>
      <w:tr w:rsidR="00D86E31" w:rsidRPr="00920869" w:rsidTr="002A30BD">
        <w:trPr>
          <w:trHeight w:val="964"/>
          <w:jc w:val="center"/>
        </w:trPr>
        <w:tc>
          <w:tcPr>
            <w:tcW w:w="1522" w:type="dxa"/>
          </w:tcPr>
          <w:p w:rsidR="00D86E31" w:rsidRPr="00920869" w:rsidRDefault="00D86E31" w:rsidP="00140BA0">
            <w:pPr>
              <w:spacing w:line="360" w:lineRule="auto"/>
              <w:rPr>
                <w:lang w:val="ru-RU"/>
              </w:rPr>
            </w:pPr>
            <w:r w:rsidRPr="00920869">
              <w:rPr>
                <w:lang w:val="ru-RU"/>
              </w:rPr>
              <w:t xml:space="preserve">Возраст, </w:t>
            </w:r>
            <w:proofErr w:type="gramStart"/>
            <w:r w:rsidRPr="00920869">
              <w:rPr>
                <w:lang w:val="ru-RU"/>
              </w:rPr>
              <w:t>л</w:t>
            </w:r>
            <w:proofErr w:type="gramEnd"/>
            <w:r w:rsidRPr="00920869">
              <w:rPr>
                <w:lang w:val="ru-RU"/>
              </w:rPr>
              <w:t>.</w:t>
            </w:r>
          </w:p>
        </w:tc>
        <w:tc>
          <w:tcPr>
            <w:tcW w:w="1705" w:type="dxa"/>
          </w:tcPr>
          <w:p w:rsidR="00D86E31" w:rsidRPr="00920869" w:rsidRDefault="0028481F" w:rsidP="00140BA0">
            <w:pPr>
              <w:spacing w:line="360" w:lineRule="auto"/>
              <w:jc w:val="both"/>
              <w:rPr>
                <w:lang w:val="en-US"/>
              </w:rPr>
            </w:pPr>
            <w:r w:rsidRPr="00920869">
              <w:rPr>
                <w:lang w:val="en-US"/>
              </w:rPr>
              <w:t>64</w:t>
            </w:r>
          </w:p>
          <w:p w:rsidR="0028481F" w:rsidRPr="00920869" w:rsidRDefault="0028481F" w:rsidP="00140BA0">
            <w:pPr>
              <w:spacing w:line="360" w:lineRule="auto"/>
              <w:jc w:val="both"/>
              <w:rPr>
                <w:lang w:val="en-US"/>
              </w:rPr>
            </w:pPr>
            <w:r w:rsidRPr="00920869">
              <w:rPr>
                <w:lang w:val="en-US"/>
              </w:rPr>
              <w:t>(57-73)</w:t>
            </w:r>
          </w:p>
        </w:tc>
        <w:tc>
          <w:tcPr>
            <w:tcW w:w="1559" w:type="dxa"/>
          </w:tcPr>
          <w:p w:rsidR="00D86E31" w:rsidRPr="00920869" w:rsidRDefault="005C34B9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61</w:t>
            </w:r>
          </w:p>
          <w:p w:rsidR="005C34B9" w:rsidRPr="00920869" w:rsidRDefault="005C34B9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(53-65)</w:t>
            </w:r>
          </w:p>
        </w:tc>
        <w:tc>
          <w:tcPr>
            <w:tcW w:w="1701" w:type="dxa"/>
          </w:tcPr>
          <w:p w:rsidR="00D86E31" w:rsidRPr="00920869" w:rsidRDefault="005C34B9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59</w:t>
            </w:r>
          </w:p>
          <w:p w:rsidR="005C34B9" w:rsidRPr="00920869" w:rsidRDefault="005C34B9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(55-65)</w:t>
            </w:r>
          </w:p>
        </w:tc>
        <w:tc>
          <w:tcPr>
            <w:tcW w:w="1701" w:type="dxa"/>
          </w:tcPr>
          <w:p w:rsidR="00D86E31" w:rsidRPr="00920869" w:rsidRDefault="00260351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53</w:t>
            </w:r>
          </w:p>
          <w:p w:rsidR="00260351" w:rsidRPr="00920869" w:rsidRDefault="00260351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(49,5-55)</w:t>
            </w:r>
          </w:p>
        </w:tc>
        <w:tc>
          <w:tcPr>
            <w:tcW w:w="1666" w:type="dxa"/>
          </w:tcPr>
          <w:p w:rsidR="00D86E31" w:rsidRPr="00920869" w:rsidRDefault="00297817" w:rsidP="00140BA0">
            <w:pPr>
              <w:spacing w:line="360" w:lineRule="auto"/>
              <w:ind w:firstLine="709"/>
              <w:jc w:val="both"/>
              <w:rPr>
                <w:lang w:val="ru-RU"/>
              </w:rPr>
            </w:pPr>
            <w:r w:rsidRPr="00920869">
              <w:t>&gt;0,05</w:t>
            </w:r>
          </w:p>
        </w:tc>
      </w:tr>
      <w:tr w:rsidR="005C34B9" w:rsidRPr="00920869" w:rsidTr="002A30BD">
        <w:trPr>
          <w:trHeight w:val="964"/>
          <w:jc w:val="center"/>
        </w:trPr>
        <w:tc>
          <w:tcPr>
            <w:tcW w:w="1522" w:type="dxa"/>
          </w:tcPr>
          <w:p w:rsidR="00D86E31" w:rsidRPr="00920869" w:rsidRDefault="00D86E31" w:rsidP="00140BA0">
            <w:pPr>
              <w:spacing w:line="360" w:lineRule="auto"/>
            </w:pPr>
            <w:r w:rsidRPr="00920869">
              <w:rPr>
                <w:lang w:val="ru-RU"/>
              </w:rPr>
              <w:t>Рост</w:t>
            </w:r>
            <w:r w:rsidRPr="00920869">
              <w:t xml:space="preserve">,  </w:t>
            </w:r>
            <w:proofErr w:type="gramStart"/>
            <w:r w:rsidRPr="00920869">
              <w:t>см</w:t>
            </w:r>
            <w:proofErr w:type="gramEnd"/>
          </w:p>
        </w:tc>
        <w:tc>
          <w:tcPr>
            <w:tcW w:w="1705" w:type="dxa"/>
          </w:tcPr>
          <w:p w:rsidR="00D86E31" w:rsidRPr="00920869" w:rsidRDefault="0028481F" w:rsidP="00140BA0">
            <w:pPr>
              <w:spacing w:line="360" w:lineRule="auto"/>
              <w:jc w:val="both"/>
              <w:rPr>
                <w:lang w:val="en-US"/>
              </w:rPr>
            </w:pPr>
            <w:r w:rsidRPr="00920869">
              <w:rPr>
                <w:lang w:val="en-US"/>
              </w:rPr>
              <w:t>170</w:t>
            </w:r>
          </w:p>
          <w:p w:rsidR="0028481F" w:rsidRPr="00920869" w:rsidRDefault="0028481F" w:rsidP="00140BA0">
            <w:pPr>
              <w:spacing w:line="360" w:lineRule="auto"/>
              <w:jc w:val="both"/>
              <w:rPr>
                <w:lang w:val="en-US"/>
              </w:rPr>
            </w:pPr>
            <w:r w:rsidRPr="00920869">
              <w:rPr>
                <w:lang w:val="en-US"/>
              </w:rPr>
              <w:t>(169-178)</w:t>
            </w:r>
          </w:p>
        </w:tc>
        <w:tc>
          <w:tcPr>
            <w:tcW w:w="1559" w:type="dxa"/>
          </w:tcPr>
          <w:p w:rsidR="00D86E31" w:rsidRPr="00920869" w:rsidRDefault="005C34B9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165</w:t>
            </w:r>
          </w:p>
          <w:p w:rsidR="005C34B9" w:rsidRPr="00920869" w:rsidRDefault="005C34B9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(162-171)</w:t>
            </w:r>
          </w:p>
        </w:tc>
        <w:tc>
          <w:tcPr>
            <w:tcW w:w="1701" w:type="dxa"/>
          </w:tcPr>
          <w:p w:rsidR="00D86E31" w:rsidRPr="00920869" w:rsidRDefault="00260351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164</w:t>
            </w:r>
          </w:p>
          <w:p w:rsidR="00260351" w:rsidRPr="00920869" w:rsidRDefault="00260351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(156-170)</w:t>
            </w:r>
          </w:p>
        </w:tc>
        <w:tc>
          <w:tcPr>
            <w:tcW w:w="1701" w:type="dxa"/>
          </w:tcPr>
          <w:p w:rsidR="00D86E31" w:rsidRPr="00920869" w:rsidRDefault="00260351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170</w:t>
            </w:r>
          </w:p>
          <w:p w:rsidR="00260351" w:rsidRPr="00920869" w:rsidRDefault="00260351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(164-177)</w:t>
            </w:r>
          </w:p>
        </w:tc>
        <w:tc>
          <w:tcPr>
            <w:tcW w:w="1666" w:type="dxa"/>
          </w:tcPr>
          <w:p w:rsidR="00D86E31" w:rsidRPr="00920869" w:rsidRDefault="00297817" w:rsidP="00140BA0">
            <w:pPr>
              <w:spacing w:line="360" w:lineRule="auto"/>
              <w:ind w:firstLine="709"/>
              <w:jc w:val="both"/>
              <w:rPr>
                <w:lang w:val="ru-RU"/>
              </w:rPr>
            </w:pPr>
            <w:r w:rsidRPr="00920869">
              <w:t>&lt;0,05</w:t>
            </w:r>
          </w:p>
        </w:tc>
      </w:tr>
      <w:tr w:rsidR="005C34B9" w:rsidRPr="00920869" w:rsidTr="002A30BD">
        <w:trPr>
          <w:trHeight w:val="964"/>
          <w:jc w:val="center"/>
        </w:trPr>
        <w:tc>
          <w:tcPr>
            <w:tcW w:w="1522" w:type="dxa"/>
          </w:tcPr>
          <w:p w:rsidR="00D86E31" w:rsidRPr="00920869" w:rsidRDefault="00D86E31" w:rsidP="00140BA0">
            <w:pPr>
              <w:spacing w:line="360" w:lineRule="auto"/>
            </w:pPr>
            <w:r w:rsidRPr="00920869">
              <w:rPr>
                <w:lang w:val="ru-RU"/>
              </w:rPr>
              <w:t>Масса тела</w:t>
            </w:r>
            <w:r w:rsidRPr="00920869">
              <w:t xml:space="preserve">, </w:t>
            </w:r>
            <w:proofErr w:type="gramStart"/>
            <w:r w:rsidRPr="00920869">
              <w:t>кг</w:t>
            </w:r>
            <w:proofErr w:type="gramEnd"/>
          </w:p>
        </w:tc>
        <w:tc>
          <w:tcPr>
            <w:tcW w:w="1705" w:type="dxa"/>
          </w:tcPr>
          <w:p w:rsidR="00D86E31" w:rsidRPr="00920869" w:rsidRDefault="0028481F" w:rsidP="00140BA0">
            <w:pPr>
              <w:spacing w:line="360" w:lineRule="auto"/>
              <w:jc w:val="both"/>
              <w:rPr>
                <w:lang w:val="en-US"/>
              </w:rPr>
            </w:pPr>
            <w:r w:rsidRPr="00920869">
              <w:rPr>
                <w:lang w:val="en-US"/>
              </w:rPr>
              <w:t>71</w:t>
            </w:r>
          </w:p>
          <w:p w:rsidR="0028481F" w:rsidRPr="00920869" w:rsidRDefault="0028481F" w:rsidP="00140BA0">
            <w:pPr>
              <w:spacing w:line="360" w:lineRule="auto"/>
              <w:jc w:val="both"/>
              <w:rPr>
                <w:lang w:val="en-US"/>
              </w:rPr>
            </w:pPr>
            <w:r w:rsidRPr="00920869">
              <w:rPr>
                <w:lang w:val="en-US"/>
              </w:rPr>
              <w:t>(63-73)</w:t>
            </w:r>
          </w:p>
        </w:tc>
        <w:tc>
          <w:tcPr>
            <w:tcW w:w="1559" w:type="dxa"/>
          </w:tcPr>
          <w:p w:rsidR="00D86E31" w:rsidRPr="00920869" w:rsidRDefault="005C34B9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88</w:t>
            </w:r>
          </w:p>
          <w:p w:rsidR="005C34B9" w:rsidRPr="00920869" w:rsidRDefault="005C34B9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(80-92)</w:t>
            </w:r>
          </w:p>
        </w:tc>
        <w:tc>
          <w:tcPr>
            <w:tcW w:w="1701" w:type="dxa"/>
          </w:tcPr>
          <w:p w:rsidR="00D86E31" w:rsidRPr="00920869" w:rsidRDefault="00260351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110</w:t>
            </w:r>
          </w:p>
          <w:p w:rsidR="00260351" w:rsidRPr="00920869" w:rsidRDefault="00260351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(98-122)</w:t>
            </w:r>
          </w:p>
        </w:tc>
        <w:tc>
          <w:tcPr>
            <w:tcW w:w="1701" w:type="dxa"/>
          </w:tcPr>
          <w:p w:rsidR="00D86E31" w:rsidRPr="00920869" w:rsidRDefault="00260351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63,5</w:t>
            </w:r>
          </w:p>
          <w:p w:rsidR="00260351" w:rsidRPr="00920869" w:rsidRDefault="00260351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(59-70,5)</w:t>
            </w:r>
          </w:p>
        </w:tc>
        <w:tc>
          <w:tcPr>
            <w:tcW w:w="1666" w:type="dxa"/>
          </w:tcPr>
          <w:p w:rsidR="00D86E31" w:rsidRPr="00920869" w:rsidRDefault="00297817" w:rsidP="00140BA0">
            <w:pPr>
              <w:spacing w:line="360" w:lineRule="auto"/>
              <w:ind w:firstLine="709"/>
              <w:jc w:val="both"/>
              <w:rPr>
                <w:lang w:val="ru-RU"/>
              </w:rPr>
            </w:pPr>
            <w:r w:rsidRPr="00920869">
              <w:t>&lt;0,001</w:t>
            </w:r>
          </w:p>
        </w:tc>
      </w:tr>
      <w:tr w:rsidR="005C34B9" w:rsidRPr="00920869" w:rsidTr="002A30BD">
        <w:trPr>
          <w:trHeight w:val="964"/>
          <w:jc w:val="center"/>
        </w:trPr>
        <w:tc>
          <w:tcPr>
            <w:tcW w:w="1522" w:type="dxa"/>
          </w:tcPr>
          <w:p w:rsidR="00D86E31" w:rsidRPr="00920869" w:rsidRDefault="00D86E31" w:rsidP="00140BA0">
            <w:pPr>
              <w:spacing w:line="360" w:lineRule="auto"/>
            </w:pPr>
            <w:r w:rsidRPr="00920869">
              <w:rPr>
                <w:lang w:val="ru-RU"/>
              </w:rPr>
              <w:t>ИМТ</w:t>
            </w:r>
            <w:r w:rsidRPr="00920869">
              <w:t>, кг/м</w:t>
            </w:r>
            <w:proofErr w:type="gramStart"/>
            <w:r w:rsidRPr="0092086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5" w:type="dxa"/>
          </w:tcPr>
          <w:p w:rsidR="00D86E31" w:rsidRPr="00920869" w:rsidRDefault="0028481F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23,15</w:t>
            </w:r>
          </w:p>
          <w:p w:rsidR="0028481F" w:rsidRPr="00920869" w:rsidRDefault="0028481F" w:rsidP="00140BA0">
            <w:pPr>
              <w:spacing w:line="360" w:lineRule="auto"/>
              <w:jc w:val="both"/>
              <w:rPr>
                <w:lang w:val="en-US"/>
              </w:rPr>
            </w:pPr>
            <w:r w:rsidRPr="00920869">
              <w:rPr>
                <w:lang w:val="ru-RU"/>
              </w:rPr>
              <w:t>(22,5-24,17)</w:t>
            </w:r>
          </w:p>
        </w:tc>
        <w:tc>
          <w:tcPr>
            <w:tcW w:w="1559" w:type="dxa"/>
          </w:tcPr>
          <w:p w:rsidR="00D86E31" w:rsidRPr="00920869" w:rsidRDefault="005C34B9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31,18</w:t>
            </w:r>
          </w:p>
          <w:p w:rsidR="005C34B9" w:rsidRPr="00920869" w:rsidRDefault="005C34B9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(29,06-32,99)</w:t>
            </w:r>
          </w:p>
        </w:tc>
        <w:tc>
          <w:tcPr>
            <w:tcW w:w="1701" w:type="dxa"/>
          </w:tcPr>
          <w:p w:rsidR="00D86E31" w:rsidRPr="00920869" w:rsidRDefault="00260351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40,90</w:t>
            </w:r>
          </w:p>
          <w:p w:rsidR="00260351" w:rsidRPr="00920869" w:rsidRDefault="00260351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(37,42-44,58)</w:t>
            </w:r>
          </w:p>
        </w:tc>
        <w:tc>
          <w:tcPr>
            <w:tcW w:w="1701" w:type="dxa"/>
          </w:tcPr>
          <w:p w:rsidR="00D86E31" w:rsidRPr="00920869" w:rsidRDefault="00290DC4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22,47</w:t>
            </w:r>
          </w:p>
          <w:p w:rsidR="00290DC4" w:rsidRPr="00920869" w:rsidRDefault="00290DC4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(21,47-23,09)</w:t>
            </w:r>
          </w:p>
        </w:tc>
        <w:tc>
          <w:tcPr>
            <w:tcW w:w="1666" w:type="dxa"/>
          </w:tcPr>
          <w:p w:rsidR="00D86E31" w:rsidRPr="00920869" w:rsidRDefault="00297817" w:rsidP="00140BA0">
            <w:pPr>
              <w:spacing w:line="360" w:lineRule="auto"/>
              <w:ind w:firstLine="709"/>
              <w:jc w:val="both"/>
              <w:rPr>
                <w:lang w:val="ru-RU"/>
              </w:rPr>
            </w:pPr>
            <w:r w:rsidRPr="00920869">
              <w:t>&lt;0,001</w:t>
            </w:r>
          </w:p>
        </w:tc>
      </w:tr>
      <w:tr w:rsidR="005C34B9" w:rsidRPr="00920869" w:rsidTr="002A30BD">
        <w:trPr>
          <w:trHeight w:val="964"/>
          <w:jc w:val="center"/>
        </w:trPr>
        <w:tc>
          <w:tcPr>
            <w:tcW w:w="1522" w:type="dxa"/>
          </w:tcPr>
          <w:p w:rsidR="00D86E31" w:rsidRPr="00920869" w:rsidRDefault="00D86E31" w:rsidP="00140BA0">
            <w:pPr>
              <w:spacing w:line="360" w:lineRule="auto"/>
            </w:pPr>
            <w:r w:rsidRPr="00920869">
              <w:rPr>
                <w:lang w:val="ru-RU"/>
              </w:rPr>
              <w:t>Объем талии</w:t>
            </w:r>
            <w:r w:rsidRPr="00920869">
              <w:t xml:space="preserve">, </w:t>
            </w:r>
            <w:proofErr w:type="gramStart"/>
            <w:r w:rsidRPr="00920869">
              <w:t>см</w:t>
            </w:r>
            <w:proofErr w:type="gramEnd"/>
          </w:p>
        </w:tc>
        <w:tc>
          <w:tcPr>
            <w:tcW w:w="1705" w:type="dxa"/>
          </w:tcPr>
          <w:p w:rsidR="00D86E31" w:rsidRPr="00920869" w:rsidRDefault="005C34B9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79</w:t>
            </w:r>
          </w:p>
          <w:p w:rsidR="005C34B9" w:rsidRPr="00920869" w:rsidRDefault="005C34B9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(76-88)</w:t>
            </w:r>
          </w:p>
        </w:tc>
        <w:tc>
          <w:tcPr>
            <w:tcW w:w="1559" w:type="dxa"/>
          </w:tcPr>
          <w:p w:rsidR="00D86E31" w:rsidRPr="00920869" w:rsidRDefault="005C34B9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101</w:t>
            </w:r>
          </w:p>
          <w:p w:rsidR="005C34B9" w:rsidRPr="00920869" w:rsidRDefault="005C34B9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(96-104)</w:t>
            </w:r>
          </w:p>
        </w:tc>
        <w:tc>
          <w:tcPr>
            <w:tcW w:w="1701" w:type="dxa"/>
          </w:tcPr>
          <w:p w:rsidR="00D86E31" w:rsidRPr="00920869" w:rsidRDefault="00260351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125</w:t>
            </w:r>
          </w:p>
          <w:p w:rsidR="00260351" w:rsidRPr="00920869" w:rsidRDefault="00260351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(119-134)</w:t>
            </w:r>
          </w:p>
        </w:tc>
        <w:tc>
          <w:tcPr>
            <w:tcW w:w="1701" w:type="dxa"/>
          </w:tcPr>
          <w:p w:rsidR="00D86E31" w:rsidRPr="00920869" w:rsidRDefault="00290DC4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73,5</w:t>
            </w:r>
          </w:p>
          <w:p w:rsidR="00290DC4" w:rsidRPr="00920869" w:rsidRDefault="00290DC4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(71-80)</w:t>
            </w:r>
          </w:p>
        </w:tc>
        <w:tc>
          <w:tcPr>
            <w:tcW w:w="1666" w:type="dxa"/>
          </w:tcPr>
          <w:p w:rsidR="00D86E31" w:rsidRPr="00920869" w:rsidRDefault="00297817" w:rsidP="00140BA0">
            <w:pPr>
              <w:spacing w:line="360" w:lineRule="auto"/>
              <w:ind w:firstLine="709"/>
              <w:jc w:val="both"/>
              <w:rPr>
                <w:lang w:val="ru-RU"/>
              </w:rPr>
            </w:pPr>
            <w:r w:rsidRPr="00920869">
              <w:t>&lt;0,001</w:t>
            </w:r>
          </w:p>
        </w:tc>
      </w:tr>
      <w:tr w:rsidR="005C34B9" w:rsidRPr="00920869" w:rsidTr="002A30BD">
        <w:trPr>
          <w:trHeight w:val="964"/>
          <w:jc w:val="center"/>
        </w:trPr>
        <w:tc>
          <w:tcPr>
            <w:tcW w:w="1522" w:type="dxa"/>
          </w:tcPr>
          <w:p w:rsidR="00D86E31" w:rsidRPr="00920869" w:rsidRDefault="00D86E31" w:rsidP="00140BA0">
            <w:pPr>
              <w:spacing w:line="360" w:lineRule="auto"/>
            </w:pPr>
            <w:r w:rsidRPr="00920869">
              <w:rPr>
                <w:lang w:val="ru-RU"/>
              </w:rPr>
              <w:t>Объем бедер</w:t>
            </w:r>
            <w:r w:rsidRPr="00920869">
              <w:t xml:space="preserve">, </w:t>
            </w:r>
            <w:proofErr w:type="gramStart"/>
            <w:r w:rsidRPr="00920869">
              <w:t>см</w:t>
            </w:r>
            <w:proofErr w:type="gramEnd"/>
          </w:p>
        </w:tc>
        <w:tc>
          <w:tcPr>
            <w:tcW w:w="1705" w:type="dxa"/>
          </w:tcPr>
          <w:p w:rsidR="00D86E31" w:rsidRPr="00920869" w:rsidRDefault="005C34B9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97</w:t>
            </w:r>
          </w:p>
          <w:p w:rsidR="005C34B9" w:rsidRPr="00920869" w:rsidRDefault="005C34B9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(90-100)</w:t>
            </w:r>
          </w:p>
        </w:tc>
        <w:tc>
          <w:tcPr>
            <w:tcW w:w="1559" w:type="dxa"/>
          </w:tcPr>
          <w:p w:rsidR="00D86E31" w:rsidRPr="00920869" w:rsidRDefault="005C34B9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112</w:t>
            </w:r>
          </w:p>
          <w:p w:rsidR="005C34B9" w:rsidRPr="00920869" w:rsidRDefault="005C34B9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(105-117)</w:t>
            </w:r>
          </w:p>
        </w:tc>
        <w:tc>
          <w:tcPr>
            <w:tcW w:w="1701" w:type="dxa"/>
          </w:tcPr>
          <w:p w:rsidR="00D86E31" w:rsidRPr="00920869" w:rsidRDefault="00260351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134</w:t>
            </w:r>
          </w:p>
          <w:p w:rsidR="00260351" w:rsidRPr="00920869" w:rsidRDefault="00260351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(126-141)</w:t>
            </w:r>
          </w:p>
        </w:tc>
        <w:tc>
          <w:tcPr>
            <w:tcW w:w="1701" w:type="dxa"/>
          </w:tcPr>
          <w:p w:rsidR="00D86E31" w:rsidRPr="00920869" w:rsidRDefault="00290DC4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95</w:t>
            </w:r>
          </w:p>
          <w:p w:rsidR="00290DC4" w:rsidRPr="00920869" w:rsidRDefault="00290DC4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(94-98)</w:t>
            </w:r>
          </w:p>
        </w:tc>
        <w:tc>
          <w:tcPr>
            <w:tcW w:w="1666" w:type="dxa"/>
          </w:tcPr>
          <w:p w:rsidR="00D86E31" w:rsidRPr="00920869" w:rsidRDefault="00297817" w:rsidP="00140BA0">
            <w:pPr>
              <w:spacing w:line="360" w:lineRule="auto"/>
              <w:ind w:firstLine="709"/>
              <w:jc w:val="both"/>
              <w:rPr>
                <w:lang w:val="ru-RU"/>
              </w:rPr>
            </w:pPr>
            <w:r w:rsidRPr="00920869">
              <w:t>&lt;0,001</w:t>
            </w:r>
          </w:p>
        </w:tc>
      </w:tr>
      <w:tr w:rsidR="005C34B9" w:rsidRPr="00920869" w:rsidTr="002A30BD">
        <w:trPr>
          <w:trHeight w:val="964"/>
          <w:jc w:val="center"/>
        </w:trPr>
        <w:tc>
          <w:tcPr>
            <w:tcW w:w="1522" w:type="dxa"/>
          </w:tcPr>
          <w:p w:rsidR="00D86E31" w:rsidRPr="00920869" w:rsidRDefault="00D86E31" w:rsidP="00140BA0">
            <w:pPr>
              <w:spacing w:line="360" w:lineRule="auto"/>
              <w:rPr>
                <w:lang w:val="ru-RU"/>
              </w:rPr>
            </w:pPr>
            <w:r w:rsidRPr="00920869">
              <w:rPr>
                <w:lang w:val="ru-RU"/>
              </w:rPr>
              <w:t>ИТБ</w:t>
            </w:r>
          </w:p>
        </w:tc>
        <w:tc>
          <w:tcPr>
            <w:tcW w:w="1705" w:type="dxa"/>
          </w:tcPr>
          <w:p w:rsidR="00D86E31" w:rsidRPr="00920869" w:rsidRDefault="005C34B9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0,84</w:t>
            </w:r>
          </w:p>
          <w:p w:rsidR="005C34B9" w:rsidRPr="00920869" w:rsidRDefault="005C34B9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(0,79-0,89)</w:t>
            </w:r>
          </w:p>
        </w:tc>
        <w:tc>
          <w:tcPr>
            <w:tcW w:w="1559" w:type="dxa"/>
          </w:tcPr>
          <w:p w:rsidR="00D86E31" w:rsidRPr="00920869" w:rsidRDefault="005C34B9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0,86</w:t>
            </w:r>
          </w:p>
          <w:p w:rsidR="005C34B9" w:rsidRPr="00920869" w:rsidRDefault="005C34B9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(0,93-0,96)</w:t>
            </w:r>
          </w:p>
        </w:tc>
        <w:tc>
          <w:tcPr>
            <w:tcW w:w="1701" w:type="dxa"/>
          </w:tcPr>
          <w:p w:rsidR="00D86E31" w:rsidRPr="00920869" w:rsidRDefault="00260351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0,94</w:t>
            </w:r>
          </w:p>
          <w:p w:rsidR="00260351" w:rsidRPr="00920869" w:rsidRDefault="00260351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(0,90-1,02)</w:t>
            </w:r>
          </w:p>
        </w:tc>
        <w:tc>
          <w:tcPr>
            <w:tcW w:w="1701" w:type="dxa"/>
          </w:tcPr>
          <w:p w:rsidR="00D86E31" w:rsidRPr="00920869" w:rsidRDefault="00290DC4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0,76</w:t>
            </w:r>
          </w:p>
          <w:p w:rsidR="00290DC4" w:rsidRPr="00920869" w:rsidRDefault="00290DC4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(0,74-0,85)</w:t>
            </w:r>
          </w:p>
        </w:tc>
        <w:tc>
          <w:tcPr>
            <w:tcW w:w="1666" w:type="dxa"/>
          </w:tcPr>
          <w:p w:rsidR="00D86E31" w:rsidRPr="00920869" w:rsidRDefault="00297817" w:rsidP="00140BA0">
            <w:pPr>
              <w:spacing w:line="360" w:lineRule="auto"/>
              <w:ind w:firstLine="709"/>
              <w:jc w:val="both"/>
              <w:rPr>
                <w:lang w:val="ru-RU"/>
              </w:rPr>
            </w:pPr>
            <w:r w:rsidRPr="00920869">
              <w:t>&lt;0,001</w:t>
            </w:r>
          </w:p>
        </w:tc>
      </w:tr>
      <w:tr w:rsidR="00D86E31" w:rsidRPr="00920869" w:rsidTr="002A30BD">
        <w:trPr>
          <w:trHeight w:val="964"/>
          <w:jc w:val="center"/>
        </w:trPr>
        <w:tc>
          <w:tcPr>
            <w:tcW w:w="1522" w:type="dxa"/>
          </w:tcPr>
          <w:p w:rsidR="00D86E31" w:rsidRPr="00920869" w:rsidRDefault="00D86E31" w:rsidP="00140BA0">
            <w:pPr>
              <w:spacing w:line="360" w:lineRule="auto"/>
              <w:rPr>
                <w:lang w:val="ru-RU"/>
              </w:rPr>
            </w:pPr>
            <w:r w:rsidRPr="00920869">
              <w:rPr>
                <w:lang w:val="ru-RU"/>
              </w:rPr>
              <w:t>ИТР</w:t>
            </w:r>
          </w:p>
        </w:tc>
        <w:tc>
          <w:tcPr>
            <w:tcW w:w="1705" w:type="dxa"/>
          </w:tcPr>
          <w:p w:rsidR="00D86E31" w:rsidRPr="00920869" w:rsidRDefault="005C34B9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0,47</w:t>
            </w:r>
          </w:p>
          <w:p w:rsidR="005C34B9" w:rsidRPr="00920869" w:rsidRDefault="005C34B9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(0,44-0,49)</w:t>
            </w:r>
          </w:p>
        </w:tc>
        <w:tc>
          <w:tcPr>
            <w:tcW w:w="1559" w:type="dxa"/>
          </w:tcPr>
          <w:p w:rsidR="00D86E31" w:rsidRPr="00920869" w:rsidRDefault="005C34B9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0,60</w:t>
            </w:r>
          </w:p>
          <w:p w:rsidR="005C34B9" w:rsidRPr="00920869" w:rsidRDefault="005C34B9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(0,58-0,63)</w:t>
            </w:r>
          </w:p>
        </w:tc>
        <w:tc>
          <w:tcPr>
            <w:tcW w:w="1701" w:type="dxa"/>
          </w:tcPr>
          <w:p w:rsidR="00D86E31" w:rsidRPr="00920869" w:rsidRDefault="00260351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0,77</w:t>
            </w:r>
          </w:p>
          <w:p w:rsidR="00260351" w:rsidRPr="00920869" w:rsidRDefault="00260351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(0,72-0,81)</w:t>
            </w:r>
          </w:p>
        </w:tc>
        <w:tc>
          <w:tcPr>
            <w:tcW w:w="1701" w:type="dxa"/>
          </w:tcPr>
          <w:p w:rsidR="00D86E31" w:rsidRPr="00920869" w:rsidRDefault="00290DC4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0,44</w:t>
            </w:r>
          </w:p>
          <w:p w:rsidR="00290DC4" w:rsidRPr="00920869" w:rsidRDefault="00290DC4" w:rsidP="00140BA0">
            <w:pPr>
              <w:spacing w:line="360" w:lineRule="auto"/>
              <w:jc w:val="both"/>
              <w:rPr>
                <w:lang w:val="ru-RU"/>
              </w:rPr>
            </w:pPr>
            <w:r w:rsidRPr="00920869">
              <w:rPr>
                <w:lang w:val="ru-RU"/>
              </w:rPr>
              <w:t>(0,42-0,46)</w:t>
            </w:r>
          </w:p>
        </w:tc>
        <w:tc>
          <w:tcPr>
            <w:tcW w:w="1666" w:type="dxa"/>
          </w:tcPr>
          <w:p w:rsidR="00D86E31" w:rsidRPr="00920869" w:rsidRDefault="00297817" w:rsidP="00140BA0">
            <w:pPr>
              <w:spacing w:line="360" w:lineRule="auto"/>
              <w:ind w:firstLine="709"/>
              <w:jc w:val="both"/>
              <w:rPr>
                <w:lang w:val="ru-RU"/>
              </w:rPr>
            </w:pPr>
            <w:r w:rsidRPr="00920869">
              <w:t>&lt;0,001</w:t>
            </w:r>
          </w:p>
        </w:tc>
      </w:tr>
    </w:tbl>
    <w:p w:rsidR="0057546F" w:rsidRDefault="00AA2CA2" w:rsidP="0057546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0869">
        <w:rPr>
          <w:sz w:val="28"/>
          <w:szCs w:val="28"/>
          <w:lang w:val="ru-RU"/>
        </w:rPr>
        <w:lastRenderedPageBreak/>
        <w:t>Учитывая полученные показатели, установлено достоверное (</w:t>
      </w:r>
      <w:r w:rsidRPr="00920869">
        <w:rPr>
          <w:sz w:val="28"/>
          <w:szCs w:val="28"/>
        </w:rPr>
        <w:t>&lt;0,001</w:t>
      </w:r>
      <w:r w:rsidRPr="00920869">
        <w:rPr>
          <w:sz w:val="28"/>
          <w:szCs w:val="28"/>
          <w:lang w:val="ru-RU"/>
        </w:rPr>
        <w:t>) увеличение массы тела, ИМТ, объемов талии и бедер, ИТБ и ИТР у больных по мере нарастания степени ожирения.</w:t>
      </w:r>
    </w:p>
    <w:p w:rsidR="00BF76B2" w:rsidRDefault="00BF76B2" w:rsidP="0057546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 сравнительный анализ гендерных различий в антропометрических показателях всей выборки пациентов с использованием кр</w:t>
      </w:r>
      <w:r w:rsidR="007F6B9A">
        <w:rPr>
          <w:sz w:val="28"/>
          <w:szCs w:val="28"/>
          <w:lang w:val="ru-RU"/>
        </w:rPr>
        <w:t xml:space="preserve">итерия Манна-Уитни. Установлено, что показатели роста и ИТБ достоверно выше у мужчин </w:t>
      </w:r>
      <w:r w:rsidR="007F6B9A" w:rsidRPr="00920869">
        <w:rPr>
          <w:sz w:val="28"/>
          <w:szCs w:val="28"/>
          <w:lang w:val="ru-RU"/>
        </w:rPr>
        <w:t>(</w:t>
      </w:r>
      <w:r w:rsidR="007F6B9A" w:rsidRPr="00920869">
        <w:rPr>
          <w:sz w:val="28"/>
          <w:szCs w:val="28"/>
        </w:rPr>
        <w:t>&lt;0,001</w:t>
      </w:r>
      <w:r w:rsidR="007F6B9A" w:rsidRPr="00920869">
        <w:rPr>
          <w:sz w:val="28"/>
          <w:szCs w:val="28"/>
          <w:lang w:val="ru-RU"/>
        </w:rPr>
        <w:t>)</w:t>
      </w:r>
      <w:r w:rsidR="007F6B9A">
        <w:rPr>
          <w:sz w:val="28"/>
          <w:szCs w:val="28"/>
          <w:lang w:val="ru-RU"/>
        </w:rPr>
        <w:t xml:space="preserve">, а объем бедер выше у женщин </w:t>
      </w:r>
      <w:r w:rsidR="007F6B9A" w:rsidRPr="00920869">
        <w:rPr>
          <w:sz w:val="28"/>
          <w:szCs w:val="28"/>
          <w:lang w:val="ru-RU"/>
        </w:rPr>
        <w:t>(</w:t>
      </w:r>
      <w:r w:rsidR="007F6B9A">
        <w:rPr>
          <w:sz w:val="28"/>
          <w:szCs w:val="28"/>
        </w:rPr>
        <w:t>&lt;0,0</w:t>
      </w:r>
      <w:r w:rsidR="007F6B9A">
        <w:rPr>
          <w:sz w:val="28"/>
          <w:szCs w:val="28"/>
          <w:lang w:val="ru-RU"/>
        </w:rPr>
        <w:t>1</w:t>
      </w:r>
      <w:r w:rsidR="007F6B9A" w:rsidRPr="00920869">
        <w:rPr>
          <w:sz w:val="28"/>
          <w:szCs w:val="28"/>
          <w:lang w:val="ru-RU"/>
        </w:rPr>
        <w:t>)</w:t>
      </w:r>
      <w:r w:rsidR="007F6B9A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Результаты приведены в таблице 2.</w:t>
      </w:r>
    </w:p>
    <w:p w:rsidR="00E96850" w:rsidRDefault="00E96850" w:rsidP="0057546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E96850" w:rsidRDefault="00E96850" w:rsidP="0057546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Табл.2. Гендерные особенности антропометрических показателей.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96850" w:rsidRPr="00AE1C97" w:rsidTr="00E96850">
        <w:tc>
          <w:tcPr>
            <w:tcW w:w="2463" w:type="dxa"/>
          </w:tcPr>
          <w:p w:rsidR="00E96850" w:rsidRPr="00AE1C97" w:rsidRDefault="00E96850" w:rsidP="0057546F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2463" w:type="dxa"/>
          </w:tcPr>
          <w:p w:rsidR="00E96850" w:rsidRPr="00AE1C97" w:rsidRDefault="00E96850" w:rsidP="0057546F">
            <w:pPr>
              <w:spacing w:line="360" w:lineRule="auto"/>
              <w:jc w:val="both"/>
              <w:rPr>
                <w:lang w:val="ru-RU"/>
              </w:rPr>
            </w:pPr>
            <w:r w:rsidRPr="00AE1C97">
              <w:rPr>
                <w:lang w:val="ru-RU"/>
              </w:rPr>
              <w:t>Мужчины</w:t>
            </w:r>
          </w:p>
        </w:tc>
        <w:tc>
          <w:tcPr>
            <w:tcW w:w="2464" w:type="dxa"/>
          </w:tcPr>
          <w:p w:rsidR="00E96850" w:rsidRPr="00AE1C97" w:rsidRDefault="00E96850" w:rsidP="0057546F">
            <w:pPr>
              <w:spacing w:line="360" w:lineRule="auto"/>
              <w:jc w:val="both"/>
              <w:rPr>
                <w:lang w:val="ru-RU"/>
              </w:rPr>
            </w:pPr>
            <w:r w:rsidRPr="00AE1C97">
              <w:rPr>
                <w:lang w:val="ru-RU"/>
              </w:rPr>
              <w:t>Женщины</w:t>
            </w:r>
          </w:p>
        </w:tc>
        <w:tc>
          <w:tcPr>
            <w:tcW w:w="2464" w:type="dxa"/>
          </w:tcPr>
          <w:p w:rsidR="00E96850" w:rsidRPr="00AE1C97" w:rsidRDefault="00E96850" w:rsidP="0057546F">
            <w:pPr>
              <w:spacing w:line="360" w:lineRule="auto"/>
              <w:jc w:val="both"/>
              <w:rPr>
                <w:lang w:val="ru-RU"/>
              </w:rPr>
            </w:pPr>
            <w:r w:rsidRPr="00AE1C97">
              <w:rPr>
                <w:lang w:val="en-US"/>
              </w:rPr>
              <w:t>p</w:t>
            </w:r>
          </w:p>
        </w:tc>
      </w:tr>
      <w:tr w:rsidR="00E96850" w:rsidRPr="00AE1C97" w:rsidTr="00E96850">
        <w:tc>
          <w:tcPr>
            <w:tcW w:w="2463" w:type="dxa"/>
          </w:tcPr>
          <w:p w:rsidR="00E96850" w:rsidRPr="00AE1C97" w:rsidRDefault="00E96850" w:rsidP="00335AF1">
            <w:pPr>
              <w:spacing w:line="360" w:lineRule="auto"/>
              <w:rPr>
                <w:lang w:val="ru-RU"/>
              </w:rPr>
            </w:pPr>
            <w:r w:rsidRPr="00AE1C97">
              <w:rPr>
                <w:lang w:val="ru-RU"/>
              </w:rPr>
              <w:t xml:space="preserve">Возраст, </w:t>
            </w:r>
            <w:proofErr w:type="gramStart"/>
            <w:r w:rsidRPr="00AE1C97">
              <w:rPr>
                <w:lang w:val="ru-RU"/>
              </w:rPr>
              <w:t>л</w:t>
            </w:r>
            <w:proofErr w:type="gramEnd"/>
            <w:r w:rsidRPr="00AE1C97">
              <w:rPr>
                <w:lang w:val="ru-RU"/>
              </w:rPr>
              <w:t>.</w:t>
            </w:r>
          </w:p>
        </w:tc>
        <w:tc>
          <w:tcPr>
            <w:tcW w:w="2463" w:type="dxa"/>
          </w:tcPr>
          <w:p w:rsidR="00E96850" w:rsidRPr="00AE1C97" w:rsidRDefault="00E96850" w:rsidP="0057546F">
            <w:pPr>
              <w:spacing w:line="360" w:lineRule="auto"/>
              <w:jc w:val="both"/>
              <w:rPr>
                <w:lang w:val="ru-RU"/>
              </w:rPr>
            </w:pPr>
            <w:r w:rsidRPr="00AE1C97">
              <w:rPr>
                <w:lang w:val="ru-RU"/>
              </w:rPr>
              <w:t>57,5 (52-64)</w:t>
            </w:r>
          </w:p>
        </w:tc>
        <w:tc>
          <w:tcPr>
            <w:tcW w:w="2464" w:type="dxa"/>
          </w:tcPr>
          <w:p w:rsidR="00E96850" w:rsidRPr="00AE1C97" w:rsidRDefault="00AE1C97" w:rsidP="0057546F">
            <w:pPr>
              <w:spacing w:line="360" w:lineRule="auto"/>
              <w:jc w:val="both"/>
              <w:rPr>
                <w:lang w:val="ru-RU"/>
              </w:rPr>
            </w:pPr>
            <w:r w:rsidRPr="00AE1C97">
              <w:rPr>
                <w:lang w:val="ru-RU"/>
              </w:rPr>
              <w:t>62 (57-66)</w:t>
            </w:r>
          </w:p>
        </w:tc>
        <w:tc>
          <w:tcPr>
            <w:tcW w:w="2464" w:type="dxa"/>
          </w:tcPr>
          <w:p w:rsidR="00E96850" w:rsidRPr="00AE1C97" w:rsidRDefault="00AE1C97" w:rsidP="0057546F">
            <w:pPr>
              <w:spacing w:line="360" w:lineRule="auto"/>
              <w:jc w:val="both"/>
              <w:rPr>
                <w:lang w:val="ru-RU"/>
              </w:rPr>
            </w:pPr>
            <w:r w:rsidRPr="00AE1C97">
              <w:t>&gt;0,05</w:t>
            </w:r>
          </w:p>
        </w:tc>
      </w:tr>
      <w:tr w:rsidR="00E96850" w:rsidRPr="00AE1C97" w:rsidTr="00E96850">
        <w:tc>
          <w:tcPr>
            <w:tcW w:w="2463" w:type="dxa"/>
          </w:tcPr>
          <w:p w:rsidR="00E96850" w:rsidRPr="00AE1C97" w:rsidRDefault="00E96850" w:rsidP="00335AF1">
            <w:pPr>
              <w:spacing w:line="360" w:lineRule="auto"/>
            </w:pPr>
            <w:r w:rsidRPr="00AE1C97">
              <w:rPr>
                <w:lang w:val="ru-RU"/>
              </w:rPr>
              <w:t>Рост</w:t>
            </w:r>
            <w:r w:rsidRPr="00AE1C97">
              <w:t xml:space="preserve">,  </w:t>
            </w:r>
            <w:proofErr w:type="gramStart"/>
            <w:r w:rsidRPr="00AE1C97">
              <w:t>см</w:t>
            </w:r>
            <w:proofErr w:type="gramEnd"/>
          </w:p>
        </w:tc>
        <w:tc>
          <w:tcPr>
            <w:tcW w:w="2463" w:type="dxa"/>
          </w:tcPr>
          <w:p w:rsidR="00E96850" w:rsidRPr="00AE1C97" w:rsidRDefault="00E96850" w:rsidP="0057546F">
            <w:pPr>
              <w:spacing w:line="360" w:lineRule="auto"/>
              <w:jc w:val="both"/>
              <w:rPr>
                <w:lang w:val="ru-RU"/>
              </w:rPr>
            </w:pPr>
            <w:r w:rsidRPr="00AE1C97">
              <w:rPr>
                <w:lang w:val="ru-RU"/>
              </w:rPr>
              <w:t>175 (170-178)</w:t>
            </w:r>
          </w:p>
        </w:tc>
        <w:tc>
          <w:tcPr>
            <w:tcW w:w="2464" w:type="dxa"/>
          </w:tcPr>
          <w:p w:rsidR="00E96850" w:rsidRPr="00AE1C97" w:rsidRDefault="00AE1C97" w:rsidP="0057546F">
            <w:pPr>
              <w:spacing w:line="360" w:lineRule="auto"/>
              <w:jc w:val="both"/>
              <w:rPr>
                <w:lang w:val="ru-RU"/>
              </w:rPr>
            </w:pPr>
            <w:r w:rsidRPr="00AE1C97">
              <w:rPr>
                <w:lang w:val="ru-RU"/>
              </w:rPr>
              <w:t>160 (156-165)</w:t>
            </w:r>
          </w:p>
        </w:tc>
        <w:tc>
          <w:tcPr>
            <w:tcW w:w="2464" w:type="dxa"/>
          </w:tcPr>
          <w:p w:rsidR="00E96850" w:rsidRPr="00AE1C97" w:rsidRDefault="00AE1C97" w:rsidP="0057546F">
            <w:pPr>
              <w:spacing w:line="360" w:lineRule="auto"/>
              <w:jc w:val="both"/>
              <w:rPr>
                <w:lang w:val="ru-RU"/>
              </w:rPr>
            </w:pPr>
            <w:r w:rsidRPr="00AE1C97">
              <w:t>&lt;0,001</w:t>
            </w:r>
          </w:p>
        </w:tc>
      </w:tr>
      <w:tr w:rsidR="00E96850" w:rsidRPr="00AE1C97" w:rsidTr="00E96850">
        <w:tc>
          <w:tcPr>
            <w:tcW w:w="2463" w:type="dxa"/>
          </w:tcPr>
          <w:p w:rsidR="00E96850" w:rsidRPr="00AE1C97" w:rsidRDefault="00E96850" w:rsidP="00335AF1">
            <w:pPr>
              <w:spacing w:line="360" w:lineRule="auto"/>
            </w:pPr>
            <w:r w:rsidRPr="00AE1C97">
              <w:rPr>
                <w:lang w:val="ru-RU"/>
              </w:rPr>
              <w:t>Масса тела</w:t>
            </w:r>
            <w:r w:rsidRPr="00AE1C97">
              <w:t xml:space="preserve">, </w:t>
            </w:r>
            <w:proofErr w:type="gramStart"/>
            <w:r w:rsidRPr="00AE1C97">
              <w:t>кг</w:t>
            </w:r>
            <w:proofErr w:type="gramEnd"/>
          </w:p>
        </w:tc>
        <w:tc>
          <w:tcPr>
            <w:tcW w:w="2463" w:type="dxa"/>
          </w:tcPr>
          <w:p w:rsidR="00E96850" w:rsidRPr="00AE1C97" w:rsidRDefault="00E96850" w:rsidP="0057546F">
            <w:pPr>
              <w:spacing w:line="360" w:lineRule="auto"/>
              <w:jc w:val="both"/>
              <w:rPr>
                <w:lang w:val="ru-RU"/>
              </w:rPr>
            </w:pPr>
            <w:r w:rsidRPr="00AE1C97">
              <w:rPr>
                <w:lang w:val="ru-RU"/>
              </w:rPr>
              <w:t>92,5 (80-110)</w:t>
            </w:r>
          </w:p>
        </w:tc>
        <w:tc>
          <w:tcPr>
            <w:tcW w:w="2464" w:type="dxa"/>
          </w:tcPr>
          <w:p w:rsidR="00E96850" w:rsidRPr="00AE1C97" w:rsidRDefault="00AE1C97" w:rsidP="0057546F">
            <w:pPr>
              <w:spacing w:line="360" w:lineRule="auto"/>
              <w:jc w:val="both"/>
              <w:rPr>
                <w:lang w:val="ru-RU"/>
              </w:rPr>
            </w:pPr>
            <w:r w:rsidRPr="00AE1C97">
              <w:rPr>
                <w:lang w:val="ru-RU"/>
              </w:rPr>
              <w:t>88 (81-103)</w:t>
            </w:r>
          </w:p>
        </w:tc>
        <w:tc>
          <w:tcPr>
            <w:tcW w:w="2464" w:type="dxa"/>
          </w:tcPr>
          <w:p w:rsidR="00E96850" w:rsidRPr="00AE1C97" w:rsidRDefault="00AE1C97" w:rsidP="0057546F">
            <w:pPr>
              <w:spacing w:line="360" w:lineRule="auto"/>
              <w:jc w:val="both"/>
              <w:rPr>
                <w:lang w:val="ru-RU"/>
              </w:rPr>
            </w:pPr>
            <w:r w:rsidRPr="00AE1C97">
              <w:t>&gt;0,05</w:t>
            </w:r>
          </w:p>
        </w:tc>
      </w:tr>
      <w:tr w:rsidR="00E96850" w:rsidRPr="00AE1C97" w:rsidTr="00E96850">
        <w:tc>
          <w:tcPr>
            <w:tcW w:w="2463" w:type="dxa"/>
          </w:tcPr>
          <w:p w:rsidR="00E96850" w:rsidRPr="00AE1C97" w:rsidRDefault="00E96850" w:rsidP="00335AF1">
            <w:pPr>
              <w:spacing w:line="360" w:lineRule="auto"/>
            </w:pPr>
            <w:r w:rsidRPr="00AE1C97">
              <w:rPr>
                <w:lang w:val="ru-RU"/>
              </w:rPr>
              <w:t>ИМТ</w:t>
            </w:r>
            <w:r w:rsidRPr="00AE1C97">
              <w:t>, кг/м</w:t>
            </w:r>
            <w:proofErr w:type="gramStart"/>
            <w:r w:rsidRPr="00AE1C9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463" w:type="dxa"/>
          </w:tcPr>
          <w:p w:rsidR="00E96850" w:rsidRPr="00AE1C97" w:rsidRDefault="00E96850" w:rsidP="0057546F">
            <w:pPr>
              <w:spacing w:line="360" w:lineRule="auto"/>
              <w:jc w:val="both"/>
              <w:rPr>
                <w:lang w:val="ru-RU"/>
              </w:rPr>
            </w:pPr>
            <w:r w:rsidRPr="00AE1C97">
              <w:rPr>
                <w:lang w:val="ru-RU"/>
              </w:rPr>
              <w:t>30, 82 (24,54-37,02)</w:t>
            </w:r>
          </w:p>
        </w:tc>
        <w:tc>
          <w:tcPr>
            <w:tcW w:w="2464" w:type="dxa"/>
          </w:tcPr>
          <w:p w:rsidR="00E96850" w:rsidRPr="00AE1C97" w:rsidRDefault="00AE1C97" w:rsidP="0057546F">
            <w:pPr>
              <w:spacing w:line="360" w:lineRule="auto"/>
              <w:jc w:val="both"/>
              <w:rPr>
                <w:lang w:val="ru-RU"/>
              </w:rPr>
            </w:pPr>
            <w:r w:rsidRPr="00AE1C97">
              <w:rPr>
                <w:lang w:val="ru-RU"/>
              </w:rPr>
              <w:t>33,69 (30,85- 39,25)</w:t>
            </w:r>
          </w:p>
        </w:tc>
        <w:tc>
          <w:tcPr>
            <w:tcW w:w="2464" w:type="dxa"/>
          </w:tcPr>
          <w:p w:rsidR="00E96850" w:rsidRPr="00AE1C97" w:rsidRDefault="00AE1C97" w:rsidP="0057546F">
            <w:pPr>
              <w:spacing w:line="360" w:lineRule="auto"/>
              <w:jc w:val="both"/>
              <w:rPr>
                <w:lang w:val="ru-RU"/>
              </w:rPr>
            </w:pPr>
            <w:r w:rsidRPr="00AE1C97">
              <w:t>&gt;0,05</w:t>
            </w:r>
          </w:p>
        </w:tc>
      </w:tr>
      <w:tr w:rsidR="00E96850" w:rsidRPr="00AE1C97" w:rsidTr="00E96850">
        <w:tc>
          <w:tcPr>
            <w:tcW w:w="2463" w:type="dxa"/>
          </w:tcPr>
          <w:p w:rsidR="00E96850" w:rsidRPr="00AE1C97" w:rsidRDefault="00E96850" w:rsidP="00335AF1">
            <w:pPr>
              <w:spacing w:line="360" w:lineRule="auto"/>
            </w:pPr>
            <w:r w:rsidRPr="00AE1C97">
              <w:rPr>
                <w:lang w:val="ru-RU"/>
              </w:rPr>
              <w:t>Объем талии</w:t>
            </w:r>
            <w:r w:rsidRPr="00AE1C97">
              <w:t xml:space="preserve">, </w:t>
            </w:r>
            <w:proofErr w:type="gramStart"/>
            <w:r w:rsidRPr="00AE1C97">
              <w:t>см</w:t>
            </w:r>
            <w:proofErr w:type="gramEnd"/>
          </w:p>
        </w:tc>
        <w:tc>
          <w:tcPr>
            <w:tcW w:w="2463" w:type="dxa"/>
          </w:tcPr>
          <w:p w:rsidR="00E96850" w:rsidRPr="00AE1C97" w:rsidRDefault="00E96850" w:rsidP="0057546F">
            <w:pPr>
              <w:spacing w:line="360" w:lineRule="auto"/>
              <w:jc w:val="both"/>
              <w:rPr>
                <w:lang w:val="ru-RU"/>
              </w:rPr>
            </w:pPr>
            <w:r w:rsidRPr="00AE1C97">
              <w:rPr>
                <w:lang w:val="ru-RU"/>
              </w:rPr>
              <w:t>104 (89-121)</w:t>
            </w:r>
          </w:p>
        </w:tc>
        <w:tc>
          <w:tcPr>
            <w:tcW w:w="2464" w:type="dxa"/>
          </w:tcPr>
          <w:p w:rsidR="00E96850" w:rsidRPr="00AE1C97" w:rsidRDefault="00AE1C97" w:rsidP="0057546F">
            <w:pPr>
              <w:spacing w:line="360" w:lineRule="auto"/>
              <w:jc w:val="both"/>
              <w:rPr>
                <w:lang w:val="ru-RU"/>
              </w:rPr>
            </w:pPr>
            <w:r w:rsidRPr="00AE1C97">
              <w:rPr>
                <w:lang w:val="ru-RU"/>
              </w:rPr>
              <w:t>106 (96-123)</w:t>
            </w:r>
          </w:p>
        </w:tc>
        <w:tc>
          <w:tcPr>
            <w:tcW w:w="2464" w:type="dxa"/>
          </w:tcPr>
          <w:p w:rsidR="00E96850" w:rsidRPr="00AE1C97" w:rsidRDefault="00AE1C97" w:rsidP="0057546F">
            <w:pPr>
              <w:spacing w:line="360" w:lineRule="auto"/>
              <w:jc w:val="both"/>
              <w:rPr>
                <w:lang w:val="ru-RU"/>
              </w:rPr>
            </w:pPr>
            <w:r w:rsidRPr="00AE1C97">
              <w:t>&gt;0,05</w:t>
            </w:r>
          </w:p>
        </w:tc>
      </w:tr>
      <w:tr w:rsidR="00E96850" w:rsidRPr="00AE1C97" w:rsidTr="00E96850">
        <w:tc>
          <w:tcPr>
            <w:tcW w:w="2463" w:type="dxa"/>
          </w:tcPr>
          <w:p w:rsidR="00E96850" w:rsidRPr="00AE1C97" w:rsidRDefault="00E96850" w:rsidP="00335AF1">
            <w:pPr>
              <w:spacing w:line="360" w:lineRule="auto"/>
            </w:pPr>
            <w:r w:rsidRPr="00AE1C97">
              <w:rPr>
                <w:lang w:val="ru-RU"/>
              </w:rPr>
              <w:t>Объем бедер</w:t>
            </w:r>
            <w:r w:rsidRPr="00AE1C97">
              <w:t xml:space="preserve">, </w:t>
            </w:r>
            <w:proofErr w:type="gramStart"/>
            <w:r w:rsidRPr="00AE1C97">
              <w:t>см</w:t>
            </w:r>
            <w:proofErr w:type="gramEnd"/>
          </w:p>
        </w:tc>
        <w:tc>
          <w:tcPr>
            <w:tcW w:w="2463" w:type="dxa"/>
          </w:tcPr>
          <w:p w:rsidR="00E96850" w:rsidRPr="00AE1C97" w:rsidRDefault="00AE1C97" w:rsidP="0057546F">
            <w:pPr>
              <w:spacing w:line="360" w:lineRule="auto"/>
              <w:jc w:val="both"/>
              <w:rPr>
                <w:lang w:val="ru-RU"/>
              </w:rPr>
            </w:pPr>
            <w:r w:rsidRPr="00AE1C97">
              <w:rPr>
                <w:lang w:val="ru-RU"/>
              </w:rPr>
              <w:t>108,5 (100-119)</w:t>
            </w:r>
          </w:p>
        </w:tc>
        <w:tc>
          <w:tcPr>
            <w:tcW w:w="2464" w:type="dxa"/>
          </w:tcPr>
          <w:p w:rsidR="00E96850" w:rsidRPr="00AE1C97" w:rsidRDefault="00AE1C97" w:rsidP="0057546F">
            <w:pPr>
              <w:spacing w:line="360" w:lineRule="auto"/>
              <w:jc w:val="both"/>
              <w:rPr>
                <w:lang w:val="ru-RU"/>
              </w:rPr>
            </w:pPr>
            <w:r w:rsidRPr="00AE1C97">
              <w:rPr>
                <w:lang w:val="ru-RU"/>
              </w:rPr>
              <w:t>121 (112-134)</w:t>
            </w:r>
          </w:p>
        </w:tc>
        <w:tc>
          <w:tcPr>
            <w:tcW w:w="2464" w:type="dxa"/>
          </w:tcPr>
          <w:p w:rsidR="00E96850" w:rsidRPr="00AE1C97" w:rsidRDefault="00AE1C97" w:rsidP="0057546F">
            <w:pPr>
              <w:spacing w:line="360" w:lineRule="auto"/>
              <w:jc w:val="both"/>
              <w:rPr>
                <w:lang w:val="ru-RU"/>
              </w:rPr>
            </w:pPr>
            <w:r w:rsidRPr="00AE1C97">
              <w:t>&lt;0,0</w:t>
            </w:r>
            <w:r w:rsidRPr="00AE1C97">
              <w:rPr>
                <w:lang w:val="ru-RU"/>
              </w:rPr>
              <w:t>1</w:t>
            </w:r>
          </w:p>
        </w:tc>
      </w:tr>
      <w:tr w:rsidR="00E96850" w:rsidRPr="00AE1C97" w:rsidTr="00E96850">
        <w:tc>
          <w:tcPr>
            <w:tcW w:w="2463" w:type="dxa"/>
          </w:tcPr>
          <w:p w:rsidR="00E96850" w:rsidRPr="00AE1C97" w:rsidRDefault="00E96850" w:rsidP="00335AF1">
            <w:pPr>
              <w:spacing w:line="360" w:lineRule="auto"/>
              <w:rPr>
                <w:lang w:val="ru-RU"/>
              </w:rPr>
            </w:pPr>
            <w:r w:rsidRPr="00AE1C97">
              <w:rPr>
                <w:lang w:val="ru-RU"/>
              </w:rPr>
              <w:t>ИТБ</w:t>
            </w:r>
          </w:p>
        </w:tc>
        <w:tc>
          <w:tcPr>
            <w:tcW w:w="2463" w:type="dxa"/>
          </w:tcPr>
          <w:p w:rsidR="00E96850" w:rsidRPr="00AE1C97" w:rsidRDefault="00AE1C97" w:rsidP="0057546F">
            <w:pPr>
              <w:spacing w:line="360" w:lineRule="auto"/>
              <w:jc w:val="both"/>
              <w:rPr>
                <w:lang w:val="ru-RU"/>
              </w:rPr>
            </w:pPr>
            <w:r w:rsidRPr="00AE1C97">
              <w:rPr>
                <w:lang w:val="ru-RU"/>
              </w:rPr>
              <w:t>0,97 (0,91-1,02)</w:t>
            </w:r>
          </w:p>
        </w:tc>
        <w:tc>
          <w:tcPr>
            <w:tcW w:w="2464" w:type="dxa"/>
          </w:tcPr>
          <w:p w:rsidR="00E96850" w:rsidRPr="00AE1C97" w:rsidRDefault="00AE1C97" w:rsidP="0057546F">
            <w:pPr>
              <w:spacing w:line="360" w:lineRule="auto"/>
              <w:jc w:val="both"/>
              <w:rPr>
                <w:lang w:val="ru-RU"/>
              </w:rPr>
            </w:pPr>
            <w:r w:rsidRPr="00AE1C97">
              <w:rPr>
                <w:lang w:val="ru-RU"/>
              </w:rPr>
              <w:t>0,89 (0,84-0,92)</w:t>
            </w:r>
          </w:p>
        </w:tc>
        <w:tc>
          <w:tcPr>
            <w:tcW w:w="2464" w:type="dxa"/>
          </w:tcPr>
          <w:p w:rsidR="00E96850" w:rsidRPr="00AE1C97" w:rsidRDefault="00AE1C97" w:rsidP="0057546F">
            <w:pPr>
              <w:spacing w:line="360" w:lineRule="auto"/>
              <w:jc w:val="both"/>
              <w:rPr>
                <w:lang w:val="ru-RU"/>
              </w:rPr>
            </w:pPr>
            <w:r w:rsidRPr="00AE1C97">
              <w:t>&lt;0,001</w:t>
            </w:r>
          </w:p>
        </w:tc>
      </w:tr>
      <w:tr w:rsidR="00E96850" w:rsidRPr="00AE1C97" w:rsidTr="00E96850">
        <w:tc>
          <w:tcPr>
            <w:tcW w:w="2463" w:type="dxa"/>
          </w:tcPr>
          <w:p w:rsidR="00E96850" w:rsidRPr="00AE1C97" w:rsidRDefault="00E96850" w:rsidP="00335AF1">
            <w:pPr>
              <w:spacing w:line="360" w:lineRule="auto"/>
              <w:rPr>
                <w:lang w:val="ru-RU"/>
              </w:rPr>
            </w:pPr>
            <w:r w:rsidRPr="00AE1C97">
              <w:rPr>
                <w:lang w:val="ru-RU"/>
              </w:rPr>
              <w:t>ИТР</w:t>
            </w:r>
          </w:p>
        </w:tc>
        <w:tc>
          <w:tcPr>
            <w:tcW w:w="2463" w:type="dxa"/>
          </w:tcPr>
          <w:p w:rsidR="00E96850" w:rsidRPr="00AE1C97" w:rsidRDefault="00AE1C97" w:rsidP="0057546F">
            <w:pPr>
              <w:spacing w:line="360" w:lineRule="auto"/>
              <w:jc w:val="both"/>
              <w:rPr>
                <w:lang w:val="ru-RU"/>
              </w:rPr>
            </w:pPr>
            <w:r w:rsidRPr="00AE1C97">
              <w:rPr>
                <w:lang w:val="ru-RU"/>
              </w:rPr>
              <w:t>0,60 (0,51-0,72)</w:t>
            </w:r>
          </w:p>
        </w:tc>
        <w:tc>
          <w:tcPr>
            <w:tcW w:w="2464" w:type="dxa"/>
          </w:tcPr>
          <w:p w:rsidR="00E96850" w:rsidRPr="00AE1C97" w:rsidRDefault="00AE1C97" w:rsidP="0057546F">
            <w:pPr>
              <w:spacing w:line="360" w:lineRule="auto"/>
              <w:jc w:val="both"/>
              <w:rPr>
                <w:lang w:val="ru-RU"/>
              </w:rPr>
            </w:pPr>
            <w:r w:rsidRPr="00AE1C97">
              <w:rPr>
                <w:lang w:val="ru-RU"/>
              </w:rPr>
              <w:t>0,68 (0,59-0,76)</w:t>
            </w:r>
          </w:p>
        </w:tc>
        <w:tc>
          <w:tcPr>
            <w:tcW w:w="2464" w:type="dxa"/>
          </w:tcPr>
          <w:p w:rsidR="00E96850" w:rsidRPr="00AE1C97" w:rsidRDefault="00AE1C97" w:rsidP="0057546F">
            <w:pPr>
              <w:spacing w:line="360" w:lineRule="auto"/>
              <w:jc w:val="both"/>
              <w:rPr>
                <w:lang w:val="ru-RU"/>
              </w:rPr>
            </w:pPr>
            <w:r w:rsidRPr="00AE1C97">
              <w:t>&gt;0,05</w:t>
            </w:r>
          </w:p>
        </w:tc>
      </w:tr>
    </w:tbl>
    <w:p w:rsidR="00E96850" w:rsidRDefault="00E96850" w:rsidP="0057546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E96850" w:rsidRPr="006345DF" w:rsidRDefault="007F6B9A" w:rsidP="0057546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Процентное содержание и распределение жировой ткани в организме </w:t>
      </w:r>
      <w:r w:rsidR="006F1BC5">
        <w:rPr>
          <w:sz w:val="28"/>
          <w:szCs w:val="28"/>
          <w:lang w:val="ru-RU"/>
        </w:rPr>
        <w:t>являются важными факторами в патогенезе многих заболеваний. Все антропометрические показатели в той или иной степени могут свидетельствовать об избыточ</w:t>
      </w:r>
      <w:r w:rsidR="006345DF">
        <w:rPr>
          <w:sz w:val="28"/>
          <w:szCs w:val="28"/>
          <w:lang w:val="ru-RU"/>
        </w:rPr>
        <w:t>ной массе</w:t>
      </w:r>
      <w:r w:rsidR="00FE15F2">
        <w:rPr>
          <w:sz w:val="28"/>
          <w:szCs w:val="28"/>
          <w:lang w:val="ru-RU"/>
        </w:rPr>
        <w:t xml:space="preserve"> или ожирении. Наиболее </w:t>
      </w:r>
      <w:r w:rsidR="002A30BD">
        <w:rPr>
          <w:sz w:val="28"/>
          <w:szCs w:val="28"/>
          <w:lang w:val="ru-RU"/>
        </w:rPr>
        <w:t>достоверными являются</w:t>
      </w:r>
      <w:r w:rsidR="006345DF">
        <w:rPr>
          <w:sz w:val="28"/>
          <w:szCs w:val="28"/>
          <w:lang w:val="ru-RU"/>
        </w:rPr>
        <w:t xml:space="preserve"> ИМТ и ИТР</w:t>
      </w:r>
      <w:r w:rsidR="00FE15F2">
        <w:rPr>
          <w:sz w:val="28"/>
          <w:szCs w:val="28"/>
          <w:lang w:val="ru-RU"/>
        </w:rPr>
        <w:t>, прич</w:t>
      </w:r>
      <w:r w:rsidR="002A30BD">
        <w:rPr>
          <w:sz w:val="28"/>
          <w:szCs w:val="28"/>
          <w:lang w:val="ru-RU"/>
        </w:rPr>
        <w:t xml:space="preserve">ем по некоторым данным ИТР точнее </w:t>
      </w:r>
      <w:r w:rsidR="00FE15F2">
        <w:rPr>
          <w:sz w:val="28"/>
          <w:szCs w:val="28"/>
          <w:lang w:val="ru-RU"/>
        </w:rPr>
        <w:t>оценивает накопление жира в области живот</w:t>
      </w:r>
      <w:r w:rsidR="002A30BD">
        <w:rPr>
          <w:sz w:val="28"/>
          <w:szCs w:val="28"/>
          <w:lang w:val="ru-RU"/>
        </w:rPr>
        <w:t>а (абдоминальный тип ожирения)</w:t>
      </w:r>
      <w:r w:rsidR="006345DF">
        <w:rPr>
          <w:sz w:val="28"/>
          <w:szCs w:val="28"/>
          <w:lang w:val="ru-RU"/>
        </w:rPr>
        <w:t xml:space="preserve"> </w:t>
      </w:r>
      <w:r w:rsidR="00F11191">
        <w:rPr>
          <w:sz w:val="28"/>
          <w:szCs w:val="28"/>
          <w:lang w:val="ru-RU"/>
        </w:rPr>
        <w:t>[5</w:t>
      </w:r>
      <w:r w:rsidR="006345DF" w:rsidRPr="006345DF">
        <w:rPr>
          <w:sz w:val="28"/>
          <w:szCs w:val="28"/>
          <w:lang w:val="ru-RU"/>
        </w:rPr>
        <w:t>].</w:t>
      </w:r>
      <w:r w:rsidR="006345DF">
        <w:rPr>
          <w:sz w:val="28"/>
          <w:szCs w:val="28"/>
          <w:lang w:val="ru-RU"/>
        </w:rPr>
        <w:t xml:space="preserve"> </w:t>
      </w:r>
    </w:p>
    <w:p w:rsidR="00AA2CA2" w:rsidRPr="00920869" w:rsidRDefault="0071045A" w:rsidP="009208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0869">
        <w:rPr>
          <w:sz w:val="28"/>
          <w:szCs w:val="28"/>
          <w:lang w:val="ru-RU"/>
        </w:rPr>
        <w:t xml:space="preserve">Концентрация несфатина-1 в плазме крови пациентов основных групп установлена на уровне 8,26 (7,75-8,58) </w:t>
      </w:r>
      <w:proofErr w:type="spellStart"/>
      <w:r w:rsidRPr="00920869">
        <w:rPr>
          <w:rFonts w:eastAsiaTheme="minorHAnsi"/>
          <w:color w:val="000000"/>
          <w:sz w:val="28"/>
          <w:szCs w:val="28"/>
          <w:lang w:eastAsia="en-US"/>
        </w:rPr>
        <w:t>нг</w:t>
      </w:r>
      <w:proofErr w:type="spellEnd"/>
      <w:r w:rsidRPr="00920869">
        <w:rPr>
          <w:rFonts w:eastAsiaTheme="minorHAnsi"/>
          <w:color w:val="000000"/>
          <w:sz w:val="28"/>
          <w:szCs w:val="28"/>
          <w:lang w:eastAsia="en-US"/>
        </w:rPr>
        <w:t>/</w:t>
      </w:r>
      <w:proofErr w:type="spellStart"/>
      <w:r w:rsidRPr="00920869">
        <w:rPr>
          <w:rFonts w:eastAsiaTheme="minorHAnsi"/>
          <w:color w:val="000000"/>
          <w:sz w:val="28"/>
          <w:szCs w:val="28"/>
          <w:lang w:eastAsia="en-US"/>
        </w:rPr>
        <w:t>мл</w:t>
      </w:r>
      <w:proofErr w:type="spellEnd"/>
      <w:r w:rsidRPr="00920869">
        <w:rPr>
          <w:rFonts w:eastAsiaTheme="minorHAnsi"/>
          <w:color w:val="000000"/>
          <w:sz w:val="28"/>
          <w:szCs w:val="28"/>
          <w:lang w:val="ru-RU" w:eastAsia="en-US"/>
        </w:rPr>
        <w:t xml:space="preserve"> в </w:t>
      </w:r>
      <w:r w:rsidRPr="00920869">
        <w:rPr>
          <w:rFonts w:eastAsiaTheme="minorHAnsi"/>
          <w:color w:val="000000"/>
          <w:sz w:val="28"/>
          <w:szCs w:val="28"/>
          <w:lang w:val="en-US" w:eastAsia="en-US"/>
        </w:rPr>
        <w:t>I</w:t>
      </w:r>
      <w:r w:rsidRPr="00920869">
        <w:rPr>
          <w:rFonts w:eastAsiaTheme="minorHAnsi"/>
          <w:color w:val="000000"/>
          <w:sz w:val="28"/>
          <w:szCs w:val="28"/>
          <w:lang w:val="ru-RU" w:eastAsia="en-US"/>
        </w:rPr>
        <w:t xml:space="preserve"> группе</w:t>
      </w:r>
      <w:r w:rsidRPr="00920869">
        <w:rPr>
          <w:sz w:val="28"/>
          <w:szCs w:val="28"/>
          <w:lang w:val="ru-RU"/>
        </w:rPr>
        <w:t xml:space="preserve">, 7,51 (6,70-8,10) </w:t>
      </w:r>
      <w:proofErr w:type="spellStart"/>
      <w:r w:rsidRPr="00920869">
        <w:rPr>
          <w:rFonts w:eastAsiaTheme="minorHAnsi"/>
          <w:color w:val="000000"/>
          <w:sz w:val="28"/>
          <w:szCs w:val="28"/>
          <w:lang w:eastAsia="en-US"/>
        </w:rPr>
        <w:t>нг</w:t>
      </w:r>
      <w:proofErr w:type="spellEnd"/>
      <w:r w:rsidRPr="00920869">
        <w:rPr>
          <w:rFonts w:eastAsiaTheme="minorHAnsi"/>
          <w:color w:val="000000"/>
          <w:sz w:val="28"/>
          <w:szCs w:val="28"/>
          <w:lang w:eastAsia="en-US"/>
        </w:rPr>
        <w:t>/</w:t>
      </w:r>
      <w:proofErr w:type="spellStart"/>
      <w:r w:rsidRPr="00920869">
        <w:rPr>
          <w:rFonts w:eastAsiaTheme="minorHAnsi"/>
          <w:color w:val="000000"/>
          <w:sz w:val="28"/>
          <w:szCs w:val="28"/>
          <w:lang w:eastAsia="en-US"/>
        </w:rPr>
        <w:t>мл</w:t>
      </w:r>
      <w:proofErr w:type="spellEnd"/>
      <w:r w:rsidR="00E24908" w:rsidRPr="00920869">
        <w:rPr>
          <w:rFonts w:eastAsiaTheme="minorHAnsi"/>
          <w:color w:val="000000"/>
          <w:sz w:val="28"/>
          <w:szCs w:val="28"/>
          <w:lang w:val="ru-RU" w:eastAsia="en-US"/>
        </w:rPr>
        <w:t xml:space="preserve"> во </w:t>
      </w:r>
      <w:r w:rsidR="00E24908" w:rsidRPr="00920869">
        <w:rPr>
          <w:rFonts w:eastAsiaTheme="minorHAnsi"/>
          <w:color w:val="000000"/>
          <w:sz w:val="28"/>
          <w:szCs w:val="28"/>
          <w:lang w:val="en-US" w:eastAsia="en-US"/>
        </w:rPr>
        <w:t>II</w:t>
      </w:r>
      <w:r w:rsidR="00E24908" w:rsidRPr="00920869">
        <w:rPr>
          <w:rFonts w:eastAsiaTheme="minorHAnsi"/>
          <w:color w:val="000000"/>
          <w:sz w:val="28"/>
          <w:szCs w:val="28"/>
          <w:lang w:val="ru-RU" w:eastAsia="en-US"/>
        </w:rPr>
        <w:t xml:space="preserve"> группе</w:t>
      </w:r>
      <w:r w:rsidRPr="00920869">
        <w:rPr>
          <w:sz w:val="28"/>
          <w:szCs w:val="28"/>
          <w:lang w:val="ru-RU"/>
        </w:rPr>
        <w:t>, 7,57 (6,85-8,37)</w:t>
      </w:r>
      <w:r w:rsidR="00E24908" w:rsidRPr="00920869">
        <w:rPr>
          <w:sz w:val="28"/>
          <w:szCs w:val="28"/>
          <w:lang w:val="ru-RU"/>
        </w:rPr>
        <w:t xml:space="preserve"> </w:t>
      </w:r>
      <w:proofErr w:type="spellStart"/>
      <w:r w:rsidR="00E24908" w:rsidRPr="00920869">
        <w:rPr>
          <w:rFonts w:eastAsiaTheme="minorHAnsi"/>
          <w:color w:val="000000"/>
          <w:sz w:val="28"/>
          <w:szCs w:val="28"/>
          <w:lang w:eastAsia="en-US"/>
        </w:rPr>
        <w:t>нг</w:t>
      </w:r>
      <w:proofErr w:type="spellEnd"/>
      <w:r w:rsidR="00E24908" w:rsidRPr="00920869">
        <w:rPr>
          <w:rFonts w:eastAsiaTheme="minorHAnsi"/>
          <w:color w:val="000000"/>
          <w:sz w:val="28"/>
          <w:szCs w:val="28"/>
          <w:lang w:eastAsia="en-US"/>
        </w:rPr>
        <w:t>/</w:t>
      </w:r>
      <w:proofErr w:type="spellStart"/>
      <w:r w:rsidR="00E24908" w:rsidRPr="00920869">
        <w:rPr>
          <w:rFonts w:eastAsiaTheme="minorHAnsi"/>
          <w:color w:val="000000"/>
          <w:sz w:val="28"/>
          <w:szCs w:val="28"/>
          <w:lang w:eastAsia="en-US"/>
        </w:rPr>
        <w:t>мл</w:t>
      </w:r>
      <w:proofErr w:type="spellEnd"/>
      <w:r w:rsidR="00E24908" w:rsidRPr="00920869">
        <w:rPr>
          <w:rFonts w:eastAsiaTheme="minorHAnsi"/>
          <w:color w:val="000000"/>
          <w:sz w:val="28"/>
          <w:szCs w:val="28"/>
          <w:lang w:val="ru-RU" w:eastAsia="en-US"/>
        </w:rPr>
        <w:t xml:space="preserve"> в </w:t>
      </w:r>
      <w:r w:rsidR="00E24908" w:rsidRPr="00920869">
        <w:rPr>
          <w:rFonts w:eastAsiaTheme="minorHAnsi"/>
          <w:color w:val="000000"/>
          <w:sz w:val="28"/>
          <w:szCs w:val="28"/>
          <w:lang w:val="en-US" w:eastAsia="en-US"/>
        </w:rPr>
        <w:t>III</w:t>
      </w:r>
      <w:r w:rsidR="00E24908" w:rsidRPr="00920869">
        <w:rPr>
          <w:rFonts w:eastAsiaTheme="minorHAnsi"/>
          <w:color w:val="000000"/>
          <w:sz w:val="28"/>
          <w:szCs w:val="28"/>
          <w:lang w:val="ru-RU" w:eastAsia="en-US"/>
        </w:rPr>
        <w:t xml:space="preserve"> группе и </w:t>
      </w:r>
      <w:r w:rsidRPr="00920869">
        <w:rPr>
          <w:sz w:val="28"/>
          <w:szCs w:val="28"/>
          <w:lang w:val="ru-RU"/>
        </w:rPr>
        <w:t>4,53 (4,23-4,87)</w:t>
      </w:r>
      <w:r w:rsidR="00E24908" w:rsidRPr="00920869">
        <w:rPr>
          <w:sz w:val="28"/>
          <w:szCs w:val="28"/>
          <w:lang w:val="ru-RU"/>
        </w:rPr>
        <w:t xml:space="preserve"> </w:t>
      </w:r>
      <w:proofErr w:type="spellStart"/>
      <w:r w:rsidR="00E24908" w:rsidRPr="00920869">
        <w:rPr>
          <w:rFonts w:eastAsiaTheme="minorHAnsi"/>
          <w:color w:val="000000"/>
          <w:sz w:val="28"/>
          <w:szCs w:val="28"/>
          <w:lang w:eastAsia="en-US"/>
        </w:rPr>
        <w:t>нг</w:t>
      </w:r>
      <w:proofErr w:type="spellEnd"/>
      <w:r w:rsidR="00E24908" w:rsidRPr="00920869">
        <w:rPr>
          <w:rFonts w:eastAsiaTheme="minorHAnsi"/>
          <w:color w:val="000000"/>
          <w:sz w:val="28"/>
          <w:szCs w:val="28"/>
          <w:lang w:eastAsia="en-US"/>
        </w:rPr>
        <w:t>/</w:t>
      </w:r>
      <w:proofErr w:type="spellStart"/>
      <w:r w:rsidR="00E24908" w:rsidRPr="00920869">
        <w:rPr>
          <w:rFonts w:eastAsiaTheme="minorHAnsi"/>
          <w:color w:val="000000"/>
          <w:sz w:val="28"/>
          <w:szCs w:val="28"/>
          <w:lang w:eastAsia="en-US"/>
        </w:rPr>
        <w:t>мл</w:t>
      </w:r>
      <w:proofErr w:type="spellEnd"/>
      <w:r w:rsidR="00E85E3D">
        <w:rPr>
          <w:rFonts w:eastAsiaTheme="minorHAnsi"/>
          <w:color w:val="000000"/>
          <w:sz w:val="28"/>
          <w:szCs w:val="28"/>
          <w:lang w:val="ru-RU" w:eastAsia="en-US"/>
        </w:rPr>
        <w:t xml:space="preserve"> в группе контроля. Выявлено значительное увеличение</w:t>
      </w:r>
      <w:r w:rsidR="00E24908" w:rsidRPr="00920869">
        <w:rPr>
          <w:rFonts w:eastAsiaTheme="minorHAnsi"/>
          <w:color w:val="000000"/>
          <w:sz w:val="28"/>
          <w:szCs w:val="28"/>
          <w:lang w:val="ru-RU" w:eastAsia="en-US"/>
        </w:rPr>
        <w:t xml:space="preserve"> уровня несфатина-1 у всех </w:t>
      </w:r>
      <w:r w:rsidR="00E24908" w:rsidRPr="00920869">
        <w:rPr>
          <w:rFonts w:eastAsiaTheme="minorHAnsi"/>
          <w:color w:val="000000"/>
          <w:sz w:val="28"/>
          <w:szCs w:val="28"/>
          <w:lang w:val="ru-RU" w:eastAsia="en-US"/>
        </w:rPr>
        <w:lastRenderedPageBreak/>
        <w:t xml:space="preserve">пациентов по сравнению со здоровыми людьми </w:t>
      </w:r>
      <w:r w:rsidR="00E85E3D">
        <w:rPr>
          <w:rFonts w:eastAsiaTheme="minorHAnsi"/>
          <w:color w:val="000000"/>
          <w:sz w:val="28"/>
          <w:szCs w:val="28"/>
          <w:lang w:val="ru-RU" w:eastAsia="en-US"/>
        </w:rPr>
        <w:t>(</w:t>
      </w:r>
      <w:r w:rsidR="00E24908" w:rsidRPr="00920869">
        <w:rPr>
          <w:rFonts w:eastAsiaTheme="minorHAnsi"/>
          <w:color w:val="000000"/>
          <w:sz w:val="28"/>
          <w:szCs w:val="28"/>
          <w:lang w:val="en-US" w:eastAsia="en-US"/>
        </w:rPr>
        <w:t>p</w:t>
      </w:r>
      <w:r w:rsidR="00E24908" w:rsidRPr="00920869">
        <w:rPr>
          <w:sz w:val="28"/>
          <w:szCs w:val="28"/>
        </w:rPr>
        <w:t>&lt;0,001</w:t>
      </w:r>
      <w:r w:rsidR="00E85E3D">
        <w:rPr>
          <w:sz w:val="28"/>
          <w:szCs w:val="28"/>
          <w:lang w:val="ru-RU"/>
        </w:rPr>
        <w:t>)</w:t>
      </w:r>
      <w:r w:rsidR="00E24908" w:rsidRPr="00920869">
        <w:rPr>
          <w:sz w:val="28"/>
          <w:szCs w:val="28"/>
          <w:lang w:val="ru-RU"/>
        </w:rPr>
        <w:t>. При помощи медианного теста также установлена достоверность различий этого показателя между пациентами основных групп (</w:t>
      </w:r>
      <w:r w:rsidR="00E24908" w:rsidRPr="00920869">
        <w:rPr>
          <w:sz w:val="28"/>
          <w:szCs w:val="28"/>
          <w:lang w:val="en-US"/>
        </w:rPr>
        <w:t>p</w:t>
      </w:r>
      <w:r w:rsidR="00E24908" w:rsidRPr="00920869">
        <w:rPr>
          <w:sz w:val="28"/>
          <w:szCs w:val="28"/>
        </w:rPr>
        <w:t>&lt;0,0</w:t>
      </w:r>
      <w:r w:rsidR="00E24908" w:rsidRPr="00920869">
        <w:rPr>
          <w:sz w:val="28"/>
          <w:szCs w:val="28"/>
          <w:lang w:val="ru-RU"/>
        </w:rPr>
        <w:t xml:space="preserve">5). Таким образом, </w:t>
      </w:r>
      <w:r w:rsidR="00530601" w:rsidRPr="00920869">
        <w:rPr>
          <w:sz w:val="28"/>
          <w:szCs w:val="28"/>
          <w:lang w:val="ru-RU"/>
        </w:rPr>
        <w:t xml:space="preserve">полученные результаты могут свидетельствовать о </w:t>
      </w:r>
      <w:proofErr w:type="spellStart"/>
      <w:r w:rsidR="00530601" w:rsidRPr="00920869">
        <w:rPr>
          <w:sz w:val="28"/>
          <w:szCs w:val="28"/>
          <w:lang w:val="ru-RU"/>
        </w:rPr>
        <w:t>прогипертензивном</w:t>
      </w:r>
      <w:proofErr w:type="spellEnd"/>
      <w:r w:rsidR="00530601" w:rsidRPr="00920869">
        <w:rPr>
          <w:sz w:val="28"/>
          <w:szCs w:val="28"/>
          <w:lang w:val="ru-RU"/>
        </w:rPr>
        <w:t xml:space="preserve"> эффекте </w:t>
      </w:r>
      <w:proofErr w:type="gramStart"/>
      <w:r w:rsidR="00530601" w:rsidRPr="00920869">
        <w:rPr>
          <w:sz w:val="28"/>
          <w:szCs w:val="28"/>
          <w:lang w:val="ru-RU"/>
        </w:rPr>
        <w:t>изучаемого</w:t>
      </w:r>
      <w:proofErr w:type="gramEnd"/>
      <w:r w:rsidR="00530601" w:rsidRPr="00920869">
        <w:rPr>
          <w:sz w:val="28"/>
          <w:szCs w:val="28"/>
          <w:lang w:val="ru-RU"/>
        </w:rPr>
        <w:t xml:space="preserve"> </w:t>
      </w:r>
      <w:proofErr w:type="spellStart"/>
      <w:r w:rsidR="00530601" w:rsidRPr="00920869">
        <w:rPr>
          <w:sz w:val="28"/>
          <w:szCs w:val="28"/>
          <w:lang w:val="ru-RU"/>
        </w:rPr>
        <w:t>адипоцитокина</w:t>
      </w:r>
      <w:proofErr w:type="spellEnd"/>
      <w:r w:rsidR="00530601" w:rsidRPr="00920869">
        <w:rPr>
          <w:sz w:val="28"/>
          <w:szCs w:val="28"/>
          <w:lang w:val="ru-RU"/>
        </w:rPr>
        <w:t xml:space="preserve">. </w:t>
      </w:r>
      <w:r w:rsidR="003844C6" w:rsidRPr="00920869">
        <w:rPr>
          <w:sz w:val="28"/>
          <w:szCs w:val="28"/>
          <w:lang w:val="ru-RU"/>
        </w:rPr>
        <w:t xml:space="preserve">Учитывая снижение его уровня в группах пациентов с избыточной массой тела и ожирением, можно предположить о наличии у несфатина-1 </w:t>
      </w:r>
      <w:proofErr w:type="spellStart"/>
      <w:r w:rsidR="003844C6" w:rsidRPr="00920869">
        <w:rPr>
          <w:sz w:val="28"/>
          <w:szCs w:val="28"/>
          <w:lang w:val="ru-RU"/>
        </w:rPr>
        <w:t>анорексигенного</w:t>
      </w:r>
      <w:proofErr w:type="spellEnd"/>
      <w:r w:rsidR="003844C6" w:rsidRPr="00920869">
        <w:rPr>
          <w:sz w:val="28"/>
          <w:szCs w:val="28"/>
          <w:lang w:val="ru-RU"/>
        </w:rPr>
        <w:t xml:space="preserve"> свойства. По мнению некоторых ученых, </w:t>
      </w:r>
      <w:r w:rsidR="00D672AC" w:rsidRPr="00920869">
        <w:rPr>
          <w:sz w:val="28"/>
          <w:szCs w:val="28"/>
          <w:lang w:val="ru-RU"/>
        </w:rPr>
        <w:t xml:space="preserve">действительно, действуя опосредованно через </w:t>
      </w:r>
      <w:proofErr w:type="gramStart"/>
      <w:r w:rsidR="00D672AC" w:rsidRPr="00920869">
        <w:rPr>
          <w:sz w:val="28"/>
          <w:szCs w:val="28"/>
          <w:lang w:val="ru-RU"/>
        </w:rPr>
        <w:t>центральную</w:t>
      </w:r>
      <w:proofErr w:type="gramEnd"/>
      <w:r w:rsidR="00D672AC" w:rsidRPr="00920869">
        <w:rPr>
          <w:sz w:val="28"/>
          <w:szCs w:val="28"/>
          <w:lang w:val="ru-RU"/>
        </w:rPr>
        <w:t xml:space="preserve"> </w:t>
      </w:r>
      <w:proofErr w:type="spellStart"/>
      <w:r w:rsidR="00D672AC" w:rsidRPr="00920869">
        <w:rPr>
          <w:sz w:val="28"/>
          <w:szCs w:val="28"/>
          <w:lang w:val="ru-RU"/>
        </w:rPr>
        <w:t>меланокортиновую</w:t>
      </w:r>
      <w:proofErr w:type="spellEnd"/>
      <w:r w:rsidR="00D672AC" w:rsidRPr="00920869">
        <w:rPr>
          <w:sz w:val="28"/>
          <w:szCs w:val="28"/>
          <w:lang w:val="ru-RU"/>
        </w:rPr>
        <w:t xml:space="preserve"> и </w:t>
      </w:r>
      <w:proofErr w:type="spellStart"/>
      <w:r w:rsidR="00D672AC" w:rsidRPr="00920869">
        <w:rPr>
          <w:sz w:val="28"/>
          <w:szCs w:val="28"/>
          <w:lang w:val="ru-RU"/>
        </w:rPr>
        <w:t>окситоциновую</w:t>
      </w:r>
      <w:proofErr w:type="spellEnd"/>
      <w:r w:rsidR="00D672AC" w:rsidRPr="00920869">
        <w:rPr>
          <w:sz w:val="28"/>
          <w:szCs w:val="28"/>
          <w:lang w:val="ru-RU"/>
        </w:rPr>
        <w:t xml:space="preserve"> системы, несфатин-1 приводит к уменьшению потребления пищи и воды, а также к увеличению среднего артериального давления [1</w:t>
      </w:r>
      <w:r w:rsidR="00F11191">
        <w:rPr>
          <w:sz w:val="28"/>
          <w:szCs w:val="28"/>
          <w:lang w:val="ru-RU"/>
        </w:rPr>
        <w:t>1</w:t>
      </w:r>
      <w:r w:rsidR="00D672AC" w:rsidRPr="00920869">
        <w:rPr>
          <w:sz w:val="28"/>
          <w:szCs w:val="28"/>
          <w:lang w:val="ru-RU"/>
        </w:rPr>
        <w:t>].</w:t>
      </w:r>
      <w:r w:rsidR="003844C6" w:rsidRPr="00920869">
        <w:rPr>
          <w:sz w:val="28"/>
          <w:szCs w:val="28"/>
          <w:lang w:val="ru-RU"/>
        </w:rPr>
        <w:t xml:space="preserve"> </w:t>
      </w:r>
    </w:p>
    <w:p w:rsidR="001A4A36" w:rsidRPr="00920869" w:rsidRDefault="00B62E32" w:rsidP="009208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0869">
        <w:rPr>
          <w:sz w:val="28"/>
          <w:szCs w:val="28"/>
          <w:lang w:val="ru-RU"/>
        </w:rPr>
        <w:t>Изучение гендерных особенностей показало, что существует значительная разница между уровнем несфатина-1 у мужчин</w:t>
      </w:r>
      <w:r w:rsidR="002333CB" w:rsidRPr="00920869">
        <w:rPr>
          <w:sz w:val="28"/>
          <w:szCs w:val="28"/>
        </w:rPr>
        <w:t xml:space="preserve"> (8,04 (7,19-8,56) </w:t>
      </w:r>
      <w:proofErr w:type="spellStart"/>
      <w:r w:rsidR="002333CB" w:rsidRPr="00920869">
        <w:rPr>
          <w:rFonts w:eastAsiaTheme="minorHAnsi"/>
          <w:color w:val="000000"/>
          <w:sz w:val="28"/>
          <w:szCs w:val="28"/>
          <w:lang w:eastAsia="en-US"/>
        </w:rPr>
        <w:t>нг</w:t>
      </w:r>
      <w:proofErr w:type="spellEnd"/>
      <w:r w:rsidR="002333CB" w:rsidRPr="00920869">
        <w:rPr>
          <w:rFonts w:eastAsiaTheme="minorHAnsi"/>
          <w:color w:val="000000"/>
          <w:sz w:val="28"/>
          <w:szCs w:val="28"/>
          <w:lang w:eastAsia="en-US"/>
        </w:rPr>
        <w:t>/</w:t>
      </w:r>
      <w:proofErr w:type="spellStart"/>
      <w:r w:rsidR="002333CB" w:rsidRPr="00920869">
        <w:rPr>
          <w:rFonts w:eastAsiaTheme="minorHAnsi"/>
          <w:color w:val="000000"/>
          <w:sz w:val="28"/>
          <w:szCs w:val="28"/>
          <w:lang w:eastAsia="en-US"/>
        </w:rPr>
        <w:t>мл</w:t>
      </w:r>
      <w:proofErr w:type="spellEnd"/>
      <w:r w:rsidR="002333CB" w:rsidRPr="00920869">
        <w:rPr>
          <w:rFonts w:eastAsiaTheme="minorHAnsi"/>
          <w:color w:val="000000"/>
          <w:sz w:val="28"/>
          <w:szCs w:val="28"/>
          <w:lang w:eastAsia="en-US"/>
        </w:rPr>
        <w:t>)</w:t>
      </w:r>
      <w:r w:rsidR="002333CB" w:rsidRPr="00920869">
        <w:rPr>
          <w:sz w:val="28"/>
          <w:szCs w:val="28"/>
        </w:rPr>
        <w:t xml:space="preserve"> </w:t>
      </w:r>
      <w:r w:rsidRPr="00920869">
        <w:rPr>
          <w:sz w:val="28"/>
          <w:szCs w:val="28"/>
          <w:lang w:val="ru-RU"/>
        </w:rPr>
        <w:t>и женщин</w:t>
      </w:r>
      <w:r w:rsidR="002333CB" w:rsidRPr="00920869">
        <w:rPr>
          <w:sz w:val="28"/>
          <w:szCs w:val="28"/>
        </w:rPr>
        <w:t xml:space="preserve"> (7,38 (6,65-8,10) </w:t>
      </w:r>
      <w:proofErr w:type="spellStart"/>
      <w:r w:rsidR="002333CB" w:rsidRPr="00920869">
        <w:rPr>
          <w:rFonts w:eastAsiaTheme="minorHAnsi"/>
          <w:color w:val="000000"/>
          <w:sz w:val="28"/>
          <w:szCs w:val="28"/>
          <w:lang w:eastAsia="en-US"/>
        </w:rPr>
        <w:t>нг</w:t>
      </w:r>
      <w:proofErr w:type="spellEnd"/>
      <w:r w:rsidR="002333CB" w:rsidRPr="00920869">
        <w:rPr>
          <w:rFonts w:eastAsiaTheme="minorHAnsi"/>
          <w:color w:val="000000"/>
          <w:sz w:val="28"/>
          <w:szCs w:val="28"/>
          <w:lang w:eastAsia="en-US"/>
        </w:rPr>
        <w:t>/</w:t>
      </w:r>
      <w:proofErr w:type="spellStart"/>
      <w:r w:rsidR="002333CB" w:rsidRPr="00920869">
        <w:rPr>
          <w:rFonts w:eastAsiaTheme="minorHAnsi"/>
          <w:color w:val="000000"/>
          <w:sz w:val="28"/>
          <w:szCs w:val="28"/>
          <w:lang w:eastAsia="en-US"/>
        </w:rPr>
        <w:t>мл</w:t>
      </w:r>
      <w:proofErr w:type="spellEnd"/>
      <w:r w:rsidR="002333CB" w:rsidRPr="00920869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r w:rsidRPr="00920869">
        <w:rPr>
          <w:rFonts w:eastAsiaTheme="minorHAnsi"/>
          <w:color w:val="000000"/>
          <w:sz w:val="28"/>
          <w:szCs w:val="28"/>
          <w:lang w:val="ru-RU" w:eastAsia="en-US"/>
        </w:rPr>
        <w:t>всей выборки пациентов</w:t>
      </w:r>
      <w:r w:rsidR="002333CB" w:rsidRPr="00920869">
        <w:rPr>
          <w:sz w:val="28"/>
          <w:szCs w:val="28"/>
        </w:rPr>
        <w:t xml:space="preserve"> (</w:t>
      </w:r>
      <w:r w:rsidR="002333CB" w:rsidRPr="00920869">
        <w:rPr>
          <w:sz w:val="28"/>
          <w:szCs w:val="28"/>
          <w:lang w:val="en-US"/>
        </w:rPr>
        <w:t>p</w:t>
      </w:r>
      <w:r w:rsidR="001A4A36" w:rsidRPr="00920869">
        <w:rPr>
          <w:sz w:val="28"/>
          <w:szCs w:val="28"/>
        </w:rPr>
        <w:t>&lt;0,01)</w:t>
      </w:r>
      <w:r w:rsidR="001A4A36" w:rsidRPr="00920869">
        <w:rPr>
          <w:sz w:val="28"/>
          <w:szCs w:val="28"/>
          <w:lang w:val="ru-RU"/>
        </w:rPr>
        <w:t>, что продемонстрировано на диаграмме 1.</w:t>
      </w:r>
    </w:p>
    <w:p w:rsidR="00140BA0" w:rsidRPr="00DF6325" w:rsidRDefault="00140BA0" w:rsidP="009208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2333CB" w:rsidRPr="00920869" w:rsidRDefault="001A4A36" w:rsidP="009208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0869">
        <w:rPr>
          <w:sz w:val="28"/>
          <w:szCs w:val="28"/>
          <w:lang w:val="ru-RU"/>
        </w:rPr>
        <w:t>Диаграмма 1. Уровень несфатина-1 в плазме крови у мужчин</w:t>
      </w:r>
      <w:r w:rsidR="00AB7674" w:rsidRPr="00920869">
        <w:rPr>
          <w:sz w:val="28"/>
          <w:szCs w:val="28"/>
          <w:lang w:val="ru-RU"/>
        </w:rPr>
        <w:t xml:space="preserve"> (1</w:t>
      </w:r>
      <w:r w:rsidRPr="00920869">
        <w:rPr>
          <w:sz w:val="28"/>
          <w:szCs w:val="28"/>
          <w:lang w:val="ru-RU"/>
        </w:rPr>
        <w:t>) и женщин</w:t>
      </w:r>
      <w:r w:rsidR="00AB7674" w:rsidRPr="00920869">
        <w:rPr>
          <w:sz w:val="28"/>
          <w:szCs w:val="28"/>
          <w:lang w:val="ru-RU"/>
        </w:rPr>
        <w:t xml:space="preserve"> (2</w:t>
      </w:r>
      <w:r w:rsidRPr="00920869">
        <w:rPr>
          <w:sz w:val="28"/>
          <w:szCs w:val="28"/>
          <w:lang w:val="ru-RU"/>
        </w:rPr>
        <w:t>).</w:t>
      </w:r>
      <w:r w:rsidR="002333CB" w:rsidRPr="00920869">
        <w:rPr>
          <w:sz w:val="28"/>
          <w:szCs w:val="28"/>
        </w:rPr>
        <w:t xml:space="preserve"> </w:t>
      </w:r>
    </w:p>
    <w:p w:rsidR="00AB7674" w:rsidRPr="00920869" w:rsidRDefault="00AB7674" w:rsidP="0092086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920869">
        <w:rPr>
          <w:noProof/>
          <w:sz w:val="28"/>
          <w:szCs w:val="28"/>
          <w:lang w:eastAsia="uk-UA"/>
        </w:rPr>
        <w:drawing>
          <wp:inline distT="0" distB="0" distL="0" distR="0" wp14:anchorId="45ACFF52" wp14:editId="18CBB925">
            <wp:extent cx="4457700" cy="333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3CB" w:rsidRPr="00920869" w:rsidRDefault="00AB7674" w:rsidP="009208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0869">
        <w:rPr>
          <w:sz w:val="28"/>
          <w:szCs w:val="28"/>
          <w:lang w:val="ru-RU"/>
        </w:rPr>
        <w:t>Учитывая достоверность гендерных различий, можно предположить, чт</w:t>
      </w:r>
      <w:r w:rsidR="00AE490E" w:rsidRPr="00920869">
        <w:rPr>
          <w:sz w:val="28"/>
          <w:szCs w:val="28"/>
          <w:lang w:val="ru-RU"/>
        </w:rPr>
        <w:t>о выработка несфатина-1</w:t>
      </w:r>
      <w:r w:rsidRPr="00920869">
        <w:rPr>
          <w:sz w:val="28"/>
          <w:szCs w:val="28"/>
          <w:lang w:val="ru-RU"/>
        </w:rPr>
        <w:t xml:space="preserve"> </w:t>
      </w:r>
      <w:r w:rsidR="00AE490E" w:rsidRPr="00920869">
        <w:rPr>
          <w:sz w:val="28"/>
          <w:szCs w:val="28"/>
          <w:lang w:val="ru-RU"/>
        </w:rPr>
        <w:t xml:space="preserve">имеет различную регуляцию в мужском и женском </w:t>
      </w:r>
      <w:r w:rsidR="00AE490E" w:rsidRPr="00920869">
        <w:rPr>
          <w:sz w:val="28"/>
          <w:szCs w:val="28"/>
          <w:lang w:val="ru-RU"/>
        </w:rPr>
        <w:lastRenderedPageBreak/>
        <w:t>организмах. Так, некоторыми учеными описано влияние гонадотропина, секретируемого гипофизом, на продукцию несфатина-1 в тканях мужской репродуктивной системы, тогда как выработка его в тканях матки может регулироваться эстрогеном, секретируемым яичниками, но не гонадотропи</w:t>
      </w:r>
      <w:r w:rsidR="00F11191">
        <w:rPr>
          <w:sz w:val="28"/>
          <w:szCs w:val="28"/>
          <w:lang w:val="ru-RU"/>
        </w:rPr>
        <w:t>ном [6,10</w:t>
      </w:r>
      <w:r w:rsidR="00AE490E" w:rsidRPr="00920869">
        <w:rPr>
          <w:sz w:val="28"/>
          <w:szCs w:val="28"/>
          <w:lang w:val="ru-RU"/>
        </w:rPr>
        <w:t xml:space="preserve">]. </w:t>
      </w:r>
      <w:r w:rsidR="00E11A7A" w:rsidRPr="00920869">
        <w:rPr>
          <w:sz w:val="28"/>
          <w:szCs w:val="28"/>
          <w:lang w:val="ru-RU"/>
        </w:rPr>
        <w:t xml:space="preserve">Другие исследователи предполагают, что репродуктивно-эндокринная регуляция через цепь </w:t>
      </w:r>
      <w:r w:rsidR="00EB5934" w:rsidRPr="00920869">
        <w:rPr>
          <w:sz w:val="28"/>
          <w:szCs w:val="28"/>
          <w:lang w:val="ru-RU"/>
        </w:rPr>
        <w:t>гипоталамус-гипофиз-яичники может способствовать изменению концен</w:t>
      </w:r>
      <w:r w:rsidR="00F11191">
        <w:rPr>
          <w:sz w:val="28"/>
          <w:szCs w:val="28"/>
          <w:lang w:val="ru-RU"/>
        </w:rPr>
        <w:t>трации несфатина-1 в гипофизе [4</w:t>
      </w:r>
      <w:r w:rsidR="00EB5934" w:rsidRPr="00920869">
        <w:rPr>
          <w:sz w:val="28"/>
          <w:szCs w:val="28"/>
          <w:lang w:val="ru-RU"/>
        </w:rPr>
        <w:t>].</w:t>
      </w:r>
    </w:p>
    <w:p w:rsidR="004E5186" w:rsidRPr="00DF6325" w:rsidRDefault="004E5186" w:rsidP="009208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0869">
        <w:rPr>
          <w:sz w:val="28"/>
          <w:szCs w:val="28"/>
          <w:lang w:val="ru-RU"/>
        </w:rPr>
        <w:t>Показатели уровня несфатина-1 у мужчин и женщин с гипертонической болезнью в зависимости от наличия и выраженност</w:t>
      </w:r>
      <w:r w:rsidR="00E96850">
        <w:rPr>
          <w:sz w:val="28"/>
          <w:szCs w:val="28"/>
          <w:lang w:val="ru-RU"/>
        </w:rPr>
        <w:t>и ожирения приведены в таблице 3</w:t>
      </w:r>
      <w:r w:rsidRPr="00920869">
        <w:rPr>
          <w:sz w:val="28"/>
          <w:szCs w:val="28"/>
          <w:lang w:val="ru-RU"/>
        </w:rPr>
        <w:t>:</w:t>
      </w:r>
    </w:p>
    <w:p w:rsidR="00361E25" w:rsidRPr="00DF6325" w:rsidRDefault="00361E25" w:rsidP="009208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E5186" w:rsidRPr="00920869" w:rsidRDefault="00E96850" w:rsidP="009208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Таб.3</w:t>
      </w:r>
      <w:r w:rsidR="004E5186" w:rsidRPr="00920869">
        <w:rPr>
          <w:sz w:val="28"/>
          <w:szCs w:val="28"/>
          <w:lang w:val="ru-RU"/>
        </w:rPr>
        <w:t>. Уровень несфатина-1 у мужчин и женщин по основным группам пациентов.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E5186" w:rsidRPr="00920869" w:rsidTr="004E5186">
        <w:trPr>
          <w:jc w:val="center"/>
        </w:trPr>
        <w:tc>
          <w:tcPr>
            <w:tcW w:w="2392" w:type="dxa"/>
          </w:tcPr>
          <w:p w:rsidR="004E5186" w:rsidRPr="00920869" w:rsidRDefault="004E5186" w:rsidP="00920869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4E5186" w:rsidRPr="00920869" w:rsidRDefault="004E5186" w:rsidP="00920869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920869">
              <w:rPr>
                <w:sz w:val="28"/>
                <w:szCs w:val="28"/>
                <w:lang w:val="ru-RU"/>
              </w:rPr>
              <w:t>Мужчины</w:t>
            </w:r>
          </w:p>
        </w:tc>
        <w:tc>
          <w:tcPr>
            <w:tcW w:w="2393" w:type="dxa"/>
          </w:tcPr>
          <w:p w:rsidR="004E5186" w:rsidRPr="00920869" w:rsidRDefault="004E5186" w:rsidP="00920869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920869">
              <w:rPr>
                <w:sz w:val="28"/>
                <w:szCs w:val="28"/>
                <w:lang w:val="ru-RU"/>
              </w:rPr>
              <w:t>Женщины</w:t>
            </w:r>
          </w:p>
        </w:tc>
        <w:tc>
          <w:tcPr>
            <w:tcW w:w="2393" w:type="dxa"/>
          </w:tcPr>
          <w:p w:rsidR="004E5186" w:rsidRPr="00920869" w:rsidRDefault="004E5186" w:rsidP="00920869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920869">
              <w:rPr>
                <w:sz w:val="28"/>
                <w:szCs w:val="28"/>
              </w:rPr>
              <w:t xml:space="preserve">р </w:t>
            </w:r>
          </w:p>
        </w:tc>
      </w:tr>
      <w:tr w:rsidR="004E5186" w:rsidRPr="00361E25" w:rsidTr="004E5186">
        <w:trPr>
          <w:jc w:val="center"/>
        </w:trPr>
        <w:tc>
          <w:tcPr>
            <w:tcW w:w="2392" w:type="dxa"/>
          </w:tcPr>
          <w:p w:rsidR="004E5186" w:rsidRPr="00F11191" w:rsidRDefault="004E5186" w:rsidP="00F11191">
            <w:pPr>
              <w:spacing w:line="360" w:lineRule="auto"/>
              <w:jc w:val="both"/>
              <w:rPr>
                <w:lang w:val="ru-RU"/>
              </w:rPr>
            </w:pPr>
            <w:r w:rsidRPr="00F11191">
              <w:rPr>
                <w:lang w:val="en-US"/>
              </w:rPr>
              <w:t xml:space="preserve">I </w:t>
            </w:r>
            <w:r w:rsidRPr="00F11191">
              <w:rPr>
                <w:lang w:val="ru-RU"/>
              </w:rPr>
              <w:t>группа</w:t>
            </w:r>
            <w:r w:rsidR="00F11191" w:rsidRPr="00F11191">
              <w:rPr>
                <w:lang w:val="ru-RU"/>
              </w:rPr>
              <w:t xml:space="preserve">, </w:t>
            </w:r>
            <w:proofErr w:type="spellStart"/>
            <w:r w:rsidR="00F11191" w:rsidRPr="00F11191">
              <w:rPr>
                <w:rFonts w:eastAsiaTheme="minorHAnsi"/>
                <w:color w:val="000000"/>
                <w:lang w:eastAsia="en-US"/>
              </w:rPr>
              <w:t>нг</w:t>
            </w:r>
            <w:proofErr w:type="spellEnd"/>
            <w:r w:rsidR="00F11191" w:rsidRPr="00F11191">
              <w:rPr>
                <w:rFonts w:eastAsiaTheme="minorHAnsi"/>
                <w:color w:val="000000"/>
                <w:lang w:eastAsia="en-US"/>
              </w:rPr>
              <w:t>/</w:t>
            </w:r>
            <w:proofErr w:type="spellStart"/>
            <w:r w:rsidR="00F11191" w:rsidRPr="00F11191">
              <w:rPr>
                <w:rFonts w:eastAsiaTheme="minorHAnsi"/>
                <w:color w:val="000000"/>
                <w:lang w:eastAsia="en-US"/>
              </w:rPr>
              <w:t>мл</w:t>
            </w:r>
            <w:proofErr w:type="spellEnd"/>
          </w:p>
        </w:tc>
        <w:tc>
          <w:tcPr>
            <w:tcW w:w="2393" w:type="dxa"/>
          </w:tcPr>
          <w:p w:rsidR="004E5186" w:rsidRPr="00361E25" w:rsidRDefault="007978BB" w:rsidP="00361E25">
            <w:pPr>
              <w:spacing w:line="360" w:lineRule="auto"/>
              <w:jc w:val="both"/>
              <w:rPr>
                <w:lang w:val="ru-RU"/>
              </w:rPr>
            </w:pPr>
            <w:r w:rsidRPr="00361E25">
              <w:rPr>
                <w:lang w:val="ru-RU"/>
              </w:rPr>
              <w:t>8,27 (7,81-8,58)</w:t>
            </w:r>
          </w:p>
        </w:tc>
        <w:tc>
          <w:tcPr>
            <w:tcW w:w="2393" w:type="dxa"/>
          </w:tcPr>
          <w:p w:rsidR="004E5186" w:rsidRPr="00361E25" w:rsidRDefault="00EA3074" w:rsidP="00361E25">
            <w:pPr>
              <w:spacing w:line="360" w:lineRule="auto"/>
              <w:jc w:val="both"/>
              <w:rPr>
                <w:lang w:val="ru-RU"/>
              </w:rPr>
            </w:pPr>
            <w:r w:rsidRPr="00361E25">
              <w:rPr>
                <w:lang w:val="ru-RU"/>
              </w:rPr>
              <w:t>7,78 (7,58-8,55)</w:t>
            </w:r>
          </w:p>
        </w:tc>
        <w:tc>
          <w:tcPr>
            <w:tcW w:w="2393" w:type="dxa"/>
          </w:tcPr>
          <w:p w:rsidR="004E5186" w:rsidRPr="00361E25" w:rsidRDefault="007978BB" w:rsidP="00920869">
            <w:pPr>
              <w:spacing w:line="360" w:lineRule="auto"/>
              <w:ind w:firstLine="709"/>
              <w:jc w:val="both"/>
              <w:rPr>
                <w:lang w:val="ru-RU"/>
              </w:rPr>
            </w:pPr>
            <w:r w:rsidRPr="00361E25">
              <w:t>&gt;0,05</w:t>
            </w:r>
          </w:p>
        </w:tc>
      </w:tr>
      <w:tr w:rsidR="004E5186" w:rsidRPr="00361E25" w:rsidTr="004E5186">
        <w:trPr>
          <w:jc w:val="center"/>
        </w:trPr>
        <w:tc>
          <w:tcPr>
            <w:tcW w:w="2392" w:type="dxa"/>
          </w:tcPr>
          <w:p w:rsidR="004E5186" w:rsidRPr="00F11191" w:rsidRDefault="004E5186" w:rsidP="00F11191">
            <w:pPr>
              <w:spacing w:line="360" w:lineRule="auto"/>
              <w:jc w:val="both"/>
              <w:rPr>
                <w:lang w:val="ru-RU"/>
              </w:rPr>
            </w:pPr>
            <w:r w:rsidRPr="00F11191">
              <w:rPr>
                <w:lang w:val="en-US"/>
              </w:rPr>
              <w:t>II</w:t>
            </w:r>
            <w:r w:rsidRPr="00F11191">
              <w:rPr>
                <w:lang w:val="ru-RU"/>
              </w:rPr>
              <w:t xml:space="preserve"> группа</w:t>
            </w:r>
            <w:r w:rsidR="00F11191" w:rsidRPr="00F11191">
              <w:rPr>
                <w:lang w:val="ru-RU"/>
              </w:rPr>
              <w:t xml:space="preserve">, </w:t>
            </w:r>
            <w:proofErr w:type="spellStart"/>
            <w:r w:rsidR="00F11191" w:rsidRPr="00F11191">
              <w:rPr>
                <w:rFonts w:eastAsiaTheme="minorHAnsi"/>
                <w:color w:val="000000"/>
                <w:lang w:eastAsia="en-US"/>
              </w:rPr>
              <w:t>нг</w:t>
            </w:r>
            <w:proofErr w:type="spellEnd"/>
            <w:r w:rsidR="00F11191" w:rsidRPr="00F11191">
              <w:rPr>
                <w:rFonts w:eastAsiaTheme="minorHAnsi"/>
                <w:color w:val="000000"/>
                <w:lang w:eastAsia="en-US"/>
              </w:rPr>
              <w:t>/</w:t>
            </w:r>
            <w:proofErr w:type="spellStart"/>
            <w:r w:rsidR="00F11191" w:rsidRPr="00F11191">
              <w:rPr>
                <w:rFonts w:eastAsiaTheme="minorHAnsi"/>
                <w:color w:val="000000"/>
                <w:lang w:eastAsia="en-US"/>
              </w:rPr>
              <w:t>мл</w:t>
            </w:r>
            <w:proofErr w:type="spellEnd"/>
          </w:p>
        </w:tc>
        <w:tc>
          <w:tcPr>
            <w:tcW w:w="2393" w:type="dxa"/>
          </w:tcPr>
          <w:p w:rsidR="004E5186" w:rsidRPr="00361E25" w:rsidRDefault="007978BB" w:rsidP="00361E25">
            <w:pPr>
              <w:spacing w:line="360" w:lineRule="auto"/>
              <w:jc w:val="both"/>
              <w:rPr>
                <w:lang w:val="ru-RU"/>
              </w:rPr>
            </w:pPr>
            <w:r w:rsidRPr="00361E25">
              <w:rPr>
                <w:lang w:val="ru-RU"/>
              </w:rPr>
              <w:t>7,91 (6,99-8,57)</w:t>
            </w:r>
          </w:p>
        </w:tc>
        <w:tc>
          <w:tcPr>
            <w:tcW w:w="2393" w:type="dxa"/>
          </w:tcPr>
          <w:p w:rsidR="004E5186" w:rsidRPr="00361E25" w:rsidRDefault="00EA3074" w:rsidP="00361E25">
            <w:pPr>
              <w:spacing w:line="360" w:lineRule="auto"/>
              <w:jc w:val="both"/>
              <w:rPr>
                <w:lang w:val="ru-RU"/>
              </w:rPr>
            </w:pPr>
            <w:r w:rsidRPr="00361E25">
              <w:rPr>
                <w:lang w:val="ru-RU"/>
              </w:rPr>
              <w:t>7,19 (6,57-7,67)</w:t>
            </w:r>
          </w:p>
        </w:tc>
        <w:tc>
          <w:tcPr>
            <w:tcW w:w="2393" w:type="dxa"/>
          </w:tcPr>
          <w:p w:rsidR="004E5186" w:rsidRPr="00361E25" w:rsidRDefault="007978BB" w:rsidP="00920869">
            <w:pPr>
              <w:spacing w:line="360" w:lineRule="auto"/>
              <w:ind w:firstLine="709"/>
              <w:jc w:val="both"/>
              <w:rPr>
                <w:lang w:val="ru-RU"/>
              </w:rPr>
            </w:pPr>
            <w:r w:rsidRPr="00361E25">
              <w:t>&lt;0,05</w:t>
            </w:r>
          </w:p>
        </w:tc>
      </w:tr>
      <w:tr w:rsidR="004E5186" w:rsidRPr="00361E25" w:rsidTr="004E5186">
        <w:trPr>
          <w:jc w:val="center"/>
        </w:trPr>
        <w:tc>
          <w:tcPr>
            <w:tcW w:w="2392" w:type="dxa"/>
          </w:tcPr>
          <w:p w:rsidR="004E5186" w:rsidRPr="00F11191" w:rsidRDefault="004E5186" w:rsidP="00F11191">
            <w:pPr>
              <w:spacing w:line="360" w:lineRule="auto"/>
              <w:jc w:val="both"/>
              <w:rPr>
                <w:lang w:val="ru-RU"/>
              </w:rPr>
            </w:pPr>
            <w:r w:rsidRPr="00F11191">
              <w:rPr>
                <w:lang w:val="en-US"/>
              </w:rPr>
              <w:t>III</w:t>
            </w:r>
            <w:r w:rsidRPr="00F11191">
              <w:rPr>
                <w:lang w:val="ru-RU"/>
              </w:rPr>
              <w:t xml:space="preserve"> группа</w:t>
            </w:r>
            <w:r w:rsidR="00F11191" w:rsidRPr="00F11191">
              <w:rPr>
                <w:lang w:val="ru-RU"/>
              </w:rPr>
              <w:t xml:space="preserve">, </w:t>
            </w:r>
            <w:proofErr w:type="spellStart"/>
            <w:r w:rsidR="00F11191" w:rsidRPr="00F11191">
              <w:rPr>
                <w:rFonts w:eastAsiaTheme="minorHAnsi"/>
                <w:color w:val="000000"/>
                <w:lang w:eastAsia="en-US"/>
              </w:rPr>
              <w:t>нг</w:t>
            </w:r>
            <w:proofErr w:type="spellEnd"/>
            <w:r w:rsidR="00F11191" w:rsidRPr="00F11191">
              <w:rPr>
                <w:rFonts w:eastAsiaTheme="minorHAnsi"/>
                <w:color w:val="000000"/>
                <w:lang w:eastAsia="en-US"/>
              </w:rPr>
              <w:t>/</w:t>
            </w:r>
            <w:proofErr w:type="spellStart"/>
            <w:r w:rsidR="00F11191" w:rsidRPr="00F11191">
              <w:rPr>
                <w:rFonts w:eastAsiaTheme="minorHAnsi"/>
                <w:color w:val="000000"/>
                <w:lang w:eastAsia="en-US"/>
              </w:rPr>
              <w:t>мл</w:t>
            </w:r>
            <w:proofErr w:type="spellEnd"/>
          </w:p>
        </w:tc>
        <w:tc>
          <w:tcPr>
            <w:tcW w:w="2393" w:type="dxa"/>
          </w:tcPr>
          <w:p w:rsidR="004E5186" w:rsidRPr="00361E25" w:rsidRDefault="00EA3074" w:rsidP="00361E25">
            <w:pPr>
              <w:spacing w:line="360" w:lineRule="auto"/>
              <w:jc w:val="both"/>
              <w:rPr>
                <w:lang w:val="ru-RU"/>
              </w:rPr>
            </w:pPr>
            <w:r w:rsidRPr="00361E25">
              <w:rPr>
                <w:lang w:val="ru-RU"/>
              </w:rPr>
              <w:t>8,07 (6,94-8,47)</w:t>
            </w:r>
          </w:p>
        </w:tc>
        <w:tc>
          <w:tcPr>
            <w:tcW w:w="2393" w:type="dxa"/>
          </w:tcPr>
          <w:p w:rsidR="004E5186" w:rsidRPr="00361E25" w:rsidRDefault="007978BB" w:rsidP="00361E25">
            <w:pPr>
              <w:spacing w:line="360" w:lineRule="auto"/>
              <w:jc w:val="both"/>
              <w:rPr>
                <w:lang w:val="ru-RU"/>
              </w:rPr>
            </w:pPr>
            <w:r w:rsidRPr="00361E25">
              <w:rPr>
                <w:lang w:val="ru-RU"/>
              </w:rPr>
              <w:t>7,26 (</w:t>
            </w:r>
            <w:r w:rsidR="00EA3074" w:rsidRPr="00361E25">
              <w:rPr>
                <w:lang w:val="ru-RU"/>
              </w:rPr>
              <w:t>6,79-8,17)</w:t>
            </w:r>
          </w:p>
        </w:tc>
        <w:tc>
          <w:tcPr>
            <w:tcW w:w="2393" w:type="dxa"/>
          </w:tcPr>
          <w:p w:rsidR="004E5186" w:rsidRPr="00361E25" w:rsidRDefault="007978BB" w:rsidP="00920869">
            <w:pPr>
              <w:spacing w:line="360" w:lineRule="auto"/>
              <w:ind w:firstLine="709"/>
              <w:jc w:val="both"/>
              <w:rPr>
                <w:lang w:val="ru-RU"/>
              </w:rPr>
            </w:pPr>
            <w:r w:rsidRPr="00361E25">
              <w:t>&gt;0,05</w:t>
            </w:r>
          </w:p>
        </w:tc>
      </w:tr>
    </w:tbl>
    <w:p w:rsidR="002A30BD" w:rsidRDefault="002A30BD" w:rsidP="009208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EA3074" w:rsidRPr="00920869" w:rsidRDefault="00EA3074" w:rsidP="009208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0869">
        <w:rPr>
          <w:sz w:val="28"/>
          <w:szCs w:val="28"/>
          <w:lang w:val="ru-RU"/>
        </w:rPr>
        <w:t xml:space="preserve">Таким образом, вне зависимости от наличия и степени ожирения медианы показателей уровня несфатина-1 во всех группах у женщин ниже, чем у мужчин, хотя достоверной эта разница оказалась лишь во </w:t>
      </w:r>
      <w:r w:rsidRPr="00920869">
        <w:rPr>
          <w:sz w:val="28"/>
          <w:szCs w:val="28"/>
          <w:lang w:val="en-US"/>
        </w:rPr>
        <w:t>II</w:t>
      </w:r>
      <w:r w:rsidRPr="00920869">
        <w:rPr>
          <w:sz w:val="28"/>
          <w:szCs w:val="28"/>
          <w:lang w:val="ru-RU"/>
        </w:rPr>
        <w:t xml:space="preserve"> группе пациентов. </w:t>
      </w:r>
    </w:p>
    <w:p w:rsidR="004240DA" w:rsidRPr="00920869" w:rsidRDefault="004240DA" w:rsidP="009208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0869">
        <w:rPr>
          <w:sz w:val="28"/>
          <w:szCs w:val="28"/>
          <w:lang w:val="ru-RU"/>
        </w:rPr>
        <w:t xml:space="preserve">Дальнейший анализ методом ранговых корреляций </w:t>
      </w:r>
      <w:proofErr w:type="spellStart"/>
      <w:r w:rsidRPr="00920869">
        <w:rPr>
          <w:sz w:val="28"/>
          <w:szCs w:val="28"/>
          <w:lang w:val="ru-RU"/>
        </w:rPr>
        <w:t>Спирмена</w:t>
      </w:r>
      <w:proofErr w:type="spellEnd"/>
      <w:r w:rsidRPr="00920869">
        <w:rPr>
          <w:sz w:val="28"/>
          <w:szCs w:val="28"/>
          <w:lang w:val="ru-RU"/>
        </w:rPr>
        <w:t xml:space="preserve"> показал, что среди мужчин </w:t>
      </w:r>
      <w:r w:rsidRPr="00920869">
        <w:rPr>
          <w:sz w:val="28"/>
          <w:szCs w:val="28"/>
          <w:lang w:val="en-US"/>
        </w:rPr>
        <w:t>III</w:t>
      </w:r>
      <w:r w:rsidRPr="00920869">
        <w:rPr>
          <w:sz w:val="28"/>
          <w:szCs w:val="28"/>
          <w:lang w:val="ru-RU"/>
        </w:rPr>
        <w:t xml:space="preserve"> группы существуют сильные прямые корреляционные связи между уровнем несфатина-1 и массой тела </w:t>
      </w:r>
      <w:r w:rsidRPr="00920869">
        <w:rPr>
          <w:sz w:val="28"/>
          <w:szCs w:val="28"/>
        </w:rPr>
        <w:t>(</w:t>
      </w:r>
      <w:r w:rsidRPr="00920869">
        <w:rPr>
          <w:sz w:val="28"/>
          <w:szCs w:val="28"/>
          <w:lang w:val="en-US"/>
        </w:rPr>
        <w:t>r</w:t>
      </w:r>
      <w:r w:rsidRPr="00920869">
        <w:rPr>
          <w:sz w:val="28"/>
          <w:szCs w:val="28"/>
        </w:rPr>
        <w:t>= 0,7</w:t>
      </w:r>
      <w:r w:rsidRPr="00920869">
        <w:rPr>
          <w:sz w:val="28"/>
          <w:szCs w:val="28"/>
          <w:lang w:val="ru-RU"/>
        </w:rPr>
        <w:t>33</w:t>
      </w:r>
      <w:r w:rsidRPr="00920869">
        <w:rPr>
          <w:sz w:val="28"/>
          <w:szCs w:val="28"/>
        </w:rPr>
        <w:t xml:space="preserve">, </w:t>
      </w:r>
      <w:r w:rsidRPr="00920869">
        <w:rPr>
          <w:sz w:val="28"/>
          <w:szCs w:val="28"/>
          <w:lang w:val="en-US"/>
        </w:rPr>
        <w:t>p</w:t>
      </w:r>
      <w:r w:rsidRPr="00920869">
        <w:rPr>
          <w:sz w:val="28"/>
          <w:szCs w:val="28"/>
        </w:rPr>
        <w:t>&lt;0,05)</w:t>
      </w:r>
      <w:r w:rsidRPr="00920869">
        <w:rPr>
          <w:sz w:val="28"/>
          <w:szCs w:val="28"/>
          <w:lang w:val="ru-RU"/>
        </w:rPr>
        <w:t xml:space="preserve">, объемом талии </w:t>
      </w:r>
      <w:r w:rsidRPr="00920869">
        <w:rPr>
          <w:sz w:val="28"/>
          <w:szCs w:val="28"/>
        </w:rPr>
        <w:t>(</w:t>
      </w:r>
      <w:r w:rsidRPr="00920869">
        <w:rPr>
          <w:sz w:val="28"/>
          <w:szCs w:val="28"/>
          <w:lang w:val="en-US"/>
        </w:rPr>
        <w:t>r</w:t>
      </w:r>
      <w:r w:rsidR="00AE055F" w:rsidRPr="00920869">
        <w:rPr>
          <w:sz w:val="28"/>
          <w:szCs w:val="28"/>
        </w:rPr>
        <w:t>= 0,7</w:t>
      </w:r>
      <w:r w:rsidR="00AE055F" w:rsidRPr="00920869">
        <w:rPr>
          <w:sz w:val="28"/>
          <w:szCs w:val="28"/>
          <w:lang w:val="ru-RU"/>
        </w:rPr>
        <w:t>58</w:t>
      </w:r>
      <w:r w:rsidRPr="00920869">
        <w:rPr>
          <w:sz w:val="28"/>
          <w:szCs w:val="28"/>
        </w:rPr>
        <w:t xml:space="preserve">, </w:t>
      </w:r>
      <w:r w:rsidRPr="00920869">
        <w:rPr>
          <w:sz w:val="28"/>
          <w:szCs w:val="28"/>
          <w:lang w:val="en-US"/>
        </w:rPr>
        <w:t>p</w:t>
      </w:r>
      <w:r w:rsidRPr="00920869">
        <w:rPr>
          <w:sz w:val="28"/>
          <w:szCs w:val="28"/>
        </w:rPr>
        <w:t>&lt;0,05)</w:t>
      </w:r>
      <w:r w:rsidR="00AE055F" w:rsidRPr="00920869">
        <w:rPr>
          <w:sz w:val="28"/>
          <w:szCs w:val="28"/>
          <w:lang w:val="ru-RU"/>
        </w:rPr>
        <w:t xml:space="preserve">, объемом бедер </w:t>
      </w:r>
      <w:r w:rsidR="00AE055F" w:rsidRPr="00920869">
        <w:rPr>
          <w:sz w:val="28"/>
          <w:szCs w:val="28"/>
        </w:rPr>
        <w:t>(</w:t>
      </w:r>
      <w:r w:rsidR="00AE055F" w:rsidRPr="00920869">
        <w:rPr>
          <w:sz w:val="28"/>
          <w:szCs w:val="28"/>
          <w:lang w:val="en-US"/>
        </w:rPr>
        <w:t>r</w:t>
      </w:r>
      <w:r w:rsidR="00AE055F" w:rsidRPr="00920869">
        <w:rPr>
          <w:sz w:val="28"/>
          <w:szCs w:val="28"/>
        </w:rPr>
        <w:t>= 0,7</w:t>
      </w:r>
      <w:r w:rsidR="00AE055F" w:rsidRPr="00920869">
        <w:rPr>
          <w:sz w:val="28"/>
          <w:szCs w:val="28"/>
          <w:lang w:val="ru-RU"/>
        </w:rPr>
        <w:t>21</w:t>
      </w:r>
      <w:r w:rsidR="00AE055F" w:rsidRPr="00920869">
        <w:rPr>
          <w:sz w:val="28"/>
          <w:szCs w:val="28"/>
        </w:rPr>
        <w:t xml:space="preserve">, </w:t>
      </w:r>
      <w:r w:rsidR="00AE055F" w:rsidRPr="00920869">
        <w:rPr>
          <w:sz w:val="28"/>
          <w:szCs w:val="28"/>
          <w:lang w:val="en-US"/>
        </w:rPr>
        <w:t>p</w:t>
      </w:r>
      <w:r w:rsidR="00AE055F" w:rsidRPr="00920869">
        <w:rPr>
          <w:sz w:val="28"/>
          <w:szCs w:val="28"/>
        </w:rPr>
        <w:t>&lt;0,05)</w:t>
      </w:r>
      <w:r w:rsidR="00AE055F" w:rsidRPr="00920869">
        <w:rPr>
          <w:sz w:val="28"/>
          <w:szCs w:val="28"/>
          <w:lang w:val="ru-RU"/>
        </w:rPr>
        <w:t xml:space="preserve"> и ИТР </w:t>
      </w:r>
      <w:r w:rsidR="00AE055F" w:rsidRPr="00920869">
        <w:rPr>
          <w:sz w:val="28"/>
          <w:szCs w:val="28"/>
        </w:rPr>
        <w:t>(</w:t>
      </w:r>
      <w:r w:rsidR="00AE055F" w:rsidRPr="00920869">
        <w:rPr>
          <w:sz w:val="28"/>
          <w:szCs w:val="28"/>
          <w:lang w:val="en-US"/>
        </w:rPr>
        <w:t>r</w:t>
      </w:r>
      <w:r w:rsidR="00AE055F" w:rsidRPr="00920869">
        <w:rPr>
          <w:sz w:val="28"/>
          <w:szCs w:val="28"/>
        </w:rPr>
        <w:t>= 0,</w:t>
      </w:r>
      <w:r w:rsidR="00AE055F" w:rsidRPr="00920869">
        <w:rPr>
          <w:sz w:val="28"/>
          <w:szCs w:val="28"/>
          <w:lang w:val="ru-RU"/>
        </w:rPr>
        <w:t>685</w:t>
      </w:r>
      <w:r w:rsidR="00AE055F" w:rsidRPr="00920869">
        <w:rPr>
          <w:sz w:val="28"/>
          <w:szCs w:val="28"/>
        </w:rPr>
        <w:t xml:space="preserve">, </w:t>
      </w:r>
      <w:r w:rsidR="00AE055F" w:rsidRPr="00920869">
        <w:rPr>
          <w:sz w:val="28"/>
          <w:szCs w:val="28"/>
          <w:lang w:val="en-US"/>
        </w:rPr>
        <w:t>p</w:t>
      </w:r>
      <w:r w:rsidR="00AE055F" w:rsidRPr="00920869">
        <w:rPr>
          <w:sz w:val="28"/>
          <w:szCs w:val="28"/>
        </w:rPr>
        <w:t>&lt;0,05)</w:t>
      </w:r>
      <w:r w:rsidR="00AE055F" w:rsidRPr="00920869">
        <w:rPr>
          <w:sz w:val="28"/>
          <w:szCs w:val="28"/>
          <w:lang w:val="ru-RU"/>
        </w:rPr>
        <w:t xml:space="preserve">. Тогда как у женщин </w:t>
      </w:r>
      <w:r w:rsidR="00AE055F" w:rsidRPr="00920869">
        <w:rPr>
          <w:sz w:val="28"/>
          <w:szCs w:val="28"/>
          <w:lang w:val="en-US"/>
        </w:rPr>
        <w:t>III</w:t>
      </w:r>
      <w:r w:rsidR="00AE055F" w:rsidRPr="00920869">
        <w:rPr>
          <w:sz w:val="28"/>
          <w:szCs w:val="28"/>
          <w:lang w:val="ru-RU"/>
        </w:rPr>
        <w:t xml:space="preserve"> группы выявлена достоверная обратная связь уровня несфатина-1 только лишь с возрастом </w:t>
      </w:r>
      <w:r w:rsidR="00AE055F" w:rsidRPr="00920869">
        <w:rPr>
          <w:sz w:val="28"/>
          <w:szCs w:val="28"/>
        </w:rPr>
        <w:t>(</w:t>
      </w:r>
      <w:r w:rsidR="00AE055F" w:rsidRPr="00920869">
        <w:rPr>
          <w:sz w:val="28"/>
          <w:szCs w:val="28"/>
          <w:lang w:val="en-US"/>
        </w:rPr>
        <w:t>r</w:t>
      </w:r>
      <w:r w:rsidR="00AE055F" w:rsidRPr="00920869">
        <w:rPr>
          <w:sz w:val="28"/>
          <w:szCs w:val="28"/>
        </w:rPr>
        <w:t xml:space="preserve">= </w:t>
      </w:r>
      <w:r w:rsidR="00AE055F" w:rsidRPr="00920869">
        <w:rPr>
          <w:sz w:val="28"/>
          <w:szCs w:val="28"/>
          <w:lang w:val="ru-RU"/>
        </w:rPr>
        <w:t>-</w:t>
      </w:r>
      <w:r w:rsidR="00AE055F" w:rsidRPr="00920869">
        <w:rPr>
          <w:sz w:val="28"/>
          <w:szCs w:val="28"/>
        </w:rPr>
        <w:t>0,</w:t>
      </w:r>
      <w:r w:rsidR="00AE055F" w:rsidRPr="00920869">
        <w:rPr>
          <w:sz w:val="28"/>
          <w:szCs w:val="28"/>
          <w:lang w:val="ru-RU"/>
        </w:rPr>
        <w:t>430</w:t>
      </w:r>
      <w:r w:rsidR="00AE055F" w:rsidRPr="00920869">
        <w:rPr>
          <w:sz w:val="28"/>
          <w:szCs w:val="28"/>
        </w:rPr>
        <w:t xml:space="preserve">, </w:t>
      </w:r>
      <w:r w:rsidR="00AE055F" w:rsidRPr="00920869">
        <w:rPr>
          <w:sz w:val="28"/>
          <w:szCs w:val="28"/>
          <w:lang w:val="en-US"/>
        </w:rPr>
        <w:t>p</w:t>
      </w:r>
      <w:r w:rsidR="00AE055F" w:rsidRPr="00920869">
        <w:rPr>
          <w:sz w:val="28"/>
          <w:szCs w:val="28"/>
        </w:rPr>
        <w:t>&lt;0,05)</w:t>
      </w:r>
      <w:r w:rsidR="00AE055F" w:rsidRPr="00920869">
        <w:rPr>
          <w:sz w:val="28"/>
          <w:szCs w:val="28"/>
          <w:lang w:val="ru-RU"/>
        </w:rPr>
        <w:t>. В других группах достоверных корреляционных связей не выявлено. Полученные данные могут быть подтверждением того, что существуют различия в регуляции выработки несфатина-1</w:t>
      </w:r>
      <w:r w:rsidR="00062BF3" w:rsidRPr="00920869">
        <w:rPr>
          <w:sz w:val="28"/>
          <w:szCs w:val="28"/>
          <w:lang w:val="ru-RU"/>
        </w:rPr>
        <w:t xml:space="preserve"> у мужчин и женщин на уровне половых гормонов. Факт </w:t>
      </w:r>
      <w:r w:rsidR="00062BF3" w:rsidRPr="00920869">
        <w:rPr>
          <w:sz w:val="28"/>
          <w:szCs w:val="28"/>
          <w:lang w:val="ru-RU"/>
        </w:rPr>
        <w:lastRenderedPageBreak/>
        <w:t xml:space="preserve">наличия корреляций только лишь в группе пациентов с </w:t>
      </w:r>
      <w:proofErr w:type="spellStart"/>
      <w:r w:rsidR="00062BF3" w:rsidRPr="00920869">
        <w:rPr>
          <w:sz w:val="28"/>
          <w:szCs w:val="28"/>
          <w:lang w:val="ru-RU"/>
        </w:rPr>
        <w:t>морбидным</w:t>
      </w:r>
      <w:proofErr w:type="spellEnd"/>
      <w:r w:rsidR="00062BF3" w:rsidRPr="00920869">
        <w:rPr>
          <w:sz w:val="28"/>
          <w:szCs w:val="28"/>
          <w:lang w:val="ru-RU"/>
        </w:rPr>
        <w:t xml:space="preserve"> ожирением, а также некоторое увеличение его уровня по сравнению с пациентами с избыточной массой или ожирением </w:t>
      </w:r>
      <w:r w:rsidR="00062BF3" w:rsidRPr="00920869">
        <w:rPr>
          <w:sz w:val="28"/>
          <w:szCs w:val="28"/>
          <w:lang w:val="en-US"/>
        </w:rPr>
        <w:t>I</w:t>
      </w:r>
      <w:r w:rsidR="00062BF3" w:rsidRPr="00920869">
        <w:rPr>
          <w:sz w:val="28"/>
          <w:szCs w:val="28"/>
          <w:lang w:val="ru-RU"/>
        </w:rPr>
        <w:t xml:space="preserve"> ст., могут свидетельствовать о гормональной активности жировой ткани, процентное соотношение которой больше всего у пациентов </w:t>
      </w:r>
      <w:r w:rsidR="00062BF3" w:rsidRPr="00920869">
        <w:rPr>
          <w:sz w:val="28"/>
          <w:szCs w:val="28"/>
          <w:lang w:val="en-US"/>
        </w:rPr>
        <w:t>III</w:t>
      </w:r>
      <w:r w:rsidR="00F11191">
        <w:rPr>
          <w:sz w:val="28"/>
          <w:szCs w:val="28"/>
          <w:lang w:val="ru-RU"/>
        </w:rPr>
        <w:t xml:space="preserve"> группы [8</w:t>
      </w:r>
      <w:r w:rsidR="00062BF3" w:rsidRPr="00920869">
        <w:rPr>
          <w:sz w:val="28"/>
          <w:szCs w:val="28"/>
          <w:lang w:val="ru-RU"/>
        </w:rPr>
        <w:t>].</w:t>
      </w:r>
    </w:p>
    <w:p w:rsidR="00CF3AC3" w:rsidRPr="00920869" w:rsidRDefault="00CF3AC3" w:rsidP="009208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0869">
        <w:rPr>
          <w:sz w:val="28"/>
          <w:szCs w:val="28"/>
          <w:lang w:val="ru-RU"/>
        </w:rPr>
        <w:t xml:space="preserve">Таким образом, в результате проведенного исследования установлено, что у больных гипертонической болезнью отмечается значительное повышение уровня несфатина-1, а при сопутствующем ожирении этот показатель несколько снижается. Также выявлены достоверные различия в уровне </w:t>
      </w:r>
      <w:proofErr w:type="spellStart"/>
      <w:r w:rsidRPr="00920869">
        <w:rPr>
          <w:sz w:val="28"/>
          <w:szCs w:val="28"/>
          <w:lang w:val="ru-RU"/>
        </w:rPr>
        <w:t>адипоцитокина</w:t>
      </w:r>
      <w:proofErr w:type="spellEnd"/>
      <w:r w:rsidRPr="00920869">
        <w:rPr>
          <w:sz w:val="28"/>
          <w:szCs w:val="28"/>
          <w:lang w:val="ru-RU"/>
        </w:rPr>
        <w:t xml:space="preserve"> среди мужчин и женщин</w:t>
      </w:r>
      <w:r w:rsidR="00852FD6" w:rsidRPr="00920869">
        <w:rPr>
          <w:sz w:val="28"/>
          <w:szCs w:val="28"/>
          <w:lang w:val="ru-RU"/>
        </w:rPr>
        <w:t xml:space="preserve">, установлены корреляционные связи с некоторыми антропометрическими показателями при </w:t>
      </w:r>
      <w:r w:rsidR="00852FD6" w:rsidRPr="00920869">
        <w:rPr>
          <w:sz w:val="28"/>
          <w:szCs w:val="28"/>
          <w:lang w:val="en-US"/>
        </w:rPr>
        <w:t>II</w:t>
      </w:r>
      <w:r w:rsidR="00852FD6" w:rsidRPr="00920869">
        <w:rPr>
          <w:sz w:val="28"/>
          <w:szCs w:val="28"/>
          <w:lang w:val="ru-RU"/>
        </w:rPr>
        <w:t>-</w:t>
      </w:r>
      <w:r w:rsidR="00852FD6" w:rsidRPr="00920869">
        <w:rPr>
          <w:sz w:val="28"/>
          <w:szCs w:val="28"/>
          <w:lang w:val="en-US"/>
        </w:rPr>
        <w:t>III</w:t>
      </w:r>
      <w:r w:rsidR="00852FD6" w:rsidRPr="00920869">
        <w:rPr>
          <w:sz w:val="28"/>
          <w:szCs w:val="28"/>
          <w:lang w:val="ru-RU"/>
        </w:rPr>
        <w:t xml:space="preserve"> ст. ожирения. Полученные данные могут свидетельствовать о </w:t>
      </w:r>
      <w:proofErr w:type="spellStart"/>
      <w:r w:rsidR="00852FD6" w:rsidRPr="00920869">
        <w:rPr>
          <w:sz w:val="28"/>
          <w:szCs w:val="28"/>
          <w:lang w:val="ru-RU"/>
        </w:rPr>
        <w:t>прогипертензивном</w:t>
      </w:r>
      <w:proofErr w:type="spellEnd"/>
      <w:r w:rsidR="00852FD6" w:rsidRPr="00920869">
        <w:rPr>
          <w:sz w:val="28"/>
          <w:szCs w:val="28"/>
          <w:lang w:val="ru-RU"/>
        </w:rPr>
        <w:t xml:space="preserve">, </w:t>
      </w:r>
      <w:proofErr w:type="spellStart"/>
      <w:r w:rsidR="00852FD6" w:rsidRPr="00920869">
        <w:rPr>
          <w:sz w:val="28"/>
          <w:szCs w:val="28"/>
          <w:lang w:val="ru-RU"/>
        </w:rPr>
        <w:t>анорексигенном</w:t>
      </w:r>
      <w:proofErr w:type="spellEnd"/>
      <w:r w:rsidR="00852FD6" w:rsidRPr="00920869">
        <w:rPr>
          <w:sz w:val="28"/>
          <w:szCs w:val="28"/>
          <w:lang w:val="ru-RU"/>
        </w:rPr>
        <w:t xml:space="preserve"> свойствах несфатина-1, а также о различиях в регуляции его выработки у пациентов мужского и женского полов.</w:t>
      </w:r>
    </w:p>
    <w:p w:rsidR="008476A2" w:rsidRPr="00DF6325" w:rsidRDefault="008476A2" w:rsidP="009208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361E25" w:rsidRPr="00DF6325" w:rsidRDefault="00361E25" w:rsidP="009208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8476A2" w:rsidRPr="00920869" w:rsidRDefault="008476A2" w:rsidP="009208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0869">
        <w:rPr>
          <w:b/>
          <w:sz w:val="28"/>
          <w:szCs w:val="28"/>
          <w:lang w:val="ru-RU"/>
        </w:rPr>
        <w:t xml:space="preserve">Выводы. </w:t>
      </w:r>
    </w:p>
    <w:p w:rsidR="008476A2" w:rsidRPr="00920869" w:rsidRDefault="008476A2" w:rsidP="009208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0869">
        <w:rPr>
          <w:sz w:val="28"/>
          <w:szCs w:val="28"/>
          <w:lang w:val="ru-RU"/>
        </w:rPr>
        <w:t xml:space="preserve">1. Больные гипертонической болезнью имеют </w:t>
      </w:r>
      <w:r w:rsidR="00156321" w:rsidRPr="00920869">
        <w:rPr>
          <w:sz w:val="28"/>
          <w:szCs w:val="28"/>
          <w:lang w:val="ru-RU"/>
        </w:rPr>
        <w:t>достоверно более высокий уровень несфатина-1 в плазме крови.</w:t>
      </w:r>
    </w:p>
    <w:p w:rsidR="00156321" w:rsidRPr="00920869" w:rsidRDefault="00156321" w:rsidP="009208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0869">
        <w:rPr>
          <w:sz w:val="28"/>
          <w:szCs w:val="28"/>
          <w:lang w:val="ru-RU"/>
        </w:rPr>
        <w:t xml:space="preserve">2. При сочетании гипертонической болезни с избыточной массой тела или ожирением отмечается достоверное снижение уровня несфатина-1, </w:t>
      </w:r>
      <w:r w:rsidR="00CF3AC3" w:rsidRPr="00920869">
        <w:rPr>
          <w:sz w:val="28"/>
          <w:szCs w:val="28"/>
          <w:lang w:val="ru-RU"/>
        </w:rPr>
        <w:t>но</w:t>
      </w:r>
      <w:r w:rsidR="00515FD8">
        <w:rPr>
          <w:sz w:val="28"/>
          <w:szCs w:val="28"/>
          <w:lang w:val="ru-RU"/>
        </w:rPr>
        <w:t xml:space="preserve"> в сравнении с группой контроля остается почти вдвое повышенным</w:t>
      </w:r>
      <w:r w:rsidRPr="00920869">
        <w:rPr>
          <w:sz w:val="28"/>
          <w:szCs w:val="28"/>
          <w:lang w:val="ru-RU"/>
        </w:rPr>
        <w:t>.</w:t>
      </w:r>
    </w:p>
    <w:p w:rsidR="00156321" w:rsidRPr="00920869" w:rsidRDefault="00156321" w:rsidP="009208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0869">
        <w:rPr>
          <w:sz w:val="28"/>
          <w:szCs w:val="28"/>
          <w:lang w:val="ru-RU"/>
        </w:rPr>
        <w:t>3. Отмечается достоверно более высокий уровень несфатина-1 у пациентов мужского пола по сравнению с женщинами.</w:t>
      </w:r>
    </w:p>
    <w:p w:rsidR="00156321" w:rsidRPr="00920869" w:rsidRDefault="00156321" w:rsidP="009208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0869">
        <w:rPr>
          <w:sz w:val="28"/>
          <w:szCs w:val="28"/>
          <w:lang w:val="ru-RU"/>
        </w:rPr>
        <w:t xml:space="preserve">4. При сравнении </w:t>
      </w:r>
      <w:r w:rsidR="00CF3AC3" w:rsidRPr="00920869">
        <w:rPr>
          <w:sz w:val="28"/>
          <w:szCs w:val="28"/>
          <w:lang w:val="ru-RU"/>
        </w:rPr>
        <w:t xml:space="preserve">медиан </w:t>
      </w:r>
      <w:r w:rsidRPr="00920869">
        <w:rPr>
          <w:sz w:val="28"/>
          <w:szCs w:val="28"/>
          <w:lang w:val="ru-RU"/>
        </w:rPr>
        <w:t>показателей несфатина-1 по группам ожирения</w:t>
      </w:r>
      <w:r w:rsidR="00CF3AC3" w:rsidRPr="00920869">
        <w:rPr>
          <w:sz w:val="28"/>
          <w:szCs w:val="28"/>
          <w:lang w:val="ru-RU"/>
        </w:rPr>
        <w:t xml:space="preserve"> </w:t>
      </w:r>
      <w:r w:rsidR="00515FD8">
        <w:rPr>
          <w:sz w:val="28"/>
          <w:szCs w:val="28"/>
          <w:lang w:val="ru-RU"/>
        </w:rPr>
        <w:t xml:space="preserve">сохраняются идентичные </w:t>
      </w:r>
      <w:r w:rsidR="00CF3AC3" w:rsidRPr="00920869">
        <w:rPr>
          <w:sz w:val="28"/>
          <w:szCs w:val="28"/>
          <w:lang w:val="ru-RU"/>
        </w:rPr>
        <w:t xml:space="preserve">гендерные различия, </w:t>
      </w:r>
      <w:r w:rsidR="00515FD8">
        <w:rPr>
          <w:sz w:val="28"/>
          <w:szCs w:val="28"/>
          <w:lang w:val="ru-RU"/>
        </w:rPr>
        <w:t>но достоверной разница выявлена</w:t>
      </w:r>
      <w:r w:rsidR="00CF3AC3" w:rsidRPr="00920869">
        <w:rPr>
          <w:sz w:val="28"/>
          <w:szCs w:val="28"/>
          <w:lang w:val="ru-RU"/>
        </w:rPr>
        <w:t xml:space="preserve"> только в группе с умеренным увеличением массы тела.</w:t>
      </w:r>
    </w:p>
    <w:p w:rsidR="00CF3AC3" w:rsidRPr="00920869" w:rsidRDefault="00CF3AC3" w:rsidP="009208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0869">
        <w:rPr>
          <w:sz w:val="28"/>
          <w:szCs w:val="28"/>
          <w:lang w:val="ru-RU"/>
        </w:rPr>
        <w:t xml:space="preserve">5. Среди пациентов </w:t>
      </w:r>
      <w:r w:rsidRPr="00920869">
        <w:rPr>
          <w:sz w:val="28"/>
          <w:szCs w:val="28"/>
          <w:lang w:val="en-US"/>
        </w:rPr>
        <w:t>II</w:t>
      </w:r>
      <w:r w:rsidRPr="00920869">
        <w:rPr>
          <w:sz w:val="28"/>
          <w:szCs w:val="28"/>
          <w:lang w:val="ru-RU"/>
        </w:rPr>
        <w:t>-</w:t>
      </w:r>
      <w:r w:rsidRPr="00920869">
        <w:rPr>
          <w:sz w:val="28"/>
          <w:szCs w:val="28"/>
          <w:lang w:val="en-US"/>
        </w:rPr>
        <w:t>III</w:t>
      </w:r>
      <w:r w:rsidR="00515FD8">
        <w:rPr>
          <w:sz w:val="28"/>
          <w:szCs w:val="28"/>
          <w:lang w:val="ru-RU"/>
        </w:rPr>
        <w:t xml:space="preserve"> ст. ожирения установлена</w:t>
      </w:r>
      <w:r w:rsidRPr="00920869">
        <w:rPr>
          <w:sz w:val="28"/>
          <w:szCs w:val="28"/>
          <w:lang w:val="ru-RU"/>
        </w:rPr>
        <w:t xml:space="preserve"> сильная прямая корреляционная связь между уровнем несфатина-1 и массой тела, объемами </w:t>
      </w:r>
      <w:r w:rsidRPr="00920869">
        <w:rPr>
          <w:sz w:val="28"/>
          <w:szCs w:val="28"/>
          <w:lang w:val="ru-RU"/>
        </w:rPr>
        <w:lastRenderedPageBreak/>
        <w:t>талии и бедер, ИТР у мужчин, а также обратная корреляционная связь с возрастом у женщин.</w:t>
      </w:r>
    </w:p>
    <w:p w:rsidR="00BD6632" w:rsidRPr="00920869" w:rsidRDefault="00BD6632" w:rsidP="009208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BD6632" w:rsidRPr="00920869" w:rsidRDefault="00BD6632" w:rsidP="00920869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920869">
        <w:rPr>
          <w:b/>
          <w:sz w:val="28"/>
          <w:szCs w:val="28"/>
          <w:lang w:val="ru-RU"/>
        </w:rPr>
        <w:t xml:space="preserve">Перспективы дальнейших исследований. </w:t>
      </w:r>
    </w:p>
    <w:p w:rsidR="006A7208" w:rsidRPr="00920869" w:rsidRDefault="00A27565" w:rsidP="009208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0869">
        <w:rPr>
          <w:sz w:val="28"/>
          <w:szCs w:val="28"/>
          <w:lang w:val="ru-RU"/>
        </w:rPr>
        <w:t>Учитывая п</w:t>
      </w:r>
      <w:r w:rsidR="006A7208" w:rsidRPr="00920869">
        <w:rPr>
          <w:sz w:val="28"/>
          <w:szCs w:val="28"/>
          <w:lang w:val="ru-RU"/>
        </w:rPr>
        <w:t>олученные данные</w:t>
      </w:r>
      <w:r w:rsidRPr="00920869">
        <w:rPr>
          <w:sz w:val="28"/>
          <w:szCs w:val="28"/>
          <w:lang w:val="ru-RU"/>
        </w:rPr>
        <w:t xml:space="preserve">, перспективным является дальнейшее изучение влияния уровня несфатина-1 </w:t>
      </w:r>
      <w:r w:rsidR="00515FD8">
        <w:rPr>
          <w:sz w:val="28"/>
          <w:szCs w:val="28"/>
          <w:lang w:val="ru-RU"/>
        </w:rPr>
        <w:t>на нарушение обмена веществ, которое</w:t>
      </w:r>
      <w:r w:rsidRPr="00920869">
        <w:rPr>
          <w:sz w:val="28"/>
          <w:szCs w:val="28"/>
          <w:lang w:val="ru-RU"/>
        </w:rPr>
        <w:t xml:space="preserve"> влечет за собой прогрессирование сердечно-сосудистых заболеваний</w:t>
      </w:r>
      <w:r w:rsidR="00515FD8">
        <w:rPr>
          <w:sz w:val="28"/>
          <w:szCs w:val="28"/>
          <w:lang w:val="ru-RU"/>
        </w:rPr>
        <w:t xml:space="preserve"> и ожирения. Необходимо более детальное изучение гендерных различий</w:t>
      </w:r>
      <w:r w:rsidR="00515FD8" w:rsidRPr="00920869">
        <w:rPr>
          <w:sz w:val="28"/>
          <w:szCs w:val="28"/>
          <w:lang w:val="ru-RU"/>
        </w:rPr>
        <w:t xml:space="preserve"> активности </w:t>
      </w:r>
      <w:proofErr w:type="gramStart"/>
      <w:r w:rsidR="00515FD8" w:rsidRPr="00920869">
        <w:rPr>
          <w:sz w:val="28"/>
          <w:szCs w:val="28"/>
          <w:lang w:val="ru-RU"/>
        </w:rPr>
        <w:t>данного</w:t>
      </w:r>
      <w:proofErr w:type="gramEnd"/>
      <w:r w:rsidR="00515FD8" w:rsidRPr="00920869">
        <w:rPr>
          <w:sz w:val="28"/>
          <w:szCs w:val="28"/>
          <w:lang w:val="ru-RU"/>
        </w:rPr>
        <w:t xml:space="preserve"> </w:t>
      </w:r>
      <w:proofErr w:type="spellStart"/>
      <w:r w:rsidR="00515FD8" w:rsidRPr="00920869">
        <w:rPr>
          <w:sz w:val="28"/>
          <w:szCs w:val="28"/>
          <w:lang w:val="ru-RU"/>
        </w:rPr>
        <w:t>адипоцитокина</w:t>
      </w:r>
      <w:proofErr w:type="spellEnd"/>
      <w:r w:rsidR="00515FD8" w:rsidRPr="00920869">
        <w:rPr>
          <w:sz w:val="28"/>
          <w:szCs w:val="28"/>
          <w:lang w:val="ru-RU"/>
        </w:rPr>
        <w:t xml:space="preserve">, </w:t>
      </w:r>
      <w:r w:rsidR="008F0A03">
        <w:rPr>
          <w:sz w:val="28"/>
          <w:szCs w:val="28"/>
          <w:lang w:val="ru-RU"/>
        </w:rPr>
        <w:t>а также установление связи</w:t>
      </w:r>
      <w:r w:rsidR="00515FD8" w:rsidRPr="00920869">
        <w:rPr>
          <w:sz w:val="28"/>
          <w:szCs w:val="28"/>
          <w:lang w:val="ru-RU"/>
        </w:rPr>
        <w:t xml:space="preserve"> с уровнем половых гормонов</w:t>
      </w:r>
      <w:r w:rsidR="008F0A03">
        <w:rPr>
          <w:sz w:val="28"/>
          <w:szCs w:val="28"/>
          <w:lang w:val="ru-RU"/>
        </w:rPr>
        <w:t xml:space="preserve"> </w:t>
      </w:r>
      <w:r w:rsidR="002E3F46" w:rsidRPr="00920869">
        <w:rPr>
          <w:sz w:val="28"/>
          <w:szCs w:val="28"/>
          <w:lang w:val="ru-RU"/>
        </w:rPr>
        <w:t xml:space="preserve">с последующей разработкой методов ранней диагностики и своевременной коррекции выявленных изменений. </w:t>
      </w:r>
      <w:r w:rsidRPr="00920869">
        <w:rPr>
          <w:sz w:val="28"/>
          <w:szCs w:val="28"/>
          <w:lang w:val="ru-RU"/>
        </w:rPr>
        <w:t xml:space="preserve"> </w:t>
      </w:r>
    </w:p>
    <w:p w:rsidR="002333CB" w:rsidRPr="00DF6325" w:rsidRDefault="002333CB" w:rsidP="00920869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</w:p>
    <w:p w:rsidR="001F2F83" w:rsidRPr="00920869" w:rsidRDefault="00D672AC" w:rsidP="00920869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920869">
        <w:rPr>
          <w:b/>
          <w:sz w:val="28"/>
          <w:szCs w:val="28"/>
          <w:lang w:val="ru-RU"/>
        </w:rPr>
        <w:t>Список литературы.</w:t>
      </w:r>
    </w:p>
    <w:p w:rsidR="00F11191" w:rsidRPr="00F11191" w:rsidRDefault="00F11191" w:rsidP="00F111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11191">
        <w:rPr>
          <w:sz w:val="28"/>
          <w:szCs w:val="28"/>
          <w:lang w:val="ru-RU"/>
        </w:rPr>
        <w:t xml:space="preserve">1. </w:t>
      </w:r>
      <w:proofErr w:type="spellStart"/>
      <w:r w:rsidRPr="00920869">
        <w:rPr>
          <w:sz w:val="28"/>
          <w:szCs w:val="28"/>
        </w:rPr>
        <w:t>Горбась</w:t>
      </w:r>
      <w:proofErr w:type="spellEnd"/>
      <w:r w:rsidRPr="00920869">
        <w:rPr>
          <w:sz w:val="28"/>
          <w:szCs w:val="28"/>
        </w:rPr>
        <w:t xml:space="preserve"> І.М. Динаміка епідеміологічної ситуації щодо артеріальної гіпертензії (20-річне спостереження) </w:t>
      </w:r>
      <w:r w:rsidR="0013725E" w:rsidRPr="0013725E">
        <w:rPr>
          <w:sz w:val="28"/>
          <w:szCs w:val="28"/>
          <w:lang w:val="ru-RU"/>
        </w:rPr>
        <w:t xml:space="preserve">/ </w:t>
      </w:r>
      <w:r w:rsidR="0013725E">
        <w:rPr>
          <w:sz w:val="28"/>
          <w:szCs w:val="28"/>
        </w:rPr>
        <w:t xml:space="preserve">І.М. </w:t>
      </w:r>
      <w:proofErr w:type="spellStart"/>
      <w:r w:rsidR="0013725E">
        <w:rPr>
          <w:sz w:val="28"/>
          <w:szCs w:val="28"/>
        </w:rPr>
        <w:t>Горбась</w:t>
      </w:r>
      <w:proofErr w:type="spellEnd"/>
      <w:r w:rsidR="0013725E">
        <w:rPr>
          <w:sz w:val="28"/>
          <w:szCs w:val="28"/>
        </w:rPr>
        <w:t xml:space="preserve"> </w:t>
      </w:r>
      <w:r w:rsidRPr="00F11191">
        <w:rPr>
          <w:sz w:val="28"/>
          <w:szCs w:val="28"/>
          <w:lang w:val="ru-RU"/>
        </w:rPr>
        <w:t>//</w:t>
      </w:r>
      <w:r w:rsidRPr="00920869">
        <w:rPr>
          <w:sz w:val="28"/>
          <w:szCs w:val="28"/>
        </w:rPr>
        <w:t xml:space="preserve"> Кровообіг т</w:t>
      </w:r>
      <w:r w:rsidR="0013725E">
        <w:rPr>
          <w:sz w:val="28"/>
          <w:szCs w:val="28"/>
        </w:rPr>
        <w:t>а гемостаз. – 2005. – № 2. – С.</w:t>
      </w:r>
      <w:r w:rsidRPr="00920869">
        <w:rPr>
          <w:sz w:val="28"/>
          <w:szCs w:val="28"/>
        </w:rPr>
        <w:t>29-33.</w:t>
      </w:r>
    </w:p>
    <w:p w:rsidR="00F11191" w:rsidRDefault="00F11191" w:rsidP="00F111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D26A6">
        <w:rPr>
          <w:sz w:val="28"/>
          <w:szCs w:val="28"/>
          <w:lang w:val="ru-RU"/>
        </w:rPr>
        <w:t>2</w:t>
      </w:r>
      <w:r w:rsidRPr="00920869">
        <w:rPr>
          <w:sz w:val="28"/>
          <w:szCs w:val="28"/>
          <w:lang w:val="ru-RU"/>
        </w:rPr>
        <w:t xml:space="preserve">. </w:t>
      </w:r>
      <w:proofErr w:type="spellStart"/>
      <w:r w:rsidRPr="00920869">
        <w:rPr>
          <w:sz w:val="28"/>
          <w:szCs w:val="28"/>
          <w:lang w:val="ru-RU"/>
        </w:rPr>
        <w:t>Драпкина</w:t>
      </w:r>
      <w:proofErr w:type="spellEnd"/>
      <w:r w:rsidRPr="00920869">
        <w:rPr>
          <w:sz w:val="28"/>
          <w:szCs w:val="28"/>
          <w:lang w:val="ru-RU"/>
        </w:rPr>
        <w:t xml:space="preserve"> О.М. Роль ожирения в развитии артериальной гипертензии и неалкогольной жировой болезни печени</w:t>
      </w:r>
      <w:r w:rsidR="0013725E">
        <w:rPr>
          <w:sz w:val="28"/>
          <w:szCs w:val="28"/>
          <w:lang w:val="ru-RU"/>
        </w:rPr>
        <w:t xml:space="preserve"> </w:t>
      </w:r>
      <w:r w:rsidR="0013725E" w:rsidRPr="0013725E">
        <w:rPr>
          <w:sz w:val="28"/>
          <w:szCs w:val="28"/>
          <w:lang w:val="ru-RU"/>
        </w:rPr>
        <w:t xml:space="preserve">/ </w:t>
      </w:r>
      <w:r w:rsidR="00810449">
        <w:rPr>
          <w:sz w:val="28"/>
          <w:szCs w:val="28"/>
          <w:lang w:val="ru-RU"/>
        </w:rPr>
        <w:t xml:space="preserve">О.М. </w:t>
      </w:r>
      <w:proofErr w:type="spellStart"/>
      <w:r w:rsidR="00810449">
        <w:rPr>
          <w:sz w:val="28"/>
          <w:szCs w:val="28"/>
          <w:lang w:val="ru-RU"/>
        </w:rPr>
        <w:t>Драпкина</w:t>
      </w:r>
      <w:proofErr w:type="spellEnd"/>
      <w:r w:rsidR="0013725E" w:rsidRPr="00920869">
        <w:rPr>
          <w:sz w:val="28"/>
          <w:szCs w:val="28"/>
          <w:lang w:val="ru-RU"/>
        </w:rPr>
        <w:t>,</w:t>
      </w:r>
      <w:r w:rsidR="00810449">
        <w:rPr>
          <w:sz w:val="28"/>
          <w:szCs w:val="28"/>
          <w:lang w:val="ru-RU"/>
        </w:rPr>
        <w:t xml:space="preserve"> И.Р.</w:t>
      </w:r>
      <w:r w:rsidR="0013725E" w:rsidRPr="00920869">
        <w:rPr>
          <w:sz w:val="28"/>
          <w:szCs w:val="28"/>
          <w:lang w:val="ru-RU"/>
        </w:rPr>
        <w:t xml:space="preserve"> Попова </w:t>
      </w:r>
      <w:r w:rsidRPr="00920869">
        <w:rPr>
          <w:sz w:val="28"/>
          <w:szCs w:val="28"/>
          <w:lang w:val="ru-RU"/>
        </w:rPr>
        <w:t xml:space="preserve">// </w:t>
      </w:r>
      <w:proofErr w:type="spellStart"/>
      <w:r w:rsidRPr="00920869">
        <w:rPr>
          <w:sz w:val="28"/>
          <w:szCs w:val="28"/>
        </w:rPr>
        <w:t>Укр</w:t>
      </w:r>
      <w:proofErr w:type="gramStart"/>
      <w:r w:rsidRPr="00920869">
        <w:rPr>
          <w:sz w:val="28"/>
          <w:szCs w:val="28"/>
        </w:rPr>
        <w:t>.м</w:t>
      </w:r>
      <w:proofErr w:type="gramEnd"/>
      <w:r w:rsidRPr="00920869">
        <w:rPr>
          <w:sz w:val="28"/>
          <w:szCs w:val="28"/>
        </w:rPr>
        <w:t>ед.часопис</w:t>
      </w:r>
      <w:proofErr w:type="spellEnd"/>
      <w:r w:rsidRPr="00920869">
        <w:rPr>
          <w:sz w:val="28"/>
          <w:szCs w:val="28"/>
        </w:rPr>
        <w:t>. – 20</w:t>
      </w:r>
      <w:r w:rsidRPr="00920869">
        <w:rPr>
          <w:sz w:val="28"/>
          <w:szCs w:val="28"/>
          <w:lang w:val="ru-RU"/>
        </w:rPr>
        <w:t>13</w:t>
      </w:r>
      <w:r w:rsidRPr="00920869">
        <w:rPr>
          <w:sz w:val="28"/>
          <w:szCs w:val="28"/>
        </w:rPr>
        <w:t xml:space="preserve">. – № </w:t>
      </w:r>
      <w:r w:rsidRPr="00920869">
        <w:rPr>
          <w:sz w:val="28"/>
          <w:szCs w:val="28"/>
          <w:lang w:val="ru-RU"/>
        </w:rPr>
        <w:t>2(94)</w:t>
      </w:r>
      <w:r w:rsidRPr="00920869">
        <w:rPr>
          <w:sz w:val="28"/>
          <w:szCs w:val="28"/>
        </w:rPr>
        <w:t>. – С.</w:t>
      </w:r>
      <w:r w:rsidRPr="00920869">
        <w:rPr>
          <w:sz w:val="28"/>
          <w:szCs w:val="28"/>
          <w:lang w:val="ru-RU"/>
        </w:rPr>
        <w:t>125-8</w:t>
      </w:r>
      <w:r w:rsidRPr="00920869">
        <w:rPr>
          <w:sz w:val="28"/>
          <w:szCs w:val="28"/>
        </w:rPr>
        <w:t>.</w:t>
      </w:r>
    </w:p>
    <w:p w:rsidR="00F11191" w:rsidRPr="00920869" w:rsidRDefault="00F11191" w:rsidP="00F11191">
      <w:pPr>
        <w:spacing w:line="360" w:lineRule="auto"/>
        <w:ind w:firstLine="709"/>
        <w:jc w:val="both"/>
        <w:rPr>
          <w:sz w:val="28"/>
          <w:szCs w:val="28"/>
        </w:rPr>
      </w:pPr>
      <w:r w:rsidRPr="00F11191">
        <w:rPr>
          <w:sz w:val="28"/>
          <w:szCs w:val="28"/>
          <w:lang w:val="ru-RU"/>
        </w:rPr>
        <w:t xml:space="preserve">3. </w:t>
      </w:r>
      <w:r w:rsidRPr="00920869">
        <w:rPr>
          <w:sz w:val="28"/>
          <w:szCs w:val="28"/>
        </w:rPr>
        <w:t>Коваленко В.М</w:t>
      </w:r>
      <w:r w:rsidR="00810449">
        <w:rPr>
          <w:sz w:val="28"/>
          <w:szCs w:val="28"/>
        </w:rPr>
        <w:t>.</w:t>
      </w:r>
      <w:r w:rsidRPr="00920869">
        <w:rPr>
          <w:sz w:val="28"/>
          <w:szCs w:val="28"/>
        </w:rPr>
        <w:t xml:space="preserve"> Регіональні медико-соціальні проблеми хвороб системи кровообігу. Динаміка та аналіз: </w:t>
      </w:r>
      <w:r w:rsidR="00810449">
        <w:rPr>
          <w:sz w:val="28"/>
          <w:szCs w:val="28"/>
          <w:lang w:val="ru-RU"/>
        </w:rPr>
        <w:t>а</w:t>
      </w:r>
      <w:proofErr w:type="spellStart"/>
      <w:r w:rsidR="00810449">
        <w:rPr>
          <w:sz w:val="28"/>
          <w:szCs w:val="28"/>
        </w:rPr>
        <w:t>налітично-статистичний</w:t>
      </w:r>
      <w:proofErr w:type="spellEnd"/>
      <w:r w:rsidR="00810449">
        <w:rPr>
          <w:sz w:val="28"/>
          <w:szCs w:val="28"/>
        </w:rPr>
        <w:t xml:space="preserve"> посібник</w:t>
      </w:r>
      <w:r w:rsidR="00810449" w:rsidRPr="00810449">
        <w:rPr>
          <w:sz w:val="28"/>
          <w:szCs w:val="28"/>
          <w:lang w:val="ru-RU"/>
        </w:rPr>
        <w:t xml:space="preserve"> /</w:t>
      </w:r>
      <w:r w:rsidR="00810449" w:rsidRPr="00810449">
        <w:rPr>
          <w:sz w:val="28"/>
          <w:szCs w:val="28"/>
        </w:rPr>
        <w:t xml:space="preserve"> </w:t>
      </w:r>
      <w:r w:rsidR="001F2651">
        <w:rPr>
          <w:sz w:val="28"/>
          <w:szCs w:val="28"/>
          <w:lang w:val="ru-RU"/>
        </w:rPr>
        <w:t>В.М</w:t>
      </w:r>
      <w:r w:rsidR="001F2651" w:rsidRPr="001F2651">
        <w:rPr>
          <w:sz w:val="28"/>
          <w:szCs w:val="28"/>
          <w:lang w:val="ru-RU"/>
        </w:rPr>
        <w:t>.</w:t>
      </w:r>
      <w:r w:rsidR="00810449">
        <w:rPr>
          <w:sz w:val="28"/>
          <w:szCs w:val="28"/>
          <w:lang w:val="ru-RU"/>
        </w:rPr>
        <w:t xml:space="preserve"> Коваленко</w:t>
      </w:r>
      <w:r w:rsidR="00810449" w:rsidRPr="00920869">
        <w:rPr>
          <w:sz w:val="28"/>
          <w:szCs w:val="28"/>
        </w:rPr>
        <w:t>,</w:t>
      </w:r>
      <w:r w:rsidR="00810449">
        <w:rPr>
          <w:sz w:val="28"/>
          <w:szCs w:val="28"/>
          <w:lang w:val="ru-RU"/>
        </w:rPr>
        <w:t xml:space="preserve"> В.М.</w:t>
      </w:r>
      <w:r w:rsidR="00810449" w:rsidRPr="00920869">
        <w:rPr>
          <w:sz w:val="28"/>
          <w:szCs w:val="28"/>
        </w:rPr>
        <w:t xml:space="preserve"> </w:t>
      </w:r>
      <w:proofErr w:type="spellStart"/>
      <w:r w:rsidR="00810449" w:rsidRPr="00920869">
        <w:rPr>
          <w:sz w:val="28"/>
          <w:szCs w:val="28"/>
        </w:rPr>
        <w:t>Корнацький</w:t>
      </w:r>
      <w:proofErr w:type="spellEnd"/>
      <w:r w:rsidR="00810449">
        <w:rPr>
          <w:sz w:val="28"/>
          <w:szCs w:val="28"/>
          <w:lang w:val="ru-RU"/>
        </w:rPr>
        <w:t>.</w:t>
      </w:r>
      <w:r w:rsidR="00810449">
        <w:rPr>
          <w:sz w:val="28"/>
          <w:szCs w:val="28"/>
        </w:rPr>
        <w:t xml:space="preserve"> – К</w:t>
      </w:r>
      <w:r w:rsidRPr="00920869">
        <w:rPr>
          <w:sz w:val="28"/>
          <w:szCs w:val="28"/>
        </w:rPr>
        <w:t>.</w:t>
      </w:r>
      <w:r w:rsidR="00810449">
        <w:rPr>
          <w:sz w:val="28"/>
          <w:szCs w:val="28"/>
          <w:lang w:val="ru-RU"/>
        </w:rPr>
        <w:t>, 2013.</w:t>
      </w:r>
      <w:r w:rsidRPr="00920869">
        <w:rPr>
          <w:sz w:val="28"/>
          <w:szCs w:val="28"/>
        </w:rPr>
        <w:t xml:space="preserve"> – 239</w:t>
      </w:r>
      <w:r w:rsidR="00810449">
        <w:rPr>
          <w:sz w:val="28"/>
          <w:szCs w:val="28"/>
          <w:lang w:val="ru-RU"/>
        </w:rPr>
        <w:t xml:space="preserve"> </w:t>
      </w:r>
      <w:r w:rsidRPr="00920869">
        <w:rPr>
          <w:sz w:val="28"/>
          <w:szCs w:val="28"/>
        </w:rPr>
        <w:t>с.</w:t>
      </w:r>
    </w:p>
    <w:p w:rsidR="00F11191" w:rsidRPr="003D26A6" w:rsidRDefault="00F11191" w:rsidP="00F1119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  <w:r w:rsidRPr="00920869">
        <w:rPr>
          <w:sz w:val="28"/>
          <w:szCs w:val="28"/>
          <w:lang w:val="en-US"/>
        </w:rPr>
        <w:t xml:space="preserve">. Chung Y. Progesterone and 17β-estradiol regulate expression of nesfatin-1/NUCB2 in mouse pituitary gland </w:t>
      </w:r>
      <w:r w:rsidR="00810449">
        <w:rPr>
          <w:sz w:val="28"/>
          <w:szCs w:val="28"/>
          <w:lang w:val="en-US"/>
        </w:rPr>
        <w:t>/ Y</w:t>
      </w:r>
      <w:r w:rsidR="00810449" w:rsidRPr="00920869">
        <w:rPr>
          <w:sz w:val="28"/>
          <w:szCs w:val="28"/>
          <w:lang w:val="en-US"/>
        </w:rPr>
        <w:t>.</w:t>
      </w:r>
      <w:r w:rsidR="00810449">
        <w:rPr>
          <w:sz w:val="28"/>
          <w:szCs w:val="28"/>
          <w:lang w:val="en-US"/>
        </w:rPr>
        <w:t xml:space="preserve"> </w:t>
      </w:r>
      <w:r w:rsidR="00810449" w:rsidRPr="00920869">
        <w:rPr>
          <w:sz w:val="28"/>
          <w:szCs w:val="28"/>
          <w:lang w:val="en-US"/>
        </w:rPr>
        <w:t xml:space="preserve">Chung, </w:t>
      </w:r>
      <w:r w:rsidR="00810449">
        <w:rPr>
          <w:sz w:val="28"/>
          <w:szCs w:val="28"/>
          <w:lang w:val="en-US"/>
        </w:rPr>
        <w:t xml:space="preserve">J. </w:t>
      </w:r>
      <w:r w:rsidR="00810449" w:rsidRPr="00920869">
        <w:rPr>
          <w:sz w:val="28"/>
          <w:szCs w:val="28"/>
          <w:lang w:val="en-US"/>
        </w:rPr>
        <w:t>Kim,</w:t>
      </w:r>
      <w:r w:rsidR="00810449">
        <w:rPr>
          <w:sz w:val="28"/>
          <w:szCs w:val="28"/>
          <w:lang w:val="en-US"/>
        </w:rPr>
        <w:t xml:space="preserve"> E.</w:t>
      </w:r>
      <w:r w:rsidR="00810449" w:rsidRPr="00920869">
        <w:rPr>
          <w:sz w:val="28"/>
          <w:szCs w:val="28"/>
          <w:lang w:val="en-US"/>
        </w:rPr>
        <w:t xml:space="preserve"> </w:t>
      </w:r>
      <w:proofErr w:type="spellStart"/>
      <w:r w:rsidR="00810449" w:rsidRPr="00920869">
        <w:rPr>
          <w:sz w:val="28"/>
          <w:szCs w:val="28"/>
          <w:lang w:val="en-US"/>
        </w:rPr>
        <w:t>Im</w:t>
      </w:r>
      <w:proofErr w:type="spellEnd"/>
      <w:r w:rsidR="00810449" w:rsidRPr="00920869">
        <w:rPr>
          <w:sz w:val="28"/>
          <w:szCs w:val="28"/>
          <w:lang w:val="en-US"/>
        </w:rPr>
        <w:t xml:space="preserve"> </w:t>
      </w:r>
      <w:r w:rsidR="00810449">
        <w:rPr>
          <w:sz w:val="28"/>
          <w:szCs w:val="28"/>
          <w:lang w:val="en-US"/>
        </w:rPr>
        <w:t>[</w:t>
      </w:r>
      <w:r w:rsidR="00810449" w:rsidRPr="00920869">
        <w:rPr>
          <w:sz w:val="28"/>
          <w:szCs w:val="28"/>
          <w:lang w:val="en-US"/>
        </w:rPr>
        <w:t>et al</w:t>
      </w:r>
      <w:r w:rsidR="00810449">
        <w:rPr>
          <w:sz w:val="28"/>
          <w:szCs w:val="28"/>
          <w:lang w:val="en-US"/>
        </w:rPr>
        <w:t>.]</w:t>
      </w:r>
      <w:r w:rsidR="00810449" w:rsidRPr="00920869">
        <w:rPr>
          <w:sz w:val="28"/>
          <w:szCs w:val="28"/>
          <w:lang w:val="en-US"/>
        </w:rPr>
        <w:t xml:space="preserve"> </w:t>
      </w:r>
      <w:r w:rsidRPr="00920869">
        <w:rPr>
          <w:sz w:val="28"/>
          <w:szCs w:val="28"/>
          <w:lang w:val="en-US"/>
        </w:rPr>
        <w:t>// Peptides. – 2015.</w:t>
      </w:r>
      <w:r w:rsidR="00810449">
        <w:rPr>
          <w:sz w:val="28"/>
          <w:szCs w:val="28"/>
          <w:lang w:val="en-US"/>
        </w:rPr>
        <w:t xml:space="preserve"> </w:t>
      </w:r>
      <w:proofErr w:type="gramStart"/>
      <w:r w:rsidR="00810449">
        <w:rPr>
          <w:sz w:val="28"/>
          <w:szCs w:val="28"/>
          <w:lang w:val="en-US"/>
        </w:rPr>
        <w:t xml:space="preserve">– </w:t>
      </w:r>
      <w:r w:rsidR="000B512F" w:rsidRPr="000B512F">
        <w:rPr>
          <w:sz w:val="28"/>
          <w:szCs w:val="28"/>
          <w:lang w:val="en-US"/>
        </w:rPr>
        <w:t>№</w:t>
      </w:r>
      <w:r w:rsidR="00810449">
        <w:rPr>
          <w:sz w:val="28"/>
          <w:szCs w:val="28"/>
          <w:lang w:val="en-US"/>
        </w:rPr>
        <w:t>63.</w:t>
      </w:r>
      <w:proofErr w:type="gramEnd"/>
      <w:r w:rsidR="00810449">
        <w:rPr>
          <w:sz w:val="28"/>
          <w:szCs w:val="28"/>
          <w:lang w:val="en-US"/>
        </w:rPr>
        <w:t xml:space="preserve"> – P.</w:t>
      </w:r>
      <w:r w:rsidRPr="00920869">
        <w:rPr>
          <w:sz w:val="28"/>
          <w:szCs w:val="28"/>
          <w:lang w:val="en-US"/>
        </w:rPr>
        <w:t>4-9.</w:t>
      </w:r>
    </w:p>
    <w:p w:rsidR="00F11191" w:rsidRPr="00D96B51" w:rsidRDefault="00F11191" w:rsidP="00F1119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 w:rsidRPr="00D96B51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Ehrampoush</w:t>
      </w:r>
      <w:proofErr w:type="spellEnd"/>
      <w:r>
        <w:rPr>
          <w:sz w:val="28"/>
          <w:szCs w:val="28"/>
          <w:lang w:val="en-US"/>
        </w:rPr>
        <w:t xml:space="preserve"> E. New anthropometric indices or old ones: Which is the better predictor of body fat? </w:t>
      </w:r>
      <w:r w:rsidR="00810449">
        <w:rPr>
          <w:sz w:val="28"/>
          <w:szCs w:val="28"/>
          <w:lang w:val="en-US"/>
        </w:rPr>
        <w:t xml:space="preserve">/ E. </w:t>
      </w:r>
      <w:proofErr w:type="spellStart"/>
      <w:r w:rsidR="00810449">
        <w:rPr>
          <w:sz w:val="28"/>
          <w:szCs w:val="28"/>
          <w:lang w:val="en-US"/>
        </w:rPr>
        <w:t>Ehrampoush</w:t>
      </w:r>
      <w:proofErr w:type="spellEnd"/>
      <w:r w:rsidR="00810449">
        <w:rPr>
          <w:sz w:val="28"/>
          <w:szCs w:val="28"/>
          <w:lang w:val="en-US"/>
        </w:rPr>
        <w:t xml:space="preserve">, P. </w:t>
      </w:r>
      <w:proofErr w:type="spellStart"/>
      <w:r w:rsidR="00810449">
        <w:rPr>
          <w:sz w:val="28"/>
          <w:szCs w:val="28"/>
          <w:lang w:val="en-US"/>
        </w:rPr>
        <w:t>Arasteh</w:t>
      </w:r>
      <w:proofErr w:type="spellEnd"/>
      <w:r w:rsidR="00810449">
        <w:rPr>
          <w:sz w:val="28"/>
          <w:szCs w:val="28"/>
          <w:lang w:val="en-US"/>
        </w:rPr>
        <w:t xml:space="preserve">, R. </w:t>
      </w:r>
      <w:proofErr w:type="spellStart"/>
      <w:r w:rsidR="00810449">
        <w:rPr>
          <w:sz w:val="28"/>
          <w:szCs w:val="28"/>
          <w:lang w:val="en-US"/>
        </w:rPr>
        <w:t>Homayounfar</w:t>
      </w:r>
      <w:proofErr w:type="spellEnd"/>
      <w:r w:rsidR="00810449">
        <w:rPr>
          <w:sz w:val="28"/>
          <w:szCs w:val="28"/>
          <w:lang w:val="en-US"/>
        </w:rPr>
        <w:t xml:space="preserve"> [et al.] </w:t>
      </w:r>
      <w:r>
        <w:rPr>
          <w:sz w:val="28"/>
          <w:szCs w:val="28"/>
          <w:lang w:val="en-US"/>
        </w:rPr>
        <w:t xml:space="preserve">// Diabetes </w:t>
      </w:r>
      <w:proofErr w:type="spellStart"/>
      <w:r>
        <w:rPr>
          <w:sz w:val="28"/>
          <w:szCs w:val="28"/>
          <w:lang w:val="en-US"/>
        </w:rPr>
        <w:t>Metab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Syndr</w:t>
      </w:r>
      <w:proofErr w:type="spellEnd"/>
      <w:r w:rsidRPr="00920869">
        <w:rPr>
          <w:sz w:val="28"/>
          <w:szCs w:val="28"/>
        </w:rPr>
        <w:t>. – 20</w:t>
      </w:r>
      <w:r>
        <w:rPr>
          <w:sz w:val="28"/>
          <w:szCs w:val="28"/>
          <w:lang w:val="en-US"/>
        </w:rPr>
        <w:t>16.</w:t>
      </w:r>
      <w:r w:rsidRPr="00920869">
        <w:rPr>
          <w:sz w:val="28"/>
          <w:szCs w:val="28"/>
        </w:rPr>
        <w:t xml:space="preserve"> – № </w:t>
      </w:r>
      <w:r>
        <w:rPr>
          <w:sz w:val="28"/>
          <w:szCs w:val="28"/>
          <w:lang w:val="en-US"/>
        </w:rPr>
        <w:t>16</w:t>
      </w:r>
      <w:r w:rsidR="00810449">
        <w:rPr>
          <w:sz w:val="28"/>
          <w:szCs w:val="28"/>
        </w:rPr>
        <w:t xml:space="preserve">. – </w:t>
      </w:r>
      <w:r w:rsidR="00810449">
        <w:rPr>
          <w:sz w:val="28"/>
          <w:szCs w:val="28"/>
          <w:lang w:val="en-US"/>
        </w:rPr>
        <w:t>P</w:t>
      </w:r>
      <w:r w:rsidR="0081044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30201-6</w:t>
      </w:r>
      <w:r w:rsidRPr="00920869">
        <w:rPr>
          <w:sz w:val="28"/>
          <w:szCs w:val="28"/>
        </w:rPr>
        <w:t>.</w:t>
      </w:r>
    </w:p>
    <w:p w:rsidR="00F11191" w:rsidRPr="00920869" w:rsidRDefault="00F11191" w:rsidP="00F1119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</w:t>
      </w:r>
      <w:r w:rsidRPr="00920869">
        <w:rPr>
          <w:sz w:val="28"/>
          <w:szCs w:val="28"/>
          <w:lang w:val="en-US"/>
        </w:rPr>
        <w:t>. Kim J. Nesfatin-1 as a new potent regulator in reproductive system</w:t>
      </w:r>
      <w:r w:rsidR="00810449">
        <w:rPr>
          <w:sz w:val="28"/>
          <w:szCs w:val="28"/>
          <w:lang w:val="en-US"/>
        </w:rPr>
        <w:t xml:space="preserve"> / J. Kim</w:t>
      </w:r>
      <w:r w:rsidR="00810449" w:rsidRPr="00920869">
        <w:rPr>
          <w:sz w:val="28"/>
          <w:szCs w:val="28"/>
          <w:lang w:val="en-US"/>
        </w:rPr>
        <w:t>,</w:t>
      </w:r>
      <w:r w:rsidR="00810449">
        <w:rPr>
          <w:sz w:val="28"/>
          <w:szCs w:val="28"/>
          <w:lang w:val="en-US"/>
        </w:rPr>
        <w:t xml:space="preserve"> H.</w:t>
      </w:r>
      <w:r w:rsidR="00810449" w:rsidRPr="00920869">
        <w:rPr>
          <w:sz w:val="28"/>
          <w:szCs w:val="28"/>
          <w:lang w:val="en-US"/>
        </w:rPr>
        <w:t xml:space="preserve"> Yang</w:t>
      </w:r>
      <w:r w:rsidRPr="00920869">
        <w:rPr>
          <w:sz w:val="28"/>
          <w:szCs w:val="28"/>
          <w:lang w:val="en-US"/>
        </w:rPr>
        <w:t xml:space="preserve"> // Dev </w:t>
      </w:r>
      <w:proofErr w:type="spellStart"/>
      <w:r w:rsidRPr="00920869">
        <w:rPr>
          <w:sz w:val="28"/>
          <w:szCs w:val="28"/>
          <w:lang w:val="en-US"/>
        </w:rPr>
        <w:t>Reprod</w:t>
      </w:r>
      <w:proofErr w:type="spellEnd"/>
      <w:r w:rsidRPr="00920869">
        <w:rPr>
          <w:sz w:val="28"/>
          <w:szCs w:val="28"/>
          <w:lang w:val="en-US"/>
        </w:rPr>
        <w:t>. – 2012.</w:t>
      </w:r>
      <w:r w:rsidR="00810449">
        <w:rPr>
          <w:sz w:val="28"/>
          <w:szCs w:val="28"/>
          <w:lang w:val="en-US"/>
        </w:rPr>
        <w:t xml:space="preserve"> </w:t>
      </w:r>
      <w:r w:rsidRPr="00920869">
        <w:rPr>
          <w:sz w:val="28"/>
          <w:szCs w:val="28"/>
          <w:lang w:val="en-US"/>
        </w:rPr>
        <w:t xml:space="preserve">– </w:t>
      </w:r>
      <w:r w:rsidR="000B512F" w:rsidRPr="000B512F">
        <w:rPr>
          <w:sz w:val="28"/>
          <w:szCs w:val="28"/>
          <w:lang w:val="en-US"/>
        </w:rPr>
        <w:t>№</w:t>
      </w:r>
      <w:proofErr w:type="gramStart"/>
      <w:r w:rsidRPr="00920869">
        <w:rPr>
          <w:sz w:val="28"/>
          <w:szCs w:val="28"/>
          <w:lang w:val="en-US"/>
        </w:rPr>
        <w:t>16(</w:t>
      </w:r>
      <w:proofErr w:type="gramEnd"/>
      <w:r w:rsidRPr="00920869">
        <w:rPr>
          <w:sz w:val="28"/>
          <w:szCs w:val="28"/>
          <w:lang w:val="en-US"/>
        </w:rPr>
        <w:t>4).</w:t>
      </w:r>
      <w:r w:rsidR="00810449">
        <w:rPr>
          <w:sz w:val="28"/>
          <w:szCs w:val="28"/>
          <w:lang w:val="en-US"/>
        </w:rPr>
        <w:t xml:space="preserve"> – P.</w:t>
      </w:r>
      <w:r w:rsidRPr="00920869">
        <w:rPr>
          <w:sz w:val="28"/>
          <w:szCs w:val="28"/>
          <w:lang w:val="en-US"/>
        </w:rPr>
        <w:t>253-64.</w:t>
      </w:r>
    </w:p>
    <w:p w:rsidR="00937A58" w:rsidRPr="00920869" w:rsidRDefault="00937A58" w:rsidP="00937A5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7</w:t>
      </w:r>
      <w:r w:rsidRPr="00920869">
        <w:rPr>
          <w:sz w:val="28"/>
          <w:szCs w:val="28"/>
          <w:lang w:val="en-US"/>
        </w:rPr>
        <w:t xml:space="preserve">. </w:t>
      </w:r>
      <w:r w:rsidR="000B512F">
        <w:rPr>
          <w:sz w:val="28"/>
          <w:szCs w:val="28"/>
        </w:rPr>
        <w:t>K</w:t>
      </w:r>
      <w:r w:rsidR="000B512F">
        <w:rPr>
          <w:sz w:val="28"/>
          <w:szCs w:val="28"/>
          <w:lang w:val="ru-RU"/>
        </w:rPr>
        <w:t>о</w:t>
      </w:r>
      <w:proofErr w:type="spellStart"/>
      <w:r w:rsidR="000B512F">
        <w:rPr>
          <w:sz w:val="28"/>
          <w:szCs w:val="28"/>
        </w:rPr>
        <w:t>ncz</w:t>
      </w:r>
      <w:proofErr w:type="spellEnd"/>
      <w:r w:rsidR="000B512F">
        <w:rPr>
          <w:sz w:val="28"/>
          <w:szCs w:val="28"/>
          <w:lang w:val="ru-RU"/>
        </w:rPr>
        <w:t>о</w:t>
      </w:r>
      <w:r w:rsidR="00810449">
        <w:rPr>
          <w:sz w:val="28"/>
          <w:szCs w:val="28"/>
        </w:rPr>
        <w:t>l K</w:t>
      </w:r>
      <w:r w:rsidRPr="00920869">
        <w:rPr>
          <w:sz w:val="28"/>
          <w:szCs w:val="28"/>
        </w:rPr>
        <w:t xml:space="preserve">. Nesfatin-1 </w:t>
      </w:r>
      <w:proofErr w:type="spellStart"/>
      <w:r w:rsidRPr="00920869">
        <w:rPr>
          <w:sz w:val="28"/>
          <w:szCs w:val="28"/>
        </w:rPr>
        <w:t>exerts</w:t>
      </w:r>
      <w:proofErr w:type="spellEnd"/>
      <w:r w:rsidRPr="00920869">
        <w:rPr>
          <w:sz w:val="28"/>
          <w:szCs w:val="28"/>
        </w:rPr>
        <w:t xml:space="preserve"> long-</w:t>
      </w:r>
      <w:proofErr w:type="spellStart"/>
      <w:r w:rsidRPr="00920869">
        <w:rPr>
          <w:sz w:val="28"/>
          <w:szCs w:val="28"/>
        </w:rPr>
        <w:t>term</w:t>
      </w:r>
      <w:proofErr w:type="spellEnd"/>
      <w:r w:rsidRPr="00920869">
        <w:rPr>
          <w:sz w:val="28"/>
          <w:szCs w:val="28"/>
        </w:rPr>
        <w:t xml:space="preserve"> </w:t>
      </w:r>
      <w:proofErr w:type="spellStart"/>
      <w:r w:rsidRPr="00920869">
        <w:rPr>
          <w:sz w:val="28"/>
          <w:szCs w:val="28"/>
        </w:rPr>
        <w:t>effect</w:t>
      </w:r>
      <w:proofErr w:type="spellEnd"/>
      <w:r w:rsidRPr="00920869">
        <w:rPr>
          <w:sz w:val="28"/>
          <w:szCs w:val="28"/>
        </w:rPr>
        <w:t xml:space="preserve"> </w:t>
      </w:r>
      <w:proofErr w:type="spellStart"/>
      <w:r w:rsidRPr="00920869">
        <w:rPr>
          <w:sz w:val="28"/>
          <w:szCs w:val="28"/>
        </w:rPr>
        <w:t>on</w:t>
      </w:r>
      <w:proofErr w:type="spellEnd"/>
      <w:r w:rsidRPr="00920869">
        <w:rPr>
          <w:sz w:val="28"/>
          <w:szCs w:val="28"/>
        </w:rPr>
        <w:t xml:space="preserve"> </w:t>
      </w:r>
      <w:proofErr w:type="spellStart"/>
      <w:r w:rsidRPr="00920869">
        <w:rPr>
          <w:sz w:val="28"/>
          <w:szCs w:val="28"/>
        </w:rPr>
        <w:t>f</w:t>
      </w:r>
      <w:r w:rsidR="00810449">
        <w:rPr>
          <w:sz w:val="28"/>
          <w:szCs w:val="28"/>
        </w:rPr>
        <w:t>ood</w:t>
      </w:r>
      <w:proofErr w:type="spellEnd"/>
      <w:r w:rsidR="00810449">
        <w:rPr>
          <w:sz w:val="28"/>
          <w:szCs w:val="28"/>
        </w:rPr>
        <w:t xml:space="preserve"> </w:t>
      </w:r>
      <w:proofErr w:type="spellStart"/>
      <w:r w:rsidR="00810449">
        <w:rPr>
          <w:sz w:val="28"/>
          <w:szCs w:val="28"/>
        </w:rPr>
        <w:t>intake</w:t>
      </w:r>
      <w:proofErr w:type="spellEnd"/>
      <w:r w:rsidR="00810449">
        <w:rPr>
          <w:sz w:val="28"/>
          <w:szCs w:val="28"/>
        </w:rPr>
        <w:t xml:space="preserve"> </w:t>
      </w:r>
      <w:proofErr w:type="spellStart"/>
      <w:r w:rsidR="00810449">
        <w:rPr>
          <w:sz w:val="28"/>
          <w:szCs w:val="28"/>
        </w:rPr>
        <w:t>and</w:t>
      </w:r>
      <w:proofErr w:type="spellEnd"/>
      <w:r w:rsidR="00810449">
        <w:rPr>
          <w:sz w:val="28"/>
          <w:szCs w:val="28"/>
        </w:rPr>
        <w:t xml:space="preserve"> </w:t>
      </w:r>
      <w:proofErr w:type="spellStart"/>
      <w:r w:rsidR="00810449">
        <w:rPr>
          <w:sz w:val="28"/>
          <w:szCs w:val="28"/>
        </w:rPr>
        <w:t>body</w:t>
      </w:r>
      <w:proofErr w:type="spellEnd"/>
      <w:r w:rsidR="00810449">
        <w:rPr>
          <w:sz w:val="28"/>
          <w:szCs w:val="28"/>
        </w:rPr>
        <w:t xml:space="preserve"> </w:t>
      </w:r>
      <w:proofErr w:type="spellStart"/>
      <w:r w:rsidR="00810449">
        <w:rPr>
          <w:sz w:val="28"/>
          <w:szCs w:val="28"/>
        </w:rPr>
        <w:t>temperature</w:t>
      </w:r>
      <w:proofErr w:type="spellEnd"/>
      <w:r w:rsidR="00810449">
        <w:rPr>
          <w:sz w:val="28"/>
          <w:szCs w:val="28"/>
          <w:lang w:val="en-US"/>
        </w:rPr>
        <w:t xml:space="preserve"> / </w:t>
      </w:r>
      <w:r w:rsidRPr="00920869">
        <w:rPr>
          <w:sz w:val="28"/>
          <w:szCs w:val="28"/>
        </w:rPr>
        <w:t xml:space="preserve"> </w:t>
      </w:r>
      <w:r w:rsidR="00810449">
        <w:rPr>
          <w:sz w:val="28"/>
          <w:szCs w:val="28"/>
          <w:lang w:val="en-US"/>
        </w:rPr>
        <w:t xml:space="preserve">K. </w:t>
      </w:r>
      <w:r w:rsidR="000B512F">
        <w:rPr>
          <w:sz w:val="28"/>
          <w:szCs w:val="28"/>
        </w:rPr>
        <w:t>K</w:t>
      </w:r>
      <w:r w:rsidR="000B512F">
        <w:rPr>
          <w:sz w:val="28"/>
          <w:szCs w:val="28"/>
          <w:lang w:val="ru-RU"/>
        </w:rPr>
        <w:t>о</w:t>
      </w:r>
      <w:proofErr w:type="spellStart"/>
      <w:r w:rsidR="000B512F">
        <w:rPr>
          <w:sz w:val="28"/>
          <w:szCs w:val="28"/>
        </w:rPr>
        <w:t>ncz</w:t>
      </w:r>
      <w:proofErr w:type="spellEnd"/>
      <w:r w:rsidR="000B512F">
        <w:rPr>
          <w:sz w:val="28"/>
          <w:szCs w:val="28"/>
          <w:lang w:val="ru-RU"/>
        </w:rPr>
        <w:t>о</w:t>
      </w:r>
      <w:r w:rsidR="00810449">
        <w:rPr>
          <w:sz w:val="28"/>
          <w:szCs w:val="28"/>
        </w:rPr>
        <w:t>l</w:t>
      </w:r>
      <w:r w:rsidR="00810449" w:rsidRPr="00920869">
        <w:rPr>
          <w:sz w:val="28"/>
          <w:szCs w:val="28"/>
        </w:rPr>
        <w:t xml:space="preserve"> </w:t>
      </w:r>
      <w:r w:rsidR="00810449">
        <w:rPr>
          <w:sz w:val="28"/>
          <w:szCs w:val="28"/>
          <w:lang w:val="en-US"/>
        </w:rPr>
        <w:t xml:space="preserve">, O. </w:t>
      </w:r>
      <w:proofErr w:type="spellStart"/>
      <w:r w:rsidR="00810449" w:rsidRPr="00920869">
        <w:rPr>
          <w:sz w:val="28"/>
          <w:szCs w:val="28"/>
        </w:rPr>
        <w:t>Pinter</w:t>
      </w:r>
      <w:proofErr w:type="spellEnd"/>
      <w:r w:rsidR="00810449" w:rsidRPr="00920869">
        <w:rPr>
          <w:sz w:val="28"/>
          <w:szCs w:val="28"/>
        </w:rPr>
        <w:t>,</w:t>
      </w:r>
      <w:r w:rsidR="00810449">
        <w:rPr>
          <w:sz w:val="28"/>
          <w:szCs w:val="28"/>
          <w:lang w:val="en-US"/>
        </w:rPr>
        <w:t xml:space="preserve"> S. </w:t>
      </w:r>
      <w:proofErr w:type="spellStart"/>
      <w:r w:rsidR="00810449" w:rsidRPr="00920869">
        <w:rPr>
          <w:sz w:val="28"/>
          <w:szCs w:val="28"/>
        </w:rPr>
        <w:t>Ferenczi</w:t>
      </w:r>
      <w:proofErr w:type="spellEnd"/>
      <w:r w:rsidR="00810449" w:rsidRPr="00920869">
        <w:rPr>
          <w:sz w:val="28"/>
          <w:szCs w:val="28"/>
        </w:rPr>
        <w:t xml:space="preserve"> </w:t>
      </w:r>
      <w:r w:rsidR="00810449">
        <w:rPr>
          <w:sz w:val="28"/>
          <w:szCs w:val="28"/>
          <w:lang w:val="en-US"/>
        </w:rPr>
        <w:t>[</w:t>
      </w:r>
      <w:proofErr w:type="spellStart"/>
      <w:r w:rsidR="00810449" w:rsidRPr="00920869">
        <w:rPr>
          <w:sz w:val="28"/>
          <w:szCs w:val="28"/>
        </w:rPr>
        <w:t>et</w:t>
      </w:r>
      <w:proofErr w:type="spellEnd"/>
      <w:r w:rsidR="00810449" w:rsidRPr="00920869">
        <w:rPr>
          <w:sz w:val="28"/>
          <w:szCs w:val="28"/>
        </w:rPr>
        <w:t xml:space="preserve"> </w:t>
      </w:r>
      <w:proofErr w:type="spellStart"/>
      <w:r w:rsidR="00810449" w:rsidRPr="00920869">
        <w:rPr>
          <w:sz w:val="28"/>
          <w:szCs w:val="28"/>
        </w:rPr>
        <w:t>al</w:t>
      </w:r>
      <w:proofErr w:type="spellEnd"/>
      <w:r w:rsidR="00810449">
        <w:rPr>
          <w:sz w:val="28"/>
          <w:szCs w:val="28"/>
          <w:lang w:val="en-US"/>
        </w:rPr>
        <w:t>.] //</w:t>
      </w:r>
      <w:r w:rsidR="00810449" w:rsidRPr="00920869">
        <w:rPr>
          <w:sz w:val="28"/>
          <w:szCs w:val="28"/>
        </w:rPr>
        <w:t xml:space="preserve"> </w:t>
      </w:r>
      <w:proofErr w:type="spellStart"/>
      <w:r w:rsidRPr="00920869">
        <w:rPr>
          <w:sz w:val="28"/>
          <w:szCs w:val="28"/>
        </w:rPr>
        <w:t>Int</w:t>
      </w:r>
      <w:proofErr w:type="spellEnd"/>
      <w:r w:rsidRPr="00920869">
        <w:rPr>
          <w:sz w:val="28"/>
          <w:szCs w:val="28"/>
        </w:rPr>
        <w:t xml:space="preserve"> J </w:t>
      </w:r>
      <w:proofErr w:type="spellStart"/>
      <w:r w:rsidRPr="00920869">
        <w:rPr>
          <w:sz w:val="28"/>
          <w:szCs w:val="28"/>
        </w:rPr>
        <w:t>Obes</w:t>
      </w:r>
      <w:proofErr w:type="spellEnd"/>
      <w:r w:rsidRPr="00920869">
        <w:rPr>
          <w:sz w:val="28"/>
          <w:szCs w:val="28"/>
        </w:rPr>
        <w:t xml:space="preserve"> (</w:t>
      </w:r>
      <w:proofErr w:type="spellStart"/>
      <w:r w:rsidRPr="00920869">
        <w:rPr>
          <w:sz w:val="28"/>
          <w:szCs w:val="28"/>
        </w:rPr>
        <w:t>Lond</w:t>
      </w:r>
      <w:proofErr w:type="spellEnd"/>
      <w:r w:rsidRPr="00920869">
        <w:rPr>
          <w:sz w:val="28"/>
          <w:szCs w:val="28"/>
        </w:rPr>
        <w:t>)</w:t>
      </w:r>
      <w:r w:rsidR="00810449">
        <w:rPr>
          <w:sz w:val="28"/>
          <w:szCs w:val="28"/>
          <w:lang w:val="en-US"/>
        </w:rPr>
        <w:t xml:space="preserve">. </w:t>
      </w:r>
      <w:proofErr w:type="gramStart"/>
      <w:r w:rsidR="00810449">
        <w:rPr>
          <w:sz w:val="28"/>
          <w:szCs w:val="28"/>
          <w:lang w:val="en-US"/>
        </w:rPr>
        <w:t xml:space="preserve">– </w:t>
      </w:r>
      <w:r w:rsidRPr="00920869">
        <w:rPr>
          <w:sz w:val="28"/>
          <w:szCs w:val="28"/>
        </w:rPr>
        <w:t xml:space="preserve"> 2005</w:t>
      </w:r>
      <w:proofErr w:type="gramEnd"/>
      <w:r w:rsidR="00810449">
        <w:rPr>
          <w:sz w:val="28"/>
          <w:szCs w:val="28"/>
          <w:lang w:val="en-US"/>
        </w:rPr>
        <w:t xml:space="preserve">. – </w:t>
      </w:r>
      <w:r w:rsidR="000B512F" w:rsidRPr="000B512F">
        <w:rPr>
          <w:sz w:val="28"/>
          <w:szCs w:val="28"/>
          <w:lang w:val="en-US"/>
        </w:rPr>
        <w:t>№</w:t>
      </w:r>
      <w:proofErr w:type="gramStart"/>
      <w:r w:rsidR="000B512F">
        <w:rPr>
          <w:sz w:val="28"/>
          <w:szCs w:val="28"/>
        </w:rPr>
        <w:t>36(</w:t>
      </w:r>
      <w:proofErr w:type="gramEnd"/>
      <w:r w:rsidR="000B512F">
        <w:rPr>
          <w:sz w:val="28"/>
          <w:szCs w:val="28"/>
        </w:rPr>
        <w:t>12)</w:t>
      </w:r>
      <w:r w:rsidR="000B512F" w:rsidRPr="000B512F">
        <w:rPr>
          <w:sz w:val="28"/>
          <w:szCs w:val="28"/>
          <w:lang w:val="en-US"/>
        </w:rPr>
        <w:t xml:space="preserve">. </w:t>
      </w:r>
      <w:proofErr w:type="gramStart"/>
      <w:r w:rsidR="000B512F" w:rsidRPr="000B512F">
        <w:rPr>
          <w:sz w:val="28"/>
          <w:szCs w:val="28"/>
          <w:lang w:val="en-US"/>
        </w:rPr>
        <w:t xml:space="preserve">– </w:t>
      </w:r>
      <w:r w:rsidR="000B512F">
        <w:rPr>
          <w:sz w:val="28"/>
          <w:szCs w:val="28"/>
          <w:lang w:val="ru-RU"/>
        </w:rPr>
        <w:t>Р</w:t>
      </w:r>
      <w:r w:rsidR="000B512F" w:rsidRPr="000B512F">
        <w:rPr>
          <w:sz w:val="28"/>
          <w:szCs w:val="28"/>
          <w:lang w:val="en-US"/>
        </w:rPr>
        <w:t>.</w:t>
      </w:r>
      <w:r w:rsidRPr="00920869">
        <w:rPr>
          <w:sz w:val="28"/>
          <w:szCs w:val="28"/>
        </w:rPr>
        <w:t>1514–1521.</w:t>
      </w:r>
      <w:proofErr w:type="gramEnd"/>
    </w:p>
    <w:p w:rsidR="00F11191" w:rsidRPr="00920869" w:rsidRDefault="00F11191" w:rsidP="00F1119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</w:t>
      </w:r>
      <w:r w:rsidR="000B512F">
        <w:rPr>
          <w:sz w:val="28"/>
          <w:szCs w:val="28"/>
          <w:lang w:val="en-US"/>
        </w:rPr>
        <w:t xml:space="preserve">. </w:t>
      </w:r>
      <w:proofErr w:type="spellStart"/>
      <w:r w:rsidR="000B512F">
        <w:rPr>
          <w:sz w:val="28"/>
          <w:szCs w:val="28"/>
          <w:lang w:val="en-US"/>
        </w:rPr>
        <w:t>Mirzaei</w:t>
      </w:r>
      <w:proofErr w:type="spellEnd"/>
      <w:r w:rsidR="000B512F">
        <w:rPr>
          <w:sz w:val="28"/>
          <w:szCs w:val="28"/>
          <w:lang w:val="en-US"/>
        </w:rPr>
        <w:t xml:space="preserve"> K</w:t>
      </w:r>
      <w:r w:rsidRPr="00920869">
        <w:rPr>
          <w:sz w:val="28"/>
          <w:szCs w:val="28"/>
          <w:lang w:val="en-US"/>
        </w:rPr>
        <w:t>. Association of nesfatin-1 level with body composition, dietary intake and resting metabolic rate in obese and morbid obese subjects</w:t>
      </w:r>
      <w:r w:rsidR="000B512F">
        <w:rPr>
          <w:sz w:val="28"/>
          <w:szCs w:val="28"/>
          <w:lang w:val="en-US"/>
        </w:rPr>
        <w:t xml:space="preserve"> / K. </w:t>
      </w:r>
      <w:proofErr w:type="spellStart"/>
      <w:r w:rsidR="000B512F" w:rsidRPr="00920869">
        <w:rPr>
          <w:sz w:val="28"/>
          <w:szCs w:val="28"/>
          <w:lang w:val="en-US"/>
        </w:rPr>
        <w:t>Mirzaei</w:t>
      </w:r>
      <w:proofErr w:type="spellEnd"/>
      <w:r w:rsidR="000B512F">
        <w:rPr>
          <w:sz w:val="28"/>
          <w:szCs w:val="28"/>
          <w:lang w:val="en-US"/>
        </w:rPr>
        <w:t>, A.</w:t>
      </w:r>
      <w:r w:rsidRPr="00920869">
        <w:rPr>
          <w:sz w:val="28"/>
          <w:szCs w:val="28"/>
          <w:lang w:val="en-US"/>
        </w:rPr>
        <w:t xml:space="preserve"> </w:t>
      </w:r>
      <w:r w:rsidR="000B512F" w:rsidRPr="00920869">
        <w:rPr>
          <w:sz w:val="28"/>
          <w:szCs w:val="28"/>
          <w:lang w:val="en-US"/>
        </w:rPr>
        <w:t>Hossein-</w:t>
      </w:r>
      <w:proofErr w:type="spellStart"/>
      <w:r w:rsidR="000B512F" w:rsidRPr="00920869">
        <w:rPr>
          <w:sz w:val="28"/>
          <w:szCs w:val="28"/>
          <w:lang w:val="en-US"/>
        </w:rPr>
        <w:t>nezhad</w:t>
      </w:r>
      <w:proofErr w:type="spellEnd"/>
      <w:r w:rsidR="000B512F" w:rsidRPr="00920869">
        <w:rPr>
          <w:sz w:val="28"/>
          <w:szCs w:val="28"/>
          <w:lang w:val="en-US"/>
        </w:rPr>
        <w:t xml:space="preserve">, </w:t>
      </w:r>
      <w:r w:rsidR="000B512F">
        <w:rPr>
          <w:sz w:val="28"/>
          <w:szCs w:val="28"/>
          <w:lang w:val="en-US"/>
        </w:rPr>
        <w:t xml:space="preserve">S.A. </w:t>
      </w:r>
      <w:proofErr w:type="spellStart"/>
      <w:r w:rsidR="000B512F" w:rsidRPr="00920869">
        <w:rPr>
          <w:sz w:val="28"/>
          <w:szCs w:val="28"/>
          <w:lang w:val="en-US"/>
        </w:rPr>
        <w:t>Keshavarz</w:t>
      </w:r>
      <w:proofErr w:type="spellEnd"/>
      <w:r w:rsidR="000B512F" w:rsidRPr="00920869">
        <w:rPr>
          <w:sz w:val="28"/>
          <w:szCs w:val="28"/>
          <w:lang w:val="en-US"/>
        </w:rPr>
        <w:t xml:space="preserve"> </w:t>
      </w:r>
      <w:r w:rsidR="000B512F">
        <w:rPr>
          <w:sz w:val="28"/>
          <w:szCs w:val="28"/>
          <w:lang w:val="en-US"/>
        </w:rPr>
        <w:t>[</w:t>
      </w:r>
      <w:r w:rsidR="000B512F" w:rsidRPr="00920869">
        <w:rPr>
          <w:sz w:val="28"/>
          <w:szCs w:val="28"/>
          <w:lang w:val="en-US"/>
        </w:rPr>
        <w:t>et al</w:t>
      </w:r>
      <w:r w:rsidR="000B512F">
        <w:rPr>
          <w:sz w:val="28"/>
          <w:szCs w:val="28"/>
          <w:lang w:val="en-US"/>
        </w:rPr>
        <w:t>.]</w:t>
      </w:r>
      <w:r w:rsidR="000B512F" w:rsidRPr="00920869">
        <w:rPr>
          <w:sz w:val="28"/>
          <w:szCs w:val="28"/>
          <w:lang w:val="en-US"/>
        </w:rPr>
        <w:t xml:space="preserve"> </w:t>
      </w:r>
      <w:r w:rsidRPr="00920869">
        <w:rPr>
          <w:sz w:val="28"/>
          <w:szCs w:val="28"/>
          <w:lang w:val="en-US"/>
        </w:rPr>
        <w:t xml:space="preserve">// Diabetes </w:t>
      </w:r>
      <w:proofErr w:type="spellStart"/>
      <w:r w:rsidRPr="00920869">
        <w:rPr>
          <w:sz w:val="28"/>
          <w:szCs w:val="28"/>
          <w:lang w:val="en-US"/>
        </w:rPr>
        <w:t>Metab</w:t>
      </w:r>
      <w:proofErr w:type="spellEnd"/>
      <w:r w:rsidRPr="00920869">
        <w:rPr>
          <w:sz w:val="28"/>
          <w:szCs w:val="28"/>
          <w:lang w:val="en-US"/>
        </w:rPr>
        <w:t xml:space="preserve"> </w:t>
      </w:r>
      <w:proofErr w:type="spellStart"/>
      <w:r w:rsidRPr="00920869">
        <w:rPr>
          <w:sz w:val="28"/>
          <w:szCs w:val="28"/>
          <w:lang w:val="en-US"/>
        </w:rPr>
        <w:t>Syndr</w:t>
      </w:r>
      <w:proofErr w:type="spellEnd"/>
      <w:r w:rsidRPr="00920869">
        <w:rPr>
          <w:sz w:val="28"/>
          <w:szCs w:val="28"/>
          <w:lang w:val="en-US"/>
        </w:rPr>
        <w:t>. – 2015.</w:t>
      </w:r>
      <w:r w:rsidR="000B512F">
        <w:rPr>
          <w:sz w:val="28"/>
          <w:szCs w:val="28"/>
          <w:lang w:val="en-US"/>
        </w:rPr>
        <w:t xml:space="preserve"> </w:t>
      </w:r>
      <w:r w:rsidRPr="00920869">
        <w:rPr>
          <w:sz w:val="28"/>
          <w:szCs w:val="28"/>
          <w:lang w:val="en-US"/>
        </w:rPr>
        <w:t xml:space="preserve">– </w:t>
      </w:r>
      <w:r w:rsidR="000B512F" w:rsidRPr="000B512F">
        <w:rPr>
          <w:sz w:val="28"/>
          <w:szCs w:val="28"/>
          <w:lang w:val="en-US"/>
        </w:rPr>
        <w:t>№</w:t>
      </w:r>
      <w:proofErr w:type="gramStart"/>
      <w:r w:rsidRPr="00920869">
        <w:rPr>
          <w:sz w:val="28"/>
          <w:szCs w:val="28"/>
          <w:lang w:val="en-US"/>
        </w:rPr>
        <w:t>9(</w:t>
      </w:r>
      <w:proofErr w:type="gramEnd"/>
      <w:r w:rsidRPr="00920869">
        <w:rPr>
          <w:sz w:val="28"/>
          <w:szCs w:val="28"/>
          <w:lang w:val="en-US"/>
        </w:rPr>
        <w:t>4).</w:t>
      </w:r>
      <w:r w:rsidR="000B512F" w:rsidRPr="000B512F">
        <w:rPr>
          <w:sz w:val="28"/>
          <w:szCs w:val="28"/>
          <w:lang w:val="en-US"/>
        </w:rPr>
        <w:t xml:space="preserve"> </w:t>
      </w:r>
      <w:r w:rsidR="000B512F">
        <w:rPr>
          <w:sz w:val="28"/>
          <w:szCs w:val="28"/>
          <w:lang w:val="en-US"/>
        </w:rPr>
        <w:t>– P.</w:t>
      </w:r>
      <w:r w:rsidRPr="00920869">
        <w:rPr>
          <w:sz w:val="28"/>
          <w:szCs w:val="28"/>
          <w:lang w:val="en-US"/>
        </w:rPr>
        <w:t>292-8.</w:t>
      </w:r>
    </w:p>
    <w:p w:rsidR="00937A58" w:rsidRPr="00920869" w:rsidRDefault="00937A58" w:rsidP="00937A5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</w:t>
      </w:r>
      <w:r w:rsidRPr="00920869">
        <w:rPr>
          <w:sz w:val="28"/>
          <w:szCs w:val="28"/>
        </w:rPr>
        <w:t xml:space="preserve">. </w:t>
      </w:r>
      <w:proofErr w:type="spellStart"/>
      <w:r w:rsidRPr="00920869">
        <w:rPr>
          <w:sz w:val="28"/>
          <w:szCs w:val="28"/>
          <w:lang w:val="en-US"/>
        </w:rPr>
        <w:t>Shihab</w:t>
      </w:r>
      <w:proofErr w:type="spellEnd"/>
      <w:r w:rsidRPr="00920869">
        <w:rPr>
          <w:sz w:val="28"/>
          <w:szCs w:val="28"/>
        </w:rPr>
        <w:t xml:space="preserve"> </w:t>
      </w:r>
      <w:r w:rsidRPr="00920869">
        <w:rPr>
          <w:sz w:val="28"/>
          <w:szCs w:val="28"/>
          <w:lang w:val="en-US"/>
        </w:rPr>
        <w:t>H</w:t>
      </w:r>
      <w:r w:rsidRPr="00920869">
        <w:rPr>
          <w:sz w:val="28"/>
          <w:szCs w:val="28"/>
        </w:rPr>
        <w:t>.</w:t>
      </w:r>
      <w:r w:rsidRPr="00920869">
        <w:rPr>
          <w:sz w:val="28"/>
          <w:szCs w:val="28"/>
          <w:lang w:val="en-US"/>
        </w:rPr>
        <w:t>M</w:t>
      </w:r>
      <w:r w:rsidRPr="00920869">
        <w:rPr>
          <w:sz w:val="28"/>
          <w:szCs w:val="28"/>
        </w:rPr>
        <w:t xml:space="preserve">. </w:t>
      </w:r>
      <w:r w:rsidRPr="00920869">
        <w:rPr>
          <w:sz w:val="28"/>
          <w:szCs w:val="28"/>
          <w:lang w:val="en-US"/>
        </w:rPr>
        <w:t>Body mass index and risk of incident hypertension over the life course: the Johns Hopkins Precursors Study</w:t>
      </w:r>
      <w:r w:rsidR="000B512F" w:rsidRPr="000B512F">
        <w:rPr>
          <w:sz w:val="28"/>
          <w:szCs w:val="28"/>
          <w:lang w:val="en-US"/>
        </w:rPr>
        <w:t xml:space="preserve"> </w:t>
      </w:r>
      <w:r w:rsidR="000B512F">
        <w:rPr>
          <w:sz w:val="28"/>
          <w:szCs w:val="28"/>
          <w:lang w:val="en-US"/>
        </w:rPr>
        <w:t>/</w:t>
      </w:r>
      <w:r w:rsidRPr="00920869">
        <w:rPr>
          <w:sz w:val="28"/>
          <w:szCs w:val="28"/>
          <w:lang w:val="en-US"/>
        </w:rPr>
        <w:t xml:space="preserve"> </w:t>
      </w:r>
      <w:r w:rsidR="000B512F">
        <w:rPr>
          <w:sz w:val="28"/>
          <w:szCs w:val="28"/>
          <w:lang w:val="en-US"/>
        </w:rPr>
        <w:t xml:space="preserve">H.M. </w:t>
      </w:r>
      <w:proofErr w:type="spellStart"/>
      <w:r w:rsidR="000B512F" w:rsidRPr="00920869">
        <w:rPr>
          <w:sz w:val="28"/>
          <w:szCs w:val="28"/>
          <w:lang w:val="en-US"/>
        </w:rPr>
        <w:t>Shihab</w:t>
      </w:r>
      <w:proofErr w:type="spellEnd"/>
      <w:r w:rsidR="000B512F">
        <w:rPr>
          <w:sz w:val="28"/>
          <w:szCs w:val="28"/>
          <w:lang w:val="en-US"/>
        </w:rPr>
        <w:t>,</w:t>
      </w:r>
      <w:r w:rsidR="000B512F" w:rsidRPr="00920869">
        <w:rPr>
          <w:sz w:val="28"/>
          <w:szCs w:val="28"/>
        </w:rPr>
        <w:t xml:space="preserve"> </w:t>
      </w:r>
      <w:r w:rsidR="000B512F">
        <w:rPr>
          <w:sz w:val="28"/>
          <w:szCs w:val="28"/>
          <w:lang w:val="en-US"/>
        </w:rPr>
        <w:t xml:space="preserve">L.A. </w:t>
      </w:r>
      <w:proofErr w:type="spellStart"/>
      <w:r w:rsidR="000B512F" w:rsidRPr="00920869">
        <w:rPr>
          <w:sz w:val="28"/>
          <w:szCs w:val="28"/>
          <w:lang w:val="en-US"/>
        </w:rPr>
        <w:t>Meoni</w:t>
      </w:r>
      <w:proofErr w:type="spellEnd"/>
      <w:r w:rsidR="000B512F" w:rsidRPr="00920869">
        <w:rPr>
          <w:sz w:val="28"/>
          <w:szCs w:val="28"/>
        </w:rPr>
        <w:t xml:space="preserve">., </w:t>
      </w:r>
      <w:r w:rsidR="000B512F">
        <w:rPr>
          <w:sz w:val="28"/>
          <w:szCs w:val="28"/>
          <w:lang w:val="en-US"/>
        </w:rPr>
        <w:t xml:space="preserve">A.Y. </w:t>
      </w:r>
      <w:r w:rsidR="000B512F" w:rsidRPr="00920869">
        <w:rPr>
          <w:sz w:val="28"/>
          <w:szCs w:val="28"/>
          <w:lang w:val="en-US"/>
        </w:rPr>
        <w:t>Chu</w:t>
      </w:r>
      <w:r w:rsidR="000B512F" w:rsidRPr="00920869">
        <w:rPr>
          <w:sz w:val="28"/>
          <w:szCs w:val="28"/>
        </w:rPr>
        <w:t xml:space="preserve"> </w:t>
      </w:r>
      <w:r w:rsidR="000B512F">
        <w:rPr>
          <w:sz w:val="28"/>
          <w:szCs w:val="28"/>
          <w:lang w:val="en-US"/>
        </w:rPr>
        <w:t>[</w:t>
      </w:r>
      <w:r w:rsidR="000B512F" w:rsidRPr="00920869">
        <w:rPr>
          <w:sz w:val="28"/>
          <w:szCs w:val="28"/>
          <w:lang w:val="en-US"/>
        </w:rPr>
        <w:t>et</w:t>
      </w:r>
      <w:r w:rsidR="000B512F" w:rsidRPr="00920869">
        <w:rPr>
          <w:sz w:val="28"/>
          <w:szCs w:val="28"/>
        </w:rPr>
        <w:t xml:space="preserve"> </w:t>
      </w:r>
      <w:r w:rsidR="000B512F" w:rsidRPr="00920869">
        <w:rPr>
          <w:sz w:val="28"/>
          <w:szCs w:val="28"/>
          <w:lang w:val="en-US"/>
        </w:rPr>
        <w:t>al</w:t>
      </w:r>
      <w:r w:rsidR="000B512F">
        <w:rPr>
          <w:sz w:val="28"/>
          <w:szCs w:val="28"/>
          <w:lang w:val="en-US"/>
        </w:rPr>
        <w:t>.]</w:t>
      </w:r>
      <w:r w:rsidR="000B512F" w:rsidRPr="00920869">
        <w:rPr>
          <w:sz w:val="28"/>
          <w:szCs w:val="28"/>
          <w:lang w:val="en-US"/>
        </w:rPr>
        <w:t xml:space="preserve"> </w:t>
      </w:r>
      <w:r w:rsidRPr="00920869">
        <w:rPr>
          <w:sz w:val="28"/>
          <w:szCs w:val="28"/>
          <w:lang w:val="en-US"/>
        </w:rPr>
        <w:t>// Circulation</w:t>
      </w:r>
      <w:r w:rsidRPr="00920869">
        <w:rPr>
          <w:sz w:val="28"/>
          <w:szCs w:val="28"/>
        </w:rPr>
        <w:t>. – 20</w:t>
      </w:r>
      <w:r w:rsidRPr="00920869">
        <w:rPr>
          <w:sz w:val="28"/>
          <w:szCs w:val="28"/>
          <w:lang w:val="en-US"/>
        </w:rPr>
        <w:t>12</w:t>
      </w:r>
      <w:r w:rsidR="000B512F">
        <w:rPr>
          <w:sz w:val="28"/>
          <w:szCs w:val="28"/>
        </w:rPr>
        <w:t>. – №</w:t>
      </w:r>
      <w:r w:rsidRPr="00920869">
        <w:rPr>
          <w:sz w:val="28"/>
          <w:szCs w:val="28"/>
          <w:lang w:val="en-US"/>
        </w:rPr>
        <w:t>126(25)</w:t>
      </w:r>
      <w:r w:rsidR="000B512F">
        <w:rPr>
          <w:sz w:val="28"/>
          <w:szCs w:val="28"/>
        </w:rPr>
        <w:t>. – С.</w:t>
      </w:r>
      <w:r w:rsidRPr="00920869">
        <w:rPr>
          <w:sz w:val="28"/>
          <w:szCs w:val="28"/>
          <w:lang w:val="en-US"/>
        </w:rPr>
        <w:t>2983-9</w:t>
      </w:r>
      <w:r w:rsidRPr="00920869">
        <w:rPr>
          <w:sz w:val="28"/>
          <w:szCs w:val="28"/>
        </w:rPr>
        <w:t>.</w:t>
      </w:r>
    </w:p>
    <w:p w:rsidR="00937A58" w:rsidRPr="00DF6325" w:rsidRDefault="00937A58" w:rsidP="00937A5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</w:t>
      </w:r>
      <w:r w:rsidR="000B512F">
        <w:rPr>
          <w:sz w:val="28"/>
          <w:szCs w:val="28"/>
          <w:lang w:val="en-US"/>
        </w:rPr>
        <w:t xml:space="preserve">. </w:t>
      </w:r>
      <w:proofErr w:type="spellStart"/>
      <w:r w:rsidR="000B512F">
        <w:rPr>
          <w:sz w:val="28"/>
          <w:szCs w:val="28"/>
          <w:lang w:val="en-US"/>
        </w:rPr>
        <w:t>Sundarrajan</w:t>
      </w:r>
      <w:proofErr w:type="spellEnd"/>
      <w:r w:rsidR="000B512F">
        <w:rPr>
          <w:sz w:val="28"/>
          <w:szCs w:val="28"/>
          <w:lang w:val="en-US"/>
        </w:rPr>
        <w:t xml:space="preserve"> L</w:t>
      </w:r>
      <w:r w:rsidRPr="00920869">
        <w:rPr>
          <w:sz w:val="28"/>
          <w:szCs w:val="28"/>
          <w:lang w:val="en-US"/>
        </w:rPr>
        <w:t xml:space="preserve">. Nesfatin-1-like peptide encoded in Nucleobindin-1 in goldfish is a novel </w:t>
      </w:r>
      <w:proofErr w:type="spellStart"/>
      <w:r w:rsidRPr="00920869">
        <w:rPr>
          <w:sz w:val="28"/>
          <w:szCs w:val="28"/>
          <w:lang w:val="en-US"/>
        </w:rPr>
        <w:t>anorexigen</w:t>
      </w:r>
      <w:proofErr w:type="spellEnd"/>
      <w:r w:rsidRPr="00920869">
        <w:rPr>
          <w:sz w:val="28"/>
          <w:szCs w:val="28"/>
          <w:lang w:val="en-US"/>
        </w:rPr>
        <w:t xml:space="preserve"> modulated by sex steroids, macronutrients and daily rhythm </w:t>
      </w:r>
      <w:r w:rsidR="000B512F">
        <w:rPr>
          <w:sz w:val="28"/>
          <w:szCs w:val="28"/>
          <w:lang w:val="en-US"/>
        </w:rPr>
        <w:t xml:space="preserve">/ L. </w:t>
      </w:r>
      <w:proofErr w:type="spellStart"/>
      <w:r w:rsidR="000B512F" w:rsidRPr="00920869">
        <w:rPr>
          <w:sz w:val="28"/>
          <w:szCs w:val="28"/>
          <w:lang w:val="en-US"/>
        </w:rPr>
        <w:t>Sundarrajan</w:t>
      </w:r>
      <w:proofErr w:type="spellEnd"/>
      <w:r w:rsidR="000B512F" w:rsidRPr="00920869">
        <w:rPr>
          <w:sz w:val="28"/>
          <w:szCs w:val="28"/>
          <w:lang w:val="en-US"/>
        </w:rPr>
        <w:t xml:space="preserve">, </w:t>
      </w:r>
      <w:r w:rsidR="000B512F">
        <w:rPr>
          <w:sz w:val="28"/>
          <w:szCs w:val="28"/>
          <w:lang w:val="en-US"/>
        </w:rPr>
        <w:t xml:space="preserve">A.M. </w:t>
      </w:r>
      <w:r w:rsidR="000B512F" w:rsidRPr="00920869">
        <w:rPr>
          <w:sz w:val="28"/>
          <w:szCs w:val="28"/>
          <w:lang w:val="en-US"/>
        </w:rPr>
        <w:t xml:space="preserve">Blanco, </w:t>
      </w:r>
      <w:r w:rsidR="000B512F">
        <w:rPr>
          <w:sz w:val="28"/>
          <w:szCs w:val="28"/>
          <w:lang w:val="en-US"/>
        </w:rPr>
        <w:t xml:space="preserve">J.I. </w:t>
      </w:r>
      <w:proofErr w:type="spellStart"/>
      <w:r w:rsidR="000B512F" w:rsidRPr="00920869">
        <w:rPr>
          <w:sz w:val="28"/>
          <w:szCs w:val="28"/>
          <w:lang w:val="en-US"/>
        </w:rPr>
        <w:t>Bertucci</w:t>
      </w:r>
      <w:proofErr w:type="spellEnd"/>
      <w:r w:rsidR="000B512F" w:rsidRPr="00920869">
        <w:rPr>
          <w:sz w:val="28"/>
          <w:szCs w:val="28"/>
          <w:lang w:val="en-US"/>
        </w:rPr>
        <w:t xml:space="preserve"> </w:t>
      </w:r>
      <w:r w:rsidR="000B512F">
        <w:rPr>
          <w:sz w:val="28"/>
          <w:szCs w:val="28"/>
          <w:lang w:val="en-US"/>
        </w:rPr>
        <w:t>[</w:t>
      </w:r>
      <w:r w:rsidR="000B512F" w:rsidRPr="00920869">
        <w:rPr>
          <w:sz w:val="28"/>
          <w:szCs w:val="28"/>
          <w:lang w:val="en-US"/>
        </w:rPr>
        <w:t>et al.</w:t>
      </w:r>
      <w:r w:rsidR="000B512F">
        <w:rPr>
          <w:sz w:val="28"/>
          <w:szCs w:val="28"/>
          <w:lang w:val="en-US"/>
        </w:rPr>
        <w:t xml:space="preserve">] </w:t>
      </w:r>
      <w:r w:rsidRPr="00920869">
        <w:rPr>
          <w:sz w:val="28"/>
          <w:szCs w:val="28"/>
          <w:lang w:val="en-US"/>
        </w:rPr>
        <w:t xml:space="preserve">// </w:t>
      </w:r>
      <w:proofErr w:type="spellStart"/>
      <w:r w:rsidRPr="00920869">
        <w:rPr>
          <w:sz w:val="28"/>
          <w:szCs w:val="28"/>
          <w:lang w:val="en-US"/>
        </w:rPr>
        <w:t>Sci</w:t>
      </w:r>
      <w:proofErr w:type="spellEnd"/>
      <w:r w:rsidRPr="00920869">
        <w:rPr>
          <w:sz w:val="28"/>
          <w:szCs w:val="28"/>
          <w:lang w:val="en-US"/>
        </w:rPr>
        <w:t xml:space="preserve"> Rep</w:t>
      </w:r>
      <w:r w:rsidRPr="00920869">
        <w:rPr>
          <w:sz w:val="28"/>
          <w:szCs w:val="28"/>
        </w:rPr>
        <w:t>. – 20</w:t>
      </w:r>
      <w:r w:rsidRPr="00920869">
        <w:rPr>
          <w:sz w:val="28"/>
          <w:szCs w:val="28"/>
          <w:lang w:val="en-US"/>
        </w:rPr>
        <w:t>16</w:t>
      </w:r>
      <w:r w:rsidR="000B512F">
        <w:rPr>
          <w:sz w:val="28"/>
          <w:szCs w:val="28"/>
        </w:rPr>
        <w:t>. – №</w:t>
      </w:r>
      <w:r w:rsidRPr="00920869">
        <w:rPr>
          <w:sz w:val="28"/>
          <w:szCs w:val="28"/>
          <w:lang w:val="en-US"/>
        </w:rPr>
        <w:t>22</w:t>
      </w:r>
      <w:r w:rsidR="000B512F">
        <w:rPr>
          <w:sz w:val="28"/>
          <w:szCs w:val="28"/>
        </w:rPr>
        <w:t>. – С.</w:t>
      </w:r>
      <w:r w:rsidRPr="00920869">
        <w:rPr>
          <w:sz w:val="28"/>
          <w:szCs w:val="28"/>
          <w:lang w:val="en-US"/>
        </w:rPr>
        <w:t>6</w:t>
      </w:r>
      <w:r w:rsidRPr="00920869">
        <w:rPr>
          <w:sz w:val="28"/>
          <w:szCs w:val="28"/>
        </w:rPr>
        <w:t>.</w:t>
      </w:r>
    </w:p>
    <w:p w:rsidR="00D672AC" w:rsidRPr="00920869" w:rsidRDefault="003D26A6" w:rsidP="0092086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</w:t>
      </w:r>
      <w:r w:rsidR="00D672AC" w:rsidRPr="000B512F">
        <w:rPr>
          <w:sz w:val="28"/>
          <w:szCs w:val="28"/>
          <w:lang w:val="en-US"/>
        </w:rPr>
        <w:t xml:space="preserve">. </w:t>
      </w:r>
      <w:proofErr w:type="spellStart"/>
      <w:r w:rsidR="000E77CD" w:rsidRPr="00920869">
        <w:rPr>
          <w:sz w:val="28"/>
          <w:szCs w:val="28"/>
        </w:rPr>
        <w:t>Yosten</w:t>
      </w:r>
      <w:proofErr w:type="spellEnd"/>
      <w:r w:rsidR="000E77CD" w:rsidRPr="00920869">
        <w:rPr>
          <w:sz w:val="28"/>
          <w:szCs w:val="28"/>
        </w:rPr>
        <w:t xml:space="preserve"> </w:t>
      </w:r>
      <w:r w:rsidR="000B512F">
        <w:rPr>
          <w:sz w:val="28"/>
          <w:szCs w:val="28"/>
        </w:rPr>
        <w:t>G</w:t>
      </w:r>
      <w:r w:rsidR="000B512F">
        <w:rPr>
          <w:sz w:val="28"/>
          <w:szCs w:val="28"/>
          <w:lang w:val="en-US"/>
        </w:rPr>
        <w:t>.L</w:t>
      </w:r>
      <w:r w:rsidR="000E77CD" w:rsidRPr="00920869">
        <w:rPr>
          <w:sz w:val="28"/>
          <w:szCs w:val="28"/>
        </w:rPr>
        <w:t xml:space="preserve">. </w:t>
      </w:r>
      <w:proofErr w:type="spellStart"/>
      <w:r w:rsidR="000E77CD" w:rsidRPr="00920869">
        <w:rPr>
          <w:sz w:val="28"/>
          <w:szCs w:val="28"/>
        </w:rPr>
        <w:t>The</w:t>
      </w:r>
      <w:proofErr w:type="spellEnd"/>
      <w:r w:rsidR="000E77CD" w:rsidRPr="00920869">
        <w:rPr>
          <w:sz w:val="28"/>
          <w:szCs w:val="28"/>
        </w:rPr>
        <w:t xml:space="preserve"> </w:t>
      </w:r>
      <w:proofErr w:type="spellStart"/>
      <w:r w:rsidR="000E77CD" w:rsidRPr="00920869">
        <w:rPr>
          <w:sz w:val="28"/>
          <w:szCs w:val="28"/>
        </w:rPr>
        <w:t>anorexogenic</w:t>
      </w:r>
      <w:proofErr w:type="spellEnd"/>
      <w:r w:rsidR="000E77CD" w:rsidRPr="00920869">
        <w:rPr>
          <w:sz w:val="28"/>
          <w:szCs w:val="28"/>
        </w:rPr>
        <w:t xml:space="preserve"> </w:t>
      </w:r>
      <w:proofErr w:type="spellStart"/>
      <w:r w:rsidR="000E77CD" w:rsidRPr="00920869">
        <w:rPr>
          <w:sz w:val="28"/>
          <w:szCs w:val="28"/>
        </w:rPr>
        <w:t>and</w:t>
      </w:r>
      <w:proofErr w:type="spellEnd"/>
      <w:r w:rsidR="000E77CD" w:rsidRPr="00920869">
        <w:rPr>
          <w:sz w:val="28"/>
          <w:szCs w:val="28"/>
        </w:rPr>
        <w:t xml:space="preserve"> </w:t>
      </w:r>
      <w:proofErr w:type="spellStart"/>
      <w:r w:rsidR="000E77CD" w:rsidRPr="00920869">
        <w:rPr>
          <w:sz w:val="28"/>
          <w:szCs w:val="28"/>
        </w:rPr>
        <w:t>hypertensive</w:t>
      </w:r>
      <w:proofErr w:type="spellEnd"/>
      <w:r w:rsidR="000E77CD" w:rsidRPr="00920869">
        <w:rPr>
          <w:sz w:val="28"/>
          <w:szCs w:val="28"/>
        </w:rPr>
        <w:t xml:space="preserve"> </w:t>
      </w:r>
      <w:proofErr w:type="spellStart"/>
      <w:r w:rsidR="000E77CD" w:rsidRPr="00920869">
        <w:rPr>
          <w:sz w:val="28"/>
          <w:szCs w:val="28"/>
        </w:rPr>
        <w:t>effects</w:t>
      </w:r>
      <w:proofErr w:type="spellEnd"/>
      <w:r w:rsidR="000E77CD" w:rsidRPr="00920869">
        <w:rPr>
          <w:sz w:val="28"/>
          <w:szCs w:val="28"/>
        </w:rPr>
        <w:t xml:space="preserve"> </w:t>
      </w:r>
      <w:proofErr w:type="spellStart"/>
      <w:r w:rsidR="000E77CD" w:rsidRPr="00920869">
        <w:rPr>
          <w:sz w:val="28"/>
          <w:szCs w:val="28"/>
        </w:rPr>
        <w:t>of</w:t>
      </w:r>
      <w:proofErr w:type="spellEnd"/>
      <w:r w:rsidR="000E77CD" w:rsidRPr="00920869">
        <w:rPr>
          <w:sz w:val="28"/>
          <w:szCs w:val="28"/>
        </w:rPr>
        <w:t xml:space="preserve"> nesfatin-1 </w:t>
      </w:r>
      <w:proofErr w:type="spellStart"/>
      <w:r w:rsidR="000E77CD" w:rsidRPr="00920869">
        <w:rPr>
          <w:sz w:val="28"/>
          <w:szCs w:val="28"/>
        </w:rPr>
        <w:t>are</w:t>
      </w:r>
      <w:proofErr w:type="spellEnd"/>
      <w:r w:rsidR="000E77CD" w:rsidRPr="00920869">
        <w:rPr>
          <w:sz w:val="28"/>
          <w:szCs w:val="28"/>
        </w:rPr>
        <w:t xml:space="preserve"> </w:t>
      </w:r>
      <w:proofErr w:type="spellStart"/>
      <w:r w:rsidR="000E77CD" w:rsidRPr="00920869">
        <w:rPr>
          <w:sz w:val="28"/>
          <w:szCs w:val="28"/>
        </w:rPr>
        <w:t>reversed</w:t>
      </w:r>
      <w:proofErr w:type="spellEnd"/>
      <w:r w:rsidR="000E77CD" w:rsidRPr="00920869">
        <w:rPr>
          <w:sz w:val="28"/>
          <w:szCs w:val="28"/>
        </w:rPr>
        <w:t xml:space="preserve"> </w:t>
      </w:r>
      <w:proofErr w:type="spellStart"/>
      <w:r w:rsidR="000E77CD" w:rsidRPr="00920869">
        <w:rPr>
          <w:sz w:val="28"/>
          <w:szCs w:val="28"/>
        </w:rPr>
        <w:t>by</w:t>
      </w:r>
      <w:proofErr w:type="spellEnd"/>
      <w:r w:rsidR="000E77CD" w:rsidRPr="00920869">
        <w:rPr>
          <w:sz w:val="28"/>
          <w:szCs w:val="28"/>
        </w:rPr>
        <w:t xml:space="preserve"> </w:t>
      </w:r>
      <w:proofErr w:type="spellStart"/>
      <w:r w:rsidR="000E77CD" w:rsidRPr="00920869">
        <w:rPr>
          <w:sz w:val="28"/>
          <w:szCs w:val="28"/>
        </w:rPr>
        <w:t>pretreatment</w:t>
      </w:r>
      <w:proofErr w:type="spellEnd"/>
      <w:r w:rsidR="000E77CD" w:rsidRPr="00920869">
        <w:rPr>
          <w:sz w:val="28"/>
          <w:szCs w:val="28"/>
        </w:rPr>
        <w:t xml:space="preserve"> </w:t>
      </w:r>
      <w:proofErr w:type="spellStart"/>
      <w:r w:rsidR="000E77CD" w:rsidRPr="00920869">
        <w:rPr>
          <w:sz w:val="28"/>
          <w:szCs w:val="28"/>
        </w:rPr>
        <w:t>with</w:t>
      </w:r>
      <w:proofErr w:type="spellEnd"/>
      <w:r w:rsidR="000E77CD" w:rsidRPr="00920869">
        <w:rPr>
          <w:sz w:val="28"/>
          <w:szCs w:val="28"/>
        </w:rPr>
        <w:t xml:space="preserve"> </w:t>
      </w:r>
      <w:proofErr w:type="spellStart"/>
      <w:r w:rsidR="000E77CD" w:rsidRPr="00920869">
        <w:rPr>
          <w:sz w:val="28"/>
          <w:szCs w:val="28"/>
        </w:rPr>
        <w:t>an</w:t>
      </w:r>
      <w:proofErr w:type="spellEnd"/>
      <w:r w:rsidR="000E77CD" w:rsidRPr="00920869">
        <w:rPr>
          <w:sz w:val="28"/>
          <w:szCs w:val="28"/>
        </w:rPr>
        <w:t xml:space="preserve"> </w:t>
      </w:r>
      <w:proofErr w:type="spellStart"/>
      <w:r w:rsidR="000E77CD" w:rsidRPr="00920869">
        <w:rPr>
          <w:sz w:val="28"/>
          <w:szCs w:val="28"/>
        </w:rPr>
        <w:t>oxytocin</w:t>
      </w:r>
      <w:proofErr w:type="spellEnd"/>
      <w:r w:rsidR="000E77CD" w:rsidRPr="00920869">
        <w:rPr>
          <w:sz w:val="28"/>
          <w:szCs w:val="28"/>
        </w:rPr>
        <w:t xml:space="preserve"> </w:t>
      </w:r>
      <w:proofErr w:type="spellStart"/>
      <w:r w:rsidR="000E77CD" w:rsidRPr="00920869">
        <w:rPr>
          <w:sz w:val="28"/>
          <w:szCs w:val="28"/>
        </w:rPr>
        <w:t>receptor</w:t>
      </w:r>
      <w:proofErr w:type="spellEnd"/>
      <w:r w:rsidR="000E77CD" w:rsidRPr="00920869">
        <w:rPr>
          <w:sz w:val="28"/>
          <w:szCs w:val="28"/>
        </w:rPr>
        <w:t xml:space="preserve"> </w:t>
      </w:r>
      <w:proofErr w:type="spellStart"/>
      <w:r w:rsidR="000E77CD" w:rsidRPr="00920869">
        <w:rPr>
          <w:sz w:val="28"/>
          <w:szCs w:val="28"/>
        </w:rPr>
        <w:t>antagonist</w:t>
      </w:r>
      <w:proofErr w:type="spellEnd"/>
      <w:r w:rsidR="000E77CD" w:rsidRPr="00920869">
        <w:rPr>
          <w:sz w:val="28"/>
          <w:szCs w:val="28"/>
        </w:rPr>
        <w:t xml:space="preserve"> </w:t>
      </w:r>
      <w:r w:rsidR="000B512F">
        <w:rPr>
          <w:sz w:val="28"/>
          <w:szCs w:val="28"/>
          <w:lang w:val="en-US"/>
        </w:rPr>
        <w:t xml:space="preserve">/ G.L. </w:t>
      </w:r>
      <w:proofErr w:type="spellStart"/>
      <w:r w:rsidR="000B512F" w:rsidRPr="00920869">
        <w:rPr>
          <w:sz w:val="28"/>
          <w:szCs w:val="28"/>
        </w:rPr>
        <w:t>Yosten</w:t>
      </w:r>
      <w:proofErr w:type="spellEnd"/>
      <w:r w:rsidR="000B512F" w:rsidRPr="00920869">
        <w:rPr>
          <w:sz w:val="28"/>
          <w:szCs w:val="28"/>
        </w:rPr>
        <w:t xml:space="preserve">, </w:t>
      </w:r>
      <w:r w:rsidR="000B512F">
        <w:rPr>
          <w:sz w:val="28"/>
          <w:szCs w:val="28"/>
          <w:lang w:val="en-US"/>
        </w:rPr>
        <w:t xml:space="preserve">W.K. </w:t>
      </w:r>
      <w:proofErr w:type="spellStart"/>
      <w:r w:rsidR="000B512F" w:rsidRPr="00920869">
        <w:rPr>
          <w:sz w:val="28"/>
          <w:szCs w:val="28"/>
        </w:rPr>
        <w:t>Samson</w:t>
      </w:r>
      <w:proofErr w:type="spellEnd"/>
      <w:r w:rsidR="000B512F">
        <w:rPr>
          <w:sz w:val="28"/>
          <w:szCs w:val="28"/>
          <w:lang w:val="en-US"/>
        </w:rPr>
        <w:t xml:space="preserve"> </w:t>
      </w:r>
      <w:r w:rsidR="000E77CD" w:rsidRPr="00920869">
        <w:rPr>
          <w:sz w:val="28"/>
          <w:szCs w:val="28"/>
        </w:rPr>
        <w:t xml:space="preserve">// </w:t>
      </w:r>
      <w:proofErr w:type="spellStart"/>
      <w:r w:rsidR="000E77CD" w:rsidRPr="00920869">
        <w:rPr>
          <w:sz w:val="28"/>
          <w:szCs w:val="28"/>
        </w:rPr>
        <w:t>Am</w:t>
      </w:r>
      <w:proofErr w:type="spellEnd"/>
      <w:r w:rsidR="000E77CD" w:rsidRPr="00920869">
        <w:rPr>
          <w:sz w:val="28"/>
          <w:szCs w:val="28"/>
        </w:rPr>
        <w:t xml:space="preserve"> J </w:t>
      </w:r>
      <w:proofErr w:type="spellStart"/>
      <w:r w:rsidR="000E77CD" w:rsidRPr="00920869">
        <w:rPr>
          <w:sz w:val="28"/>
          <w:szCs w:val="28"/>
        </w:rPr>
        <w:t>Physiol</w:t>
      </w:r>
      <w:proofErr w:type="spellEnd"/>
      <w:r w:rsidR="000E77CD" w:rsidRPr="00920869">
        <w:rPr>
          <w:sz w:val="28"/>
          <w:szCs w:val="28"/>
        </w:rPr>
        <w:t xml:space="preserve"> </w:t>
      </w:r>
      <w:proofErr w:type="spellStart"/>
      <w:r w:rsidR="000E77CD" w:rsidRPr="00920869">
        <w:rPr>
          <w:sz w:val="28"/>
          <w:szCs w:val="28"/>
        </w:rPr>
        <w:t>Regul</w:t>
      </w:r>
      <w:proofErr w:type="spellEnd"/>
      <w:r w:rsidR="000E77CD" w:rsidRPr="00920869">
        <w:rPr>
          <w:sz w:val="28"/>
          <w:szCs w:val="28"/>
        </w:rPr>
        <w:t xml:space="preserve"> </w:t>
      </w:r>
      <w:proofErr w:type="spellStart"/>
      <w:r w:rsidR="000E77CD" w:rsidRPr="00920869">
        <w:rPr>
          <w:sz w:val="28"/>
          <w:szCs w:val="28"/>
        </w:rPr>
        <w:t>Integr</w:t>
      </w:r>
      <w:proofErr w:type="spellEnd"/>
      <w:r w:rsidR="000E77CD" w:rsidRPr="00920869">
        <w:rPr>
          <w:sz w:val="28"/>
          <w:szCs w:val="28"/>
        </w:rPr>
        <w:t xml:space="preserve"> </w:t>
      </w:r>
      <w:proofErr w:type="spellStart"/>
      <w:r w:rsidR="000E77CD" w:rsidRPr="00920869">
        <w:rPr>
          <w:sz w:val="28"/>
          <w:szCs w:val="28"/>
        </w:rPr>
        <w:t>Comp</w:t>
      </w:r>
      <w:proofErr w:type="spellEnd"/>
      <w:r w:rsidR="000E77CD" w:rsidRPr="00920869">
        <w:rPr>
          <w:sz w:val="28"/>
          <w:szCs w:val="28"/>
        </w:rPr>
        <w:t xml:space="preserve"> </w:t>
      </w:r>
      <w:proofErr w:type="spellStart"/>
      <w:r w:rsidR="000E77CD" w:rsidRPr="00920869">
        <w:rPr>
          <w:sz w:val="28"/>
          <w:szCs w:val="28"/>
        </w:rPr>
        <w:t>Physiol</w:t>
      </w:r>
      <w:proofErr w:type="spellEnd"/>
      <w:r w:rsidR="000E77CD" w:rsidRPr="00920869">
        <w:rPr>
          <w:sz w:val="28"/>
          <w:szCs w:val="28"/>
        </w:rPr>
        <w:t>. – 2010.</w:t>
      </w:r>
      <w:r w:rsidR="000B512F">
        <w:rPr>
          <w:sz w:val="28"/>
          <w:szCs w:val="28"/>
          <w:lang w:val="en-US"/>
        </w:rPr>
        <w:t xml:space="preserve"> </w:t>
      </w:r>
      <w:r w:rsidR="000E77CD" w:rsidRPr="00920869">
        <w:rPr>
          <w:sz w:val="28"/>
          <w:szCs w:val="28"/>
        </w:rPr>
        <w:t>– 298(6).</w:t>
      </w:r>
      <w:r w:rsidR="000B512F">
        <w:rPr>
          <w:sz w:val="28"/>
          <w:szCs w:val="28"/>
          <w:lang w:val="en-US"/>
        </w:rPr>
        <w:t xml:space="preserve"> </w:t>
      </w:r>
      <w:r w:rsidR="000E77CD" w:rsidRPr="00920869">
        <w:rPr>
          <w:sz w:val="28"/>
          <w:szCs w:val="28"/>
        </w:rPr>
        <w:t xml:space="preserve">– </w:t>
      </w:r>
      <w:r w:rsidR="000E77CD" w:rsidRPr="00920869">
        <w:rPr>
          <w:sz w:val="28"/>
          <w:szCs w:val="28"/>
          <w:lang w:val="ru-RU"/>
        </w:rPr>
        <w:t>Р</w:t>
      </w:r>
      <w:r w:rsidR="000B512F">
        <w:rPr>
          <w:sz w:val="28"/>
          <w:szCs w:val="28"/>
        </w:rPr>
        <w:t>.</w:t>
      </w:r>
      <w:r w:rsidR="000E77CD" w:rsidRPr="00920869">
        <w:rPr>
          <w:sz w:val="28"/>
          <w:szCs w:val="28"/>
        </w:rPr>
        <w:t>1642–1647.</w:t>
      </w:r>
    </w:p>
    <w:p w:rsidR="00F11191" w:rsidRPr="00D96B51" w:rsidRDefault="00F1119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sectPr w:rsidR="00F11191" w:rsidRPr="00D96B51" w:rsidSect="009208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03" w:rsidRDefault="006C6703" w:rsidP="007978BB">
      <w:r>
        <w:separator/>
      </w:r>
    </w:p>
  </w:endnote>
  <w:endnote w:type="continuationSeparator" w:id="0">
    <w:p w:rsidR="006C6703" w:rsidRDefault="006C6703" w:rsidP="0079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03" w:rsidRDefault="006C6703" w:rsidP="007978BB">
      <w:r>
        <w:separator/>
      </w:r>
    </w:p>
  </w:footnote>
  <w:footnote w:type="continuationSeparator" w:id="0">
    <w:p w:rsidR="006C6703" w:rsidRDefault="006C6703" w:rsidP="00797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70"/>
    <w:rsid w:val="00025D70"/>
    <w:rsid w:val="000574A2"/>
    <w:rsid w:val="00062BF3"/>
    <w:rsid w:val="000B512F"/>
    <w:rsid w:val="000E77CD"/>
    <w:rsid w:val="0013725E"/>
    <w:rsid w:val="00140BA0"/>
    <w:rsid w:val="00156321"/>
    <w:rsid w:val="001A4A36"/>
    <w:rsid w:val="001A6D91"/>
    <w:rsid w:val="001F2651"/>
    <w:rsid w:val="001F2F83"/>
    <w:rsid w:val="001F336F"/>
    <w:rsid w:val="001F3FC1"/>
    <w:rsid w:val="002333CB"/>
    <w:rsid w:val="00260351"/>
    <w:rsid w:val="0028481F"/>
    <w:rsid w:val="00290DC4"/>
    <w:rsid w:val="00293084"/>
    <w:rsid w:val="00297817"/>
    <w:rsid w:val="002A30BD"/>
    <w:rsid w:val="002C42E2"/>
    <w:rsid w:val="002E3F46"/>
    <w:rsid w:val="002F6EF9"/>
    <w:rsid w:val="00361E25"/>
    <w:rsid w:val="00373795"/>
    <w:rsid w:val="003844C6"/>
    <w:rsid w:val="003C5CAC"/>
    <w:rsid w:val="003D26A6"/>
    <w:rsid w:val="004240DA"/>
    <w:rsid w:val="004247DC"/>
    <w:rsid w:val="004E5186"/>
    <w:rsid w:val="004E5978"/>
    <w:rsid w:val="00515FD8"/>
    <w:rsid w:val="00530601"/>
    <w:rsid w:val="005323E4"/>
    <w:rsid w:val="0056563B"/>
    <w:rsid w:val="00565D58"/>
    <w:rsid w:val="005730BB"/>
    <w:rsid w:val="0057546F"/>
    <w:rsid w:val="005A0DC9"/>
    <w:rsid w:val="005C34B9"/>
    <w:rsid w:val="005E738F"/>
    <w:rsid w:val="0060754C"/>
    <w:rsid w:val="006345DF"/>
    <w:rsid w:val="00674093"/>
    <w:rsid w:val="006A2CF8"/>
    <w:rsid w:val="006A7208"/>
    <w:rsid w:val="006C6703"/>
    <w:rsid w:val="006F1BC5"/>
    <w:rsid w:val="006F6403"/>
    <w:rsid w:val="0071045A"/>
    <w:rsid w:val="0072632C"/>
    <w:rsid w:val="007978BB"/>
    <w:rsid w:val="007F6B9A"/>
    <w:rsid w:val="00810449"/>
    <w:rsid w:val="0083323D"/>
    <w:rsid w:val="008476A2"/>
    <w:rsid w:val="00852FD6"/>
    <w:rsid w:val="008642B9"/>
    <w:rsid w:val="00885B94"/>
    <w:rsid w:val="008C4282"/>
    <w:rsid w:val="008F0A03"/>
    <w:rsid w:val="00920869"/>
    <w:rsid w:val="00930CFA"/>
    <w:rsid w:val="00937A58"/>
    <w:rsid w:val="009A3FAF"/>
    <w:rsid w:val="00A27565"/>
    <w:rsid w:val="00A672A8"/>
    <w:rsid w:val="00A94D73"/>
    <w:rsid w:val="00AA2CA2"/>
    <w:rsid w:val="00AA5E15"/>
    <w:rsid w:val="00AB7674"/>
    <w:rsid w:val="00AC7900"/>
    <w:rsid w:val="00AE055F"/>
    <w:rsid w:val="00AE1C97"/>
    <w:rsid w:val="00AE490E"/>
    <w:rsid w:val="00AF4138"/>
    <w:rsid w:val="00AF6634"/>
    <w:rsid w:val="00B4437C"/>
    <w:rsid w:val="00B55D75"/>
    <w:rsid w:val="00B62E32"/>
    <w:rsid w:val="00BB4BBC"/>
    <w:rsid w:val="00BD6632"/>
    <w:rsid w:val="00BF76B2"/>
    <w:rsid w:val="00C20C81"/>
    <w:rsid w:val="00CF3AC3"/>
    <w:rsid w:val="00D672AC"/>
    <w:rsid w:val="00D86E31"/>
    <w:rsid w:val="00D96B51"/>
    <w:rsid w:val="00D97954"/>
    <w:rsid w:val="00DB28B5"/>
    <w:rsid w:val="00DB3F54"/>
    <w:rsid w:val="00DF6325"/>
    <w:rsid w:val="00E11A7A"/>
    <w:rsid w:val="00E24908"/>
    <w:rsid w:val="00E26709"/>
    <w:rsid w:val="00E35B28"/>
    <w:rsid w:val="00E85E3D"/>
    <w:rsid w:val="00E96850"/>
    <w:rsid w:val="00EA3074"/>
    <w:rsid w:val="00EA6DE2"/>
    <w:rsid w:val="00EB5934"/>
    <w:rsid w:val="00EC7899"/>
    <w:rsid w:val="00F11191"/>
    <w:rsid w:val="00F56AFA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1F2F83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uiPriority w:val="99"/>
    <w:rsid w:val="001F2F83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3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3C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8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978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78BB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78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78BB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1F2F83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uiPriority w:val="99"/>
    <w:rsid w:val="001F2F83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3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3C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8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978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78BB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78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78BB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118F-0ECB-4983-965C-1C7BD766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</Pages>
  <Words>10017</Words>
  <Characters>5711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12</cp:revision>
  <dcterms:created xsi:type="dcterms:W3CDTF">2016-09-12T20:27:00Z</dcterms:created>
  <dcterms:modified xsi:type="dcterms:W3CDTF">2016-09-20T12:17:00Z</dcterms:modified>
</cp:coreProperties>
</file>