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14" w:rsidRPr="006166B7" w:rsidRDefault="00A66900" w:rsidP="00E53E14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Несфатин-1 и липидный профиль у больных с </w:t>
      </w:r>
      <w:proofErr w:type="spellStart"/>
      <w:r>
        <w:rPr>
          <w:b/>
          <w:sz w:val="28"/>
          <w:szCs w:val="28"/>
          <w:lang w:val="ru-RU"/>
        </w:rPr>
        <w:t>коморбидным</w:t>
      </w:r>
      <w:proofErr w:type="spellEnd"/>
      <w:r>
        <w:rPr>
          <w:b/>
          <w:sz w:val="28"/>
          <w:szCs w:val="28"/>
          <w:lang w:val="ru-RU"/>
        </w:rPr>
        <w:t xml:space="preserve"> течением гипертонической болезни</w:t>
      </w:r>
    </w:p>
    <w:p w:rsidR="008E5AE8" w:rsidRPr="003D639E" w:rsidRDefault="005C5109" w:rsidP="00E53E14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Визир М. А.</w:t>
      </w:r>
    </w:p>
    <w:p w:rsidR="008E5AE8" w:rsidRPr="003D639E" w:rsidRDefault="003D639E" w:rsidP="00E53E14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Харьковский национальный медицинский университет</w:t>
      </w:r>
    </w:p>
    <w:p w:rsidR="008E5AE8" w:rsidRPr="006166B7" w:rsidRDefault="008E5AE8" w:rsidP="00E53E14">
      <w:pPr>
        <w:spacing w:line="360" w:lineRule="auto"/>
        <w:ind w:firstLine="709"/>
        <w:jc w:val="both"/>
        <w:rPr>
          <w:sz w:val="28"/>
          <w:szCs w:val="28"/>
          <w:highlight w:val="cyan"/>
          <w:lang w:val="ru-RU"/>
        </w:rPr>
      </w:pPr>
    </w:p>
    <w:p w:rsidR="008E5AE8" w:rsidRPr="00A66900" w:rsidRDefault="008E5AE8" w:rsidP="00E53E14">
      <w:pPr>
        <w:spacing w:line="360" w:lineRule="auto"/>
        <w:ind w:firstLine="709"/>
        <w:jc w:val="both"/>
        <w:rPr>
          <w:sz w:val="28"/>
          <w:szCs w:val="28"/>
          <w:highlight w:val="cyan"/>
          <w:lang w:val="ru-RU"/>
        </w:rPr>
      </w:pPr>
      <w:r w:rsidRPr="00401621">
        <w:rPr>
          <w:b/>
          <w:sz w:val="28"/>
          <w:szCs w:val="28"/>
          <w:lang w:val="ru-RU"/>
        </w:rPr>
        <w:t xml:space="preserve">Резюме. </w:t>
      </w:r>
      <w:r w:rsidR="00401621" w:rsidRPr="00401621">
        <w:rPr>
          <w:sz w:val="28"/>
          <w:szCs w:val="28"/>
          <w:lang w:val="ru-RU"/>
        </w:rPr>
        <w:t xml:space="preserve">Исследование посвящено изучению взаимосвязи уровня несфатина-1 с </w:t>
      </w:r>
      <w:r w:rsidR="00607AFF">
        <w:rPr>
          <w:sz w:val="28"/>
          <w:szCs w:val="28"/>
          <w:lang w:val="ru-RU"/>
        </w:rPr>
        <w:t xml:space="preserve">показателями липидного профиля при </w:t>
      </w:r>
      <w:proofErr w:type="spellStart"/>
      <w:r w:rsidR="00607AFF">
        <w:rPr>
          <w:sz w:val="28"/>
          <w:szCs w:val="28"/>
          <w:lang w:val="ru-RU"/>
        </w:rPr>
        <w:t>предиабете</w:t>
      </w:r>
      <w:proofErr w:type="spellEnd"/>
      <w:r w:rsidR="00607AFF">
        <w:rPr>
          <w:sz w:val="28"/>
          <w:szCs w:val="28"/>
          <w:lang w:val="ru-RU"/>
        </w:rPr>
        <w:t xml:space="preserve"> и сахарном диабете 2 типа</w:t>
      </w:r>
      <w:r w:rsidR="00401621" w:rsidRPr="00401621">
        <w:rPr>
          <w:sz w:val="28"/>
          <w:szCs w:val="28"/>
          <w:lang w:val="ru-RU"/>
        </w:rPr>
        <w:t xml:space="preserve"> у пациентов с гиперт</w:t>
      </w:r>
      <w:r w:rsidR="00607AFF">
        <w:rPr>
          <w:sz w:val="28"/>
          <w:szCs w:val="28"/>
          <w:lang w:val="ru-RU"/>
        </w:rPr>
        <w:t>онической</w:t>
      </w:r>
      <w:r w:rsidR="00744C9D">
        <w:rPr>
          <w:sz w:val="28"/>
          <w:szCs w:val="28"/>
          <w:lang w:val="ru-RU"/>
        </w:rPr>
        <w:t xml:space="preserve"> болезнь</w:t>
      </w:r>
      <w:r w:rsidR="00607AFF">
        <w:rPr>
          <w:sz w:val="28"/>
          <w:szCs w:val="28"/>
          <w:lang w:val="ru-RU"/>
        </w:rPr>
        <w:t>ю и</w:t>
      </w:r>
      <w:r w:rsidR="00744C9D">
        <w:rPr>
          <w:sz w:val="28"/>
          <w:szCs w:val="28"/>
          <w:lang w:val="ru-RU"/>
        </w:rPr>
        <w:t xml:space="preserve"> ожирение</w:t>
      </w:r>
      <w:r w:rsidR="00607AFF">
        <w:rPr>
          <w:sz w:val="28"/>
          <w:szCs w:val="28"/>
          <w:lang w:val="ru-RU"/>
        </w:rPr>
        <w:t>м</w:t>
      </w:r>
      <w:r w:rsidR="00401621" w:rsidRPr="00401621">
        <w:rPr>
          <w:sz w:val="28"/>
          <w:szCs w:val="28"/>
          <w:lang w:val="ru-RU"/>
        </w:rPr>
        <w:t>. Обследовано 57 больных гипертонической болезнью и ожирением</w:t>
      </w:r>
      <w:r w:rsidR="00836F4B">
        <w:rPr>
          <w:sz w:val="28"/>
          <w:szCs w:val="28"/>
          <w:lang w:val="ru-RU"/>
        </w:rPr>
        <w:t xml:space="preserve">, которые были разделены на группы в зависимости от </w:t>
      </w:r>
      <w:r w:rsidR="00607AFF">
        <w:rPr>
          <w:sz w:val="28"/>
          <w:szCs w:val="28"/>
          <w:lang w:val="ru-RU"/>
        </w:rPr>
        <w:t xml:space="preserve">состояния </w:t>
      </w:r>
      <w:r w:rsidR="00836F4B">
        <w:rPr>
          <w:sz w:val="28"/>
          <w:szCs w:val="28"/>
          <w:lang w:val="ru-RU"/>
        </w:rPr>
        <w:t>углеводного профиля</w:t>
      </w:r>
      <w:r w:rsidR="00401621" w:rsidRPr="00401621">
        <w:rPr>
          <w:sz w:val="28"/>
          <w:szCs w:val="28"/>
          <w:lang w:val="ru-RU"/>
        </w:rPr>
        <w:t xml:space="preserve">. Уровень несфатина-1 определяли методом иммуноферментного анализа. </w:t>
      </w:r>
      <w:proofErr w:type="gramStart"/>
      <w:r w:rsidR="00401621" w:rsidRPr="00401621">
        <w:rPr>
          <w:sz w:val="28"/>
          <w:szCs w:val="28"/>
          <w:lang w:val="ru-RU"/>
        </w:rPr>
        <w:t>Больные гипертонической болезнь</w:t>
      </w:r>
      <w:r w:rsidR="006554EA">
        <w:rPr>
          <w:sz w:val="28"/>
          <w:szCs w:val="28"/>
          <w:lang w:val="ru-RU"/>
        </w:rPr>
        <w:t>ю имели</w:t>
      </w:r>
      <w:r w:rsidR="00CE6817">
        <w:rPr>
          <w:sz w:val="28"/>
          <w:szCs w:val="28"/>
          <w:lang w:val="ru-RU"/>
        </w:rPr>
        <w:t xml:space="preserve"> достоверно более высокий уровень данного</w:t>
      </w:r>
      <w:r w:rsidR="00401621" w:rsidRPr="00401621">
        <w:rPr>
          <w:sz w:val="28"/>
          <w:szCs w:val="28"/>
          <w:lang w:val="ru-RU"/>
        </w:rPr>
        <w:t xml:space="preserve"> </w:t>
      </w:r>
      <w:proofErr w:type="spellStart"/>
      <w:r w:rsidR="00401621" w:rsidRPr="00401621">
        <w:rPr>
          <w:sz w:val="28"/>
          <w:szCs w:val="28"/>
          <w:lang w:val="ru-RU"/>
        </w:rPr>
        <w:t>адипоцитокина</w:t>
      </w:r>
      <w:proofErr w:type="spellEnd"/>
      <w:r w:rsidR="00401621" w:rsidRPr="00401621">
        <w:rPr>
          <w:sz w:val="28"/>
          <w:szCs w:val="28"/>
          <w:lang w:val="ru-RU"/>
        </w:rPr>
        <w:t>, чем здоровые люди.</w:t>
      </w:r>
      <w:proofErr w:type="gramEnd"/>
      <w:r w:rsidR="00401621" w:rsidRPr="00401621">
        <w:rPr>
          <w:sz w:val="28"/>
          <w:szCs w:val="28"/>
          <w:lang w:val="ru-RU"/>
        </w:rPr>
        <w:t xml:space="preserve"> </w:t>
      </w:r>
      <w:r w:rsidR="00A66900">
        <w:rPr>
          <w:sz w:val="28"/>
          <w:szCs w:val="28"/>
          <w:lang w:val="ru-RU"/>
        </w:rPr>
        <w:t>Установлена положительная кор</w:t>
      </w:r>
      <w:r w:rsidR="006554EA">
        <w:rPr>
          <w:sz w:val="28"/>
          <w:szCs w:val="28"/>
          <w:lang w:val="ru-RU"/>
        </w:rPr>
        <w:t>реляция уровня</w:t>
      </w:r>
      <w:r w:rsidR="00A66900">
        <w:rPr>
          <w:sz w:val="28"/>
          <w:szCs w:val="28"/>
          <w:lang w:val="ru-RU"/>
        </w:rPr>
        <w:t xml:space="preserve"> несфатина-1 с глюкозой, инсулином крови, индексом HOMA-IR, ТГ, ХС ЛПОНП, а также отрицательн</w:t>
      </w:r>
      <w:r w:rsidR="00BF0FC0">
        <w:rPr>
          <w:sz w:val="28"/>
          <w:szCs w:val="28"/>
          <w:lang w:val="ru-RU"/>
        </w:rPr>
        <w:t>а</w:t>
      </w:r>
      <w:r w:rsidR="00A66900">
        <w:rPr>
          <w:sz w:val="28"/>
          <w:szCs w:val="28"/>
          <w:lang w:val="ru-RU"/>
        </w:rPr>
        <w:t>я корреляция</w:t>
      </w:r>
      <w:r w:rsidR="00BF0FC0">
        <w:rPr>
          <w:sz w:val="28"/>
          <w:szCs w:val="28"/>
          <w:lang w:val="ru-RU"/>
        </w:rPr>
        <w:t xml:space="preserve"> с уровнем </w:t>
      </w:r>
      <w:proofErr w:type="spellStart"/>
      <w:r w:rsidR="00BF0FC0">
        <w:rPr>
          <w:sz w:val="28"/>
          <w:szCs w:val="28"/>
          <w:lang w:val="ru-RU"/>
        </w:rPr>
        <w:t>постпрандиальной</w:t>
      </w:r>
      <w:proofErr w:type="spellEnd"/>
      <w:r w:rsidR="00BF0FC0">
        <w:rPr>
          <w:sz w:val="28"/>
          <w:szCs w:val="28"/>
          <w:lang w:val="ru-RU"/>
        </w:rPr>
        <w:t xml:space="preserve"> глюкозы, ХС ЛПВП </w:t>
      </w:r>
      <w:r w:rsidR="00A66900">
        <w:rPr>
          <w:sz w:val="28"/>
          <w:szCs w:val="28"/>
          <w:lang w:val="ru-RU"/>
        </w:rPr>
        <w:t xml:space="preserve"> при </w:t>
      </w:r>
      <w:proofErr w:type="spellStart"/>
      <w:r w:rsidR="00A66900">
        <w:rPr>
          <w:sz w:val="28"/>
          <w:szCs w:val="28"/>
          <w:lang w:val="ru-RU"/>
        </w:rPr>
        <w:t>нормогликемии</w:t>
      </w:r>
      <w:proofErr w:type="spellEnd"/>
      <w:r w:rsidR="00A66900">
        <w:rPr>
          <w:sz w:val="28"/>
          <w:szCs w:val="28"/>
          <w:lang w:val="ru-RU"/>
        </w:rPr>
        <w:t xml:space="preserve"> и </w:t>
      </w:r>
      <w:proofErr w:type="spellStart"/>
      <w:r w:rsidR="00A66900">
        <w:rPr>
          <w:sz w:val="28"/>
          <w:szCs w:val="28"/>
          <w:lang w:val="ru-RU"/>
        </w:rPr>
        <w:t>предиабете</w:t>
      </w:r>
      <w:proofErr w:type="spellEnd"/>
      <w:r w:rsidR="00A66900">
        <w:rPr>
          <w:sz w:val="28"/>
          <w:szCs w:val="28"/>
          <w:lang w:val="ru-RU"/>
        </w:rPr>
        <w:t>.</w:t>
      </w:r>
      <w:r w:rsidR="00BF0FC0">
        <w:rPr>
          <w:sz w:val="28"/>
          <w:szCs w:val="28"/>
          <w:lang w:val="ru-RU"/>
        </w:rPr>
        <w:t xml:space="preserve"> При сопутствующем сахарном диабете 2 типа установлена отрицательная корреляция несфатина-1 с инсулином крови и индексом HOMA-IR.</w:t>
      </w:r>
    </w:p>
    <w:p w:rsidR="008E5AE8" w:rsidRPr="00735D8E" w:rsidRDefault="00836F4B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36F4B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 xml:space="preserve">лючевые слова: </w:t>
      </w:r>
      <w:r w:rsidR="00735D8E">
        <w:rPr>
          <w:sz w:val="28"/>
          <w:szCs w:val="28"/>
          <w:lang w:val="ru-RU"/>
        </w:rPr>
        <w:t>гиперт</w:t>
      </w:r>
      <w:r w:rsidR="00744C9D">
        <w:rPr>
          <w:sz w:val="28"/>
          <w:szCs w:val="28"/>
          <w:lang w:val="ru-RU"/>
        </w:rPr>
        <w:t xml:space="preserve">оническая болезнь, ожирение, </w:t>
      </w:r>
      <w:proofErr w:type="spellStart"/>
      <w:r w:rsidR="00BF0FC0">
        <w:rPr>
          <w:sz w:val="28"/>
          <w:szCs w:val="28"/>
          <w:lang w:val="ru-RU"/>
        </w:rPr>
        <w:t>предиабет</w:t>
      </w:r>
      <w:proofErr w:type="spellEnd"/>
      <w:r w:rsidR="00BF0FC0">
        <w:rPr>
          <w:sz w:val="28"/>
          <w:szCs w:val="28"/>
          <w:lang w:val="ru-RU"/>
        </w:rPr>
        <w:t>, сахарный диабет 2 типа</w:t>
      </w:r>
      <w:r w:rsidR="00735D8E">
        <w:rPr>
          <w:sz w:val="28"/>
          <w:szCs w:val="28"/>
          <w:lang w:val="ru-RU"/>
        </w:rPr>
        <w:t>,</w:t>
      </w:r>
      <w:r w:rsidR="00BF0FC0">
        <w:rPr>
          <w:sz w:val="28"/>
          <w:szCs w:val="28"/>
          <w:lang w:val="ru-RU"/>
        </w:rPr>
        <w:t xml:space="preserve"> несфатин-1, </w:t>
      </w:r>
      <w:proofErr w:type="spellStart"/>
      <w:r w:rsidR="00BF0FC0">
        <w:rPr>
          <w:sz w:val="28"/>
          <w:szCs w:val="28"/>
          <w:lang w:val="ru-RU"/>
        </w:rPr>
        <w:t>дислипидемия</w:t>
      </w:r>
      <w:proofErr w:type="spellEnd"/>
    </w:p>
    <w:p w:rsidR="008E5AE8" w:rsidRPr="00836F4B" w:rsidRDefault="008E5AE8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7A99" w:rsidRDefault="00CF7A99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Сердечно-сосудистые</w:t>
      </w:r>
      <w:proofErr w:type="spellEnd"/>
      <w:r>
        <w:rPr>
          <w:sz w:val="28"/>
          <w:szCs w:val="28"/>
          <w:lang w:val="ru-RU"/>
        </w:rPr>
        <w:t xml:space="preserve"> заболевания становятся причиной смерти</w:t>
      </w:r>
      <w:r w:rsidR="00F46B18">
        <w:rPr>
          <w:sz w:val="28"/>
          <w:szCs w:val="28"/>
          <w:lang w:val="ru-RU"/>
        </w:rPr>
        <w:t xml:space="preserve"> более 4 </w:t>
      </w:r>
      <w:proofErr w:type="spellStart"/>
      <w:proofErr w:type="gramStart"/>
      <w:r w:rsidR="00F46B18">
        <w:rPr>
          <w:sz w:val="28"/>
          <w:szCs w:val="28"/>
          <w:lang w:val="ru-RU"/>
        </w:rPr>
        <w:t>млн</w:t>
      </w:r>
      <w:proofErr w:type="spellEnd"/>
      <w:proofErr w:type="gramEnd"/>
      <w:r w:rsidR="00F46B18">
        <w:rPr>
          <w:sz w:val="28"/>
          <w:szCs w:val="28"/>
          <w:lang w:val="ru-RU"/>
        </w:rPr>
        <w:t xml:space="preserve"> европейцев в год и, несмотря на совершенство</w:t>
      </w:r>
      <w:r w:rsidR="000723DC">
        <w:rPr>
          <w:sz w:val="28"/>
          <w:szCs w:val="28"/>
          <w:lang w:val="ru-RU"/>
        </w:rPr>
        <w:t>вание диагностической и лечебной тактики ведения больных, остаются ведущей причиной заболеваемости и смертности в мире</w:t>
      </w:r>
      <w:r w:rsidR="000723DC" w:rsidRPr="000723DC">
        <w:rPr>
          <w:sz w:val="28"/>
          <w:szCs w:val="28"/>
          <w:lang w:val="ru-RU"/>
        </w:rPr>
        <w:t xml:space="preserve"> [1]</w:t>
      </w:r>
      <w:r w:rsidR="000723DC">
        <w:rPr>
          <w:sz w:val="28"/>
          <w:szCs w:val="28"/>
          <w:lang w:val="ru-RU"/>
        </w:rPr>
        <w:t>.</w:t>
      </w:r>
      <w:r w:rsidR="000723DC" w:rsidRPr="000723DC">
        <w:rPr>
          <w:sz w:val="28"/>
          <w:szCs w:val="28"/>
          <w:lang w:val="ru-RU"/>
        </w:rPr>
        <w:t xml:space="preserve"> </w:t>
      </w:r>
      <w:r w:rsidR="000723DC">
        <w:rPr>
          <w:sz w:val="28"/>
          <w:szCs w:val="28"/>
          <w:lang w:val="ru-RU"/>
        </w:rPr>
        <w:t xml:space="preserve">Артериальная гипертензия является одним из основных факторов </w:t>
      </w:r>
      <w:proofErr w:type="spellStart"/>
      <w:proofErr w:type="gramStart"/>
      <w:r w:rsidR="000723DC">
        <w:rPr>
          <w:sz w:val="28"/>
          <w:szCs w:val="28"/>
          <w:lang w:val="ru-RU"/>
        </w:rPr>
        <w:t>сердечно-сосудистого</w:t>
      </w:r>
      <w:proofErr w:type="spellEnd"/>
      <w:proofErr w:type="gramEnd"/>
      <w:r w:rsidR="000723DC">
        <w:rPr>
          <w:sz w:val="28"/>
          <w:szCs w:val="28"/>
          <w:lang w:val="ru-RU"/>
        </w:rPr>
        <w:t xml:space="preserve"> риска</w:t>
      </w:r>
      <w:r w:rsidR="004957FC">
        <w:rPr>
          <w:sz w:val="28"/>
          <w:szCs w:val="28"/>
          <w:lang w:val="ru-RU"/>
        </w:rPr>
        <w:t>. Однако лишь у незначительной части больных повышение артериального давления</w:t>
      </w:r>
      <w:r w:rsidR="00D4697E">
        <w:rPr>
          <w:sz w:val="28"/>
          <w:szCs w:val="28"/>
          <w:lang w:val="ru-RU"/>
        </w:rPr>
        <w:t xml:space="preserve"> яв</w:t>
      </w:r>
      <w:r w:rsidR="00767F97">
        <w:rPr>
          <w:sz w:val="28"/>
          <w:szCs w:val="28"/>
          <w:lang w:val="ru-RU"/>
        </w:rPr>
        <w:t>ляется единственным предиктором возникновения</w:t>
      </w:r>
      <w:r w:rsidR="00D4697E">
        <w:rPr>
          <w:sz w:val="28"/>
          <w:szCs w:val="28"/>
          <w:lang w:val="ru-RU"/>
        </w:rPr>
        <w:t xml:space="preserve"> осложнений</w:t>
      </w:r>
      <w:r w:rsidR="004957FC">
        <w:rPr>
          <w:sz w:val="28"/>
          <w:szCs w:val="28"/>
          <w:lang w:val="ru-RU"/>
        </w:rPr>
        <w:t xml:space="preserve">. У большинства </w:t>
      </w:r>
      <w:r w:rsidR="00160079">
        <w:rPr>
          <w:sz w:val="28"/>
          <w:szCs w:val="28"/>
          <w:lang w:val="ru-RU"/>
        </w:rPr>
        <w:t>пациентов</w:t>
      </w:r>
      <w:r w:rsidR="00D4697E">
        <w:rPr>
          <w:sz w:val="28"/>
          <w:szCs w:val="28"/>
          <w:lang w:val="ru-RU"/>
        </w:rPr>
        <w:t xml:space="preserve"> с</w:t>
      </w:r>
      <w:r w:rsidR="00160079">
        <w:rPr>
          <w:sz w:val="28"/>
          <w:szCs w:val="28"/>
          <w:lang w:val="ru-RU"/>
        </w:rPr>
        <w:t xml:space="preserve"> </w:t>
      </w:r>
      <w:r w:rsidR="00D4697E">
        <w:rPr>
          <w:sz w:val="28"/>
          <w:szCs w:val="28"/>
          <w:lang w:val="ru-RU"/>
        </w:rPr>
        <w:t xml:space="preserve">гипертонической болезнью (ГБ) </w:t>
      </w:r>
      <w:r w:rsidR="001A0BF0">
        <w:rPr>
          <w:sz w:val="28"/>
          <w:szCs w:val="28"/>
          <w:lang w:val="ru-RU"/>
        </w:rPr>
        <w:t>присут</w:t>
      </w:r>
      <w:r w:rsidR="00160079">
        <w:rPr>
          <w:sz w:val="28"/>
          <w:szCs w:val="28"/>
          <w:lang w:val="ru-RU"/>
        </w:rPr>
        <w:t xml:space="preserve">ствуют и другие факторы </w:t>
      </w:r>
      <w:r w:rsidR="00160079">
        <w:rPr>
          <w:sz w:val="28"/>
          <w:szCs w:val="28"/>
          <w:lang w:val="ru-RU"/>
        </w:rPr>
        <w:lastRenderedPageBreak/>
        <w:t xml:space="preserve">риска, что зачастую усложняет контроль гипертензии, требует коррекции тактики лечения с учетом </w:t>
      </w:r>
      <w:proofErr w:type="spellStart"/>
      <w:r w:rsidR="00160079">
        <w:rPr>
          <w:sz w:val="28"/>
          <w:szCs w:val="28"/>
          <w:lang w:val="ru-RU"/>
        </w:rPr>
        <w:t>коморбидности</w:t>
      </w:r>
      <w:proofErr w:type="spellEnd"/>
      <w:r w:rsidR="00160079">
        <w:rPr>
          <w:sz w:val="28"/>
          <w:szCs w:val="28"/>
          <w:lang w:val="ru-RU"/>
        </w:rPr>
        <w:t xml:space="preserve">. </w:t>
      </w:r>
    </w:p>
    <w:p w:rsidR="007929EC" w:rsidRDefault="00E14973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Ожирение, учитывая темпы распространения по всему миру, становится одним из ведущих</w:t>
      </w:r>
      <w:r w:rsidR="004716C1">
        <w:rPr>
          <w:sz w:val="28"/>
          <w:szCs w:val="28"/>
          <w:lang w:val="ru-RU"/>
        </w:rPr>
        <w:t xml:space="preserve"> факторов риска развития ишемической болезни сердца, артериальной гипертензии</w:t>
      </w:r>
      <w:r>
        <w:rPr>
          <w:sz w:val="28"/>
          <w:szCs w:val="28"/>
          <w:lang w:val="ru-RU"/>
        </w:rPr>
        <w:t xml:space="preserve">, цереброваскулярной патологии, а также метаболических нарушений. </w:t>
      </w:r>
      <w:r w:rsidR="004716C1">
        <w:rPr>
          <w:sz w:val="28"/>
          <w:szCs w:val="28"/>
          <w:lang w:val="ru-RU"/>
        </w:rPr>
        <w:t xml:space="preserve">Так, повышение артериального давления в 6 раз чаще встречается у лиц с ожирением, чем </w:t>
      </w:r>
      <w:proofErr w:type="gramStart"/>
      <w:r w:rsidR="004716C1">
        <w:rPr>
          <w:sz w:val="28"/>
          <w:szCs w:val="28"/>
          <w:lang w:val="ru-RU"/>
        </w:rPr>
        <w:t>у</w:t>
      </w:r>
      <w:proofErr w:type="gramEnd"/>
      <w:r w:rsidR="004716C1">
        <w:rPr>
          <w:sz w:val="28"/>
          <w:szCs w:val="28"/>
          <w:lang w:val="ru-RU"/>
        </w:rPr>
        <w:t xml:space="preserve"> худых [2, книга]. </w:t>
      </w:r>
    </w:p>
    <w:p w:rsidR="00E14973" w:rsidRDefault="00CC0085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сахарного диабета 2 типа (СД 2 типа) в 65% случаев также </w:t>
      </w:r>
      <w:r w:rsidR="007A35B6">
        <w:rPr>
          <w:sz w:val="28"/>
          <w:szCs w:val="28"/>
          <w:lang w:val="ru-RU"/>
        </w:rPr>
        <w:t xml:space="preserve">происходит </w:t>
      </w:r>
      <w:r>
        <w:rPr>
          <w:sz w:val="28"/>
          <w:szCs w:val="28"/>
          <w:lang w:val="ru-RU"/>
        </w:rPr>
        <w:t>в связи с повышением массы тела.</w:t>
      </w:r>
      <w:r w:rsidR="00A23F80">
        <w:rPr>
          <w:sz w:val="28"/>
          <w:szCs w:val="28"/>
          <w:lang w:val="ru-RU"/>
        </w:rPr>
        <w:t xml:space="preserve"> </w:t>
      </w:r>
      <w:r w:rsidR="007929EC">
        <w:rPr>
          <w:sz w:val="28"/>
          <w:szCs w:val="28"/>
          <w:lang w:val="ru-RU"/>
        </w:rPr>
        <w:t>Заболеваемость кардиоваску</w:t>
      </w:r>
      <w:r w:rsidR="00BA1495">
        <w:rPr>
          <w:sz w:val="28"/>
          <w:szCs w:val="28"/>
          <w:lang w:val="ru-RU"/>
        </w:rPr>
        <w:t>л</w:t>
      </w:r>
      <w:r w:rsidR="007929EC">
        <w:rPr>
          <w:sz w:val="28"/>
          <w:szCs w:val="28"/>
          <w:lang w:val="ru-RU"/>
        </w:rPr>
        <w:t>ярной</w:t>
      </w:r>
      <w:r w:rsidR="00BA1495">
        <w:rPr>
          <w:sz w:val="28"/>
          <w:szCs w:val="28"/>
          <w:lang w:val="ru-RU"/>
        </w:rPr>
        <w:t xml:space="preserve"> патологией при СД 2 типа выше в 3-4 раза, смертность от этой патологии достигает 80-90% случаев. </w:t>
      </w:r>
      <w:r w:rsidR="00A23F80">
        <w:rPr>
          <w:sz w:val="28"/>
          <w:szCs w:val="28"/>
          <w:lang w:val="ru-RU"/>
        </w:rPr>
        <w:t>Сосудистые осложнения, включая ухудшение сократительной способности миокарда</w:t>
      </w:r>
      <w:r w:rsidR="00DC10EC">
        <w:rPr>
          <w:sz w:val="28"/>
          <w:szCs w:val="28"/>
          <w:lang w:val="ru-RU"/>
        </w:rPr>
        <w:t xml:space="preserve"> и пролиферативные изменения, являются наиболее важными осложнениями, ассоциированными с СД.</w:t>
      </w:r>
      <w:r w:rsidR="00483742">
        <w:rPr>
          <w:sz w:val="28"/>
          <w:szCs w:val="28"/>
          <w:lang w:val="ru-RU"/>
        </w:rPr>
        <w:t xml:space="preserve"> </w:t>
      </w:r>
      <w:r w:rsidR="00645094">
        <w:rPr>
          <w:sz w:val="28"/>
          <w:szCs w:val="28"/>
          <w:lang w:val="ru-RU"/>
        </w:rPr>
        <w:t xml:space="preserve">Установлено, что </w:t>
      </w:r>
      <w:proofErr w:type="spellStart"/>
      <w:r w:rsidR="00645094">
        <w:rPr>
          <w:sz w:val="28"/>
          <w:szCs w:val="28"/>
          <w:lang w:val="ru-RU"/>
        </w:rPr>
        <w:t>макрососудистые</w:t>
      </w:r>
      <w:proofErr w:type="spellEnd"/>
      <w:r w:rsidR="00645094">
        <w:rPr>
          <w:sz w:val="28"/>
          <w:szCs w:val="28"/>
          <w:lang w:val="ru-RU"/>
        </w:rPr>
        <w:t xml:space="preserve"> поражения начинаются гораздо раньше развития СД 2 типа, когда уровень </w:t>
      </w:r>
      <w:r w:rsidR="00767F97">
        <w:rPr>
          <w:sz w:val="28"/>
          <w:szCs w:val="28"/>
          <w:lang w:val="ru-RU"/>
        </w:rPr>
        <w:t>гликемии</w:t>
      </w:r>
      <w:r w:rsidR="00645094">
        <w:rPr>
          <w:sz w:val="28"/>
          <w:szCs w:val="28"/>
          <w:lang w:val="ru-RU"/>
        </w:rPr>
        <w:t xml:space="preserve"> незначительно</w:t>
      </w:r>
      <w:r w:rsidR="00767F97">
        <w:rPr>
          <w:sz w:val="28"/>
          <w:szCs w:val="28"/>
          <w:lang w:val="ru-RU"/>
        </w:rPr>
        <w:t xml:space="preserve"> превышает нормальные показатели</w:t>
      </w:r>
      <w:r w:rsidR="00645094">
        <w:rPr>
          <w:sz w:val="28"/>
          <w:szCs w:val="28"/>
          <w:lang w:val="ru-RU"/>
        </w:rPr>
        <w:t xml:space="preserve"> [3]. Естественное прогрессирование от состояния </w:t>
      </w:r>
      <w:proofErr w:type="spellStart"/>
      <w:r w:rsidR="00645094">
        <w:rPr>
          <w:sz w:val="28"/>
          <w:szCs w:val="28"/>
          <w:lang w:val="ru-RU"/>
        </w:rPr>
        <w:t>нормогликемии</w:t>
      </w:r>
      <w:proofErr w:type="spellEnd"/>
      <w:r w:rsidR="00645094">
        <w:rPr>
          <w:sz w:val="28"/>
          <w:szCs w:val="28"/>
          <w:lang w:val="ru-RU"/>
        </w:rPr>
        <w:t xml:space="preserve"> к СД 2 типа определяют понятием «</w:t>
      </w:r>
      <w:proofErr w:type="spellStart"/>
      <w:r w:rsidR="00645094">
        <w:rPr>
          <w:sz w:val="28"/>
          <w:szCs w:val="28"/>
          <w:lang w:val="ru-RU"/>
        </w:rPr>
        <w:t>предиабет</w:t>
      </w:r>
      <w:proofErr w:type="spellEnd"/>
      <w:r w:rsidR="00645094">
        <w:rPr>
          <w:sz w:val="28"/>
          <w:szCs w:val="28"/>
          <w:lang w:val="ru-RU"/>
        </w:rPr>
        <w:t>», которое включает в себя гипергликемию натощак и/или нарушение толерантности к глюкозе.</w:t>
      </w:r>
      <w:r w:rsidR="00AF1E49">
        <w:rPr>
          <w:sz w:val="28"/>
          <w:szCs w:val="28"/>
          <w:lang w:val="ru-RU"/>
        </w:rPr>
        <w:t xml:space="preserve"> </w:t>
      </w:r>
      <w:proofErr w:type="spellStart"/>
      <w:r w:rsidR="00AF1E49">
        <w:rPr>
          <w:sz w:val="28"/>
          <w:szCs w:val="28"/>
          <w:lang w:val="ru-RU"/>
        </w:rPr>
        <w:t>Инсулинорезистентность</w:t>
      </w:r>
      <w:proofErr w:type="spellEnd"/>
      <w:r w:rsidR="00AF1E49">
        <w:rPr>
          <w:sz w:val="28"/>
          <w:szCs w:val="28"/>
          <w:lang w:val="ru-RU"/>
        </w:rPr>
        <w:t>, которая возникает у больш</w:t>
      </w:r>
      <w:r w:rsidR="00744C9D">
        <w:rPr>
          <w:sz w:val="28"/>
          <w:szCs w:val="28"/>
          <w:lang w:val="ru-RU"/>
        </w:rPr>
        <w:t xml:space="preserve">инства больных с ожирением и </w:t>
      </w:r>
      <w:proofErr w:type="spellStart"/>
      <w:r w:rsidR="00744C9D">
        <w:rPr>
          <w:sz w:val="28"/>
          <w:szCs w:val="28"/>
          <w:lang w:val="ru-RU"/>
        </w:rPr>
        <w:t>дис</w:t>
      </w:r>
      <w:r w:rsidR="00AF1E49">
        <w:rPr>
          <w:sz w:val="28"/>
          <w:szCs w:val="28"/>
          <w:lang w:val="ru-RU"/>
        </w:rPr>
        <w:t>гликемией</w:t>
      </w:r>
      <w:proofErr w:type="spellEnd"/>
      <w:r w:rsidR="00AF1E49">
        <w:rPr>
          <w:sz w:val="28"/>
          <w:szCs w:val="28"/>
          <w:lang w:val="ru-RU"/>
        </w:rPr>
        <w:t xml:space="preserve">, является одним </w:t>
      </w:r>
      <w:r w:rsidR="00214997">
        <w:rPr>
          <w:sz w:val="28"/>
          <w:szCs w:val="28"/>
          <w:lang w:val="ru-RU"/>
        </w:rPr>
        <w:t>из</w:t>
      </w:r>
      <w:r w:rsidR="00AF1E49">
        <w:rPr>
          <w:sz w:val="28"/>
          <w:szCs w:val="28"/>
          <w:lang w:val="ru-RU"/>
        </w:rPr>
        <w:t xml:space="preserve"> основных</w:t>
      </w:r>
      <w:r w:rsidR="00214997">
        <w:rPr>
          <w:sz w:val="28"/>
          <w:szCs w:val="28"/>
          <w:lang w:val="ru-RU"/>
        </w:rPr>
        <w:t xml:space="preserve"> </w:t>
      </w:r>
      <w:r w:rsidR="00AF1E49">
        <w:rPr>
          <w:sz w:val="28"/>
          <w:szCs w:val="28"/>
          <w:lang w:val="ru-RU"/>
        </w:rPr>
        <w:t xml:space="preserve">пусковых </w:t>
      </w:r>
      <w:r w:rsidR="00214997">
        <w:rPr>
          <w:sz w:val="28"/>
          <w:szCs w:val="28"/>
          <w:lang w:val="ru-RU"/>
        </w:rPr>
        <w:t>механизмов</w:t>
      </w:r>
      <w:r w:rsidR="00AF1E49">
        <w:rPr>
          <w:sz w:val="28"/>
          <w:szCs w:val="28"/>
          <w:lang w:val="ru-RU"/>
        </w:rPr>
        <w:t xml:space="preserve"> усугубления кардиоваскулярного риска, так как способствует развитию </w:t>
      </w:r>
      <w:proofErr w:type="spellStart"/>
      <w:r w:rsidR="00AF1E49">
        <w:rPr>
          <w:sz w:val="28"/>
          <w:szCs w:val="28"/>
          <w:lang w:val="ru-RU"/>
        </w:rPr>
        <w:t>дислипидемии</w:t>
      </w:r>
      <w:proofErr w:type="spellEnd"/>
      <w:r w:rsidR="00AF1E49">
        <w:rPr>
          <w:sz w:val="28"/>
          <w:szCs w:val="28"/>
          <w:lang w:val="ru-RU"/>
        </w:rPr>
        <w:t xml:space="preserve"> с увеличением уровня </w:t>
      </w:r>
      <w:proofErr w:type="spellStart"/>
      <w:r w:rsidR="00AF1E49">
        <w:rPr>
          <w:sz w:val="28"/>
          <w:szCs w:val="28"/>
          <w:lang w:val="ru-RU"/>
        </w:rPr>
        <w:t>триглицеридов</w:t>
      </w:r>
      <w:proofErr w:type="spellEnd"/>
      <w:r w:rsidR="00AF1E49">
        <w:rPr>
          <w:sz w:val="28"/>
          <w:szCs w:val="28"/>
          <w:lang w:val="ru-RU"/>
        </w:rPr>
        <w:t xml:space="preserve">, холестерина липопротеидов очень низкой плотности. </w:t>
      </w:r>
      <w:r w:rsidR="00E82338">
        <w:rPr>
          <w:sz w:val="28"/>
          <w:szCs w:val="28"/>
          <w:lang w:val="ru-RU"/>
        </w:rPr>
        <w:t xml:space="preserve">Также при </w:t>
      </w:r>
      <w:proofErr w:type="gramStart"/>
      <w:r w:rsidR="00E82338">
        <w:rPr>
          <w:sz w:val="28"/>
          <w:szCs w:val="28"/>
          <w:lang w:val="ru-RU"/>
        </w:rPr>
        <w:t>сопутствующем</w:t>
      </w:r>
      <w:proofErr w:type="gramEnd"/>
      <w:r w:rsidR="00E82338">
        <w:rPr>
          <w:sz w:val="28"/>
          <w:szCs w:val="28"/>
          <w:lang w:val="ru-RU"/>
        </w:rPr>
        <w:t xml:space="preserve"> СД 2 типа снижаются </w:t>
      </w:r>
      <w:proofErr w:type="spellStart"/>
      <w:r w:rsidR="00E82338">
        <w:rPr>
          <w:sz w:val="28"/>
          <w:szCs w:val="28"/>
          <w:lang w:val="ru-RU"/>
        </w:rPr>
        <w:t>протективные</w:t>
      </w:r>
      <w:proofErr w:type="spellEnd"/>
      <w:r w:rsidR="00E82338">
        <w:rPr>
          <w:sz w:val="28"/>
          <w:szCs w:val="28"/>
          <w:lang w:val="ru-RU"/>
        </w:rPr>
        <w:t xml:space="preserve"> свойства липопротеидов высокой плотности [4]. </w:t>
      </w:r>
      <w:r w:rsidR="007929EC">
        <w:rPr>
          <w:sz w:val="28"/>
          <w:szCs w:val="28"/>
          <w:lang w:val="ru-RU"/>
        </w:rPr>
        <w:t>Таким образом, у</w:t>
      </w:r>
      <w:r w:rsidR="00E82338">
        <w:rPr>
          <w:sz w:val="28"/>
          <w:szCs w:val="28"/>
          <w:lang w:val="ru-RU"/>
        </w:rPr>
        <w:t xml:space="preserve"> больных ГБ в сочетании с ожирением</w:t>
      </w:r>
      <w:r w:rsidR="007A35B6">
        <w:rPr>
          <w:sz w:val="28"/>
          <w:szCs w:val="28"/>
          <w:lang w:val="ru-RU"/>
        </w:rPr>
        <w:t xml:space="preserve"> развивается </w:t>
      </w:r>
      <w:proofErr w:type="spellStart"/>
      <w:r w:rsidR="007A35B6">
        <w:rPr>
          <w:sz w:val="28"/>
          <w:szCs w:val="28"/>
          <w:lang w:val="ru-RU"/>
        </w:rPr>
        <w:t>атерогенная</w:t>
      </w:r>
      <w:proofErr w:type="spellEnd"/>
      <w:r w:rsidR="007A35B6">
        <w:rPr>
          <w:sz w:val="28"/>
          <w:szCs w:val="28"/>
          <w:lang w:val="ru-RU"/>
        </w:rPr>
        <w:t xml:space="preserve"> направленность </w:t>
      </w:r>
      <w:proofErr w:type="spellStart"/>
      <w:r w:rsidR="007A35B6">
        <w:rPr>
          <w:sz w:val="28"/>
          <w:szCs w:val="28"/>
          <w:lang w:val="ru-RU"/>
        </w:rPr>
        <w:t>дислипидемии</w:t>
      </w:r>
      <w:proofErr w:type="spellEnd"/>
      <w:r w:rsidR="007A35B6">
        <w:rPr>
          <w:sz w:val="28"/>
          <w:szCs w:val="28"/>
          <w:lang w:val="ru-RU"/>
        </w:rPr>
        <w:t xml:space="preserve"> [2].</w:t>
      </w:r>
    </w:p>
    <w:p w:rsidR="009362CF" w:rsidRDefault="009362CF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Несфатин-1 представляет собой пептид, состоящий из 82 аминокислот, </w:t>
      </w:r>
      <w:r w:rsidR="00482F29">
        <w:rPr>
          <w:sz w:val="28"/>
          <w:szCs w:val="28"/>
          <w:lang w:val="ru-RU"/>
        </w:rPr>
        <w:t xml:space="preserve">который секретируется нейронами ядер гипоталамуса, а также </w:t>
      </w:r>
      <w:proofErr w:type="spellStart"/>
      <w:r w:rsidR="00482F29">
        <w:rPr>
          <w:sz w:val="28"/>
          <w:szCs w:val="28"/>
          <w:lang w:val="ru-RU"/>
        </w:rPr>
        <w:t>адипоцитами</w:t>
      </w:r>
      <w:proofErr w:type="spellEnd"/>
      <w:r w:rsidR="00482F29">
        <w:rPr>
          <w:sz w:val="28"/>
          <w:szCs w:val="28"/>
          <w:lang w:val="ru-RU"/>
        </w:rPr>
        <w:t xml:space="preserve"> жировой ткани, </w:t>
      </w:r>
      <w:proofErr w:type="gramStart"/>
      <w:r w:rsidR="00482F29">
        <w:rPr>
          <w:sz w:val="28"/>
          <w:szCs w:val="28"/>
          <w:lang w:val="ru-RU"/>
        </w:rPr>
        <w:t>β-</w:t>
      </w:r>
      <w:proofErr w:type="gramEnd"/>
      <w:r w:rsidR="00482F29">
        <w:rPr>
          <w:sz w:val="28"/>
          <w:szCs w:val="28"/>
          <w:lang w:val="ru-RU"/>
        </w:rPr>
        <w:t>клетками поджелудочной железы и др. [5</w:t>
      </w:r>
      <w:r w:rsidR="00482F29" w:rsidRPr="00482F29">
        <w:rPr>
          <w:sz w:val="28"/>
          <w:szCs w:val="28"/>
          <w:lang w:val="ru-RU"/>
        </w:rPr>
        <w:t>]</w:t>
      </w:r>
      <w:r w:rsidR="00482F29">
        <w:rPr>
          <w:sz w:val="28"/>
          <w:szCs w:val="28"/>
          <w:lang w:val="ru-RU"/>
        </w:rPr>
        <w:t xml:space="preserve">. Проведенные ранее исследования, изучающие влияние данного </w:t>
      </w:r>
      <w:proofErr w:type="spellStart"/>
      <w:r w:rsidR="00482F29">
        <w:rPr>
          <w:sz w:val="28"/>
          <w:szCs w:val="28"/>
          <w:lang w:val="ru-RU"/>
        </w:rPr>
        <w:t>цитокина</w:t>
      </w:r>
      <w:proofErr w:type="spellEnd"/>
      <w:r w:rsidR="00482F29">
        <w:rPr>
          <w:sz w:val="28"/>
          <w:szCs w:val="28"/>
          <w:lang w:val="ru-RU"/>
        </w:rPr>
        <w:t xml:space="preserve"> на разные органы и </w:t>
      </w:r>
      <w:r w:rsidR="00482F29">
        <w:rPr>
          <w:sz w:val="28"/>
          <w:szCs w:val="28"/>
          <w:lang w:val="ru-RU"/>
        </w:rPr>
        <w:lastRenderedPageBreak/>
        <w:t xml:space="preserve">системы, </w:t>
      </w:r>
      <w:r w:rsidR="006B290B">
        <w:rPr>
          <w:sz w:val="28"/>
          <w:szCs w:val="28"/>
          <w:lang w:val="ru-RU"/>
        </w:rPr>
        <w:t xml:space="preserve">свидетельствуют как </w:t>
      </w:r>
      <w:proofErr w:type="gramStart"/>
      <w:r w:rsidR="006B290B">
        <w:rPr>
          <w:sz w:val="28"/>
          <w:szCs w:val="28"/>
          <w:lang w:val="ru-RU"/>
        </w:rPr>
        <w:t>о</w:t>
      </w:r>
      <w:proofErr w:type="gramEnd"/>
      <w:r w:rsidR="006B290B">
        <w:rPr>
          <w:sz w:val="28"/>
          <w:szCs w:val="28"/>
          <w:lang w:val="ru-RU"/>
        </w:rPr>
        <w:t xml:space="preserve"> положительных, так и об отрицательных качествах несфатина-1. Так, например, установлено, что повышение уровня несфатина-1 сопровождается повышением давления </w:t>
      </w:r>
      <w:r w:rsidR="006B290B" w:rsidRPr="006B290B">
        <w:rPr>
          <w:sz w:val="28"/>
          <w:szCs w:val="28"/>
          <w:lang w:val="ru-RU"/>
        </w:rPr>
        <w:t>[</w:t>
      </w:r>
      <w:r w:rsidR="006B290B">
        <w:rPr>
          <w:sz w:val="28"/>
          <w:szCs w:val="28"/>
          <w:lang w:val="ru-RU"/>
        </w:rPr>
        <w:t>6</w:t>
      </w:r>
      <w:r w:rsidR="00456352">
        <w:rPr>
          <w:sz w:val="28"/>
          <w:szCs w:val="28"/>
          <w:lang w:val="ru-RU"/>
        </w:rPr>
        <w:t>, 7</w:t>
      </w:r>
      <w:r w:rsidR="006B290B" w:rsidRPr="006B290B">
        <w:rPr>
          <w:sz w:val="28"/>
          <w:szCs w:val="28"/>
          <w:lang w:val="ru-RU"/>
        </w:rPr>
        <w:t>]</w:t>
      </w:r>
      <w:r w:rsidR="009A68D4">
        <w:rPr>
          <w:sz w:val="28"/>
          <w:szCs w:val="28"/>
          <w:lang w:val="ru-RU"/>
        </w:rPr>
        <w:t xml:space="preserve">, снижением массы тела [7] и </w:t>
      </w:r>
      <w:proofErr w:type="spellStart"/>
      <w:r w:rsidR="000104F0" w:rsidRPr="000104F0">
        <w:rPr>
          <w:sz w:val="28"/>
          <w:szCs w:val="28"/>
          <w:lang w:val="ru-RU"/>
        </w:rPr>
        <w:t>глюкозозависимым</w:t>
      </w:r>
      <w:proofErr w:type="spellEnd"/>
      <w:r w:rsidR="000104F0" w:rsidRPr="000104F0">
        <w:rPr>
          <w:sz w:val="28"/>
          <w:szCs w:val="28"/>
          <w:lang w:val="ru-RU"/>
        </w:rPr>
        <w:t xml:space="preserve"> </w:t>
      </w:r>
      <w:r w:rsidR="009A68D4">
        <w:rPr>
          <w:sz w:val="28"/>
          <w:szCs w:val="28"/>
          <w:lang w:val="ru-RU"/>
        </w:rPr>
        <w:t xml:space="preserve">увеличением секреции инсулина </w:t>
      </w:r>
      <w:proofErr w:type="gramStart"/>
      <w:r w:rsidR="009A68D4">
        <w:rPr>
          <w:sz w:val="28"/>
          <w:szCs w:val="28"/>
          <w:lang w:val="ru-RU"/>
        </w:rPr>
        <w:t>β-</w:t>
      </w:r>
      <w:proofErr w:type="gramEnd"/>
      <w:r w:rsidR="009A68D4">
        <w:rPr>
          <w:sz w:val="28"/>
          <w:szCs w:val="28"/>
          <w:lang w:val="ru-RU"/>
        </w:rPr>
        <w:t>клетками поджелудочной железы при увеличении уровня глюкозы крови</w:t>
      </w:r>
      <w:r w:rsidR="00E82338">
        <w:rPr>
          <w:sz w:val="28"/>
          <w:szCs w:val="28"/>
          <w:lang w:val="ru-RU"/>
        </w:rPr>
        <w:t xml:space="preserve"> [8]</w:t>
      </w:r>
      <w:r w:rsidR="009A68D4">
        <w:rPr>
          <w:sz w:val="28"/>
          <w:szCs w:val="28"/>
          <w:lang w:val="ru-RU"/>
        </w:rPr>
        <w:t>. Выявленные клинические эффекты</w:t>
      </w:r>
      <w:r w:rsidR="006B290B">
        <w:rPr>
          <w:sz w:val="28"/>
          <w:szCs w:val="28"/>
          <w:lang w:val="ru-RU"/>
        </w:rPr>
        <w:t xml:space="preserve"> </w:t>
      </w:r>
      <w:r w:rsidR="009A68D4">
        <w:rPr>
          <w:sz w:val="28"/>
          <w:szCs w:val="28"/>
          <w:lang w:val="ru-RU"/>
        </w:rPr>
        <w:t>дают основание предполагать</w:t>
      </w:r>
      <w:r w:rsidR="00482F29">
        <w:rPr>
          <w:sz w:val="28"/>
          <w:szCs w:val="28"/>
          <w:lang w:val="ru-RU"/>
        </w:rPr>
        <w:t xml:space="preserve"> активную роль несфатина-1 в патогенезе развития кардиоваскулярной патологии.</w:t>
      </w:r>
      <w:r w:rsidR="009A68D4">
        <w:rPr>
          <w:sz w:val="28"/>
          <w:szCs w:val="28"/>
          <w:lang w:val="ru-RU"/>
        </w:rPr>
        <w:t xml:space="preserve"> </w:t>
      </w:r>
      <w:r w:rsidR="006B290B">
        <w:rPr>
          <w:sz w:val="28"/>
          <w:szCs w:val="28"/>
          <w:lang w:val="ru-RU"/>
        </w:rPr>
        <w:t xml:space="preserve"> </w:t>
      </w:r>
    </w:p>
    <w:p w:rsidR="009A68D4" w:rsidRDefault="009A68D4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A68D4" w:rsidRPr="00482F29" w:rsidRDefault="009A68D4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исследования </w:t>
      </w:r>
      <w:r w:rsidR="002477D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2477D8">
        <w:rPr>
          <w:sz w:val="28"/>
          <w:szCs w:val="28"/>
          <w:lang w:val="ru-RU"/>
        </w:rPr>
        <w:t>изучение взаимосвязи уровня не</w:t>
      </w:r>
      <w:r w:rsidR="00984F5B">
        <w:rPr>
          <w:sz w:val="28"/>
          <w:szCs w:val="28"/>
          <w:lang w:val="ru-RU"/>
        </w:rPr>
        <w:t>сфатина-1 с</w:t>
      </w:r>
      <w:r w:rsidR="002477D8">
        <w:rPr>
          <w:sz w:val="28"/>
          <w:szCs w:val="28"/>
          <w:lang w:val="ru-RU"/>
        </w:rPr>
        <w:t xml:space="preserve"> нарушениями</w:t>
      </w:r>
      <w:r w:rsidR="00984F5B">
        <w:rPr>
          <w:sz w:val="28"/>
          <w:szCs w:val="28"/>
          <w:lang w:val="ru-RU"/>
        </w:rPr>
        <w:t xml:space="preserve"> липидного профиля</w:t>
      </w:r>
      <w:r w:rsidR="002477D8">
        <w:rPr>
          <w:sz w:val="28"/>
          <w:szCs w:val="28"/>
          <w:lang w:val="ru-RU"/>
        </w:rPr>
        <w:t xml:space="preserve"> </w:t>
      </w:r>
      <w:r w:rsidR="00984F5B">
        <w:rPr>
          <w:sz w:val="28"/>
          <w:szCs w:val="28"/>
          <w:lang w:val="ru-RU"/>
        </w:rPr>
        <w:t xml:space="preserve">при </w:t>
      </w:r>
      <w:proofErr w:type="spellStart"/>
      <w:r w:rsidR="00984F5B">
        <w:rPr>
          <w:sz w:val="28"/>
          <w:szCs w:val="28"/>
          <w:lang w:val="ru-RU"/>
        </w:rPr>
        <w:t>предиабете</w:t>
      </w:r>
      <w:proofErr w:type="spellEnd"/>
      <w:r w:rsidR="00984F5B">
        <w:rPr>
          <w:sz w:val="28"/>
          <w:szCs w:val="28"/>
          <w:lang w:val="ru-RU"/>
        </w:rPr>
        <w:t xml:space="preserve"> и сахарном диабете 2 типа </w:t>
      </w:r>
      <w:r w:rsidR="002477D8">
        <w:rPr>
          <w:sz w:val="28"/>
          <w:szCs w:val="28"/>
          <w:lang w:val="ru-RU"/>
        </w:rPr>
        <w:t>у паци</w:t>
      </w:r>
      <w:r w:rsidR="00767F97">
        <w:rPr>
          <w:sz w:val="28"/>
          <w:szCs w:val="28"/>
          <w:lang w:val="ru-RU"/>
        </w:rPr>
        <w:t xml:space="preserve">ентов с </w:t>
      </w:r>
      <w:r w:rsidR="002477D8">
        <w:rPr>
          <w:sz w:val="28"/>
          <w:szCs w:val="28"/>
          <w:lang w:val="ru-RU"/>
        </w:rPr>
        <w:t>гиперт</w:t>
      </w:r>
      <w:r w:rsidR="00767F97">
        <w:rPr>
          <w:sz w:val="28"/>
          <w:szCs w:val="28"/>
          <w:lang w:val="ru-RU"/>
        </w:rPr>
        <w:t>онической болезнью</w:t>
      </w:r>
      <w:r w:rsidR="00984F5B">
        <w:rPr>
          <w:sz w:val="28"/>
          <w:szCs w:val="28"/>
          <w:lang w:val="ru-RU"/>
        </w:rPr>
        <w:t xml:space="preserve"> и ожирением.</w:t>
      </w:r>
    </w:p>
    <w:p w:rsidR="00CF7A99" w:rsidRPr="00CF7A99" w:rsidRDefault="00CF7A99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E5AE8" w:rsidRPr="006166B7" w:rsidRDefault="00EC3941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b/>
          <w:sz w:val="28"/>
          <w:szCs w:val="28"/>
          <w:lang w:val="ru-RU"/>
        </w:rPr>
        <w:t>Материалы и методы исследования</w:t>
      </w:r>
    </w:p>
    <w:p w:rsidR="009C11EF" w:rsidRPr="006166B7" w:rsidRDefault="008F1B85" w:rsidP="002F45E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>В</w:t>
      </w:r>
      <w:r w:rsidR="009C11EF" w:rsidRPr="006166B7">
        <w:rPr>
          <w:sz w:val="28"/>
          <w:szCs w:val="28"/>
          <w:lang w:val="ru-RU"/>
        </w:rPr>
        <w:t xml:space="preserve"> и</w:t>
      </w:r>
      <w:r w:rsidR="00C90C15" w:rsidRPr="006166B7">
        <w:rPr>
          <w:sz w:val="28"/>
          <w:szCs w:val="28"/>
          <w:lang w:val="ru-RU"/>
        </w:rPr>
        <w:t>сследовании приняли участие 57</w:t>
      </w:r>
      <w:r w:rsidRPr="006166B7">
        <w:rPr>
          <w:sz w:val="28"/>
          <w:szCs w:val="28"/>
          <w:lang w:val="ru-RU"/>
        </w:rPr>
        <w:t xml:space="preserve"> больных ГБ</w:t>
      </w:r>
      <w:r w:rsidR="00C90C15" w:rsidRPr="006166B7">
        <w:rPr>
          <w:sz w:val="28"/>
          <w:szCs w:val="28"/>
          <w:lang w:val="ru-RU"/>
        </w:rPr>
        <w:t xml:space="preserve"> с сопутствующим ожирением</w:t>
      </w:r>
      <w:r w:rsidR="00401621">
        <w:rPr>
          <w:sz w:val="28"/>
          <w:szCs w:val="28"/>
          <w:lang w:val="ru-RU"/>
        </w:rPr>
        <w:t xml:space="preserve"> в возрасте от 38 до 76 лет</w:t>
      </w:r>
      <w:r w:rsidRPr="006166B7">
        <w:rPr>
          <w:sz w:val="28"/>
          <w:szCs w:val="28"/>
          <w:lang w:val="ru-RU"/>
        </w:rPr>
        <w:t xml:space="preserve">. Учитывая клиническую характеристику и данные лабораторного обследования, все пациенты были разделены на группы следующим образом: </w:t>
      </w:r>
    </w:p>
    <w:p w:rsidR="009C11EF" w:rsidRPr="006166B7" w:rsidRDefault="00A15459" w:rsidP="00E53E14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F1B85" w:rsidRPr="006166B7">
        <w:rPr>
          <w:sz w:val="28"/>
          <w:szCs w:val="28"/>
          <w:lang w:val="ru-RU"/>
        </w:rPr>
        <w:t xml:space="preserve">1 группа – больные ГБ с </w:t>
      </w:r>
      <w:proofErr w:type="spellStart"/>
      <w:r w:rsidR="008F1B85" w:rsidRPr="006166B7">
        <w:rPr>
          <w:sz w:val="28"/>
          <w:szCs w:val="28"/>
          <w:lang w:val="ru-RU"/>
        </w:rPr>
        <w:t>нормогликемией</w:t>
      </w:r>
      <w:proofErr w:type="spellEnd"/>
      <w:r w:rsidR="009C11EF" w:rsidRPr="006166B7">
        <w:rPr>
          <w:sz w:val="28"/>
          <w:szCs w:val="28"/>
          <w:lang w:val="ru-RU"/>
        </w:rPr>
        <w:t>;</w:t>
      </w:r>
      <w:r w:rsidR="008F1B85" w:rsidRPr="006166B7">
        <w:rPr>
          <w:sz w:val="28"/>
          <w:szCs w:val="28"/>
          <w:lang w:val="ru-RU"/>
        </w:rPr>
        <w:t xml:space="preserve"> </w:t>
      </w:r>
    </w:p>
    <w:p w:rsidR="009C11EF" w:rsidRPr="006166B7" w:rsidRDefault="00A15459" w:rsidP="00E53E14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F1B85" w:rsidRPr="006166B7">
        <w:rPr>
          <w:sz w:val="28"/>
          <w:szCs w:val="28"/>
          <w:lang w:val="ru-RU"/>
        </w:rPr>
        <w:t xml:space="preserve">2 группа – ГБ в сочетании </w:t>
      </w:r>
      <w:proofErr w:type="gramStart"/>
      <w:r w:rsidR="008F1B85" w:rsidRPr="006166B7">
        <w:rPr>
          <w:sz w:val="28"/>
          <w:szCs w:val="28"/>
          <w:lang w:val="ru-RU"/>
        </w:rPr>
        <w:t>с</w:t>
      </w:r>
      <w:proofErr w:type="gramEnd"/>
      <w:r w:rsidR="008F1B85" w:rsidRPr="006166B7">
        <w:rPr>
          <w:sz w:val="28"/>
          <w:szCs w:val="28"/>
          <w:lang w:val="ru-RU"/>
        </w:rPr>
        <w:t xml:space="preserve"> выявленным </w:t>
      </w:r>
      <w:proofErr w:type="spellStart"/>
      <w:r w:rsidR="008F1B85" w:rsidRPr="006166B7">
        <w:rPr>
          <w:sz w:val="28"/>
          <w:szCs w:val="28"/>
          <w:lang w:val="ru-RU"/>
        </w:rPr>
        <w:t>предиабетом</w:t>
      </w:r>
      <w:proofErr w:type="spellEnd"/>
      <w:r w:rsidR="009C11EF" w:rsidRPr="006166B7">
        <w:rPr>
          <w:sz w:val="28"/>
          <w:szCs w:val="28"/>
          <w:lang w:val="ru-RU"/>
        </w:rPr>
        <w:t>;</w:t>
      </w:r>
      <w:r w:rsidR="008F1B85" w:rsidRPr="006166B7">
        <w:rPr>
          <w:sz w:val="28"/>
          <w:szCs w:val="28"/>
          <w:lang w:val="ru-RU"/>
        </w:rPr>
        <w:t xml:space="preserve"> </w:t>
      </w:r>
    </w:p>
    <w:p w:rsidR="009C11EF" w:rsidRPr="006166B7" w:rsidRDefault="00A15459" w:rsidP="00E53E14">
      <w:pPr>
        <w:spacing w:line="360" w:lineRule="auto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8F1B85" w:rsidRPr="006166B7">
        <w:rPr>
          <w:sz w:val="28"/>
          <w:szCs w:val="28"/>
          <w:lang w:val="ru-RU"/>
        </w:rPr>
        <w:t xml:space="preserve">3 группа – ГБ с сопутствующим СД 2 типа. </w:t>
      </w:r>
      <w:proofErr w:type="gramEnd"/>
    </w:p>
    <w:p w:rsidR="008F1B85" w:rsidRPr="006166B7" w:rsidRDefault="008F1B85" w:rsidP="00E53E14">
      <w:pPr>
        <w:spacing w:line="360" w:lineRule="auto"/>
        <w:ind w:firstLine="709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>Контрольную группу состав</w:t>
      </w:r>
      <w:r w:rsidR="00384277" w:rsidRPr="006166B7">
        <w:rPr>
          <w:sz w:val="28"/>
          <w:szCs w:val="28"/>
          <w:lang w:val="ru-RU"/>
        </w:rPr>
        <w:t>или 12 практически здоровых лиц, сопоставимых по полу и возрасту.</w:t>
      </w:r>
    </w:p>
    <w:p w:rsidR="00A15459" w:rsidRPr="006166B7" w:rsidRDefault="00A15459" w:rsidP="00A154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6166B7">
        <w:rPr>
          <w:sz w:val="28"/>
          <w:szCs w:val="28"/>
          <w:lang w:val="ru-RU"/>
        </w:rPr>
        <w:t>Критериями исключения из исследования были следующие: вторичная артериальная гипертензия; сопутствующая аутоиммунная, онкологическая патология; обострение хронических воспалительных процессов; острые инфаркт миокарда, инсульт, лево- или правожелудочковая недостаточность; травматические поражения центральной нервной системы; психические расстройства, алкоголизм, наркомания; сердечная недостаточность более чем II-Б стадии (по Нью-Йоркской классификации).</w:t>
      </w:r>
      <w:proofErr w:type="gramEnd"/>
    </w:p>
    <w:p w:rsidR="00A15459" w:rsidRDefault="00A15459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lastRenderedPageBreak/>
        <w:t>Артериальное давление измеряли в положении пациента сидя после 5-минутного отдыха.</w:t>
      </w:r>
      <w:r>
        <w:rPr>
          <w:sz w:val="28"/>
          <w:szCs w:val="28"/>
          <w:lang w:val="ru-RU"/>
        </w:rPr>
        <w:t xml:space="preserve"> </w:t>
      </w:r>
      <w:r w:rsidR="00384277" w:rsidRPr="006166B7">
        <w:rPr>
          <w:sz w:val="28"/>
          <w:szCs w:val="28"/>
          <w:lang w:val="ru-RU"/>
        </w:rPr>
        <w:t>Диагноз ГБ устанавливался</w:t>
      </w:r>
      <w:r>
        <w:rPr>
          <w:sz w:val="28"/>
          <w:szCs w:val="28"/>
          <w:lang w:val="ru-RU"/>
        </w:rPr>
        <w:t xml:space="preserve"> на основании </w:t>
      </w:r>
      <w:r w:rsidR="008F1B85" w:rsidRPr="006166B7">
        <w:rPr>
          <w:sz w:val="28"/>
          <w:szCs w:val="28"/>
          <w:lang w:val="ru-RU"/>
        </w:rPr>
        <w:t xml:space="preserve">рекомендаций Европейского общества гипертензии (ESH, 2013). </w:t>
      </w:r>
      <w:r w:rsidRPr="006166B7">
        <w:rPr>
          <w:sz w:val="28"/>
          <w:szCs w:val="28"/>
          <w:lang w:val="ru-RU"/>
        </w:rPr>
        <w:t>Всем пациентам проводились антропометрические исследования – измерение роста (см), массы тела (кг) с последующим расчетом индекса массы тела (ИМТ, кг/м</w:t>
      </w:r>
      <w:proofErr w:type="gramStart"/>
      <w:r w:rsidRPr="006166B7">
        <w:rPr>
          <w:sz w:val="28"/>
          <w:szCs w:val="28"/>
          <w:vertAlign w:val="superscript"/>
          <w:lang w:val="ru-RU"/>
        </w:rPr>
        <w:t>2</w:t>
      </w:r>
      <w:proofErr w:type="gramEnd"/>
      <w:r w:rsidRPr="006166B7">
        <w:rPr>
          <w:sz w:val="28"/>
          <w:szCs w:val="28"/>
          <w:lang w:val="ru-RU"/>
        </w:rPr>
        <w:t>) по формуле ИМТ = масса тела/рост</w:t>
      </w:r>
      <w:r w:rsidRPr="006166B7">
        <w:rPr>
          <w:sz w:val="28"/>
          <w:szCs w:val="28"/>
          <w:vertAlign w:val="superscript"/>
          <w:lang w:val="ru-RU"/>
        </w:rPr>
        <w:t>2</w:t>
      </w:r>
      <w:r w:rsidRPr="006166B7">
        <w:rPr>
          <w:sz w:val="28"/>
          <w:szCs w:val="28"/>
          <w:lang w:val="ru-RU"/>
        </w:rPr>
        <w:t>. Наличие ожирения устанавливалось с учетом классификации Всемирной организа</w:t>
      </w:r>
      <w:r>
        <w:rPr>
          <w:sz w:val="28"/>
          <w:szCs w:val="28"/>
          <w:lang w:val="ru-RU"/>
        </w:rPr>
        <w:t>ции здравоохранения (WHO, 2014</w:t>
      </w:r>
      <w:r w:rsidRPr="006166B7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</w:p>
    <w:p w:rsidR="008F1B85" w:rsidRPr="006166B7" w:rsidRDefault="00A15459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>Забор крови на биохимические и иммуноферментные исследования проводился утром натощак. У всех пациентов была определена глюкоза крови натощак</w:t>
      </w:r>
      <w:r w:rsidRPr="006166B7">
        <w:rPr>
          <w:color w:val="212121"/>
          <w:sz w:val="28"/>
          <w:szCs w:val="28"/>
          <w:lang w:val="ru-RU"/>
        </w:rPr>
        <w:t xml:space="preserve"> </w:t>
      </w:r>
      <w:proofErr w:type="spellStart"/>
      <w:r w:rsidRPr="006166B7">
        <w:rPr>
          <w:color w:val="212121"/>
          <w:sz w:val="28"/>
          <w:szCs w:val="28"/>
          <w:lang w:val="ru-RU"/>
        </w:rPr>
        <w:t>глюкозооксидазным</w:t>
      </w:r>
      <w:proofErr w:type="spellEnd"/>
      <w:r w:rsidRPr="006166B7">
        <w:rPr>
          <w:color w:val="212121"/>
          <w:sz w:val="28"/>
          <w:szCs w:val="28"/>
          <w:lang w:val="ru-RU"/>
        </w:rPr>
        <w:t xml:space="preserve"> методом</w:t>
      </w:r>
      <w:r w:rsidRPr="006166B7">
        <w:rPr>
          <w:sz w:val="28"/>
          <w:szCs w:val="28"/>
          <w:lang w:val="ru-RU"/>
        </w:rPr>
        <w:t>. Также п</w:t>
      </w:r>
      <w:r w:rsidRPr="006166B7">
        <w:rPr>
          <w:color w:val="212121"/>
          <w:sz w:val="28"/>
          <w:szCs w:val="28"/>
          <w:lang w:val="ru-RU"/>
        </w:rPr>
        <w:t xml:space="preserve">ри условии </w:t>
      </w:r>
      <w:r w:rsidRPr="006166B7">
        <w:rPr>
          <w:sz w:val="28"/>
          <w:szCs w:val="28"/>
          <w:lang w:val="ru-RU"/>
        </w:rPr>
        <w:t>отсутствия у бол</w:t>
      </w:r>
      <w:r w:rsidR="00CB100A">
        <w:rPr>
          <w:sz w:val="28"/>
          <w:szCs w:val="28"/>
          <w:lang w:val="ru-RU"/>
        </w:rPr>
        <w:t xml:space="preserve">ьного сахарного диабета и при получении информированного </w:t>
      </w:r>
      <w:r w:rsidRPr="006166B7">
        <w:rPr>
          <w:sz w:val="28"/>
          <w:szCs w:val="28"/>
          <w:lang w:val="ru-RU"/>
        </w:rPr>
        <w:t xml:space="preserve">согласия проводился </w:t>
      </w:r>
      <w:proofErr w:type="spellStart"/>
      <w:r w:rsidR="002F45E3" w:rsidRPr="002F45E3">
        <w:rPr>
          <w:sz w:val="28"/>
          <w:szCs w:val="28"/>
          <w:lang w:val="ru-RU"/>
        </w:rPr>
        <w:t>пероральный</w:t>
      </w:r>
      <w:proofErr w:type="spellEnd"/>
      <w:r w:rsidR="002F45E3" w:rsidRPr="002F45E3">
        <w:rPr>
          <w:sz w:val="28"/>
          <w:szCs w:val="28"/>
          <w:lang w:val="ru-RU"/>
        </w:rPr>
        <w:t xml:space="preserve"> </w:t>
      </w:r>
      <w:proofErr w:type="spellStart"/>
      <w:r w:rsidRPr="006166B7">
        <w:rPr>
          <w:sz w:val="28"/>
          <w:szCs w:val="28"/>
          <w:lang w:val="ru-RU"/>
        </w:rPr>
        <w:t>глюкозотолерантный</w:t>
      </w:r>
      <w:proofErr w:type="spellEnd"/>
      <w:r w:rsidRPr="006166B7">
        <w:rPr>
          <w:sz w:val="28"/>
          <w:szCs w:val="28"/>
          <w:lang w:val="ru-RU"/>
        </w:rPr>
        <w:t xml:space="preserve"> тест</w:t>
      </w:r>
      <w:r w:rsidR="00767F97" w:rsidRPr="00767F97">
        <w:rPr>
          <w:sz w:val="28"/>
          <w:szCs w:val="28"/>
          <w:lang w:val="ru-RU"/>
        </w:rPr>
        <w:t xml:space="preserve"> </w:t>
      </w:r>
      <w:r w:rsidR="002F45E3">
        <w:rPr>
          <w:sz w:val="28"/>
          <w:szCs w:val="28"/>
          <w:lang w:val="ru-RU"/>
        </w:rPr>
        <w:t xml:space="preserve">(ПГТТ) </w:t>
      </w:r>
      <w:r w:rsidR="007F2285">
        <w:rPr>
          <w:sz w:val="28"/>
          <w:szCs w:val="28"/>
          <w:lang w:val="ru-RU"/>
        </w:rPr>
        <w:tab/>
      </w:r>
      <w:r w:rsidR="00767F97">
        <w:rPr>
          <w:sz w:val="28"/>
          <w:szCs w:val="28"/>
          <w:lang w:val="ru-RU"/>
        </w:rPr>
        <w:t xml:space="preserve">по методике,  рекомендованной </w:t>
      </w:r>
      <w:proofErr w:type="spellStart"/>
      <w:r w:rsidR="00767F97" w:rsidRPr="006166B7">
        <w:rPr>
          <w:sz w:val="28"/>
          <w:szCs w:val="28"/>
          <w:lang w:val="ru-RU"/>
        </w:rPr>
        <w:t>American</w:t>
      </w:r>
      <w:proofErr w:type="spellEnd"/>
      <w:r w:rsidR="00767F97">
        <w:rPr>
          <w:sz w:val="28"/>
          <w:szCs w:val="28"/>
          <w:lang w:val="ru-RU"/>
        </w:rPr>
        <w:t xml:space="preserve"> </w:t>
      </w:r>
      <w:proofErr w:type="spellStart"/>
      <w:r w:rsidR="00767F97">
        <w:rPr>
          <w:sz w:val="28"/>
          <w:szCs w:val="28"/>
          <w:lang w:val="ru-RU"/>
        </w:rPr>
        <w:t>Diabetes</w:t>
      </w:r>
      <w:proofErr w:type="spellEnd"/>
      <w:r w:rsidR="00767F97">
        <w:rPr>
          <w:sz w:val="28"/>
          <w:szCs w:val="28"/>
          <w:lang w:val="ru-RU"/>
        </w:rPr>
        <w:t xml:space="preserve"> </w:t>
      </w:r>
      <w:proofErr w:type="spellStart"/>
      <w:r w:rsidR="00767F97">
        <w:rPr>
          <w:sz w:val="28"/>
          <w:szCs w:val="28"/>
          <w:lang w:val="ru-RU"/>
        </w:rPr>
        <w:t>Association</w:t>
      </w:r>
      <w:proofErr w:type="spellEnd"/>
      <w:r w:rsidR="00767F97">
        <w:rPr>
          <w:sz w:val="28"/>
          <w:szCs w:val="28"/>
          <w:lang w:val="ru-RU"/>
        </w:rPr>
        <w:t xml:space="preserve"> (ADA, 2013</w:t>
      </w:r>
      <w:r w:rsidR="00767F97" w:rsidRPr="006166B7">
        <w:rPr>
          <w:sz w:val="28"/>
          <w:szCs w:val="28"/>
          <w:lang w:val="ru-RU"/>
        </w:rPr>
        <w:t>)</w:t>
      </w:r>
      <w:r w:rsidRPr="006166B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126BD1" w:rsidRPr="006166B7">
        <w:rPr>
          <w:sz w:val="28"/>
          <w:szCs w:val="28"/>
          <w:lang w:val="ru-RU"/>
        </w:rPr>
        <w:t>Верификация</w:t>
      </w:r>
      <w:r w:rsidR="00384277" w:rsidRPr="006166B7">
        <w:rPr>
          <w:sz w:val="28"/>
          <w:szCs w:val="28"/>
          <w:lang w:val="ru-RU"/>
        </w:rPr>
        <w:t xml:space="preserve"> </w:t>
      </w:r>
      <w:proofErr w:type="spellStart"/>
      <w:r w:rsidR="00FC70F7" w:rsidRPr="006166B7">
        <w:rPr>
          <w:sz w:val="28"/>
          <w:szCs w:val="28"/>
          <w:lang w:val="ru-RU"/>
        </w:rPr>
        <w:t>предиабета</w:t>
      </w:r>
      <w:proofErr w:type="spellEnd"/>
      <w:r w:rsidR="00FC70F7" w:rsidRPr="006166B7">
        <w:rPr>
          <w:sz w:val="28"/>
          <w:szCs w:val="28"/>
          <w:lang w:val="ru-RU"/>
        </w:rPr>
        <w:t xml:space="preserve"> и </w:t>
      </w:r>
      <w:r w:rsidR="00126BD1" w:rsidRPr="006166B7">
        <w:rPr>
          <w:sz w:val="28"/>
          <w:szCs w:val="28"/>
          <w:lang w:val="ru-RU"/>
        </w:rPr>
        <w:t>СД 2 типа проводилась</w:t>
      </w:r>
      <w:r w:rsidR="008F1B85" w:rsidRPr="006166B7">
        <w:rPr>
          <w:sz w:val="28"/>
          <w:szCs w:val="28"/>
          <w:lang w:val="ru-RU"/>
        </w:rPr>
        <w:t xml:space="preserve"> на основании рекомендаций </w:t>
      </w:r>
      <w:r w:rsidR="00767F97">
        <w:rPr>
          <w:sz w:val="28"/>
          <w:szCs w:val="28"/>
          <w:lang w:val="ru-RU"/>
        </w:rPr>
        <w:t>ADA (2014)</w:t>
      </w:r>
      <w:r w:rsidR="008F1B85" w:rsidRPr="006166B7">
        <w:rPr>
          <w:sz w:val="28"/>
          <w:szCs w:val="28"/>
          <w:lang w:val="ru-RU"/>
        </w:rPr>
        <w:t xml:space="preserve">. </w:t>
      </w:r>
    </w:p>
    <w:p w:rsidR="00660BFB" w:rsidRDefault="006F0A11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> Уровень инсулина (</w:t>
      </w:r>
      <w:proofErr w:type="spellStart"/>
      <w:r w:rsidRPr="006166B7">
        <w:rPr>
          <w:sz w:val="28"/>
          <w:szCs w:val="28"/>
          <w:lang w:val="ru-RU"/>
        </w:rPr>
        <w:t>мкМЕ</w:t>
      </w:r>
      <w:proofErr w:type="spellEnd"/>
      <w:r w:rsidRPr="006166B7">
        <w:rPr>
          <w:sz w:val="28"/>
          <w:szCs w:val="28"/>
          <w:lang w:val="ru-RU"/>
        </w:rPr>
        <w:t xml:space="preserve">/мл) определяли с помощью иммуноферментного метода с использованием набора реагентов фирмы «DRG </w:t>
      </w:r>
      <w:proofErr w:type="spellStart"/>
      <w:r w:rsidRPr="006166B7">
        <w:rPr>
          <w:sz w:val="28"/>
          <w:szCs w:val="28"/>
          <w:lang w:val="ru-RU"/>
        </w:rPr>
        <w:t>InstrumentsGmbH</w:t>
      </w:r>
      <w:proofErr w:type="spellEnd"/>
      <w:r w:rsidRPr="006166B7">
        <w:rPr>
          <w:sz w:val="28"/>
          <w:szCs w:val="28"/>
          <w:lang w:val="ru-RU"/>
        </w:rPr>
        <w:t>» (Германия)</w:t>
      </w:r>
      <w:r w:rsidR="001C3FF2" w:rsidRPr="006166B7">
        <w:rPr>
          <w:sz w:val="28"/>
          <w:szCs w:val="28"/>
          <w:lang w:val="ru-RU"/>
        </w:rPr>
        <w:t xml:space="preserve">, </w:t>
      </w:r>
      <w:proofErr w:type="spellStart"/>
      <w:r w:rsidR="001C3FF2" w:rsidRPr="006166B7">
        <w:rPr>
          <w:sz w:val="28"/>
          <w:szCs w:val="28"/>
          <w:lang w:val="ru-RU"/>
        </w:rPr>
        <w:t>референсные</w:t>
      </w:r>
      <w:proofErr w:type="spellEnd"/>
      <w:r w:rsidR="001C3FF2" w:rsidRPr="006166B7">
        <w:rPr>
          <w:sz w:val="28"/>
          <w:szCs w:val="28"/>
          <w:lang w:val="ru-RU"/>
        </w:rPr>
        <w:t xml:space="preserve"> значения 10,86-28,64 </w:t>
      </w:r>
      <w:proofErr w:type="spellStart"/>
      <w:r w:rsidR="001C3FF2" w:rsidRPr="006166B7">
        <w:rPr>
          <w:sz w:val="28"/>
          <w:szCs w:val="28"/>
          <w:lang w:val="ru-RU"/>
        </w:rPr>
        <w:t>мкМЕ</w:t>
      </w:r>
      <w:proofErr w:type="spellEnd"/>
      <w:r w:rsidR="001C3FF2" w:rsidRPr="006166B7">
        <w:rPr>
          <w:sz w:val="28"/>
          <w:szCs w:val="28"/>
          <w:lang w:val="ru-RU"/>
        </w:rPr>
        <w:t>/мл</w:t>
      </w:r>
      <w:r w:rsidRPr="006166B7">
        <w:rPr>
          <w:sz w:val="28"/>
          <w:szCs w:val="28"/>
          <w:lang w:val="ru-RU"/>
        </w:rPr>
        <w:t xml:space="preserve">. </w:t>
      </w:r>
      <w:proofErr w:type="spellStart"/>
      <w:r w:rsidRPr="006166B7">
        <w:rPr>
          <w:sz w:val="28"/>
          <w:szCs w:val="28"/>
          <w:lang w:val="ru-RU"/>
        </w:rPr>
        <w:t>Инсулинорезистентность</w:t>
      </w:r>
      <w:proofErr w:type="spellEnd"/>
      <w:r w:rsidRPr="006166B7">
        <w:rPr>
          <w:sz w:val="28"/>
          <w:szCs w:val="28"/>
          <w:lang w:val="ru-RU"/>
        </w:rPr>
        <w:t xml:space="preserve"> (ИР) оценивали с помощью критерия HOMA-IR (</w:t>
      </w:r>
      <w:proofErr w:type="spellStart"/>
      <w:r w:rsidRPr="006166B7">
        <w:rPr>
          <w:sz w:val="28"/>
          <w:szCs w:val="28"/>
          <w:lang w:val="ru-RU"/>
        </w:rPr>
        <w:t>Homeostasis</w:t>
      </w:r>
      <w:proofErr w:type="spellEnd"/>
      <w:r w:rsidRPr="006166B7">
        <w:rPr>
          <w:sz w:val="28"/>
          <w:szCs w:val="28"/>
          <w:lang w:val="ru-RU"/>
        </w:rPr>
        <w:t xml:space="preserve"> </w:t>
      </w:r>
      <w:proofErr w:type="spellStart"/>
      <w:r w:rsidRPr="006166B7">
        <w:rPr>
          <w:sz w:val="28"/>
          <w:szCs w:val="28"/>
          <w:lang w:val="ru-RU"/>
        </w:rPr>
        <w:t>Model</w:t>
      </w:r>
      <w:proofErr w:type="spellEnd"/>
      <w:r w:rsidRPr="006166B7">
        <w:rPr>
          <w:sz w:val="28"/>
          <w:szCs w:val="28"/>
          <w:lang w:val="ru-RU"/>
        </w:rPr>
        <w:t xml:space="preserve"> </w:t>
      </w:r>
      <w:proofErr w:type="spellStart"/>
      <w:r w:rsidRPr="006166B7">
        <w:rPr>
          <w:sz w:val="28"/>
          <w:szCs w:val="28"/>
          <w:lang w:val="ru-RU"/>
        </w:rPr>
        <w:t>Assessment</w:t>
      </w:r>
      <w:proofErr w:type="spellEnd"/>
      <w:r w:rsidRPr="006166B7">
        <w:rPr>
          <w:sz w:val="28"/>
          <w:szCs w:val="28"/>
          <w:lang w:val="ru-RU"/>
        </w:rPr>
        <w:t xml:space="preserve"> </w:t>
      </w:r>
      <w:proofErr w:type="spellStart"/>
      <w:r w:rsidRPr="006166B7">
        <w:rPr>
          <w:sz w:val="28"/>
          <w:szCs w:val="28"/>
          <w:lang w:val="ru-RU"/>
        </w:rPr>
        <w:t>Insulin</w:t>
      </w:r>
      <w:proofErr w:type="spellEnd"/>
      <w:r w:rsidRPr="006166B7">
        <w:rPr>
          <w:sz w:val="28"/>
          <w:szCs w:val="28"/>
          <w:lang w:val="ru-RU"/>
        </w:rPr>
        <w:t xml:space="preserve"> </w:t>
      </w:r>
      <w:proofErr w:type="spellStart"/>
      <w:r w:rsidRPr="006166B7">
        <w:rPr>
          <w:sz w:val="28"/>
          <w:szCs w:val="28"/>
          <w:lang w:val="ru-RU"/>
        </w:rPr>
        <w:t>Resistance</w:t>
      </w:r>
      <w:proofErr w:type="spellEnd"/>
      <w:r w:rsidRPr="006166B7">
        <w:rPr>
          <w:sz w:val="28"/>
          <w:szCs w:val="28"/>
          <w:lang w:val="ru-RU"/>
        </w:rPr>
        <w:t>) = концентрация инсулина (</w:t>
      </w:r>
      <w:proofErr w:type="spellStart"/>
      <w:r w:rsidRPr="006166B7">
        <w:rPr>
          <w:sz w:val="28"/>
          <w:szCs w:val="28"/>
          <w:lang w:val="ru-RU"/>
        </w:rPr>
        <w:t>мкМЕ</w:t>
      </w:r>
      <w:proofErr w:type="spellEnd"/>
      <w:r w:rsidRPr="006166B7">
        <w:rPr>
          <w:sz w:val="28"/>
          <w:szCs w:val="28"/>
          <w:lang w:val="ru-RU"/>
        </w:rPr>
        <w:t>/мл)×глюкоза натощак (</w:t>
      </w:r>
      <w:proofErr w:type="spellStart"/>
      <w:r w:rsidRPr="006166B7">
        <w:rPr>
          <w:sz w:val="28"/>
          <w:szCs w:val="28"/>
          <w:lang w:val="ru-RU"/>
        </w:rPr>
        <w:t>ммоль</w:t>
      </w:r>
      <w:proofErr w:type="spellEnd"/>
      <w:r w:rsidRPr="006166B7">
        <w:rPr>
          <w:sz w:val="28"/>
          <w:szCs w:val="28"/>
          <w:lang w:val="ru-RU"/>
        </w:rPr>
        <w:t>/л)/22,5.</w:t>
      </w:r>
      <w:r w:rsidR="00A15459">
        <w:rPr>
          <w:sz w:val="28"/>
          <w:szCs w:val="28"/>
          <w:lang w:val="ru-RU"/>
        </w:rPr>
        <w:t xml:space="preserve"> Уровень общего холестерина (ХС</w:t>
      </w:r>
      <w:r w:rsidR="0055302B">
        <w:rPr>
          <w:sz w:val="28"/>
          <w:szCs w:val="28"/>
          <w:lang w:val="ru-RU"/>
        </w:rPr>
        <w:t xml:space="preserve">, </w:t>
      </w:r>
      <w:proofErr w:type="spellStart"/>
      <w:r w:rsidR="0055302B">
        <w:rPr>
          <w:sz w:val="28"/>
          <w:szCs w:val="28"/>
        </w:rPr>
        <w:t>ммоль</w:t>
      </w:r>
      <w:proofErr w:type="spellEnd"/>
      <w:r w:rsidR="0055302B">
        <w:rPr>
          <w:sz w:val="28"/>
          <w:szCs w:val="28"/>
        </w:rPr>
        <w:t>/л</w:t>
      </w:r>
      <w:r w:rsidR="00A15459">
        <w:rPr>
          <w:sz w:val="28"/>
          <w:szCs w:val="28"/>
          <w:lang w:val="ru-RU"/>
        </w:rPr>
        <w:t xml:space="preserve">), </w:t>
      </w:r>
      <w:r w:rsidR="0055302B">
        <w:rPr>
          <w:sz w:val="28"/>
          <w:szCs w:val="28"/>
          <w:lang w:val="ru-RU"/>
        </w:rPr>
        <w:t xml:space="preserve">холестерина липопротеидов высокой плотности (ХС ЛПВП, </w:t>
      </w:r>
      <w:proofErr w:type="spellStart"/>
      <w:r w:rsidR="0055302B">
        <w:rPr>
          <w:sz w:val="28"/>
          <w:szCs w:val="28"/>
        </w:rPr>
        <w:t>ммоль</w:t>
      </w:r>
      <w:proofErr w:type="spellEnd"/>
      <w:r w:rsidR="0055302B">
        <w:rPr>
          <w:sz w:val="28"/>
          <w:szCs w:val="28"/>
        </w:rPr>
        <w:t>/л</w:t>
      </w:r>
      <w:r w:rsidR="0055302B">
        <w:rPr>
          <w:sz w:val="28"/>
          <w:szCs w:val="28"/>
          <w:lang w:val="ru-RU"/>
        </w:rPr>
        <w:t xml:space="preserve">) и </w:t>
      </w:r>
      <w:proofErr w:type="spellStart"/>
      <w:r w:rsidR="0055302B">
        <w:rPr>
          <w:sz w:val="28"/>
          <w:szCs w:val="28"/>
          <w:lang w:val="ru-RU"/>
        </w:rPr>
        <w:t>триглицеридов</w:t>
      </w:r>
      <w:proofErr w:type="spellEnd"/>
      <w:r w:rsidR="0055302B">
        <w:rPr>
          <w:sz w:val="28"/>
          <w:szCs w:val="28"/>
          <w:lang w:val="ru-RU"/>
        </w:rPr>
        <w:t xml:space="preserve"> (ТГ, </w:t>
      </w:r>
      <w:proofErr w:type="spellStart"/>
      <w:r w:rsidR="0055302B">
        <w:rPr>
          <w:sz w:val="28"/>
          <w:szCs w:val="28"/>
        </w:rPr>
        <w:t>ммоль</w:t>
      </w:r>
      <w:proofErr w:type="spellEnd"/>
      <w:r w:rsidR="0055302B">
        <w:rPr>
          <w:sz w:val="28"/>
          <w:szCs w:val="28"/>
        </w:rPr>
        <w:t>/л</w:t>
      </w:r>
      <w:r w:rsidR="0055302B">
        <w:rPr>
          <w:sz w:val="28"/>
          <w:szCs w:val="28"/>
          <w:lang w:val="ru-RU"/>
        </w:rPr>
        <w:t xml:space="preserve">) определялись иммуноферментным методом с использованием стандартных наборов. Уровень холестерина липопротеидов очень низкой плотности (ХС ЛПОНП, </w:t>
      </w:r>
      <w:proofErr w:type="spellStart"/>
      <w:r w:rsidR="0055302B">
        <w:rPr>
          <w:sz w:val="28"/>
          <w:szCs w:val="28"/>
        </w:rPr>
        <w:t>ммоль</w:t>
      </w:r>
      <w:proofErr w:type="spellEnd"/>
      <w:r w:rsidR="0055302B">
        <w:rPr>
          <w:sz w:val="28"/>
          <w:szCs w:val="28"/>
        </w:rPr>
        <w:t>/л</w:t>
      </w:r>
      <w:r w:rsidR="0055302B">
        <w:rPr>
          <w:sz w:val="28"/>
          <w:szCs w:val="28"/>
          <w:lang w:val="ru-RU"/>
        </w:rPr>
        <w:t>)</w:t>
      </w:r>
      <w:r w:rsidRPr="006166B7">
        <w:rPr>
          <w:sz w:val="28"/>
          <w:szCs w:val="28"/>
          <w:lang w:val="ru-RU"/>
        </w:rPr>
        <w:t xml:space="preserve"> </w:t>
      </w:r>
      <w:r w:rsidR="0055302B">
        <w:rPr>
          <w:sz w:val="28"/>
          <w:szCs w:val="28"/>
          <w:lang w:val="ru-RU"/>
        </w:rPr>
        <w:t>рассчитывали по формуле: ХС ЛПОНП = ТГ</w:t>
      </w:r>
      <w:r w:rsidR="0055302B" w:rsidRPr="0055302B">
        <w:rPr>
          <w:sz w:val="28"/>
          <w:szCs w:val="28"/>
          <w:lang w:val="ru-RU"/>
        </w:rPr>
        <w:t>/2,2.</w:t>
      </w:r>
      <w:r w:rsidR="0055302B">
        <w:rPr>
          <w:sz w:val="28"/>
          <w:szCs w:val="28"/>
          <w:lang w:val="ru-RU"/>
        </w:rPr>
        <w:t xml:space="preserve"> Холестерин липопротеидов низкой плотности (ХС ЛПНП, </w:t>
      </w:r>
      <w:proofErr w:type="spellStart"/>
      <w:r w:rsidR="0055302B">
        <w:rPr>
          <w:sz w:val="28"/>
          <w:szCs w:val="28"/>
        </w:rPr>
        <w:t>ммоль</w:t>
      </w:r>
      <w:proofErr w:type="spellEnd"/>
      <w:r w:rsidR="0055302B">
        <w:rPr>
          <w:sz w:val="28"/>
          <w:szCs w:val="28"/>
        </w:rPr>
        <w:t>/л</w:t>
      </w:r>
      <w:r w:rsidR="0055302B">
        <w:rPr>
          <w:sz w:val="28"/>
          <w:szCs w:val="28"/>
          <w:lang w:val="ru-RU"/>
        </w:rPr>
        <w:t>) определяли по формуле</w:t>
      </w:r>
      <w:r w:rsidR="00660BFB">
        <w:rPr>
          <w:sz w:val="28"/>
          <w:szCs w:val="28"/>
          <w:lang w:val="ru-RU"/>
        </w:rPr>
        <w:t xml:space="preserve">: ХС ЛПНП = ХС – (ХС ЛПВП + ХС ЛПОНП). Коэффициент </w:t>
      </w:r>
      <w:proofErr w:type="spellStart"/>
      <w:r w:rsidR="00660BFB">
        <w:rPr>
          <w:sz w:val="28"/>
          <w:szCs w:val="28"/>
          <w:lang w:val="ru-RU"/>
        </w:rPr>
        <w:t>атерогенности</w:t>
      </w:r>
      <w:proofErr w:type="spellEnd"/>
      <w:r w:rsidR="00660BFB">
        <w:rPr>
          <w:sz w:val="28"/>
          <w:szCs w:val="28"/>
          <w:lang w:val="ru-RU"/>
        </w:rPr>
        <w:t xml:space="preserve"> (КА) = (ХС – ХС ЛПВП)/ХСЛПВП.</w:t>
      </w:r>
      <w:r w:rsidR="0055302B">
        <w:rPr>
          <w:sz w:val="28"/>
          <w:szCs w:val="28"/>
          <w:lang w:val="ru-RU"/>
        </w:rPr>
        <w:t xml:space="preserve"> </w:t>
      </w:r>
    </w:p>
    <w:p w:rsidR="006F0A11" w:rsidRPr="006166B7" w:rsidRDefault="006F0A11" w:rsidP="00E53E14">
      <w:pPr>
        <w:spacing w:line="360" w:lineRule="auto"/>
        <w:ind w:firstLine="709"/>
        <w:jc w:val="both"/>
        <w:rPr>
          <w:sz w:val="28"/>
          <w:szCs w:val="28"/>
          <w:lang w:val="ru-RU" w:eastAsia="uk-UA"/>
        </w:rPr>
      </w:pPr>
      <w:r w:rsidRPr="006166B7">
        <w:rPr>
          <w:sz w:val="28"/>
          <w:szCs w:val="28"/>
          <w:lang w:val="ru-RU"/>
        </w:rPr>
        <w:t>Для определения уровня несфатина-1 (</w:t>
      </w:r>
      <w:proofErr w:type="spellStart"/>
      <w:r w:rsidRPr="006166B7">
        <w:rPr>
          <w:sz w:val="28"/>
          <w:szCs w:val="28"/>
          <w:lang w:val="ru-RU"/>
        </w:rPr>
        <w:t>нг</w:t>
      </w:r>
      <w:proofErr w:type="spellEnd"/>
      <w:r w:rsidRPr="006166B7">
        <w:rPr>
          <w:sz w:val="28"/>
          <w:szCs w:val="28"/>
          <w:lang w:val="ru-RU"/>
        </w:rPr>
        <w:t xml:space="preserve">/мл) применялся иммуноферментный метод с использованием набора реагентов </w:t>
      </w:r>
      <w:proofErr w:type="spellStart"/>
      <w:r w:rsidRPr="006166B7">
        <w:rPr>
          <w:sz w:val="28"/>
          <w:szCs w:val="28"/>
          <w:lang w:val="ru-RU" w:eastAsia="uk-UA"/>
        </w:rPr>
        <w:t>Kono</w:t>
      </w:r>
      <w:proofErr w:type="spellEnd"/>
      <w:r w:rsidRPr="006166B7">
        <w:rPr>
          <w:sz w:val="28"/>
          <w:szCs w:val="28"/>
          <w:lang w:val="ru-RU" w:eastAsia="uk-UA"/>
        </w:rPr>
        <w:t xml:space="preserve"> </w:t>
      </w:r>
      <w:proofErr w:type="spellStart"/>
      <w:r w:rsidRPr="006166B7">
        <w:rPr>
          <w:sz w:val="28"/>
          <w:szCs w:val="28"/>
          <w:lang w:val="ru-RU" w:eastAsia="uk-UA"/>
        </w:rPr>
        <w:t>Biotech</w:t>
      </w:r>
      <w:proofErr w:type="spellEnd"/>
      <w:r w:rsidRPr="006166B7">
        <w:rPr>
          <w:sz w:val="28"/>
          <w:szCs w:val="28"/>
          <w:lang w:val="ru-RU" w:eastAsia="uk-UA"/>
        </w:rPr>
        <w:t xml:space="preserve">® </w:t>
      </w:r>
      <w:proofErr w:type="spellStart"/>
      <w:r w:rsidRPr="006166B7">
        <w:rPr>
          <w:sz w:val="28"/>
          <w:szCs w:val="28"/>
          <w:lang w:val="ru-RU" w:eastAsia="uk-UA"/>
        </w:rPr>
        <w:t>Human</w:t>
      </w:r>
      <w:proofErr w:type="spellEnd"/>
      <w:r w:rsidRPr="006166B7">
        <w:rPr>
          <w:sz w:val="28"/>
          <w:szCs w:val="28"/>
          <w:lang w:val="ru-RU" w:eastAsia="uk-UA"/>
        </w:rPr>
        <w:t xml:space="preserve"> Nesfatin-1 ELISA </w:t>
      </w:r>
      <w:proofErr w:type="spellStart"/>
      <w:r w:rsidRPr="006166B7">
        <w:rPr>
          <w:sz w:val="28"/>
          <w:szCs w:val="28"/>
          <w:lang w:val="ru-RU" w:eastAsia="uk-UA"/>
        </w:rPr>
        <w:t>Kit</w:t>
      </w:r>
      <w:proofErr w:type="spellEnd"/>
      <w:r w:rsidRPr="006166B7">
        <w:rPr>
          <w:sz w:val="28"/>
          <w:szCs w:val="28"/>
          <w:lang w:val="ru-RU" w:eastAsia="uk-UA"/>
        </w:rPr>
        <w:t>.</w:t>
      </w:r>
    </w:p>
    <w:p w:rsidR="006F0A11" w:rsidRPr="006166B7" w:rsidRDefault="001912A5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lastRenderedPageBreak/>
        <w:t xml:space="preserve">Анализ полученных результатов проведен с использованием методов непараметрической статистики. Данные представлены в виде </w:t>
      </w:r>
      <w:proofErr w:type="spellStart"/>
      <w:r w:rsidRPr="006166B7">
        <w:rPr>
          <w:sz w:val="28"/>
          <w:szCs w:val="28"/>
          <w:lang w:val="ru-RU"/>
        </w:rPr>
        <w:t>Ме</w:t>
      </w:r>
      <w:proofErr w:type="spellEnd"/>
      <w:r w:rsidRPr="006166B7">
        <w:rPr>
          <w:sz w:val="28"/>
          <w:szCs w:val="28"/>
          <w:lang w:val="ru-RU"/>
        </w:rPr>
        <w:t xml:space="preserve"> (Q</w:t>
      </w:r>
      <w:r w:rsidRPr="006166B7">
        <w:rPr>
          <w:sz w:val="28"/>
          <w:szCs w:val="28"/>
          <w:vertAlign w:val="subscript"/>
          <w:lang w:val="ru-RU"/>
        </w:rPr>
        <w:t>25</w:t>
      </w:r>
      <w:r w:rsidRPr="006166B7">
        <w:rPr>
          <w:sz w:val="28"/>
          <w:szCs w:val="28"/>
          <w:lang w:val="ru-RU"/>
        </w:rPr>
        <w:t>-Q</w:t>
      </w:r>
      <w:r w:rsidRPr="006166B7">
        <w:rPr>
          <w:sz w:val="28"/>
          <w:szCs w:val="28"/>
          <w:vertAlign w:val="subscript"/>
          <w:lang w:val="ru-RU"/>
        </w:rPr>
        <w:t>75</w:t>
      </w:r>
      <w:r w:rsidRPr="006166B7">
        <w:rPr>
          <w:sz w:val="28"/>
          <w:szCs w:val="28"/>
          <w:lang w:val="ru-RU"/>
        </w:rPr>
        <w:t xml:space="preserve">), где </w:t>
      </w:r>
      <w:proofErr w:type="spellStart"/>
      <w:r w:rsidRPr="006166B7">
        <w:rPr>
          <w:sz w:val="28"/>
          <w:szCs w:val="28"/>
          <w:lang w:val="ru-RU"/>
        </w:rPr>
        <w:t>Ме</w:t>
      </w:r>
      <w:proofErr w:type="spellEnd"/>
      <w:r w:rsidRPr="006166B7">
        <w:rPr>
          <w:sz w:val="28"/>
          <w:szCs w:val="28"/>
          <w:lang w:val="ru-RU"/>
        </w:rPr>
        <w:t xml:space="preserve"> – медиана (50-й </w:t>
      </w:r>
      <w:proofErr w:type="spellStart"/>
      <w:r w:rsidRPr="006166B7">
        <w:rPr>
          <w:sz w:val="28"/>
          <w:szCs w:val="28"/>
          <w:lang w:val="ru-RU"/>
        </w:rPr>
        <w:t>процентиль</w:t>
      </w:r>
      <w:proofErr w:type="spellEnd"/>
      <w:r w:rsidRPr="006166B7">
        <w:rPr>
          <w:sz w:val="28"/>
          <w:szCs w:val="28"/>
          <w:lang w:val="ru-RU"/>
        </w:rPr>
        <w:t>), Q</w:t>
      </w:r>
      <w:r w:rsidRPr="006166B7">
        <w:rPr>
          <w:sz w:val="28"/>
          <w:szCs w:val="28"/>
          <w:vertAlign w:val="subscript"/>
          <w:lang w:val="ru-RU"/>
        </w:rPr>
        <w:t>25</w:t>
      </w:r>
      <w:r w:rsidRPr="006166B7">
        <w:rPr>
          <w:sz w:val="28"/>
          <w:szCs w:val="28"/>
          <w:lang w:val="ru-RU"/>
        </w:rPr>
        <w:t xml:space="preserve"> и Q</w:t>
      </w:r>
      <w:r w:rsidRPr="006166B7">
        <w:rPr>
          <w:sz w:val="28"/>
          <w:szCs w:val="28"/>
          <w:vertAlign w:val="subscript"/>
          <w:lang w:val="ru-RU"/>
        </w:rPr>
        <w:t>75</w:t>
      </w:r>
      <w:r w:rsidRPr="006166B7">
        <w:rPr>
          <w:sz w:val="28"/>
          <w:szCs w:val="28"/>
          <w:lang w:val="ru-RU"/>
        </w:rPr>
        <w:t xml:space="preserve"> – 25-й и 75-й </w:t>
      </w:r>
      <w:proofErr w:type="spellStart"/>
      <w:r w:rsidRPr="006166B7">
        <w:rPr>
          <w:sz w:val="28"/>
          <w:szCs w:val="28"/>
          <w:lang w:val="ru-RU"/>
        </w:rPr>
        <w:t>процентили</w:t>
      </w:r>
      <w:proofErr w:type="spellEnd"/>
      <w:r w:rsidRPr="006166B7">
        <w:rPr>
          <w:sz w:val="28"/>
          <w:szCs w:val="28"/>
          <w:lang w:val="ru-RU"/>
        </w:rPr>
        <w:t xml:space="preserve"> соответственно. Для сравнения результатов между группами применялись критерий Манна-Уитни, ранговый дисперсионный анализ </w:t>
      </w:r>
      <w:proofErr w:type="spellStart"/>
      <w:r w:rsidRPr="006166B7">
        <w:rPr>
          <w:sz w:val="28"/>
          <w:szCs w:val="28"/>
          <w:lang w:val="ru-RU"/>
        </w:rPr>
        <w:t>Краскела-Уоллиса</w:t>
      </w:r>
      <w:proofErr w:type="spellEnd"/>
      <w:r w:rsidRPr="006166B7">
        <w:rPr>
          <w:sz w:val="28"/>
          <w:szCs w:val="28"/>
          <w:lang w:val="ru-RU"/>
        </w:rPr>
        <w:t xml:space="preserve">, медианный тест. Для оценки меры зависимости использовали коэффициент ранговой корреляции </w:t>
      </w:r>
      <w:proofErr w:type="spellStart"/>
      <w:r w:rsidRPr="006166B7">
        <w:rPr>
          <w:sz w:val="28"/>
          <w:szCs w:val="28"/>
          <w:lang w:val="ru-RU"/>
        </w:rPr>
        <w:t>Спирмена</w:t>
      </w:r>
      <w:proofErr w:type="spellEnd"/>
      <w:r w:rsidRPr="006166B7">
        <w:rPr>
          <w:sz w:val="28"/>
          <w:szCs w:val="28"/>
          <w:lang w:val="ru-RU"/>
        </w:rPr>
        <w:t xml:space="preserve">. Нулевую гипотезу исключали при уровне достоверности </w:t>
      </w:r>
      <w:proofErr w:type="spellStart"/>
      <w:r w:rsidRPr="006166B7">
        <w:rPr>
          <w:sz w:val="28"/>
          <w:szCs w:val="28"/>
          <w:lang w:val="ru-RU"/>
        </w:rPr>
        <w:t>p</w:t>
      </w:r>
      <w:proofErr w:type="spellEnd"/>
      <w:r w:rsidRPr="006166B7">
        <w:rPr>
          <w:sz w:val="28"/>
          <w:szCs w:val="28"/>
          <w:lang w:val="ru-RU"/>
        </w:rPr>
        <w:t xml:space="preserve">&lt;0,05. </w:t>
      </w:r>
      <w:r w:rsidR="0025731C" w:rsidRPr="006166B7">
        <w:rPr>
          <w:sz w:val="28"/>
          <w:szCs w:val="28"/>
          <w:lang w:val="ru-RU"/>
        </w:rPr>
        <w:t>Обработка данных осуществлялась при помощи программы Statistica.10.</w:t>
      </w:r>
    </w:p>
    <w:p w:rsidR="00213971" w:rsidRPr="006166B7" w:rsidRDefault="00213971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5731C" w:rsidRPr="006166B7" w:rsidRDefault="0025731C" w:rsidP="00E53E14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6166B7">
        <w:rPr>
          <w:b/>
          <w:sz w:val="28"/>
          <w:szCs w:val="28"/>
          <w:lang w:val="ru-RU"/>
        </w:rPr>
        <w:t>Результаты исследования</w:t>
      </w:r>
    </w:p>
    <w:p w:rsidR="0025731C" w:rsidRPr="006166B7" w:rsidRDefault="00C90C15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 xml:space="preserve">Среди всех обследованных пациентов I степень ожирения установлена у 42%, II степень – у 26%, III степень – у 32% больных. </w:t>
      </w:r>
      <w:r w:rsidR="00FA6601" w:rsidRPr="006166B7">
        <w:rPr>
          <w:sz w:val="28"/>
          <w:szCs w:val="28"/>
          <w:lang w:val="ru-RU"/>
        </w:rPr>
        <w:t>Учитывая результаты обследования, распределение пациентов по группам было следующим:</w:t>
      </w:r>
      <w:r w:rsidRPr="006166B7">
        <w:rPr>
          <w:sz w:val="28"/>
          <w:szCs w:val="28"/>
          <w:lang w:val="ru-RU"/>
        </w:rPr>
        <w:t xml:space="preserve"> 1 группу составили 33</w:t>
      </w:r>
      <w:r w:rsidR="00AA5137" w:rsidRPr="006166B7">
        <w:rPr>
          <w:sz w:val="28"/>
          <w:szCs w:val="28"/>
          <w:lang w:val="ru-RU"/>
        </w:rPr>
        <w:t xml:space="preserve"> пацие</w:t>
      </w:r>
      <w:r w:rsidRPr="006166B7">
        <w:rPr>
          <w:sz w:val="28"/>
          <w:szCs w:val="28"/>
          <w:lang w:val="ru-RU"/>
        </w:rPr>
        <w:t xml:space="preserve">нта с ГБ+ОЖ и </w:t>
      </w:r>
      <w:proofErr w:type="spellStart"/>
      <w:r w:rsidRPr="006166B7">
        <w:rPr>
          <w:sz w:val="28"/>
          <w:szCs w:val="28"/>
          <w:lang w:val="ru-RU"/>
        </w:rPr>
        <w:t>нормогликемией</w:t>
      </w:r>
      <w:proofErr w:type="spellEnd"/>
      <w:r w:rsidRPr="006166B7">
        <w:rPr>
          <w:sz w:val="28"/>
          <w:szCs w:val="28"/>
          <w:lang w:val="ru-RU"/>
        </w:rPr>
        <w:t>, во 2 группу вошли 12</w:t>
      </w:r>
      <w:r w:rsidR="00AA5137" w:rsidRPr="006166B7">
        <w:rPr>
          <w:sz w:val="28"/>
          <w:szCs w:val="28"/>
          <w:lang w:val="ru-RU"/>
        </w:rPr>
        <w:t xml:space="preserve"> пациентов с </w:t>
      </w:r>
      <w:r w:rsidRPr="006166B7">
        <w:rPr>
          <w:sz w:val="28"/>
          <w:szCs w:val="28"/>
          <w:lang w:val="ru-RU"/>
        </w:rPr>
        <w:t xml:space="preserve">ГБ+ОЖ и установленным </w:t>
      </w:r>
      <w:proofErr w:type="spellStart"/>
      <w:r w:rsidRPr="006166B7">
        <w:rPr>
          <w:sz w:val="28"/>
          <w:szCs w:val="28"/>
          <w:lang w:val="ru-RU"/>
        </w:rPr>
        <w:t>предиабетом</w:t>
      </w:r>
      <w:proofErr w:type="spellEnd"/>
      <w:r w:rsidRPr="006166B7">
        <w:rPr>
          <w:sz w:val="28"/>
          <w:szCs w:val="28"/>
          <w:lang w:val="ru-RU"/>
        </w:rPr>
        <w:t>, 3 группа – 12 больных ГБ+ОЖ и сопутствующим СД 2 типа.</w:t>
      </w:r>
      <w:r w:rsidR="00767F97">
        <w:rPr>
          <w:sz w:val="28"/>
          <w:szCs w:val="28"/>
          <w:lang w:val="ru-RU"/>
        </w:rPr>
        <w:t xml:space="preserve"> В группу контроля</w:t>
      </w:r>
      <w:r w:rsidR="00CA5D10">
        <w:rPr>
          <w:sz w:val="28"/>
          <w:szCs w:val="28"/>
          <w:lang w:val="ru-RU"/>
        </w:rPr>
        <w:t xml:space="preserve"> </w:t>
      </w:r>
      <w:proofErr w:type="gramStart"/>
      <w:r w:rsidR="00CA5D10">
        <w:rPr>
          <w:sz w:val="28"/>
          <w:szCs w:val="28"/>
          <w:lang w:val="ru-RU"/>
        </w:rPr>
        <w:t>включены</w:t>
      </w:r>
      <w:proofErr w:type="gramEnd"/>
      <w:r w:rsidR="00CA5D10">
        <w:rPr>
          <w:sz w:val="28"/>
          <w:szCs w:val="28"/>
          <w:lang w:val="ru-RU"/>
        </w:rPr>
        <w:t xml:space="preserve"> 12 </w:t>
      </w:r>
      <w:r w:rsidR="00767F97" w:rsidRPr="006166B7">
        <w:rPr>
          <w:sz w:val="28"/>
          <w:szCs w:val="28"/>
          <w:lang w:val="ru-RU"/>
        </w:rPr>
        <w:t>практически здоровых лиц</w:t>
      </w:r>
      <w:r w:rsidR="00CA5D10">
        <w:rPr>
          <w:sz w:val="28"/>
          <w:szCs w:val="28"/>
          <w:lang w:val="ru-RU"/>
        </w:rPr>
        <w:t>.</w:t>
      </w:r>
      <w:r w:rsidRPr="006166B7">
        <w:rPr>
          <w:sz w:val="28"/>
          <w:szCs w:val="28"/>
          <w:lang w:val="ru-RU"/>
        </w:rPr>
        <w:t xml:space="preserve"> </w:t>
      </w:r>
      <w:r w:rsidR="00FB648B" w:rsidRPr="006166B7">
        <w:rPr>
          <w:sz w:val="28"/>
          <w:szCs w:val="28"/>
          <w:lang w:val="ru-RU"/>
        </w:rPr>
        <w:t>Клиническая характеристика больных представлена в табл.1.</w:t>
      </w:r>
    </w:p>
    <w:p w:rsidR="00FB648B" w:rsidRPr="006166B7" w:rsidRDefault="00FB648B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B648B" w:rsidRPr="006166B7" w:rsidRDefault="00FB648B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>Табл.1. Клиническая характеристика пациентов по группам.</w:t>
      </w:r>
    </w:p>
    <w:tbl>
      <w:tblPr>
        <w:tblStyle w:val="a8"/>
        <w:tblW w:w="0" w:type="auto"/>
        <w:tblLook w:val="04A0"/>
      </w:tblPr>
      <w:tblGrid>
        <w:gridCol w:w="1809"/>
        <w:gridCol w:w="1949"/>
        <w:gridCol w:w="1949"/>
        <w:gridCol w:w="1949"/>
        <w:gridCol w:w="1950"/>
      </w:tblGrid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4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1 группа</w:t>
            </w:r>
          </w:p>
        </w:tc>
        <w:tc>
          <w:tcPr>
            <w:tcW w:w="194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2 группа</w:t>
            </w:r>
          </w:p>
        </w:tc>
        <w:tc>
          <w:tcPr>
            <w:tcW w:w="194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3 группа</w:t>
            </w:r>
          </w:p>
        </w:tc>
        <w:tc>
          <w:tcPr>
            <w:tcW w:w="1950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Группа контроля</w:t>
            </w:r>
          </w:p>
        </w:tc>
      </w:tr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Возраст</w:t>
            </w:r>
            <w:r w:rsidR="004E288A" w:rsidRPr="006166B7">
              <w:rPr>
                <w:sz w:val="24"/>
                <w:szCs w:val="24"/>
                <w:lang w:val="ru-RU"/>
              </w:rPr>
              <w:t>, лет</w:t>
            </w:r>
          </w:p>
        </w:tc>
        <w:tc>
          <w:tcPr>
            <w:tcW w:w="1949" w:type="dxa"/>
            <w:vAlign w:val="center"/>
          </w:tcPr>
          <w:p w:rsidR="00CD42AA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60,0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(53,0-63,0)</w:t>
            </w:r>
          </w:p>
        </w:tc>
        <w:tc>
          <w:tcPr>
            <w:tcW w:w="1949" w:type="dxa"/>
            <w:vAlign w:val="center"/>
          </w:tcPr>
          <w:p w:rsidR="00CD42AA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60,0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(54,5-64,0)</w:t>
            </w:r>
          </w:p>
        </w:tc>
        <w:tc>
          <w:tcPr>
            <w:tcW w:w="1949" w:type="dxa"/>
            <w:vAlign w:val="center"/>
          </w:tcPr>
          <w:p w:rsidR="00E70881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61,0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(57,5-65,5)</w:t>
            </w:r>
          </w:p>
        </w:tc>
        <w:tc>
          <w:tcPr>
            <w:tcW w:w="1950" w:type="dxa"/>
            <w:vAlign w:val="center"/>
          </w:tcPr>
          <w:p w:rsidR="00E70881" w:rsidRPr="006166B7" w:rsidRDefault="009B7C43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58,0</w:t>
            </w:r>
          </w:p>
          <w:p w:rsidR="00FB648B" w:rsidRPr="006166B7" w:rsidRDefault="009B7C43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</w:t>
            </w:r>
            <w:r w:rsidR="00A960AF" w:rsidRPr="006166B7">
              <w:rPr>
                <w:sz w:val="24"/>
                <w:szCs w:val="24"/>
                <w:lang w:val="ru-RU"/>
              </w:rPr>
              <w:t>53,5-63,00)</w:t>
            </w:r>
          </w:p>
        </w:tc>
      </w:tr>
      <w:tr w:rsidR="00FB648B" w:rsidRPr="006166B7" w:rsidTr="00AC63BD">
        <w:tc>
          <w:tcPr>
            <w:tcW w:w="1809" w:type="dxa"/>
            <w:vAlign w:val="center"/>
          </w:tcPr>
          <w:p w:rsidR="00FB648B" w:rsidRPr="006166B7" w:rsidRDefault="004E288A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Рост, </w:t>
            </w:r>
            <w:proofErr w:type="gramStart"/>
            <w:r w:rsidRPr="006166B7">
              <w:rPr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949" w:type="dxa"/>
            <w:vAlign w:val="center"/>
          </w:tcPr>
          <w:p w:rsidR="00CD42AA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165,0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(160,0-170,0)</w:t>
            </w:r>
          </w:p>
        </w:tc>
        <w:tc>
          <w:tcPr>
            <w:tcW w:w="1949" w:type="dxa"/>
            <w:vAlign w:val="center"/>
          </w:tcPr>
          <w:p w:rsidR="00E70881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165,0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(157,0-175,5)</w:t>
            </w:r>
          </w:p>
        </w:tc>
        <w:tc>
          <w:tcPr>
            <w:tcW w:w="1949" w:type="dxa"/>
            <w:vAlign w:val="center"/>
          </w:tcPr>
          <w:p w:rsidR="00E70881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165,0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(161,0-168,5)</w:t>
            </w:r>
          </w:p>
        </w:tc>
        <w:tc>
          <w:tcPr>
            <w:tcW w:w="1950" w:type="dxa"/>
            <w:vAlign w:val="center"/>
          </w:tcPr>
          <w:p w:rsidR="00E70881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167,0</w:t>
            </w:r>
          </w:p>
          <w:p w:rsidR="00FB648B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(162,0-175,0)</w:t>
            </w:r>
          </w:p>
        </w:tc>
      </w:tr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Вес</w:t>
            </w:r>
            <w:r w:rsidR="004E288A" w:rsidRPr="006166B7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4E288A" w:rsidRPr="006166B7">
              <w:rPr>
                <w:sz w:val="24"/>
                <w:szCs w:val="24"/>
                <w:lang w:val="ru-RU"/>
              </w:rPr>
              <w:t>кг</w:t>
            </w:r>
            <w:proofErr w:type="gramEnd"/>
          </w:p>
        </w:tc>
        <w:tc>
          <w:tcPr>
            <w:tcW w:w="1949" w:type="dxa"/>
            <w:vAlign w:val="center"/>
          </w:tcPr>
          <w:p w:rsidR="00CD42AA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92,0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(88,0-107,0)</w:t>
            </w:r>
          </w:p>
        </w:tc>
        <w:tc>
          <w:tcPr>
            <w:tcW w:w="1949" w:type="dxa"/>
            <w:vAlign w:val="center"/>
          </w:tcPr>
          <w:p w:rsidR="00E70881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105,5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(97,5-120,0)</w:t>
            </w:r>
          </w:p>
        </w:tc>
        <w:tc>
          <w:tcPr>
            <w:tcW w:w="1949" w:type="dxa"/>
            <w:vAlign w:val="center"/>
          </w:tcPr>
          <w:p w:rsidR="00E70881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107,5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</w:p>
          <w:p w:rsidR="00FB648B" w:rsidRPr="006166B7" w:rsidRDefault="0075568C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(86,0-</w:t>
            </w:r>
            <w:r w:rsidR="00C25767" w:rsidRPr="006166B7">
              <w:rPr>
                <w:sz w:val="24"/>
                <w:szCs w:val="24"/>
                <w:lang w:val="ru-RU"/>
              </w:rPr>
              <w:t>117,5)</w:t>
            </w:r>
          </w:p>
        </w:tc>
        <w:tc>
          <w:tcPr>
            <w:tcW w:w="1950" w:type="dxa"/>
            <w:vAlign w:val="center"/>
          </w:tcPr>
          <w:p w:rsidR="00E70881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63,5</w:t>
            </w:r>
          </w:p>
          <w:p w:rsidR="00FB648B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(59,0-70,5)</w:t>
            </w:r>
          </w:p>
        </w:tc>
      </w:tr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ИМТ</w:t>
            </w:r>
          </w:p>
        </w:tc>
        <w:tc>
          <w:tcPr>
            <w:tcW w:w="1949" w:type="dxa"/>
            <w:vAlign w:val="center"/>
          </w:tcPr>
          <w:p w:rsidR="00CD42AA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35,34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(32,39-38,57)</w:t>
            </w:r>
          </w:p>
        </w:tc>
        <w:tc>
          <w:tcPr>
            <w:tcW w:w="1949" w:type="dxa"/>
            <w:vAlign w:val="center"/>
          </w:tcPr>
          <w:p w:rsidR="00E70881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41,92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(35,25-45,15)</w:t>
            </w:r>
          </w:p>
        </w:tc>
        <w:tc>
          <w:tcPr>
            <w:tcW w:w="1949" w:type="dxa"/>
            <w:vAlign w:val="center"/>
          </w:tcPr>
          <w:p w:rsidR="00E70881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39,05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(31,92-43,53)</w:t>
            </w:r>
          </w:p>
        </w:tc>
        <w:tc>
          <w:tcPr>
            <w:tcW w:w="1950" w:type="dxa"/>
            <w:vAlign w:val="center"/>
          </w:tcPr>
          <w:p w:rsidR="00E70881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22,47</w:t>
            </w:r>
          </w:p>
          <w:p w:rsidR="00FB648B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(21,47-23,09)</w:t>
            </w:r>
          </w:p>
        </w:tc>
      </w:tr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lastRenderedPageBreak/>
              <w:t>САД</w:t>
            </w:r>
            <w:r w:rsidR="004E288A" w:rsidRPr="006166B7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4E288A" w:rsidRPr="006166B7">
              <w:rPr>
                <w:sz w:val="24"/>
                <w:szCs w:val="24"/>
                <w:lang w:val="ru-RU"/>
              </w:rPr>
              <w:t>мм</w:t>
            </w:r>
            <w:proofErr w:type="gramEnd"/>
            <w:r w:rsidR="004E288A" w:rsidRPr="006166B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288A" w:rsidRPr="006166B7">
              <w:rPr>
                <w:sz w:val="24"/>
                <w:szCs w:val="24"/>
                <w:lang w:val="ru-RU"/>
              </w:rPr>
              <w:t>рт.ст</w:t>
            </w:r>
            <w:proofErr w:type="spellEnd"/>
            <w:r w:rsidR="004E288A" w:rsidRPr="006166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49" w:type="dxa"/>
            <w:vAlign w:val="center"/>
          </w:tcPr>
          <w:p w:rsidR="00CD42AA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160,0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(150,0-165,0)</w:t>
            </w:r>
          </w:p>
        </w:tc>
        <w:tc>
          <w:tcPr>
            <w:tcW w:w="1949" w:type="dxa"/>
            <w:vAlign w:val="center"/>
          </w:tcPr>
          <w:p w:rsidR="00E70881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170,0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(162,5-175,0)</w:t>
            </w:r>
          </w:p>
        </w:tc>
        <w:tc>
          <w:tcPr>
            <w:tcW w:w="1949" w:type="dxa"/>
            <w:vAlign w:val="center"/>
          </w:tcPr>
          <w:p w:rsidR="00E70881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172,5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(162,5-182,5)</w:t>
            </w:r>
          </w:p>
        </w:tc>
        <w:tc>
          <w:tcPr>
            <w:tcW w:w="1950" w:type="dxa"/>
            <w:vAlign w:val="center"/>
          </w:tcPr>
          <w:p w:rsidR="00E70881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120,0</w:t>
            </w:r>
          </w:p>
          <w:p w:rsidR="00FB648B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(115,0-130,0)</w:t>
            </w:r>
          </w:p>
        </w:tc>
      </w:tr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FB648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ДАД</w:t>
            </w:r>
            <w:r w:rsidR="004E288A" w:rsidRPr="006166B7">
              <w:rPr>
                <w:sz w:val="24"/>
                <w:szCs w:val="24"/>
                <w:lang w:val="ru-RU"/>
              </w:rPr>
              <w:t xml:space="preserve">, мм </w:t>
            </w:r>
            <w:proofErr w:type="spellStart"/>
            <w:r w:rsidR="004E288A" w:rsidRPr="006166B7">
              <w:rPr>
                <w:sz w:val="24"/>
                <w:szCs w:val="24"/>
                <w:lang w:val="ru-RU"/>
              </w:rPr>
              <w:t>рт</w:t>
            </w:r>
            <w:proofErr w:type="gramStart"/>
            <w:r w:rsidR="004E288A" w:rsidRPr="006166B7">
              <w:rPr>
                <w:sz w:val="24"/>
                <w:szCs w:val="24"/>
                <w:lang w:val="ru-RU"/>
              </w:rPr>
              <w:t>.с</w:t>
            </w:r>
            <w:proofErr w:type="gramEnd"/>
            <w:r w:rsidR="004E288A" w:rsidRPr="006166B7">
              <w:rPr>
                <w:sz w:val="24"/>
                <w:szCs w:val="24"/>
                <w:lang w:val="ru-RU"/>
              </w:rPr>
              <w:t>т</w:t>
            </w:r>
            <w:proofErr w:type="spellEnd"/>
          </w:p>
        </w:tc>
        <w:tc>
          <w:tcPr>
            <w:tcW w:w="1949" w:type="dxa"/>
            <w:vAlign w:val="center"/>
          </w:tcPr>
          <w:p w:rsidR="00CD42AA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90,0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(90,0-95,0)</w:t>
            </w:r>
          </w:p>
        </w:tc>
        <w:tc>
          <w:tcPr>
            <w:tcW w:w="1949" w:type="dxa"/>
            <w:vAlign w:val="center"/>
          </w:tcPr>
          <w:p w:rsidR="00E70881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97,5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(90,0-105,0)</w:t>
            </w:r>
          </w:p>
        </w:tc>
        <w:tc>
          <w:tcPr>
            <w:tcW w:w="1949" w:type="dxa"/>
            <w:vAlign w:val="center"/>
          </w:tcPr>
          <w:p w:rsidR="00E70881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100,0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(95,0-102,5)</w:t>
            </w:r>
          </w:p>
        </w:tc>
        <w:tc>
          <w:tcPr>
            <w:tcW w:w="1950" w:type="dxa"/>
            <w:vAlign w:val="center"/>
          </w:tcPr>
          <w:p w:rsidR="00E70881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75,0</w:t>
            </w:r>
          </w:p>
          <w:p w:rsidR="00FB648B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(70,0-80,0)</w:t>
            </w:r>
          </w:p>
        </w:tc>
      </w:tr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4E288A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Глюкоза, </w:t>
            </w:r>
            <w:proofErr w:type="spellStart"/>
            <w:r w:rsidRPr="006166B7">
              <w:rPr>
                <w:color w:val="212121"/>
                <w:sz w:val="24"/>
                <w:szCs w:val="24"/>
                <w:lang w:val="ru-RU"/>
              </w:rPr>
              <w:t>ммоль</w:t>
            </w:r>
            <w:proofErr w:type="spellEnd"/>
            <w:r w:rsidRPr="006166B7">
              <w:rPr>
                <w:color w:val="212121"/>
                <w:sz w:val="24"/>
                <w:szCs w:val="24"/>
                <w:lang w:val="ru-RU"/>
              </w:rPr>
              <w:t>/л</w:t>
            </w:r>
          </w:p>
        </w:tc>
        <w:tc>
          <w:tcPr>
            <w:tcW w:w="1949" w:type="dxa"/>
            <w:vAlign w:val="center"/>
          </w:tcPr>
          <w:p w:rsidR="00CD42AA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4,52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(4,18-5,00)</w:t>
            </w:r>
          </w:p>
        </w:tc>
        <w:tc>
          <w:tcPr>
            <w:tcW w:w="1949" w:type="dxa"/>
            <w:vAlign w:val="center"/>
          </w:tcPr>
          <w:p w:rsidR="00E70881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6,72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</w:t>
            </w:r>
          </w:p>
          <w:p w:rsidR="00FB648B" w:rsidRPr="006166B7" w:rsidRDefault="00C25767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(5,84-</w:t>
            </w:r>
            <w:r w:rsidR="00330DCB" w:rsidRPr="006166B7">
              <w:rPr>
                <w:sz w:val="24"/>
                <w:szCs w:val="24"/>
                <w:lang w:val="ru-RU"/>
              </w:rPr>
              <w:t>6,78)</w:t>
            </w:r>
          </w:p>
        </w:tc>
        <w:tc>
          <w:tcPr>
            <w:tcW w:w="1949" w:type="dxa"/>
            <w:vAlign w:val="center"/>
          </w:tcPr>
          <w:p w:rsidR="00E70881" w:rsidRPr="006166B7" w:rsidRDefault="00330DC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7,85 </w:t>
            </w:r>
            <w:r w:rsidR="00E70881" w:rsidRPr="006166B7">
              <w:rPr>
                <w:sz w:val="24"/>
                <w:szCs w:val="24"/>
                <w:lang w:val="ru-RU"/>
              </w:rPr>
              <w:t>º</w:t>
            </w:r>
            <w:r w:rsidR="00F00C0A" w:rsidRPr="006166B7">
              <w:rPr>
                <w:sz w:val="24"/>
                <w:szCs w:val="24"/>
                <w:lang w:val="ru-RU"/>
              </w:rPr>
              <w:t xml:space="preserve"> ¹ ²</w:t>
            </w:r>
          </w:p>
          <w:p w:rsidR="00FB648B" w:rsidRPr="006166B7" w:rsidRDefault="00330DCB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(5,81-8,30)</w:t>
            </w:r>
          </w:p>
        </w:tc>
        <w:tc>
          <w:tcPr>
            <w:tcW w:w="1950" w:type="dxa"/>
            <w:vAlign w:val="center"/>
          </w:tcPr>
          <w:p w:rsidR="00E70881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4,62</w:t>
            </w:r>
          </w:p>
          <w:p w:rsidR="00FB648B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(4,30-4,93)</w:t>
            </w:r>
          </w:p>
        </w:tc>
      </w:tr>
      <w:tr w:rsidR="00F00C0A" w:rsidRPr="006166B7" w:rsidTr="00AC63BD">
        <w:tc>
          <w:tcPr>
            <w:tcW w:w="1809" w:type="dxa"/>
            <w:vAlign w:val="center"/>
          </w:tcPr>
          <w:p w:rsidR="00FB648B" w:rsidRPr="006166B7" w:rsidRDefault="004E288A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Глюкоза ПГТТ, </w:t>
            </w:r>
            <w:proofErr w:type="spellStart"/>
            <w:r w:rsidRPr="006166B7">
              <w:rPr>
                <w:color w:val="212121"/>
                <w:sz w:val="24"/>
                <w:szCs w:val="24"/>
                <w:lang w:val="ru-RU"/>
              </w:rPr>
              <w:t>ммоль</w:t>
            </w:r>
            <w:proofErr w:type="spellEnd"/>
            <w:r w:rsidRPr="006166B7">
              <w:rPr>
                <w:color w:val="212121"/>
                <w:sz w:val="24"/>
                <w:szCs w:val="24"/>
                <w:lang w:val="ru-RU"/>
              </w:rPr>
              <w:t>/л</w:t>
            </w:r>
          </w:p>
        </w:tc>
        <w:tc>
          <w:tcPr>
            <w:tcW w:w="1949" w:type="dxa"/>
            <w:vAlign w:val="center"/>
          </w:tcPr>
          <w:p w:rsidR="00CD42AA" w:rsidRPr="006166B7" w:rsidRDefault="009B7C43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5,13</w:t>
            </w:r>
          </w:p>
          <w:p w:rsidR="00FB648B" w:rsidRPr="006166B7" w:rsidRDefault="009B7C43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(3,81-7,30)</w:t>
            </w:r>
          </w:p>
        </w:tc>
        <w:tc>
          <w:tcPr>
            <w:tcW w:w="1949" w:type="dxa"/>
            <w:vAlign w:val="center"/>
          </w:tcPr>
          <w:p w:rsidR="00E70881" w:rsidRPr="006166B7" w:rsidRDefault="009B7C43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 xml:space="preserve">8,84 </w:t>
            </w:r>
            <w:r w:rsidR="00F00C0A" w:rsidRPr="006166B7">
              <w:rPr>
                <w:sz w:val="24"/>
                <w:szCs w:val="24"/>
                <w:lang w:val="ru-RU"/>
              </w:rPr>
              <w:t>º ¹</w:t>
            </w:r>
          </w:p>
          <w:p w:rsidR="00FB648B" w:rsidRPr="006166B7" w:rsidRDefault="009B7C43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(7,77-9,23)</w:t>
            </w:r>
          </w:p>
        </w:tc>
        <w:tc>
          <w:tcPr>
            <w:tcW w:w="1949" w:type="dxa"/>
            <w:vAlign w:val="center"/>
          </w:tcPr>
          <w:p w:rsidR="00FB648B" w:rsidRPr="006166B7" w:rsidRDefault="009B7C43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vAlign w:val="center"/>
          </w:tcPr>
          <w:p w:rsidR="00E70881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5,85</w:t>
            </w:r>
          </w:p>
          <w:p w:rsidR="00FB648B" w:rsidRPr="006166B7" w:rsidRDefault="00A960AF" w:rsidP="00AC63B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166B7">
              <w:rPr>
                <w:sz w:val="24"/>
                <w:szCs w:val="24"/>
                <w:lang w:val="ru-RU"/>
              </w:rPr>
              <w:t>(5,38-6,76)</w:t>
            </w:r>
          </w:p>
        </w:tc>
      </w:tr>
    </w:tbl>
    <w:p w:rsidR="00FB648B" w:rsidRPr="006166B7" w:rsidRDefault="006B76D5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 xml:space="preserve">достоверное различие </w:t>
      </w:r>
      <w:r w:rsidR="00CD42AA" w:rsidRPr="006166B7">
        <w:rPr>
          <w:sz w:val="28"/>
          <w:szCs w:val="28"/>
          <w:lang w:val="ru-RU"/>
        </w:rPr>
        <w:t>(</w:t>
      </w:r>
      <w:proofErr w:type="spellStart"/>
      <w:r w:rsidR="00CD42AA" w:rsidRPr="006166B7">
        <w:rPr>
          <w:sz w:val="28"/>
          <w:szCs w:val="28"/>
          <w:lang w:val="ru-RU"/>
        </w:rPr>
        <w:t>p</w:t>
      </w:r>
      <w:proofErr w:type="spellEnd"/>
      <w:r w:rsidR="00CD42AA" w:rsidRPr="006166B7">
        <w:rPr>
          <w:sz w:val="28"/>
          <w:szCs w:val="28"/>
          <w:lang w:val="ru-RU"/>
        </w:rPr>
        <w:t xml:space="preserve">&lt;0,05) </w:t>
      </w:r>
      <w:r w:rsidRPr="006166B7">
        <w:rPr>
          <w:sz w:val="28"/>
          <w:szCs w:val="28"/>
          <w:lang w:val="ru-RU"/>
        </w:rPr>
        <w:t>в сравнении с</w:t>
      </w:r>
      <w:r w:rsidR="00CD42AA" w:rsidRPr="006166B7">
        <w:rPr>
          <w:sz w:val="28"/>
          <w:szCs w:val="28"/>
          <w:lang w:val="ru-RU"/>
        </w:rPr>
        <w:t>: Меº -</w:t>
      </w:r>
      <w:r w:rsidRPr="006166B7">
        <w:rPr>
          <w:sz w:val="28"/>
          <w:szCs w:val="28"/>
          <w:lang w:val="ru-RU"/>
        </w:rPr>
        <w:t xml:space="preserve"> группой контроля; </w:t>
      </w:r>
      <w:proofErr w:type="spellStart"/>
      <w:r w:rsidRPr="006166B7">
        <w:rPr>
          <w:sz w:val="28"/>
          <w:szCs w:val="28"/>
          <w:lang w:val="ru-RU"/>
        </w:rPr>
        <w:t>Me</w:t>
      </w:r>
      <w:proofErr w:type="spellEnd"/>
      <w:r w:rsidRPr="006166B7">
        <w:rPr>
          <w:sz w:val="28"/>
          <w:szCs w:val="28"/>
          <w:lang w:val="ru-RU"/>
        </w:rPr>
        <w:t>¹</w:t>
      </w:r>
      <w:r w:rsidR="00CD42AA" w:rsidRPr="006166B7">
        <w:rPr>
          <w:sz w:val="28"/>
          <w:szCs w:val="28"/>
          <w:lang w:val="ru-RU"/>
        </w:rPr>
        <w:t xml:space="preserve"> -</w:t>
      </w:r>
      <w:r w:rsidRPr="006166B7">
        <w:rPr>
          <w:sz w:val="28"/>
          <w:szCs w:val="28"/>
          <w:lang w:val="ru-RU"/>
        </w:rPr>
        <w:t xml:space="preserve"> 1 группой; </w:t>
      </w:r>
      <w:proofErr w:type="spellStart"/>
      <w:r w:rsidRPr="006166B7">
        <w:rPr>
          <w:sz w:val="28"/>
          <w:szCs w:val="28"/>
          <w:lang w:val="ru-RU"/>
        </w:rPr>
        <w:t>Me</w:t>
      </w:r>
      <w:proofErr w:type="spellEnd"/>
      <w:r w:rsidRPr="006166B7">
        <w:rPr>
          <w:sz w:val="28"/>
          <w:szCs w:val="28"/>
          <w:lang w:val="ru-RU"/>
        </w:rPr>
        <w:t xml:space="preserve">² - </w:t>
      </w:r>
      <w:r w:rsidR="00CD42AA" w:rsidRPr="006166B7">
        <w:rPr>
          <w:sz w:val="28"/>
          <w:szCs w:val="28"/>
          <w:lang w:val="ru-RU"/>
        </w:rPr>
        <w:t>2 группой.</w:t>
      </w:r>
    </w:p>
    <w:p w:rsidR="003E4705" w:rsidRPr="006166B7" w:rsidRDefault="003E4705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00C0A" w:rsidRPr="006166B7" w:rsidRDefault="007B0864" w:rsidP="0030782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 xml:space="preserve">Показатели инсулина плазмы крови в группах больных установлены на уровне 31,68 (23,79-41,26) </w:t>
      </w:r>
      <w:proofErr w:type="spellStart"/>
      <w:r w:rsidRPr="006166B7">
        <w:rPr>
          <w:sz w:val="28"/>
          <w:szCs w:val="28"/>
          <w:lang w:val="ru-RU"/>
        </w:rPr>
        <w:t>мкМЕ</w:t>
      </w:r>
      <w:proofErr w:type="spellEnd"/>
      <w:r w:rsidRPr="006166B7">
        <w:rPr>
          <w:sz w:val="28"/>
          <w:szCs w:val="28"/>
          <w:lang w:val="ru-RU"/>
        </w:rPr>
        <w:t>/мл</w:t>
      </w:r>
      <w:r w:rsidR="00A07FCB" w:rsidRPr="006166B7">
        <w:rPr>
          <w:sz w:val="28"/>
          <w:szCs w:val="28"/>
          <w:lang w:val="ru-RU"/>
        </w:rPr>
        <w:t>, 43,11</w:t>
      </w:r>
      <w:r w:rsidRPr="006166B7">
        <w:rPr>
          <w:sz w:val="28"/>
          <w:szCs w:val="28"/>
          <w:lang w:val="ru-RU"/>
        </w:rPr>
        <w:t xml:space="preserve"> (</w:t>
      </w:r>
      <w:r w:rsidR="00A07FCB" w:rsidRPr="006166B7">
        <w:rPr>
          <w:sz w:val="28"/>
          <w:szCs w:val="28"/>
          <w:lang w:val="ru-RU"/>
        </w:rPr>
        <w:t xml:space="preserve">29,16-56,46) </w:t>
      </w:r>
      <w:proofErr w:type="spellStart"/>
      <w:r w:rsidR="00A07FCB" w:rsidRPr="006166B7">
        <w:rPr>
          <w:sz w:val="28"/>
          <w:szCs w:val="28"/>
          <w:lang w:val="ru-RU"/>
        </w:rPr>
        <w:t>мкМЕ</w:t>
      </w:r>
      <w:proofErr w:type="spellEnd"/>
      <w:r w:rsidR="00A07FCB" w:rsidRPr="006166B7">
        <w:rPr>
          <w:sz w:val="28"/>
          <w:szCs w:val="28"/>
          <w:lang w:val="ru-RU"/>
        </w:rPr>
        <w:t xml:space="preserve">/мл и 45,07 (39,39-50,40) </w:t>
      </w:r>
      <w:proofErr w:type="spellStart"/>
      <w:r w:rsidR="00A07FCB" w:rsidRPr="006166B7">
        <w:rPr>
          <w:sz w:val="28"/>
          <w:szCs w:val="28"/>
          <w:lang w:val="ru-RU"/>
        </w:rPr>
        <w:t>мкМЕ</w:t>
      </w:r>
      <w:proofErr w:type="spellEnd"/>
      <w:r w:rsidR="00A07FCB" w:rsidRPr="006166B7">
        <w:rPr>
          <w:sz w:val="28"/>
          <w:szCs w:val="28"/>
          <w:lang w:val="ru-RU"/>
        </w:rPr>
        <w:t>/мл</w:t>
      </w:r>
      <w:r w:rsidR="00B50CB4" w:rsidRPr="006166B7">
        <w:rPr>
          <w:sz w:val="28"/>
          <w:szCs w:val="28"/>
          <w:lang w:val="ru-RU"/>
        </w:rPr>
        <w:t xml:space="preserve"> соответственно</w:t>
      </w:r>
      <w:r w:rsidR="00A20611" w:rsidRPr="006166B7">
        <w:rPr>
          <w:sz w:val="28"/>
          <w:szCs w:val="28"/>
          <w:lang w:val="ru-RU"/>
        </w:rPr>
        <w:t xml:space="preserve"> </w:t>
      </w:r>
      <w:r w:rsidR="00E53E14" w:rsidRPr="006166B7">
        <w:rPr>
          <w:sz w:val="28"/>
          <w:szCs w:val="28"/>
          <w:lang w:val="ru-RU"/>
        </w:rPr>
        <w:t>(</w:t>
      </w:r>
      <w:proofErr w:type="gramStart"/>
      <w:r w:rsidR="00E53E14" w:rsidRPr="006166B7">
        <w:rPr>
          <w:sz w:val="28"/>
          <w:szCs w:val="28"/>
          <w:lang w:val="ru-RU"/>
        </w:rPr>
        <w:t>р</w:t>
      </w:r>
      <w:proofErr w:type="gramEnd"/>
      <w:r w:rsidR="00E53E14" w:rsidRPr="006166B7">
        <w:rPr>
          <w:sz w:val="28"/>
          <w:szCs w:val="28"/>
          <w:lang w:val="ru-RU"/>
        </w:rPr>
        <w:t xml:space="preserve">=0,01 </w:t>
      </w:r>
      <w:r w:rsidR="00A20611" w:rsidRPr="006166B7">
        <w:rPr>
          <w:sz w:val="28"/>
          <w:szCs w:val="28"/>
          <w:lang w:val="ru-RU"/>
        </w:rPr>
        <w:t>(</w:t>
      </w:r>
      <w:proofErr w:type="spellStart"/>
      <w:r w:rsidR="00A20611" w:rsidRPr="006166B7">
        <w:rPr>
          <w:sz w:val="28"/>
          <w:szCs w:val="28"/>
          <w:lang w:val="ru-RU"/>
        </w:rPr>
        <w:t>Kruskal-Wallis</w:t>
      </w:r>
      <w:proofErr w:type="spellEnd"/>
      <w:r w:rsidR="00A20611" w:rsidRPr="006166B7">
        <w:rPr>
          <w:sz w:val="28"/>
          <w:szCs w:val="28"/>
          <w:lang w:val="ru-RU"/>
        </w:rPr>
        <w:t xml:space="preserve"> ANOVA))</w:t>
      </w:r>
      <w:r w:rsidR="00E53E14" w:rsidRPr="006166B7">
        <w:rPr>
          <w:sz w:val="28"/>
          <w:szCs w:val="28"/>
          <w:lang w:val="ru-RU"/>
        </w:rPr>
        <w:t>.</w:t>
      </w:r>
      <w:r w:rsidR="00DF4ABC" w:rsidRPr="006166B7">
        <w:rPr>
          <w:sz w:val="28"/>
          <w:szCs w:val="28"/>
          <w:lang w:val="ru-RU"/>
        </w:rPr>
        <w:t xml:space="preserve"> В группе контроля </w:t>
      </w:r>
      <w:r w:rsidR="007F2285" w:rsidRPr="006166B7">
        <w:rPr>
          <w:sz w:val="28"/>
          <w:szCs w:val="28"/>
          <w:lang w:val="ru-RU"/>
        </w:rPr>
        <w:t>уровень</w:t>
      </w:r>
      <w:r w:rsidR="00DF4ABC" w:rsidRPr="006166B7">
        <w:rPr>
          <w:sz w:val="28"/>
          <w:szCs w:val="28"/>
          <w:lang w:val="ru-RU"/>
        </w:rPr>
        <w:t xml:space="preserve"> инсулина определен на уровне </w:t>
      </w:r>
      <w:r w:rsidR="00C63B05" w:rsidRPr="006166B7">
        <w:rPr>
          <w:sz w:val="28"/>
          <w:szCs w:val="28"/>
          <w:lang w:val="ru-RU"/>
        </w:rPr>
        <w:t xml:space="preserve">13,15 (11,26-15,01) </w:t>
      </w:r>
      <w:proofErr w:type="spellStart"/>
      <w:r w:rsidR="00C63B05" w:rsidRPr="006166B7">
        <w:rPr>
          <w:sz w:val="28"/>
          <w:szCs w:val="28"/>
          <w:lang w:val="ru-RU"/>
        </w:rPr>
        <w:t>мкМЕ</w:t>
      </w:r>
      <w:proofErr w:type="spellEnd"/>
      <w:r w:rsidR="00C63B05" w:rsidRPr="006166B7">
        <w:rPr>
          <w:sz w:val="28"/>
          <w:szCs w:val="28"/>
          <w:lang w:val="ru-RU"/>
        </w:rPr>
        <w:t>/мл.</w:t>
      </w:r>
      <w:r w:rsidR="00900D65">
        <w:rPr>
          <w:sz w:val="28"/>
          <w:szCs w:val="28"/>
          <w:lang w:val="ru-RU"/>
        </w:rPr>
        <w:t xml:space="preserve"> Согласно </w:t>
      </w:r>
      <w:proofErr w:type="spellStart"/>
      <w:r w:rsidR="00900D65">
        <w:rPr>
          <w:sz w:val="28"/>
          <w:szCs w:val="28"/>
          <w:lang w:val="ru-RU"/>
        </w:rPr>
        <w:t>референ</w:t>
      </w:r>
      <w:r w:rsidR="001C3FF2" w:rsidRPr="006166B7">
        <w:rPr>
          <w:sz w:val="28"/>
          <w:szCs w:val="28"/>
          <w:lang w:val="ru-RU"/>
        </w:rPr>
        <w:t>ным</w:t>
      </w:r>
      <w:proofErr w:type="spellEnd"/>
      <w:r w:rsidR="001C3FF2" w:rsidRPr="006166B7">
        <w:rPr>
          <w:sz w:val="28"/>
          <w:szCs w:val="28"/>
          <w:lang w:val="ru-RU"/>
        </w:rPr>
        <w:t xml:space="preserve"> значениям, </w:t>
      </w:r>
      <w:proofErr w:type="spellStart"/>
      <w:r w:rsidR="001C3FF2" w:rsidRPr="006166B7">
        <w:rPr>
          <w:sz w:val="28"/>
          <w:szCs w:val="28"/>
          <w:lang w:val="ru-RU"/>
        </w:rPr>
        <w:t>гиперинсулинемия</w:t>
      </w:r>
      <w:proofErr w:type="spellEnd"/>
      <w:r w:rsidR="001C3FF2" w:rsidRPr="006166B7">
        <w:rPr>
          <w:sz w:val="28"/>
          <w:szCs w:val="28"/>
          <w:lang w:val="ru-RU"/>
        </w:rPr>
        <w:t xml:space="preserve"> была установлена у 63% больных ГБ с I ст. ожирения, 53% больных ГБ с II ст. ожирения и у 95% пациентов с ГБ и </w:t>
      </w:r>
      <w:proofErr w:type="spellStart"/>
      <w:r w:rsidR="001C3FF2" w:rsidRPr="006166B7">
        <w:rPr>
          <w:sz w:val="28"/>
          <w:szCs w:val="28"/>
          <w:lang w:val="ru-RU"/>
        </w:rPr>
        <w:t>морбидным</w:t>
      </w:r>
      <w:proofErr w:type="spellEnd"/>
      <w:r w:rsidR="001C3FF2" w:rsidRPr="006166B7">
        <w:rPr>
          <w:sz w:val="28"/>
          <w:szCs w:val="28"/>
          <w:lang w:val="ru-RU"/>
        </w:rPr>
        <w:t xml:space="preserve"> типом ожирения.</w:t>
      </w:r>
      <w:r w:rsidR="00DF4ABC" w:rsidRPr="006166B7">
        <w:rPr>
          <w:sz w:val="28"/>
          <w:szCs w:val="28"/>
          <w:lang w:val="ru-RU"/>
        </w:rPr>
        <w:t xml:space="preserve"> Индекс HOMA-IR в 1 группе составил 6,13 (4,71-8,74), во 2 группе - 12,89 (7,46-16,89), в 3 группе - 13,79 (9,18-16,59) (</w:t>
      </w:r>
      <w:proofErr w:type="spellStart"/>
      <w:r w:rsidR="00DF4ABC" w:rsidRPr="006166B7">
        <w:rPr>
          <w:sz w:val="28"/>
          <w:szCs w:val="28"/>
          <w:lang w:val="ru-RU"/>
        </w:rPr>
        <w:t>p</w:t>
      </w:r>
      <w:proofErr w:type="spellEnd"/>
      <w:r w:rsidR="00DF4ABC" w:rsidRPr="006166B7">
        <w:rPr>
          <w:sz w:val="28"/>
          <w:szCs w:val="28"/>
          <w:lang w:val="ru-RU"/>
        </w:rPr>
        <w:t>&lt;0,001 (</w:t>
      </w:r>
      <w:proofErr w:type="spellStart"/>
      <w:r w:rsidR="00DF4ABC" w:rsidRPr="006166B7">
        <w:rPr>
          <w:sz w:val="28"/>
          <w:szCs w:val="28"/>
          <w:lang w:val="ru-RU"/>
        </w:rPr>
        <w:t>Kruskal-Wallis</w:t>
      </w:r>
      <w:proofErr w:type="spellEnd"/>
      <w:r w:rsidR="00DF4ABC" w:rsidRPr="006166B7">
        <w:rPr>
          <w:sz w:val="28"/>
          <w:szCs w:val="28"/>
          <w:lang w:val="ru-RU"/>
        </w:rPr>
        <w:t xml:space="preserve"> ANOVA)).</w:t>
      </w:r>
      <w:r w:rsidR="00C63B05" w:rsidRPr="006166B7">
        <w:rPr>
          <w:sz w:val="28"/>
          <w:szCs w:val="28"/>
          <w:lang w:val="ru-RU"/>
        </w:rPr>
        <w:t xml:space="preserve"> В контрольной группе показатель установлен на уровне 2,61 (2,30-3,13).</w:t>
      </w:r>
    </w:p>
    <w:p w:rsidR="00D77C0E" w:rsidRPr="006166B7" w:rsidRDefault="00C63B05" w:rsidP="0030782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 xml:space="preserve">Показатели липидного обмена </w:t>
      </w:r>
      <w:r w:rsidR="003F5A26" w:rsidRPr="006166B7">
        <w:rPr>
          <w:sz w:val="28"/>
          <w:szCs w:val="28"/>
          <w:lang w:val="ru-RU"/>
        </w:rPr>
        <w:t>у обследованных пациентов представлены в таблице 2.</w:t>
      </w:r>
    </w:p>
    <w:p w:rsidR="003F5A26" w:rsidRPr="006166B7" w:rsidRDefault="003F5A26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F5A26" w:rsidRPr="006166B7" w:rsidRDefault="003F5A26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>Табл.2. Показатели липидного профиля у</w:t>
      </w:r>
      <w:r w:rsidR="00CA5D10">
        <w:rPr>
          <w:sz w:val="28"/>
          <w:szCs w:val="28"/>
          <w:lang w:val="ru-RU"/>
        </w:rPr>
        <w:t xml:space="preserve"> обследованных</w:t>
      </w:r>
      <w:r w:rsidRPr="006166B7">
        <w:rPr>
          <w:sz w:val="28"/>
          <w:szCs w:val="28"/>
          <w:lang w:val="ru-RU"/>
        </w:rPr>
        <w:t xml:space="preserve"> больных.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984"/>
        <w:gridCol w:w="1984"/>
        <w:gridCol w:w="1984"/>
        <w:gridCol w:w="1985"/>
      </w:tblGrid>
      <w:tr w:rsidR="006A244D" w:rsidRPr="006166B7" w:rsidTr="006166B7">
        <w:trPr>
          <w:jc w:val="center"/>
        </w:trPr>
        <w:tc>
          <w:tcPr>
            <w:tcW w:w="1702" w:type="dxa"/>
            <w:vAlign w:val="center"/>
          </w:tcPr>
          <w:p w:rsidR="006A244D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6A244D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1 группа</w:t>
            </w:r>
          </w:p>
        </w:tc>
        <w:tc>
          <w:tcPr>
            <w:tcW w:w="1984" w:type="dxa"/>
            <w:vAlign w:val="center"/>
          </w:tcPr>
          <w:p w:rsidR="006A244D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2 группа</w:t>
            </w:r>
          </w:p>
        </w:tc>
        <w:tc>
          <w:tcPr>
            <w:tcW w:w="1984" w:type="dxa"/>
            <w:vAlign w:val="center"/>
          </w:tcPr>
          <w:p w:rsidR="006A244D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3 группа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A244D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Группа контроля</w:t>
            </w:r>
          </w:p>
        </w:tc>
      </w:tr>
      <w:tr w:rsidR="003F5A26" w:rsidRPr="006166B7" w:rsidTr="006166B7">
        <w:trPr>
          <w:jc w:val="center"/>
        </w:trPr>
        <w:tc>
          <w:tcPr>
            <w:tcW w:w="1702" w:type="dxa"/>
            <w:vAlign w:val="center"/>
          </w:tcPr>
          <w:p w:rsidR="003F5A26" w:rsidRPr="006166B7" w:rsidRDefault="003F5A26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 xml:space="preserve">ХС, </w:t>
            </w:r>
            <w:proofErr w:type="spellStart"/>
            <w:r w:rsidRPr="006166B7">
              <w:rPr>
                <w:rStyle w:val="FontStyle45"/>
                <w:sz w:val="24"/>
                <w:szCs w:val="24"/>
                <w:lang w:eastAsia="uk-UA"/>
              </w:rPr>
              <w:t>ммоль</w:t>
            </w:r>
            <w:proofErr w:type="spellEnd"/>
            <w:r w:rsidRPr="006166B7">
              <w:rPr>
                <w:rStyle w:val="FontStyle45"/>
                <w:sz w:val="24"/>
                <w:szCs w:val="24"/>
                <w:lang w:eastAsia="uk-UA"/>
              </w:rPr>
              <w:t>/л</w:t>
            </w:r>
          </w:p>
        </w:tc>
        <w:tc>
          <w:tcPr>
            <w:tcW w:w="1984" w:type="dxa"/>
            <w:vAlign w:val="center"/>
          </w:tcPr>
          <w:p w:rsidR="000A1B1F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4,43</w:t>
            </w:r>
          </w:p>
          <w:p w:rsidR="003F5A26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(3,98-4,91)</w:t>
            </w:r>
            <w:r w:rsidR="00757F31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4,24</w:t>
            </w:r>
          </w:p>
          <w:p w:rsidR="003F5A26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(4,03-5,71)</w:t>
            </w:r>
            <w:r w:rsidR="00757F31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4,30</w:t>
            </w:r>
          </w:p>
          <w:p w:rsidR="003F5A26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(3,87-4,81)</w:t>
            </w:r>
            <w:r w:rsidR="00757F31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A1B1F" w:rsidRPr="006166B7" w:rsidRDefault="006166B7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4,1</w:t>
            </w:r>
            <w:r w:rsidR="006A244D" w:rsidRPr="006166B7">
              <w:rPr>
                <w:rStyle w:val="FontStyle45"/>
                <w:sz w:val="24"/>
                <w:szCs w:val="24"/>
                <w:lang w:eastAsia="uk-UA"/>
              </w:rPr>
              <w:t>2</w:t>
            </w:r>
          </w:p>
          <w:p w:rsidR="003F5A26" w:rsidRPr="006166B7" w:rsidRDefault="006166B7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(3,13-4,97</w:t>
            </w:r>
            <w:r w:rsidR="006A244D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</w:tr>
      <w:tr w:rsidR="003F5A26" w:rsidRPr="006166B7" w:rsidTr="006166B7">
        <w:trPr>
          <w:jc w:val="center"/>
        </w:trPr>
        <w:tc>
          <w:tcPr>
            <w:tcW w:w="1702" w:type="dxa"/>
            <w:vAlign w:val="center"/>
          </w:tcPr>
          <w:p w:rsidR="003F5A26" w:rsidRPr="006166B7" w:rsidRDefault="00757F31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>
              <w:rPr>
                <w:rStyle w:val="FontStyle45"/>
                <w:sz w:val="24"/>
                <w:szCs w:val="24"/>
                <w:lang w:eastAsia="uk-UA"/>
              </w:rPr>
              <w:t>ХС ЛПВП</w:t>
            </w:r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>ммоль</w:t>
            </w:r>
            <w:proofErr w:type="spellEnd"/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>/л</w:t>
            </w:r>
          </w:p>
        </w:tc>
        <w:tc>
          <w:tcPr>
            <w:tcW w:w="1984" w:type="dxa"/>
            <w:vAlign w:val="center"/>
          </w:tcPr>
          <w:p w:rsidR="000A1B1F" w:rsidRPr="006166B7" w:rsidRDefault="009750C3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>
              <w:rPr>
                <w:rStyle w:val="FontStyle45"/>
                <w:sz w:val="24"/>
                <w:szCs w:val="24"/>
                <w:lang w:eastAsia="uk-UA"/>
              </w:rPr>
              <w:t>1,05</w:t>
            </w:r>
          </w:p>
          <w:p w:rsidR="003F5A26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(1,00-1,13)</w:t>
            </w:r>
            <w:r w:rsidR="00685EB0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1,04</w:t>
            </w:r>
          </w:p>
          <w:p w:rsidR="003F5A26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(1,01-1,12)</w:t>
            </w:r>
            <w:r w:rsidR="00685EB0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9750C3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>
              <w:rPr>
                <w:rStyle w:val="FontStyle45"/>
                <w:sz w:val="24"/>
                <w:szCs w:val="24"/>
                <w:lang w:eastAsia="uk-UA"/>
              </w:rPr>
              <w:t>1,00</w:t>
            </w:r>
          </w:p>
          <w:p w:rsidR="003F5A26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(0,92-1,04)</w:t>
            </w:r>
            <w:r w:rsidR="00685EB0" w:rsidRPr="006166B7">
              <w:rPr>
                <w:sz w:val="28"/>
                <w:szCs w:val="28"/>
              </w:rPr>
              <w:t xml:space="preserve"> º</w:t>
            </w:r>
            <w:r w:rsidR="000A1B1F" w:rsidRPr="006166B7">
              <w:rPr>
                <w:sz w:val="28"/>
                <w:szCs w:val="28"/>
              </w:rPr>
              <w:t xml:space="preserve"> ¹ 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A1B1F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1,27</w:t>
            </w:r>
          </w:p>
          <w:p w:rsidR="003F5A26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(1,17-1,47)</w:t>
            </w:r>
          </w:p>
        </w:tc>
      </w:tr>
      <w:tr w:rsidR="003F5A26" w:rsidRPr="006166B7" w:rsidTr="006166B7">
        <w:trPr>
          <w:jc w:val="center"/>
        </w:trPr>
        <w:tc>
          <w:tcPr>
            <w:tcW w:w="1702" w:type="dxa"/>
            <w:vAlign w:val="center"/>
          </w:tcPr>
          <w:p w:rsidR="003F5A26" w:rsidRPr="006166B7" w:rsidRDefault="00757F31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>
              <w:rPr>
                <w:rStyle w:val="FontStyle45"/>
                <w:sz w:val="24"/>
                <w:szCs w:val="24"/>
                <w:lang w:eastAsia="uk-UA"/>
              </w:rPr>
              <w:t>ХС ЛПНП</w:t>
            </w:r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>ммоль</w:t>
            </w:r>
            <w:proofErr w:type="spellEnd"/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>/л</w:t>
            </w:r>
          </w:p>
        </w:tc>
        <w:tc>
          <w:tcPr>
            <w:tcW w:w="1984" w:type="dxa"/>
            <w:vAlign w:val="center"/>
          </w:tcPr>
          <w:p w:rsidR="000A1B1F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2,62</w:t>
            </w:r>
          </w:p>
          <w:p w:rsidR="003F5A26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(2,26-3,04</w:t>
            </w:r>
            <w:r w:rsidR="00062FCA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4" w:type="dxa"/>
            <w:vAlign w:val="center"/>
          </w:tcPr>
          <w:p w:rsidR="000A1B1F" w:rsidRPr="006166B7" w:rsidRDefault="00757F31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>
              <w:rPr>
                <w:rStyle w:val="FontStyle45"/>
                <w:sz w:val="24"/>
                <w:szCs w:val="24"/>
                <w:lang w:eastAsia="uk-UA"/>
              </w:rPr>
              <w:t>2,6</w:t>
            </w:r>
            <w:r w:rsidR="008A5C4E" w:rsidRPr="006166B7">
              <w:rPr>
                <w:rStyle w:val="FontStyle45"/>
                <w:sz w:val="24"/>
                <w:szCs w:val="24"/>
                <w:lang w:eastAsia="uk-UA"/>
              </w:rPr>
              <w:t>1</w:t>
            </w:r>
          </w:p>
          <w:p w:rsidR="003F5A26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(2,04-3,67</w:t>
            </w:r>
            <w:r w:rsidR="005D09C0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4" w:type="dxa"/>
            <w:vAlign w:val="center"/>
          </w:tcPr>
          <w:p w:rsidR="000A1B1F" w:rsidRPr="006166B7" w:rsidRDefault="00757F31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>
              <w:rPr>
                <w:rStyle w:val="FontStyle45"/>
                <w:sz w:val="24"/>
                <w:szCs w:val="24"/>
                <w:lang w:eastAsia="uk-UA"/>
              </w:rPr>
              <w:t>2,6</w:t>
            </w:r>
            <w:r w:rsidR="008A5C4E" w:rsidRPr="006166B7">
              <w:rPr>
                <w:rStyle w:val="FontStyle45"/>
                <w:sz w:val="24"/>
                <w:szCs w:val="24"/>
                <w:lang w:eastAsia="uk-UA"/>
              </w:rPr>
              <w:t>1</w:t>
            </w:r>
          </w:p>
          <w:p w:rsidR="003F5A26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(2,05-2,85</w:t>
            </w:r>
            <w:r w:rsidR="005D09C0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A1B1F" w:rsidRPr="006166B7" w:rsidRDefault="006166B7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2,49</w:t>
            </w:r>
          </w:p>
          <w:p w:rsidR="003F5A26" w:rsidRPr="006166B7" w:rsidRDefault="006166B7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(1,46-3,2</w:t>
            </w:r>
            <w:r w:rsidR="008A5C4E" w:rsidRPr="006166B7">
              <w:rPr>
                <w:rStyle w:val="FontStyle45"/>
                <w:sz w:val="24"/>
                <w:szCs w:val="24"/>
                <w:lang w:eastAsia="uk-UA"/>
              </w:rPr>
              <w:t>8</w:t>
            </w:r>
            <w:r w:rsidR="006A244D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</w:tr>
      <w:tr w:rsidR="003F5A26" w:rsidRPr="006166B7" w:rsidTr="006166B7">
        <w:trPr>
          <w:jc w:val="center"/>
        </w:trPr>
        <w:tc>
          <w:tcPr>
            <w:tcW w:w="1702" w:type="dxa"/>
            <w:vAlign w:val="center"/>
          </w:tcPr>
          <w:p w:rsidR="003F5A26" w:rsidRPr="006166B7" w:rsidRDefault="00757F31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>
              <w:rPr>
                <w:rStyle w:val="FontStyle45"/>
                <w:sz w:val="24"/>
                <w:szCs w:val="24"/>
                <w:lang w:eastAsia="uk-UA"/>
              </w:rPr>
              <w:t>ХС ЛПОНП</w:t>
            </w:r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>ммоль</w:t>
            </w:r>
            <w:proofErr w:type="spellEnd"/>
            <w:r w:rsidR="003F5A26" w:rsidRPr="006166B7">
              <w:rPr>
                <w:rStyle w:val="FontStyle45"/>
                <w:sz w:val="24"/>
                <w:szCs w:val="24"/>
                <w:lang w:eastAsia="uk-UA"/>
              </w:rPr>
              <w:t>/л</w:t>
            </w:r>
          </w:p>
        </w:tc>
        <w:tc>
          <w:tcPr>
            <w:tcW w:w="1984" w:type="dxa"/>
            <w:vAlign w:val="center"/>
          </w:tcPr>
          <w:p w:rsidR="000A1B1F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0,68</w:t>
            </w:r>
          </w:p>
          <w:p w:rsidR="003F5A26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(0,50-0,97</w:t>
            </w:r>
            <w:r w:rsidR="00062FCA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  <w:r w:rsidR="000A1B1F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0,93</w:t>
            </w:r>
          </w:p>
          <w:p w:rsidR="003F5A26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(0,61-0,99</w:t>
            </w:r>
            <w:r w:rsidR="005D09C0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  <w:r w:rsidR="000A1B1F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0,80</w:t>
            </w:r>
          </w:p>
          <w:p w:rsidR="003F5A26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(0,65-1,06</w:t>
            </w:r>
            <w:r w:rsidR="005D09C0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  <w:r w:rsidR="000A1B1F" w:rsidRPr="006166B7">
              <w:rPr>
                <w:sz w:val="28"/>
                <w:szCs w:val="28"/>
              </w:rPr>
              <w:t xml:space="preserve"> º 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A1B1F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0,29</w:t>
            </w:r>
          </w:p>
          <w:p w:rsidR="003F5A26" w:rsidRPr="006166B7" w:rsidRDefault="008A5C4E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(0,24-0,3</w:t>
            </w:r>
            <w:r w:rsidR="006166B7" w:rsidRPr="006166B7">
              <w:rPr>
                <w:rStyle w:val="FontStyle45"/>
                <w:sz w:val="24"/>
                <w:szCs w:val="24"/>
                <w:lang w:eastAsia="uk-UA"/>
              </w:rPr>
              <w:t>5</w:t>
            </w:r>
            <w:r w:rsidR="006A244D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</w:tr>
      <w:tr w:rsidR="006A244D" w:rsidRPr="006166B7" w:rsidTr="006166B7">
        <w:trPr>
          <w:jc w:val="center"/>
        </w:trPr>
        <w:tc>
          <w:tcPr>
            <w:tcW w:w="1702" w:type="dxa"/>
            <w:vAlign w:val="center"/>
          </w:tcPr>
          <w:p w:rsidR="006A244D" w:rsidRPr="006166B7" w:rsidRDefault="006A244D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 xml:space="preserve">ТГ, </w:t>
            </w:r>
            <w:proofErr w:type="spellStart"/>
            <w:r w:rsidRPr="006166B7">
              <w:rPr>
                <w:rStyle w:val="FontStyle45"/>
                <w:sz w:val="24"/>
                <w:szCs w:val="24"/>
                <w:lang w:eastAsia="uk-UA"/>
              </w:rPr>
              <w:t>ммоль</w:t>
            </w:r>
            <w:proofErr w:type="spellEnd"/>
            <w:r w:rsidRPr="006166B7">
              <w:rPr>
                <w:rStyle w:val="FontStyle45"/>
                <w:sz w:val="24"/>
                <w:szCs w:val="24"/>
                <w:lang w:eastAsia="uk-UA"/>
              </w:rPr>
              <w:t>/л</w:t>
            </w:r>
          </w:p>
        </w:tc>
        <w:tc>
          <w:tcPr>
            <w:tcW w:w="1984" w:type="dxa"/>
            <w:vAlign w:val="center"/>
          </w:tcPr>
          <w:p w:rsidR="000A1B1F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1,50</w:t>
            </w:r>
          </w:p>
          <w:p w:rsidR="006A244D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(1,11-2,13)</w:t>
            </w:r>
            <w:r w:rsidR="000A1B1F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2,05</w:t>
            </w:r>
          </w:p>
          <w:p w:rsidR="006A244D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(1,35-2,18)</w:t>
            </w:r>
            <w:r w:rsidR="000A1B1F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1,77</w:t>
            </w:r>
          </w:p>
          <w:p w:rsidR="006A244D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(1,43-2,34)</w:t>
            </w:r>
            <w:r w:rsidR="000A1B1F" w:rsidRPr="006166B7">
              <w:rPr>
                <w:sz w:val="28"/>
                <w:szCs w:val="28"/>
              </w:rPr>
              <w:t xml:space="preserve"> º 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A1B1F" w:rsidRPr="006166B7" w:rsidRDefault="006166B7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0,63</w:t>
            </w:r>
          </w:p>
          <w:p w:rsidR="006A244D" w:rsidRPr="006166B7" w:rsidRDefault="006166B7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(0,52-0,76</w:t>
            </w:r>
            <w:r w:rsidR="00062FCA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</w:tr>
      <w:tr w:rsidR="003F5A26" w:rsidRPr="006166B7" w:rsidTr="006166B7">
        <w:trPr>
          <w:jc w:val="center"/>
        </w:trPr>
        <w:tc>
          <w:tcPr>
            <w:tcW w:w="1702" w:type="dxa"/>
            <w:vAlign w:val="center"/>
          </w:tcPr>
          <w:p w:rsidR="003F5A26" w:rsidRPr="006166B7" w:rsidRDefault="003F5A26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lastRenderedPageBreak/>
              <w:t>КА</w:t>
            </w:r>
          </w:p>
        </w:tc>
        <w:tc>
          <w:tcPr>
            <w:tcW w:w="1984" w:type="dxa"/>
            <w:vAlign w:val="center"/>
          </w:tcPr>
          <w:p w:rsidR="000A1B1F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3,13</w:t>
            </w:r>
          </w:p>
          <w:p w:rsidR="003F5A26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(2,58-3,70)</w:t>
            </w:r>
            <w:r w:rsidR="000A1B1F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3,21</w:t>
            </w:r>
          </w:p>
          <w:p w:rsidR="003F5A26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(2,45-4,54)</w:t>
            </w:r>
            <w:r w:rsidR="000A1B1F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4" w:type="dxa"/>
            <w:vAlign w:val="center"/>
          </w:tcPr>
          <w:p w:rsidR="000A1B1F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3,55</w:t>
            </w:r>
          </w:p>
          <w:p w:rsidR="003F5A26" w:rsidRPr="006166B7" w:rsidRDefault="005D09C0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(2,68-4,13)</w:t>
            </w:r>
            <w:r w:rsidR="000A1B1F" w:rsidRPr="006166B7">
              <w:rPr>
                <w:sz w:val="28"/>
                <w:szCs w:val="28"/>
              </w:rPr>
              <w:t xml:space="preserve"> 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A1B1F" w:rsidRPr="006166B7" w:rsidRDefault="00062FCA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2,26</w:t>
            </w:r>
          </w:p>
          <w:p w:rsidR="003F5A26" w:rsidRPr="006166B7" w:rsidRDefault="006166B7" w:rsidP="006166B7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6166B7">
              <w:rPr>
                <w:rStyle w:val="FontStyle45"/>
                <w:sz w:val="24"/>
                <w:szCs w:val="24"/>
                <w:lang w:eastAsia="uk-UA"/>
              </w:rPr>
              <w:t>(1,37-2,72</w:t>
            </w:r>
            <w:r w:rsidR="00062FCA" w:rsidRPr="006166B7">
              <w:rPr>
                <w:rStyle w:val="FontStyle45"/>
                <w:sz w:val="24"/>
                <w:szCs w:val="24"/>
                <w:lang w:eastAsia="uk-UA"/>
              </w:rPr>
              <w:t>)</w:t>
            </w:r>
          </w:p>
        </w:tc>
      </w:tr>
    </w:tbl>
    <w:p w:rsidR="00651A0F" w:rsidRPr="009B13FB" w:rsidRDefault="00685EB0" w:rsidP="00651A0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66B7">
        <w:rPr>
          <w:sz w:val="28"/>
          <w:szCs w:val="28"/>
          <w:lang w:val="ru-RU"/>
        </w:rPr>
        <w:t>достоверное различие (</w:t>
      </w:r>
      <w:proofErr w:type="spellStart"/>
      <w:r w:rsidRPr="006166B7">
        <w:rPr>
          <w:sz w:val="28"/>
          <w:szCs w:val="28"/>
          <w:lang w:val="ru-RU"/>
        </w:rPr>
        <w:t>p</w:t>
      </w:r>
      <w:proofErr w:type="spellEnd"/>
      <w:r w:rsidRPr="006166B7">
        <w:rPr>
          <w:sz w:val="28"/>
          <w:szCs w:val="28"/>
          <w:lang w:val="ru-RU"/>
        </w:rPr>
        <w:t xml:space="preserve">&lt;0,05) в сравнении с: Меº - группой контроля; </w:t>
      </w:r>
      <w:proofErr w:type="spellStart"/>
      <w:r w:rsidRPr="006166B7">
        <w:rPr>
          <w:sz w:val="28"/>
          <w:szCs w:val="28"/>
          <w:lang w:val="ru-RU"/>
        </w:rPr>
        <w:t>Me</w:t>
      </w:r>
      <w:proofErr w:type="spellEnd"/>
      <w:r w:rsidRPr="006166B7">
        <w:rPr>
          <w:sz w:val="28"/>
          <w:szCs w:val="28"/>
          <w:lang w:val="ru-RU"/>
        </w:rPr>
        <w:t xml:space="preserve">¹ - 1 группой; </w:t>
      </w:r>
      <w:proofErr w:type="spellStart"/>
      <w:r w:rsidRPr="006166B7">
        <w:rPr>
          <w:sz w:val="28"/>
          <w:szCs w:val="28"/>
          <w:lang w:val="ru-RU"/>
        </w:rPr>
        <w:t>Me</w:t>
      </w:r>
      <w:proofErr w:type="spellEnd"/>
      <w:r w:rsidRPr="006166B7">
        <w:rPr>
          <w:sz w:val="28"/>
          <w:szCs w:val="28"/>
          <w:lang w:val="ru-RU"/>
        </w:rPr>
        <w:t>² - 2 группой.</w:t>
      </w:r>
    </w:p>
    <w:p w:rsidR="00651A0F" w:rsidRPr="009B13FB" w:rsidRDefault="00651A0F" w:rsidP="00651A0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A6601" w:rsidRDefault="00651A0F" w:rsidP="00651A0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несфатина-1 в плазме крови </w:t>
      </w:r>
      <w:r w:rsidR="00FC19A1">
        <w:rPr>
          <w:sz w:val="28"/>
          <w:szCs w:val="28"/>
          <w:lang w:val="ru-RU"/>
        </w:rPr>
        <w:t xml:space="preserve">пациентов 1 группы составил 7,52 (6,85-8,10) </w:t>
      </w:r>
      <w:proofErr w:type="spellStart"/>
      <w:r w:rsidR="00FC19A1">
        <w:rPr>
          <w:sz w:val="28"/>
          <w:szCs w:val="28"/>
          <w:lang w:val="ru-RU"/>
        </w:rPr>
        <w:t>нг</w:t>
      </w:r>
      <w:proofErr w:type="spellEnd"/>
      <w:r w:rsidR="00FC19A1">
        <w:rPr>
          <w:sz w:val="28"/>
          <w:szCs w:val="28"/>
          <w:lang w:val="ru-RU"/>
        </w:rPr>
        <w:t xml:space="preserve">/мл, 2 группы – 7,17 (6,87-8,29) </w:t>
      </w:r>
      <w:proofErr w:type="spellStart"/>
      <w:r w:rsidR="00FC19A1">
        <w:rPr>
          <w:sz w:val="28"/>
          <w:szCs w:val="28"/>
          <w:lang w:val="ru-RU"/>
        </w:rPr>
        <w:t>нг</w:t>
      </w:r>
      <w:proofErr w:type="spellEnd"/>
      <w:r w:rsidR="00FC19A1">
        <w:rPr>
          <w:sz w:val="28"/>
          <w:szCs w:val="28"/>
          <w:lang w:val="ru-RU"/>
        </w:rPr>
        <w:t xml:space="preserve">/мл, 3 группы – 7,49 (6,52-8,47) </w:t>
      </w:r>
      <w:proofErr w:type="spellStart"/>
      <w:r w:rsidR="00FC19A1">
        <w:rPr>
          <w:sz w:val="28"/>
          <w:szCs w:val="28"/>
          <w:lang w:val="ru-RU"/>
        </w:rPr>
        <w:t>нг</w:t>
      </w:r>
      <w:proofErr w:type="spellEnd"/>
      <w:r w:rsidR="00FC19A1">
        <w:rPr>
          <w:sz w:val="28"/>
          <w:szCs w:val="28"/>
          <w:lang w:val="ru-RU"/>
        </w:rPr>
        <w:t>/мл. Различия в показателях групп были не достоверны. В сравне</w:t>
      </w:r>
      <w:r w:rsidR="00ED2970">
        <w:rPr>
          <w:sz w:val="28"/>
          <w:szCs w:val="28"/>
          <w:lang w:val="ru-RU"/>
        </w:rPr>
        <w:t>н</w:t>
      </w:r>
      <w:r w:rsidR="00FC19A1">
        <w:rPr>
          <w:sz w:val="28"/>
          <w:szCs w:val="28"/>
          <w:lang w:val="ru-RU"/>
        </w:rPr>
        <w:t>ии с группой контроля</w:t>
      </w:r>
      <w:r w:rsidR="00ED2970">
        <w:rPr>
          <w:sz w:val="28"/>
          <w:szCs w:val="28"/>
          <w:lang w:val="ru-RU"/>
        </w:rPr>
        <w:t xml:space="preserve"> (4,53 (4,23-4,87) </w:t>
      </w:r>
      <w:proofErr w:type="spellStart"/>
      <w:r w:rsidR="00ED2970">
        <w:rPr>
          <w:sz w:val="28"/>
          <w:szCs w:val="28"/>
          <w:lang w:val="ru-RU"/>
        </w:rPr>
        <w:t>нг</w:t>
      </w:r>
      <w:proofErr w:type="spellEnd"/>
      <w:r w:rsidR="00ED2970">
        <w:rPr>
          <w:sz w:val="28"/>
          <w:szCs w:val="28"/>
          <w:lang w:val="ru-RU"/>
        </w:rPr>
        <w:t>/мл)</w:t>
      </w:r>
      <w:r w:rsidR="00FC19A1">
        <w:rPr>
          <w:sz w:val="28"/>
          <w:szCs w:val="28"/>
          <w:lang w:val="ru-RU"/>
        </w:rPr>
        <w:t>, показатели у всех пациентов были значительно выше</w:t>
      </w:r>
      <w:r w:rsidR="00ED2970">
        <w:rPr>
          <w:sz w:val="28"/>
          <w:szCs w:val="28"/>
          <w:lang w:val="ru-RU"/>
        </w:rPr>
        <w:t xml:space="preserve"> (</w:t>
      </w:r>
      <w:proofErr w:type="spellStart"/>
      <w:r w:rsidR="00ED2970" w:rsidRPr="006166B7">
        <w:rPr>
          <w:sz w:val="28"/>
          <w:szCs w:val="28"/>
          <w:lang w:val="ru-RU"/>
        </w:rPr>
        <w:t>p</w:t>
      </w:r>
      <w:proofErr w:type="spellEnd"/>
      <w:r w:rsidR="00ED2970" w:rsidRPr="006166B7">
        <w:rPr>
          <w:sz w:val="28"/>
          <w:szCs w:val="28"/>
          <w:lang w:val="ru-RU"/>
        </w:rPr>
        <w:t>&lt;0,0</w:t>
      </w:r>
      <w:r w:rsidR="00ED2970">
        <w:rPr>
          <w:sz w:val="28"/>
          <w:szCs w:val="28"/>
          <w:lang w:val="ru-RU"/>
        </w:rPr>
        <w:t>01</w:t>
      </w:r>
      <w:r w:rsidR="00ED2970" w:rsidRPr="006166B7">
        <w:rPr>
          <w:sz w:val="28"/>
          <w:szCs w:val="28"/>
          <w:lang w:val="ru-RU"/>
        </w:rPr>
        <w:t>)</w:t>
      </w:r>
      <w:r w:rsidR="00ED2970">
        <w:rPr>
          <w:sz w:val="28"/>
          <w:szCs w:val="28"/>
          <w:lang w:val="ru-RU"/>
        </w:rPr>
        <w:t>.</w:t>
      </w:r>
    </w:p>
    <w:p w:rsidR="00922750" w:rsidRDefault="00F20F2E" w:rsidP="00651A0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</w:t>
      </w:r>
      <w:r w:rsidR="00CA5D10">
        <w:rPr>
          <w:sz w:val="28"/>
          <w:szCs w:val="28"/>
          <w:lang w:val="ru-RU"/>
        </w:rPr>
        <w:t xml:space="preserve">корреляционных взаимосвязей </w:t>
      </w:r>
      <w:r>
        <w:rPr>
          <w:sz w:val="28"/>
          <w:szCs w:val="28"/>
          <w:lang w:val="ru-RU"/>
        </w:rPr>
        <w:t>уровня несфатина-1 в группах пациентов представлен в таблице 3.</w:t>
      </w:r>
    </w:p>
    <w:p w:rsidR="00F20F2E" w:rsidRDefault="00F20F2E" w:rsidP="00651A0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20F2E" w:rsidRDefault="00F20F2E" w:rsidP="00651A0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Табл.3. Корреляции несфатина-1 с показателями у</w:t>
      </w:r>
      <w:r w:rsidR="00CA5D10">
        <w:rPr>
          <w:sz w:val="28"/>
          <w:szCs w:val="28"/>
          <w:lang w:val="ru-RU"/>
        </w:rPr>
        <w:t>глеводного и липидного профилей у обследованных больных.</w:t>
      </w:r>
    </w:p>
    <w:tbl>
      <w:tblPr>
        <w:tblStyle w:val="a8"/>
        <w:tblW w:w="0" w:type="auto"/>
        <w:tblLook w:val="04A0"/>
      </w:tblPr>
      <w:tblGrid>
        <w:gridCol w:w="1758"/>
        <w:gridCol w:w="2578"/>
        <w:gridCol w:w="2578"/>
        <w:gridCol w:w="2578"/>
      </w:tblGrid>
      <w:tr w:rsidR="0030782D" w:rsidRPr="00387240" w:rsidTr="00387240">
        <w:tc>
          <w:tcPr>
            <w:tcW w:w="0" w:type="auto"/>
            <w:vMerge w:val="restart"/>
            <w:vAlign w:val="center"/>
          </w:tcPr>
          <w:p w:rsidR="0030782D" w:rsidRPr="00387240" w:rsidRDefault="0030782D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7734" w:type="dxa"/>
            <w:gridSpan w:val="3"/>
            <w:vAlign w:val="center"/>
          </w:tcPr>
          <w:p w:rsidR="0030782D" w:rsidRPr="00387240" w:rsidRDefault="0030782D" w:rsidP="0038724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87240">
              <w:rPr>
                <w:sz w:val="24"/>
                <w:szCs w:val="24"/>
                <w:lang w:val="ru-RU"/>
              </w:rPr>
              <w:t xml:space="preserve">Коэффициент корреляции </w:t>
            </w:r>
            <w:proofErr w:type="spellStart"/>
            <w:r w:rsidRPr="00387240">
              <w:rPr>
                <w:sz w:val="24"/>
                <w:szCs w:val="24"/>
                <w:lang w:val="ru-RU"/>
              </w:rPr>
              <w:t>r</w:t>
            </w:r>
            <w:proofErr w:type="spellEnd"/>
            <w:r w:rsidRPr="0038724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87240">
              <w:rPr>
                <w:sz w:val="24"/>
                <w:szCs w:val="24"/>
                <w:lang w:val="ru-RU"/>
              </w:rPr>
              <w:t>p</w:t>
            </w:r>
            <w:proofErr w:type="spellEnd"/>
            <w:r w:rsidRPr="00387240">
              <w:rPr>
                <w:sz w:val="24"/>
                <w:szCs w:val="24"/>
                <w:lang w:val="ru-RU"/>
              </w:rPr>
              <w:t>&lt;0,05)</w:t>
            </w:r>
          </w:p>
        </w:tc>
      </w:tr>
      <w:tr w:rsidR="00387240" w:rsidRPr="00387240" w:rsidTr="00387240">
        <w:tc>
          <w:tcPr>
            <w:tcW w:w="0" w:type="auto"/>
            <w:vMerge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Группа 1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Группа 2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Группа 3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Глюкоза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en-US"/>
              </w:rPr>
              <w:t>0,28</w:t>
            </w:r>
            <w:r w:rsidRPr="0038724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Глюкоза ПГТТ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-0,452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Инсулин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0,287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-0,406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87240">
              <w:rPr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0,327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-0,392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val="en-US" w:eastAsia="uk-UA"/>
              </w:rPr>
            </w:pPr>
            <w:r w:rsidRPr="00387240">
              <w:rPr>
                <w:rStyle w:val="FontStyle45"/>
                <w:sz w:val="24"/>
                <w:szCs w:val="24"/>
                <w:lang w:eastAsia="uk-UA"/>
              </w:rPr>
              <w:t>ХС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val="en-US" w:eastAsia="uk-UA"/>
              </w:rPr>
            </w:pPr>
            <w:r w:rsidRPr="00387240">
              <w:rPr>
                <w:rStyle w:val="FontStyle45"/>
                <w:sz w:val="24"/>
                <w:szCs w:val="24"/>
                <w:lang w:eastAsia="uk-UA"/>
              </w:rPr>
              <w:t>ХС ЛПВП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-0,302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-0,524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val="en-US" w:eastAsia="uk-UA"/>
              </w:rPr>
            </w:pPr>
            <w:r w:rsidRPr="00387240">
              <w:rPr>
                <w:rStyle w:val="FontStyle45"/>
                <w:sz w:val="24"/>
                <w:szCs w:val="24"/>
                <w:lang w:eastAsia="uk-UA"/>
              </w:rPr>
              <w:t>ХС ЛПНП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val="en-US" w:eastAsia="uk-UA"/>
              </w:rPr>
            </w:pPr>
            <w:r w:rsidRPr="00387240">
              <w:rPr>
                <w:rStyle w:val="FontStyle45"/>
                <w:sz w:val="24"/>
                <w:szCs w:val="24"/>
                <w:lang w:eastAsia="uk-UA"/>
              </w:rPr>
              <w:t>ХС ЛПОНП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0,205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0,531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val="en-US" w:eastAsia="uk-UA"/>
              </w:rPr>
            </w:pPr>
            <w:r w:rsidRPr="00387240">
              <w:rPr>
                <w:rStyle w:val="FontStyle45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0,205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0,531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  <w:tr w:rsidR="00387240" w:rsidRPr="00387240" w:rsidTr="00387240">
        <w:tc>
          <w:tcPr>
            <w:tcW w:w="0" w:type="auto"/>
            <w:vAlign w:val="center"/>
          </w:tcPr>
          <w:p w:rsidR="00387240" w:rsidRPr="00387240" w:rsidRDefault="00387240" w:rsidP="00387240">
            <w:pPr>
              <w:pStyle w:val="Style2"/>
              <w:widowControl/>
              <w:tabs>
                <w:tab w:val="left" w:pos="6106"/>
              </w:tabs>
              <w:jc w:val="center"/>
              <w:rPr>
                <w:rStyle w:val="FontStyle45"/>
                <w:sz w:val="24"/>
                <w:szCs w:val="24"/>
                <w:lang w:eastAsia="uk-UA"/>
              </w:rPr>
            </w:pPr>
            <w:r w:rsidRPr="00387240">
              <w:rPr>
                <w:rStyle w:val="FontStyle45"/>
                <w:sz w:val="24"/>
                <w:szCs w:val="24"/>
                <w:lang w:eastAsia="uk-UA"/>
              </w:rPr>
              <w:t>КА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7240">
              <w:rPr>
                <w:sz w:val="24"/>
                <w:szCs w:val="24"/>
                <w:lang w:val="ru-RU"/>
              </w:rPr>
              <w:t>0,455</w:t>
            </w:r>
          </w:p>
        </w:tc>
        <w:tc>
          <w:tcPr>
            <w:tcW w:w="2578" w:type="dxa"/>
            <w:vAlign w:val="center"/>
          </w:tcPr>
          <w:p w:rsidR="00387240" w:rsidRPr="00387240" w:rsidRDefault="00387240" w:rsidP="0038724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×</w:t>
            </w:r>
          </w:p>
        </w:tc>
      </w:tr>
    </w:tbl>
    <w:p w:rsidR="00F20F2E" w:rsidRDefault="00CA5D10" w:rsidP="00651A0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× - </w:t>
      </w:r>
      <w:r w:rsidR="00053C05">
        <w:rPr>
          <w:lang w:val="ru-RU"/>
        </w:rPr>
        <w:t>корреляционная связь не достоверна</w:t>
      </w:r>
    </w:p>
    <w:p w:rsidR="00757F31" w:rsidRDefault="00757F31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7F31" w:rsidRPr="002477D8" w:rsidRDefault="008812ED" w:rsidP="00E53E14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477D8">
        <w:rPr>
          <w:b/>
          <w:sz w:val="28"/>
          <w:szCs w:val="28"/>
          <w:lang w:val="ru-RU"/>
        </w:rPr>
        <w:t>Обсуждение результатов исследования</w:t>
      </w:r>
    </w:p>
    <w:p w:rsidR="008812ED" w:rsidRDefault="002477D8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Превышение уровня несфатина-1 у всех обследованных пациентов в 1,5-2 </w:t>
      </w:r>
      <w:r w:rsidRPr="00456352">
        <w:rPr>
          <w:sz w:val="28"/>
          <w:szCs w:val="28"/>
          <w:lang w:val="ru-RU"/>
        </w:rPr>
        <w:t>раза</w:t>
      </w:r>
      <w:r w:rsidR="00E04683" w:rsidRPr="00456352">
        <w:rPr>
          <w:sz w:val="28"/>
          <w:szCs w:val="28"/>
          <w:lang w:val="ru-RU"/>
        </w:rPr>
        <w:t xml:space="preserve"> в сравнении с группой контроля может свидетельствовать о </w:t>
      </w:r>
      <w:proofErr w:type="spellStart"/>
      <w:r w:rsidR="00E04683" w:rsidRPr="00456352">
        <w:rPr>
          <w:sz w:val="28"/>
          <w:szCs w:val="28"/>
          <w:lang w:val="ru-RU"/>
        </w:rPr>
        <w:lastRenderedPageBreak/>
        <w:t>прогипертензивном</w:t>
      </w:r>
      <w:proofErr w:type="spellEnd"/>
      <w:r w:rsidR="00E04683" w:rsidRPr="00456352">
        <w:rPr>
          <w:sz w:val="28"/>
          <w:szCs w:val="28"/>
          <w:lang w:val="ru-RU"/>
        </w:rPr>
        <w:t xml:space="preserve"> действии несфатина-1. Этот эффект, по данным некоторых исследований, объясняется </w:t>
      </w:r>
      <w:r w:rsidR="00456352">
        <w:rPr>
          <w:sz w:val="28"/>
          <w:szCs w:val="28"/>
          <w:lang w:val="ru-RU"/>
        </w:rPr>
        <w:t>стимуляцией симпатической нервной системы</w:t>
      </w:r>
      <w:r w:rsidR="00456352" w:rsidRPr="00456352">
        <w:rPr>
          <w:sz w:val="28"/>
          <w:szCs w:val="28"/>
          <w:lang w:val="ru-RU"/>
        </w:rPr>
        <w:t xml:space="preserve"> путем воздействия на центральные рецепторы </w:t>
      </w:r>
      <w:proofErr w:type="spellStart"/>
      <w:r w:rsidR="00456352" w:rsidRPr="00456352">
        <w:rPr>
          <w:sz w:val="28"/>
          <w:szCs w:val="28"/>
          <w:lang w:val="ru-RU"/>
        </w:rPr>
        <w:t>меланокортина</w:t>
      </w:r>
      <w:proofErr w:type="spellEnd"/>
      <w:r w:rsidR="00456352" w:rsidRPr="00456352">
        <w:rPr>
          <w:sz w:val="28"/>
          <w:szCs w:val="28"/>
          <w:lang w:val="ru-RU"/>
        </w:rPr>
        <w:t xml:space="preserve"> [</w:t>
      </w:r>
      <w:r w:rsidR="00456352">
        <w:rPr>
          <w:sz w:val="28"/>
          <w:szCs w:val="28"/>
          <w:lang w:val="ru-RU"/>
        </w:rPr>
        <w:t>9</w:t>
      </w:r>
      <w:r w:rsidR="00456352" w:rsidRPr="00456352">
        <w:rPr>
          <w:sz w:val="28"/>
          <w:szCs w:val="28"/>
          <w:lang w:val="ru-RU"/>
        </w:rPr>
        <w:t xml:space="preserve">]. Также было показано, что внутривенное введение несфатина-1 крысам вызывает </w:t>
      </w:r>
      <w:proofErr w:type="spellStart"/>
      <w:r w:rsidR="00456352" w:rsidRPr="00456352">
        <w:rPr>
          <w:sz w:val="28"/>
          <w:szCs w:val="28"/>
          <w:lang w:val="ru-RU"/>
        </w:rPr>
        <w:t>вазоконстрикцию</w:t>
      </w:r>
      <w:proofErr w:type="spellEnd"/>
      <w:r w:rsidR="00456352" w:rsidRPr="00456352">
        <w:rPr>
          <w:sz w:val="28"/>
          <w:szCs w:val="28"/>
          <w:lang w:val="ru-RU"/>
        </w:rPr>
        <w:t>, ингибируя синтез оксида азота, тем самым повышая артериальное давление [</w:t>
      </w:r>
      <w:r w:rsidR="00456352">
        <w:rPr>
          <w:sz w:val="28"/>
          <w:szCs w:val="28"/>
          <w:lang w:val="ru-RU"/>
        </w:rPr>
        <w:t>6</w:t>
      </w:r>
      <w:r w:rsidR="00456352" w:rsidRPr="00456352">
        <w:rPr>
          <w:sz w:val="28"/>
          <w:szCs w:val="28"/>
          <w:lang w:val="ru-RU"/>
        </w:rPr>
        <w:t>].</w:t>
      </w:r>
    </w:p>
    <w:p w:rsidR="009750C3" w:rsidRPr="00076420" w:rsidRDefault="009750C3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Учитывая результаты корреляционного анализа, можно предположить, что у больных ГБ и ОЖ при условии </w:t>
      </w:r>
      <w:proofErr w:type="spellStart"/>
      <w:r>
        <w:rPr>
          <w:sz w:val="28"/>
          <w:szCs w:val="28"/>
          <w:lang w:val="ru-RU"/>
        </w:rPr>
        <w:t>нормогликемии</w:t>
      </w:r>
      <w:proofErr w:type="spellEnd"/>
      <w:r>
        <w:rPr>
          <w:sz w:val="28"/>
          <w:szCs w:val="28"/>
          <w:lang w:val="ru-RU"/>
        </w:rPr>
        <w:t xml:space="preserve"> (1 груп</w:t>
      </w:r>
      <w:r w:rsidR="006236AA">
        <w:rPr>
          <w:sz w:val="28"/>
          <w:szCs w:val="28"/>
          <w:lang w:val="ru-RU"/>
        </w:rPr>
        <w:t xml:space="preserve">па обследованных) </w:t>
      </w:r>
      <w:r>
        <w:rPr>
          <w:sz w:val="28"/>
          <w:szCs w:val="28"/>
          <w:lang w:val="ru-RU"/>
        </w:rPr>
        <w:t xml:space="preserve">проявляется </w:t>
      </w:r>
      <w:proofErr w:type="spellStart"/>
      <w:r>
        <w:rPr>
          <w:sz w:val="28"/>
          <w:szCs w:val="28"/>
          <w:lang w:val="ru-RU"/>
        </w:rPr>
        <w:t>глюкозозависимое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инсулинотропное</w:t>
      </w:r>
      <w:proofErr w:type="spellEnd"/>
      <w:r>
        <w:rPr>
          <w:sz w:val="28"/>
          <w:szCs w:val="28"/>
          <w:lang w:val="ru-RU"/>
        </w:rPr>
        <w:t xml:space="preserve"> действие </w:t>
      </w:r>
      <w:proofErr w:type="spellStart"/>
      <w:r>
        <w:rPr>
          <w:sz w:val="28"/>
          <w:szCs w:val="28"/>
          <w:lang w:val="ru-RU"/>
        </w:rPr>
        <w:t>адипоцитокина</w:t>
      </w:r>
      <w:proofErr w:type="spellEnd"/>
      <w:r>
        <w:rPr>
          <w:sz w:val="28"/>
          <w:szCs w:val="28"/>
          <w:lang w:val="ru-RU"/>
        </w:rPr>
        <w:t xml:space="preserve">. </w:t>
      </w:r>
      <w:r w:rsidR="000104F0">
        <w:rPr>
          <w:sz w:val="28"/>
          <w:szCs w:val="28"/>
          <w:lang w:val="ru-RU"/>
        </w:rPr>
        <w:t>Ранее учеными</w:t>
      </w:r>
      <w:r w:rsidR="006236AA">
        <w:rPr>
          <w:sz w:val="28"/>
          <w:szCs w:val="28"/>
          <w:lang w:val="ru-RU"/>
        </w:rPr>
        <w:t xml:space="preserve"> </w:t>
      </w:r>
      <w:r w:rsidR="00087932">
        <w:rPr>
          <w:sz w:val="28"/>
          <w:szCs w:val="28"/>
          <w:lang w:val="ru-RU"/>
        </w:rPr>
        <w:t xml:space="preserve">также </w:t>
      </w:r>
      <w:r w:rsidR="006236AA">
        <w:rPr>
          <w:sz w:val="28"/>
          <w:szCs w:val="28"/>
          <w:lang w:val="ru-RU"/>
        </w:rPr>
        <w:t>было показано, что</w:t>
      </w:r>
      <w:r w:rsidR="000104F0">
        <w:rPr>
          <w:sz w:val="28"/>
          <w:szCs w:val="28"/>
          <w:lang w:val="ru-RU"/>
        </w:rPr>
        <w:t xml:space="preserve"> при пов</w:t>
      </w:r>
      <w:r w:rsidR="006236AA">
        <w:rPr>
          <w:sz w:val="28"/>
          <w:szCs w:val="28"/>
          <w:lang w:val="ru-RU"/>
        </w:rPr>
        <w:t>ышении уровня глюкозы крови</w:t>
      </w:r>
      <w:r w:rsidR="000104F0">
        <w:rPr>
          <w:sz w:val="28"/>
          <w:szCs w:val="28"/>
          <w:lang w:val="ru-RU"/>
        </w:rPr>
        <w:t xml:space="preserve"> наблюдалась тенденция к увеличению уровня</w:t>
      </w:r>
      <w:r w:rsidR="006236AA">
        <w:rPr>
          <w:sz w:val="28"/>
          <w:szCs w:val="28"/>
          <w:lang w:val="ru-RU"/>
        </w:rPr>
        <w:t xml:space="preserve"> несфатина-1</w:t>
      </w:r>
      <w:r w:rsidR="000104F0">
        <w:rPr>
          <w:sz w:val="28"/>
          <w:szCs w:val="28"/>
          <w:lang w:val="ru-RU"/>
        </w:rPr>
        <w:t xml:space="preserve">, </w:t>
      </w:r>
      <w:r w:rsidR="006236AA">
        <w:rPr>
          <w:sz w:val="28"/>
          <w:szCs w:val="28"/>
          <w:lang w:val="ru-RU"/>
        </w:rPr>
        <w:t>который в свою очередь</w:t>
      </w:r>
      <w:r w:rsidR="000104F0">
        <w:rPr>
          <w:sz w:val="28"/>
          <w:szCs w:val="28"/>
          <w:lang w:val="ru-RU"/>
        </w:rPr>
        <w:t xml:space="preserve"> при достижении определенной </w:t>
      </w:r>
      <w:r w:rsidR="000104F0" w:rsidRPr="00087932">
        <w:rPr>
          <w:sz w:val="28"/>
          <w:szCs w:val="28"/>
          <w:lang w:val="ru-RU"/>
        </w:rPr>
        <w:t>концентрации стимулировал секрецию инсулина в островках поджелудочной железы [</w:t>
      </w:r>
      <w:r w:rsidR="001B09ED" w:rsidRPr="00087932">
        <w:rPr>
          <w:sz w:val="28"/>
          <w:szCs w:val="28"/>
          <w:lang w:val="ru-RU"/>
        </w:rPr>
        <w:t>8</w:t>
      </w:r>
      <w:r w:rsidR="000104F0" w:rsidRPr="00087932">
        <w:rPr>
          <w:sz w:val="28"/>
          <w:szCs w:val="28"/>
          <w:lang w:val="ru-RU"/>
        </w:rPr>
        <w:t>]</w:t>
      </w:r>
      <w:r w:rsidR="001B09ED" w:rsidRPr="00087932">
        <w:rPr>
          <w:sz w:val="28"/>
          <w:szCs w:val="28"/>
          <w:lang w:val="ru-RU"/>
        </w:rPr>
        <w:t>. Во 2 группе пациентов на фоне устан</w:t>
      </w:r>
      <w:r w:rsidR="006236AA" w:rsidRPr="00087932">
        <w:rPr>
          <w:sz w:val="28"/>
          <w:szCs w:val="28"/>
          <w:lang w:val="ru-RU"/>
        </w:rPr>
        <w:t xml:space="preserve">овленного </w:t>
      </w:r>
      <w:proofErr w:type="spellStart"/>
      <w:r w:rsidR="006236AA" w:rsidRPr="00087932">
        <w:rPr>
          <w:sz w:val="28"/>
          <w:szCs w:val="28"/>
          <w:lang w:val="ru-RU"/>
        </w:rPr>
        <w:t>предиабета</w:t>
      </w:r>
      <w:proofErr w:type="spellEnd"/>
      <w:r w:rsidR="006236AA" w:rsidRPr="00087932">
        <w:rPr>
          <w:sz w:val="28"/>
          <w:szCs w:val="28"/>
          <w:lang w:val="ru-RU"/>
        </w:rPr>
        <w:t xml:space="preserve"> </w:t>
      </w:r>
      <w:r w:rsidR="00087932">
        <w:rPr>
          <w:sz w:val="28"/>
          <w:szCs w:val="28"/>
          <w:lang w:val="ru-RU"/>
        </w:rPr>
        <w:t>повышение уровня несфатина-1 сопровождается</w:t>
      </w:r>
      <w:r w:rsidR="006236AA" w:rsidRPr="00087932">
        <w:rPr>
          <w:sz w:val="28"/>
          <w:szCs w:val="28"/>
          <w:lang w:val="ru-RU"/>
        </w:rPr>
        <w:t xml:space="preserve"> снижение</w:t>
      </w:r>
      <w:r w:rsidR="00087932">
        <w:rPr>
          <w:sz w:val="28"/>
          <w:szCs w:val="28"/>
          <w:lang w:val="ru-RU"/>
        </w:rPr>
        <w:t>м концентрации</w:t>
      </w:r>
      <w:r w:rsidR="001B09ED" w:rsidRPr="00087932">
        <w:rPr>
          <w:sz w:val="28"/>
          <w:szCs w:val="28"/>
          <w:lang w:val="ru-RU"/>
        </w:rPr>
        <w:t xml:space="preserve"> </w:t>
      </w:r>
      <w:proofErr w:type="spellStart"/>
      <w:r w:rsidR="001B09ED" w:rsidRPr="00087932">
        <w:rPr>
          <w:sz w:val="28"/>
          <w:szCs w:val="28"/>
          <w:lang w:val="ru-RU"/>
        </w:rPr>
        <w:t>постпрандиальной</w:t>
      </w:r>
      <w:proofErr w:type="spellEnd"/>
      <w:r w:rsidR="001B09ED" w:rsidRPr="00087932">
        <w:rPr>
          <w:sz w:val="28"/>
          <w:szCs w:val="28"/>
          <w:lang w:val="ru-RU"/>
        </w:rPr>
        <w:t xml:space="preserve"> глюкозы</w:t>
      </w:r>
      <w:r w:rsidR="006236AA" w:rsidRPr="00087932">
        <w:rPr>
          <w:sz w:val="28"/>
          <w:szCs w:val="28"/>
          <w:lang w:val="ru-RU"/>
        </w:rPr>
        <w:t xml:space="preserve">, </w:t>
      </w:r>
      <w:r w:rsidR="00087932">
        <w:rPr>
          <w:sz w:val="28"/>
          <w:szCs w:val="28"/>
          <w:lang w:val="ru-RU"/>
        </w:rPr>
        <w:t>что может быть следствием предполагаемого</w:t>
      </w:r>
      <w:r w:rsidR="006236AA" w:rsidRPr="00087932">
        <w:rPr>
          <w:sz w:val="28"/>
          <w:szCs w:val="28"/>
          <w:lang w:val="ru-RU"/>
        </w:rPr>
        <w:t xml:space="preserve"> </w:t>
      </w:r>
      <w:proofErr w:type="spellStart"/>
      <w:r w:rsidR="006236AA" w:rsidRPr="00087932">
        <w:rPr>
          <w:sz w:val="28"/>
          <w:szCs w:val="28"/>
          <w:lang w:val="ru-RU"/>
        </w:rPr>
        <w:t>инсулинотропного</w:t>
      </w:r>
      <w:proofErr w:type="spellEnd"/>
      <w:r w:rsidR="006236AA" w:rsidRPr="00087932">
        <w:rPr>
          <w:sz w:val="28"/>
          <w:szCs w:val="28"/>
          <w:lang w:val="ru-RU"/>
        </w:rPr>
        <w:t xml:space="preserve"> действия </w:t>
      </w:r>
      <w:proofErr w:type="spellStart"/>
      <w:r w:rsidR="00087932" w:rsidRPr="00087932">
        <w:rPr>
          <w:sz w:val="28"/>
          <w:szCs w:val="28"/>
          <w:lang w:val="ru-RU"/>
        </w:rPr>
        <w:t>адипоцитокина</w:t>
      </w:r>
      <w:proofErr w:type="spellEnd"/>
      <w:r w:rsidR="001B09ED" w:rsidRPr="00087932">
        <w:rPr>
          <w:sz w:val="28"/>
          <w:szCs w:val="28"/>
          <w:lang w:val="ru-RU"/>
        </w:rPr>
        <w:t xml:space="preserve">. </w:t>
      </w:r>
      <w:r w:rsidR="00770EC4" w:rsidRPr="00087932">
        <w:rPr>
          <w:sz w:val="28"/>
          <w:szCs w:val="28"/>
          <w:lang w:val="ru-RU"/>
        </w:rPr>
        <w:t xml:space="preserve">У пациентов с сопутствующим СД 2 типа (3 группа) отмечается </w:t>
      </w:r>
      <w:r w:rsidR="00515B58" w:rsidRPr="00087932">
        <w:rPr>
          <w:sz w:val="28"/>
          <w:szCs w:val="28"/>
          <w:lang w:val="ru-RU"/>
        </w:rPr>
        <w:t>обратная корреляционная связь между несфатином</w:t>
      </w:r>
      <w:r w:rsidR="00515B58">
        <w:rPr>
          <w:sz w:val="28"/>
          <w:szCs w:val="28"/>
          <w:lang w:val="ru-RU"/>
        </w:rPr>
        <w:t>-1 и инсулином крови. Вероятно, это наблюдается в св</w:t>
      </w:r>
      <w:r w:rsidR="00087932">
        <w:rPr>
          <w:sz w:val="28"/>
          <w:szCs w:val="28"/>
          <w:lang w:val="ru-RU"/>
        </w:rPr>
        <w:t xml:space="preserve">язи с </w:t>
      </w:r>
      <w:proofErr w:type="spellStart"/>
      <w:r w:rsidR="00087932">
        <w:rPr>
          <w:sz w:val="28"/>
          <w:szCs w:val="28"/>
          <w:lang w:val="ru-RU"/>
        </w:rPr>
        <w:t>коморбидностью</w:t>
      </w:r>
      <w:proofErr w:type="spellEnd"/>
      <w:r w:rsidR="00087932">
        <w:rPr>
          <w:sz w:val="28"/>
          <w:szCs w:val="28"/>
          <w:lang w:val="ru-RU"/>
        </w:rPr>
        <w:t xml:space="preserve"> патологий, т.к. </w:t>
      </w:r>
      <w:r w:rsidR="00515B58">
        <w:rPr>
          <w:sz w:val="28"/>
          <w:szCs w:val="28"/>
          <w:lang w:val="ru-RU"/>
        </w:rPr>
        <w:t>при выраженном ожирении количество несфатина-1 может увеличиваться благодаря секреции чре</w:t>
      </w:r>
      <w:r w:rsidR="00087932">
        <w:rPr>
          <w:sz w:val="28"/>
          <w:szCs w:val="28"/>
          <w:lang w:val="ru-RU"/>
        </w:rPr>
        <w:t xml:space="preserve">змерно развитой жировой тканью, тогда как </w:t>
      </w:r>
      <w:r w:rsidR="00250FA8">
        <w:rPr>
          <w:sz w:val="28"/>
          <w:szCs w:val="28"/>
          <w:lang w:val="ru-RU"/>
        </w:rPr>
        <w:t>выработка инсулина снижается п</w:t>
      </w:r>
      <w:r w:rsidR="00515B58">
        <w:rPr>
          <w:sz w:val="28"/>
          <w:szCs w:val="28"/>
          <w:lang w:val="ru-RU"/>
        </w:rPr>
        <w:t xml:space="preserve">ри СД 2 типа, особенно в сочетании с ОЖ, </w:t>
      </w:r>
      <w:r w:rsidR="00250FA8">
        <w:rPr>
          <w:sz w:val="28"/>
          <w:szCs w:val="28"/>
          <w:lang w:val="ru-RU"/>
        </w:rPr>
        <w:t>вследствие истощения и дисфункции</w:t>
      </w:r>
      <w:r w:rsidR="00515B58">
        <w:rPr>
          <w:sz w:val="28"/>
          <w:szCs w:val="28"/>
          <w:lang w:val="ru-RU"/>
        </w:rPr>
        <w:t xml:space="preserve"> </w:t>
      </w:r>
      <w:proofErr w:type="gramStart"/>
      <w:r w:rsidR="00515B58">
        <w:rPr>
          <w:sz w:val="28"/>
          <w:szCs w:val="28"/>
          <w:lang w:val="ru-RU"/>
        </w:rPr>
        <w:t>β-</w:t>
      </w:r>
      <w:proofErr w:type="gramEnd"/>
      <w:r w:rsidR="00515B58">
        <w:rPr>
          <w:sz w:val="28"/>
          <w:szCs w:val="28"/>
          <w:lang w:val="ru-RU"/>
        </w:rPr>
        <w:t>клеток поджелудочной железы</w:t>
      </w:r>
      <w:r w:rsidR="00250FA8">
        <w:rPr>
          <w:sz w:val="28"/>
          <w:szCs w:val="28"/>
          <w:lang w:val="ru-RU"/>
        </w:rPr>
        <w:t>. Также может играть роль</w:t>
      </w:r>
      <w:r w:rsidR="00515B58" w:rsidRPr="00515B58">
        <w:rPr>
          <w:sz w:val="28"/>
          <w:szCs w:val="28"/>
          <w:lang w:val="ru-RU"/>
        </w:rPr>
        <w:t xml:space="preserve"> увеличение чувствительности скелетных мышц, печени и жировой ткани к инсулину</w:t>
      </w:r>
      <w:r w:rsidR="00515B58">
        <w:rPr>
          <w:sz w:val="28"/>
          <w:szCs w:val="28"/>
          <w:lang w:val="ru-RU"/>
        </w:rPr>
        <w:t>, вызываемое несфатином-1</w:t>
      </w:r>
      <w:r w:rsidR="00076420">
        <w:rPr>
          <w:sz w:val="28"/>
          <w:szCs w:val="28"/>
          <w:lang w:val="ru-RU"/>
        </w:rPr>
        <w:t xml:space="preserve"> </w:t>
      </w:r>
      <w:r w:rsidR="00076420" w:rsidRPr="00076420">
        <w:rPr>
          <w:sz w:val="28"/>
          <w:szCs w:val="28"/>
          <w:lang w:val="ru-RU"/>
        </w:rPr>
        <w:t>[</w:t>
      </w:r>
      <w:r w:rsidR="00076420">
        <w:rPr>
          <w:sz w:val="28"/>
          <w:szCs w:val="28"/>
          <w:lang w:val="ru-RU"/>
        </w:rPr>
        <w:t>10</w:t>
      </w:r>
      <w:r w:rsidR="00076420" w:rsidRPr="00076420">
        <w:rPr>
          <w:sz w:val="28"/>
          <w:szCs w:val="28"/>
          <w:lang w:val="ru-RU"/>
        </w:rPr>
        <w:t>]</w:t>
      </w:r>
      <w:r w:rsidR="00076420">
        <w:rPr>
          <w:sz w:val="28"/>
          <w:szCs w:val="28"/>
          <w:lang w:val="ru-RU"/>
        </w:rPr>
        <w:t>.</w:t>
      </w:r>
    </w:p>
    <w:p w:rsidR="00515B58" w:rsidRDefault="00250FA8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Принципы взаимосвязи</w:t>
      </w:r>
      <w:r w:rsidR="00076420">
        <w:rPr>
          <w:sz w:val="28"/>
          <w:szCs w:val="28"/>
          <w:lang w:val="ru-RU"/>
        </w:rPr>
        <w:t xml:space="preserve"> уровня несфатина-1 с показ</w:t>
      </w:r>
      <w:r>
        <w:rPr>
          <w:sz w:val="28"/>
          <w:szCs w:val="28"/>
          <w:lang w:val="ru-RU"/>
        </w:rPr>
        <w:t>ателями липидного профиля идентичны</w:t>
      </w:r>
      <w:r w:rsidR="00076420">
        <w:rPr>
          <w:sz w:val="28"/>
          <w:szCs w:val="28"/>
          <w:lang w:val="ru-RU"/>
        </w:rPr>
        <w:t xml:space="preserve"> в 1 и 2 группах пациентов: при увеличении уровня несфатина-1 липидный профиль пациентов принимает более </w:t>
      </w:r>
      <w:proofErr w:type="spellStart"/>
      <w:r w:rsidR="00076420">
        <w:rPr>
          <w:sz w:val="28"/>
          <w:szCs w:val="28"/>
          <w:lang w:val="ru-RU"/>
        </w:rPr>
        <w:t>атерогенный</w:t>
      </w:r>
      <w:proofErr w:type="spellEnd"/>
      <w:r w:rsidR="00076420">
        <w:rPr>
          <w:sz w:val="28"/>
          <w:szCs w:val="28"/>
          <w:lang w:val="ru-RU"/>
        </w:rPr>
        <w:t xml:space="preserve"> характер – снижается </w:t>
      </w:r>
      <w:r w:rsidR="00D15E54">
        <w:rPr>
          <w:sz w:val="28"/>
          <w:szCs w:val="28"/>
          <w:lang w:val="ru-RU"/>
        </w:rPr>
        <w:t>уровень ХС ЛПВП и повышается концентрация ТГ и ХС ЛПОНП</w:t>
      </w:r>
      <w:r w:rsidR="001543B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Степень корреляционной связи выше</w:t>
      </w:r>
      <w:r w:rsidR="001543BC">
        <w:rPr>
          <w:sz w:val="28"/>
          <w:szCs w:val="28"/>
          <w:lang w:val="ru-RU"/>
        </w:rPr>
        <w:t xml:space="preserve"> у больных с </w:t>
      </w:r>
      <w:proofErr w:type="gramStart"/>
      <w:r w:rsidR="001543BC">
        <w:rPr>
          <w:sz w:val="28"/>
          <w:szCs w:val="28"/>
          <w:lang w:val="ru-RU"/>
        </w:rPr>
        <w:t>сопутствующим</w:t>
      </w:r>
      <w:proofErr w:type="gramEnd"/>
      <w:r w:rsidR="001543BC">
        <w:rPr>
          <w:sz w:val="28"/>
          <w:szCs w:val="28"/>
          <w:lang w:val="ru-RU"/>
        </w:rPr>
        <w:t xml:space="preserve"> </w:t>
      </w:r>
      <w:proofErr w:type="spellStart"/>
      <w:r w:rsidR="001543BC">
        <w:rPr>
          <w:sz w:val="28"/>
          <w:szCs w:val="28"/>
          <w:lang w:val="ru-RU"/>
        </w:rPr>
        <w:lastRenderedPageBreak/>
        <w:t>предиабетом</w:t>
      </w:r>
      <w:proofErr w:type="spellEnd"/>
      <w:r w:rsidR="001543BC">
        <w:rPr>
          <w:sz w:val="28"/>
          <w:szCs w:val="28"/>
          <w:lang w:val="ru-RU"/>
        </w:rPr>
        <w:t>. Это может объясняться тем, что уровень несфатин</w:t>
      </w:r>
      <w:r w:rsidR="002C49D4">
        <w:rPr>
          <w:sz w:val="28"/>
          <w:szCs w:val="28"/>
          <w:lang w:val="ru-RU"/>
        </w:rPr>
        <w:t>а-1 повышается при увеличении количества жировой ткани (соответственно, со степенью ожирения) [1</w:t>
      </w:r>
      <w:r w:rsidR="002C49D4" w:rsidRPr="002C49D4">
        <w:rPr>
          <w:sz w:val="28"/>
          <w:szCs w:val="28"/>
          <w:lang w:val="ru-RU"/>
        </w:rPr>
        <w:t>1</w:t>
      </w:r>
      <w:r w:rsidR="002C49D4">
        <w:rPr>
          <w:sz w:val="28"/>
          <w:szCs w:val="28"/>
          <w:lang w:val="ru-RU"/>
        </w:rPr>
        <w:t xml:space="preserve">], что в свою очередь сопровождается прогрессированием </w:t>
      </w:r>
      <w:proofErr w:type="spellStart"/>
      <w:r w:rsidR="002C49D4">
        <w:rPr>
          <w:sz w:val="28"/>
          <w:szCs w:val="28"/>
          <w:lang w:val="ru-RU"/>
        </w:rPr>
        <w:t>дислипидемии</w:t>
      </w:r>
      <w:proofErr w:type="spellEnd"/>
      <w:r w:rsidR="00B64CF0">
        <w:rPr>
          <w:sz w:val="28"/>
          <w:szCs w:val="28"/>
          <w:lang w:val="ru-RU"/>
        </w:rPr>
        <w:t xml:space="preserve"> [2]</w:t>
      </w:r>
      <w:r w:rsidR="002C49D4">
        <w:rPr>
          <w:sz w:val="28"/>
          <w:szCs w:val="28"/>
          <w:lang w:val="ru-RU"/>
        </w:rPr>
        <w:t>.</w:t>
      </w:r>
      <w:r w:rsidR="00B64CF0">
        <w:rPr>
          <w:sz w:val="28"/>
          <w:szCs w:val="28"/>
          <w:lang w:val="ru-RU"/>
        </w:rPr>
        <w:t xml:space="preserve"> </w:t>
      </w:r>
    </w:p>
    <w:p w:rsidR="00515B58" w:rsidRPr="00515B58" w:rsidRDefault="00B64CF0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r w:rsidR="00FA781E">
        <w:rPr>
          <w:sz w:val="28"/>
          <w:szCs w:val="28"/>
          <w:lang w:val="ru-RU"/>
        </w:rPr>
        <w:t>установленные</w:t>
      </w:r>
      <w:r w:rsidR="007F2A10">
        <w:rPr>
          <w:sz w:val="28"/>
          <w:szCs w:val="28"/>
          <w:lang w:val="ru-RU"/>
        </w:rPr>
        <w:t xml:space="preserve"> корреляционные связи между концентрациями несфатина</w:t>
      </w:r>
      <w:r w:rsidR="00FA781E">
        <w:rPr>
          <w:sz w:val="28"/>
          <w:szCs w:val="28"/>
          <w:lang w:val="ru-RU"/>
        </w:rPr>
        <w:t xml:space="preserve">-1 и показателями углеводного, </w:t>
      </w:r>
      <w:r w:rsidR="007F2A10">
        <w:rPr>
          <w:sz w:val="28"/>
          <w:szCs w:val="28"/>
          <w:lang w:val="ru-RU"/>
        </w:rPr>
        <w:t>липидного обменов</w:t>
      </w:r>
      <w:r w:rsidR="00FA781E">
        <w:rPr>
          <w:sz w:val="28"/>
          <w:szCs w:val="28"/>
          <w:lang w:val="ru-RU"/>
        </w:rPr>
        <w:t xml:space="preserve"> могут</w:t>
      </w:r>
      <w:r w:rsidR="007F2A10">
        <w:rPr>
          <w:sz w:val="28"/>
          <w:szCs w:val="28"/>
          <w:lang w:val="ru-RU"/>
        </w:rPr>
        <w:t xml:space="preserve"> свидетельствовать об участии </w:t>
      </w:r>
      <w:r w:rsidR="00FA781E">
        <w:rPr>
          <w:sz w:val="28"/>
          <w:szCs w:val="28"/>
          <w:lang w:val="ru-RU"/>
        </w:rPr>
        <w:t xml:space="preserve">этого </w:t>
      </w:r>
      <w:proofErr w:type="spellStart"/>
      <w:r w:rsidR="007F2A10">
        <w:rPr>
          <w:sz w:val="28"/>
          <w:szCs w:val="28"/>
          <w:lang w:val="ru-RU"/>
        </w:rPr>
        <w:t>адипо</w:t>
      </w:r>
      <w:r w:rsidR="00FA781E">
        <w:rPr>
          <w:sz w:val="28"/>
          <w:szCs w:val="28"/>
          <w:lang w:val="ru-RU"/>
        </w:rPr>
        <w:t>цито</w:t>
      </w:r>
      <w:r w:rsidR="007F2A10">
        <w:rPr>
          <w:sz w:val="28"/>
          <w:szCs w:val="28"/>
          <w:lang w:val="ru-RU"/>
        </w:rPr>
        <w:t>кина</w:t>
      </w:r>
      <w:proofErr w:type="spellEnd"/>
      <w:r w:rsidR="007F2A10">
        <w:rPr>
          <w:sz w:val="28"/>
          <w:szCs w:val="28"/>
          <w:lang w:val="ru-RU"/>
        </w:rPr>
        <w:t xml:space="preserve"> в формировании компо</w:t>
      </w:r>
      <w:r w:rsidR="00FA781E">
        <w:rPr>
          <w:sz w:val="28"/>
          <w:szCs w:val="28"/>
          <w:lang w:val="ru-RU"/>
        </w:rPr>
        <w:t xml:space="preserve">нентов кардиоваскулярного риска у больных ГБ с </w:t>
      </w:r>
      <w:proofErr w:type="spellStart"/>
      <w:r w:rsidR="00FA781E">
        <w:rPr>
          <w:sz w:val="28"/>
          <w:szCs w:val="28"/>
          <w:lang w:val="ru-RU"/>
        </w:rPr>
        <w:t>коморбидным</w:t>
      </w:r>
      <w:proofErr w:type="spellEnd"/>
      <w:r w:rsidR="00FA781E">
        <w:rPr>
          <w:sz w:val="28"/>
          <w:szCs w:val="28"/>
          <w:lang w:val="ru-RU"/>
        </w:rPr>
        <w:t xml:space="preserve"> течением.</w:t>
      </w:r>
    </w:p>
    <w:p w:rsidR="008E5AE8" w:rsidRDefault="008E5AE8" w:rsidP="00E53E14">
      <w:pPr>
        <w:spacing w:line="360" w:lineRule="auto"/>
        <w:ind w:firstLine="709"/>
        <w:jc w:val="both"/>
        <w:rPr>
          <w:sz w:val="28"/>
          <w:szCs w:val="28"/>
          <w:highlight w:val="cyan"/>
          <w:lang w:val="ru-RU"/>
        </w:rPr>
      </w:pPr>
    </w:p>
    <w:p w:rsidR="009649D4" w:rsidRDefault="009649D4" w:rsidP="00E53E14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649D4">
        <w:rPr>
          <w:b/>
          <w:sz w:val="28"/>
          <w:szCs w:val="28"/>
          <w:lang w:val="ru-RU"/>
        </w:rPr>
        <w:t>Выводы.</w:t>
      </w:r>
    </w:p>
    <w:p w:rsidR="009649D4" w:rsidRDefault="009649D4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Уровень несфатина-1 в 1,5-2 раза выше у боль</w:t>
      </w:r>
      <w:r w:rsidR="00FA781E">
        <w:rPr>
          <w:sz w:val="28"/>
          <w:szCs w:val="28"/>
          <w:lang w:val="ru-RU"/>
        </w:rPr>
        <w:t>ных ГБ и ОЖ, чем у здоровых лиц</w:t>
      </w:r>
      <w:r>
        <w:rPr>
          <w:sz w:val="28"/>
          <w:szCs w:val="28"/>
          <w:lang w:val="ru-RU"/>
        </w:rPr>
        <w:t>.</w:t>
      </w:r>
    </w:p>
    <w:p w:rsidR="009649D4" w:rsidRPr="003D639E" w:rsidRDefault="0096161E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 пациентов с ГБ, </w:t>
      </w:r>
      <w:r w:rsidR="00EC3E8F">
        <w:rPr>
          <w:sz w:val="28"/>
          <w:szCs w:val="28"/>
          <w:lang w:val="ru-RU"/>
        </w:rPr>
        <w:t xml:space="preserve">ОЖ и </w:t>
      </w:r>
      <w:proofErr w:type="spellStart"/>
      <w:r w:rsidR="00EC3E8F">
        <w:rPr>
          <w:sz w:val="28"/>
          <w:szCs w:val="28"/>
          <w:lang w:val="ru-RU"/>
        </w:rPr>
        <w:t>нормогликемией</w:t>
      </w:r>
      <w:proofErr w:type="spellEnd"/>
      <w:r w:rsidR="00EC3E8F">
        <w:rPr>
          <w:sz w:val="28"/>
          <w:szCs w:val="28"/>
          <w:lang w:val="ru-RU"/>
        </w:rPr>
        <w:t xml:space="preserve"> уровень несфатина-1 положительно </w:t>
      </w:r>
      <w:proofErr w:type="spellStart"/>
      <w:r w:rsidR="00EC3E8F">
        <w:rPr>
          <w:sz w:val="28"/>
          <w:szCs w:val="28"/>
          <w:lang w:val="ru-RU"/>
        </w:rPr>
        <w:t>к</w:t>
      </w:r>
      <w:r w:rsidR="003D639E">
        <w:rPr>
          <w:sz w:val="28"/>
          <w:szCs w:val="28"/>
          <w:lang w:val="ru-RU"/>
        </w:rPr>
        <w:t>оррелирует</w:t>
      </w:r>
      <w:proofErr w:type="spellEnd"/>
      <w:r w:rsidR="003D639E">
        <w:rPr>
          <w:sz w:val="28"/>
          <w:szCs w:val="28"/>
          <w:lang w:val="ru-RU"/>
        </w:rPr>
        <w:t xml:space="preserve"> с </w:t>
      </w:r>
      <w:r w:rsidR="003D639E" w:rsidRPr="003D639E">
        <w:rPr>
          <w:sz w:val="28"/>
          <w:szCs w:val="28"/>
          <w:lang w:val="ru-RU"/>
        </w:rPr>
        <w:t>показателями</w:t>
      </w:r>
      <w:r w:rsidR="003D639E">
        <w:rPr>
          <w:sz w:val="28"/>
          <w:szCs w:val="28"/>
          <w:lang w:val="ru-RU"/>
        </w:rPr>
        <w:t xml:space="preserve"> глюкозы, </w:t>
      </w:r>
      <w:r w:rsidR="00EC3E8F">
        <w:rPr>
          <w:sz w:val="28"/>
          <w:szCs w:val="28"/>
          <w:lang w:val="ru-RU"/>
        </w:rPr>
        <w:t>инсулина крови</w:t>
      </w:r>
      <w:r w:rsidR="003D639E">
        <w:rPr>
          <w:sz w:val="28"/>
          <w:szCs w:val="28"/>
          <w:lang w:val="ru-RU"/>
        </w:rPr>
        <w:t>, индексом HOMA-IR</w:t>
      </w:r>
      <w:r w:rsidR="00EC3E8F">
        <w:rPr>
          <w:sz w:val="28"/>
          <w:szCs w:val="28"/>
          <w:lang w:val="ru-RU"/>
        </w:rPr>
        <w:t xml:space="preserve">. При </w:t>
      </w:r>
      <w:proofErr w:type="gramStart"/>
      <w:r w:rsidR="00EC3E8F">
        <w:rPr>
          <w:sz w:val="28"/>
          <w:szCs w:val="28"/>
          <w:lang w:val="ru-RU"/>
        </w:rPr>
        <w:t>сопутствующем</w:t>
      </w:r>
      <w:proofErr w:type="gramEnd"/>
      <w:r w:rsidR="00EC3E8F">
        <w:rPr>
          <w:sz w:val="28"/>
          <w:szCs w:val="28"/>
          <w:lang w:val="ru-RU"/>
        </w:rPr>
        <w:t xml:space="preserve"> </w:t>
      </w:r>
      <w:proofErr w:type="spellStart"/>
      <w:r w:rsidR="00EC3E8F">
        <w:rPr>
          <w:sz w:val="28"/>
          <w:szCs w:val="28"/>
          <w:lang w:val="ru-RU"/>
        </w:rPr>
        <w:t>предиабете</w:t>
      </w:r>
      <w:proofErr w:type="spellEnd"/>
      <w:r w:rsidR="00EC3E8F">
        <w:rPr>
          <w:sz w:val="28"/>
          <w:szCs w:val="28"/>
          <w:lang w:val="ru-RU"/>
        </w:rPr>
        <w:t xml:space="preserve"> наблюдается отрицательная корреляционная связь с уровнем </w:t>
      </w:r>
      <w:proofErr w:type="spellStart"/>
      <w:r w:rsidR="00EC3E8F">
        <w:rPr>
          <w:sz w:val="28"/>
          <w:szCs w:val="28"/>
          <w:lang w:val="ru-RU"/>
        </w:rPr>
        <w:t>постпрандиальной</w:t>
      </w:r>
      <w:proofErr w:type="spellEnd"/>
      <w:r w:rsidR="00EC3E8F">
        <w:rPr>
          <w:sz w:val="28"/>
          <w:szCs w:val="28"/>
          <w:lang w:val="ru-RU"/>
        </w:rPr>
        <w:t xml:space="preserve"> глюкозы.</w:t>
      </w:r>
      <w:r w:rsidR="003D639E">
        <w:rPr>
          <w:sz w:val="28"/>
          <w:szCs w:val="28"/>
          <w:lang w:val="ru-RU"/>
        </w:rPr>
        <w:t xml:space="preserve"> При сочетании ГБ, ОЖ и СД 2 типа – отрицательная корреляционная связь с уровнем инсулина, индексом </w:t>
      </w:r>
      <w:r w:rsidR="003D639E">
        <w:rPr>
          <w:sz w:val="28"/>
          <w:szCs w:val="28"/>
          <w:lang w:val="en-US"/>
        </w:rPr>
        <w:t>HOMA</w:t>
      </w:r>
      <w:r w:rsidR="003D639E" w:rsidRPr="003D639E">
        <w:rPr>
          <w:sz w:val="28"/>
          <w:szCs w:val="28"/>
          <w:lang w:val="ru-RU"/>
        </w:rPr>
        <w:t>-</w:t>
      </w:r>
      <w:r w:rsidR="003D639E">
        <w:rPr>
          <w:sz w:val="28"/>
          <w:szCs w:val="28"/>
          <w:lang w:val="en-US"/>
        </w:rPr>
        <w:t>IR</w:t>
      </w:r>
      <w:r w:rsidR="003D639E" w:rsidRPr="003D639E">
        <w:rPr>
          <w:sz w:val="28"/>
          <w:szCs w:val="28"/>
          <w:lang w:val="ru-RU"/>
        </w:rPr>
        <w:t>.</w:t>
      </w:r>
    </w:p>
    <w:p w:rsidR="00EC3E8F" w:rsidRDefault="00EC3E8F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D639E">
        <w:rPr>
          <w:sz w:val="28"/>
          <w:szCs w:val="28"/>
          <w:lang w:val="ru-RU"/>
        </w:rPr>
        <w:t xml:space="preserve">У больных ГБ, ОЖ и </w:t>
      </w:r>
      <w:proofErr w:type="spellStart"/>
      <w:r w:rsidR="003D639E">
        <w:rPr>
          <w:sz w:val="28"/>
          <w:szCs w:val="28"/>
          <w:lang w:val="ru-RU"/>
        </w:rPr>
        <w:t>нормогликемией</w:t>
      </w:r>
      <w:proofErr w:type="spellEnd"/>
      <w:r w:rsidR="003D639E">
        <w:rPr>
          <w:sz w:val="28"/>
          <w:szCs w:val="28"/>
          <w:lang w:val="ru-RU"/>
        </w:rPr>
        <w:t xml:space="preserve"> или сопутствующим </w:t>
      </w:r>
      <w:proofErr w:type="spellStart"/>
      <w:r w:rsidR="003D639E">
        <w:rPr>
          <w:sz w:val="28"/>
          <w:szCs w:val="28"/>
          <w:lang w:val="ru-RU"/>
        </w:rPr>
        <w:t>предиабетом</w:t>
      </w:r>
      <w:proofErr w:type="spellEnd"/>
      <w:r w:rsidR="003D639E">
        <w:rPr>
          <w:sz w:val="28"/>
          <w:szCs w:val="28"/>
          <w:lang w:val="ru-RU"/>
        </w:rPr>
        <w:t xml:space="preserve"> установлена отрицательная корреляционная связь с уровнем ХС ЛПВП и положительная корреляция с показателями ТГ, ХС ЛПОНП, КА.</w:t>
      </w:r>
    </w:p>
    <w:p w:rsidR="005C5109" w:rsidRDefault="005C5109" w:rsidP="00E53E1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E5AE8" w:rsidRPr="00744C9D" w:rsidRDefault="002C49D4" w:rsidP="00E53E14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Список</w:t>
      </w:r>
      <w:r w:rsidRPr="00744C9D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литературы</w:t>
      </w:r>
      <w:proofErr w:type="spellEnd"/>
      <w:r w:rsidR="008E5AE8" w:rsidRPr="00744C9D">
        <w:rPr>
          <w:b/>
          <w:sz w:val="28"/>
          <w:szCs w:val="28"/>
          <w:lang w:val="en-US"/>
        </w:rPr>
        <w:t>:</w:t>
      </w:r>
    </w:p>
    <w:p w:rsidR="008E5AE8" w:rsidRPr="009E7F56" w:rsidRDefault="00F46B18" w:rsidP="009E7F56">
      <w:pPr>
        <w:shd w:val="clear" w:color="auto" w:fill="FFFFFE"/>
        <w:spacing w:line="360" w:lineRule="auto"/>
        <w:ind w:firstLine="709"/>
        <w:jc w:val="both"/>
        <w:textAlignment w:val="baseline"/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</w:rPr>
      </w:pPr>
      <w:r w:rsidRPr="009E7F56">
        <w:rPr>
          <w:rStyle w:val="cit-name-surname"/>
          <w:color w:val="030303"/>
          <w:sz w:val="28"/>
          <w:szCs w:val="28"/>
          <w:bdr w:val="none" w:sz="0" w:space="0" w:color="auto" w:frame="1"/>
          <w:lang w:val="en-US"/>
        </w:rPr>
        <w:t xml:space="preserve">1. </w:t>
      </w:r>
      <w:proofErr w:type="spellStart"/>
      <w:r w:rsidR="00CF7A99" w:rsidRPr="009E7F56">
        <w:rPr>
          <w:rStyle w:val="cit-name-surname"/>
          <w:color w:val="030303"/>
          <w:sz w:val="28"/>
          <w:szCs w:val="28"/>
          <w:bdr w:val="none" w:sz="0" w:space="0" w:color="auto" w:frame="1"/>
        </w:rPr>
        <w:t>Townsend</w:t>
      </w:r>
      <w:proofErr w:type="spellEnd"/>
      <w:r w:rsidR="00CF7A99" w:rsidRPr="009E7F56">
        <w:rPr>
          <w:rStyle w:val="apple-converted-space"/>
          <w:color w:val="030303"/>
          <w:sz w:val="28"/>
          <w:szCs w:val="28"/>
          <w:bdr w:val="none" w:sz="0" w:space="0" w:color="auto" w:frame="1"/>
        </w:rPr>
        <w:t> </w:t>
      </w:r>
      <w:r w:rsidR="00CF7A99" w:rsidRPr="009E7F56">
        <w:rPr>
          <w:rStyle w:val="cit-name-given-names"/>
          <w:color w:val="030303"/>
          <w:sz w:val="28"/>
          <w:szCs w:val="28"/>
          <w:bdr w:val="none" w:sz="0" w:space="0" w:color="auto" w:frame="1"/>
        </w:rPr>
        <w:t>N</w:t>
      </w:r>
      <w:r w:rsidR="00CF7A99" w:rsidRPr="009E7F56"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</w:rPr>
        <w:t>.</w:t>
      </w:r>
      <w:r w:rsidR="00CF7A99" w:rsidRPr="009E7F56">
        <w:rPr>
          <w:rStyle w:val="apple-converted-space"/>
          <w:color w:val="030303"/>
          <w:sz w:val="28"/>
          <w:szCs w:val="28"/>
          <w:bdr w:val="none" w:sz="0" w:space="0" w:color="auto" w:frame="1"/>
          <w:shd w:val="clear" w:color="auto" w:fill="FFFFFE"/>
        </w:rPr>
        <w:t> </w:t>
      </w:r>
      <w:proofErr w:type="spellStart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>Cardiovascular</w:t>
      </w:r>
      <w:proofErr w:type="spellEnd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 xml:space="preserve"> </w:t>
      </w:r>
      <w:proofErr w:type="spellStart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>disease</w:t>
      </w:r>
      <w:proofErr w:type="spellEnd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 xml:space="preserve"> </w:t>
      </w:r>
      <w:proofErr w:type="spellStart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>in</w:t>
      </w:r>
      <w:proofErr w:type="spellEnd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 xml:space="preserve"> </w:t>
      </w:r>
      <w:proofErr w:type="spellStart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>Europe—epidemiological</w:t>
      </w:r>
      <w:proofErr w:type="spellEnd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 xml:space="preserve"> </w:t>
      </w:r>
      <w:proofErr w:type="spellStart"/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>update</w:t>
      </w:r>
      <w:proofErr w:type="spellEnd"/>
      <w:r w:rsidR="00EF2CA6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 / N. Townsend, M.</w:t>
      </w:r>
      <w:r w:rsidR="00EF2CA6" w:rsidRPr="009E7F56">
        <w:rPr>
          <w:rStyle w:val="apple-converted-space"/>
          <w:color w:val="030303"/>
          <w:sz w:val="28"/>
          <w:szCs w:val="28"/>
        </w:rPr>
        <w:t> </w:t>
      </w:r>
      <w:proofErr w:type="spellStart"/>
      <w:r w:rsidR="00EF2CA6" w:rsidRPr="009E7F56">
        <w:rPr>
          <w:rStyle w:val="cit-name-surname"/>
          <w:color w:val="030303"/>
          <w:sz w:val="28"/>
          <w:szCs w:val="28"/>
          <w:bdr w:val="none" w:sz="0" w:space="0" w:color="auto" w:frame="1"/>
        </w:rPr>
        <w:t>Nichols</w:t>
      </w:r>
      <w:proofErr w:type="spellEnd"/>
      <w:r w:rsidR="00EF2CA6" w:rsidRPr="009E7F56">
        <w:rPr>
          <w:color w:val="030303"/>
          <w:sz w:val="28"/>
          <w:szCs w:val="28"/>
        </w:rPr>
        <w:t>,</w:t>
      </w:r>
      <w:r w:rsidR="00EF2CA6" w:rsidRPr="009E7F56">
        <w:rPr>
          <w:color w:val="030303"/>
          <w:sz w:val="28"/>
          <w:szCs w:val="28"/>
          <w:lang w:val="en-US"/>
        </w:rPr>
        <w:t xml:space="preserve"> P. </w:t>
      </w:r>
      <w:proofErr w:type="spellStart"/>
      <w:r w:rsidR="00EF2CA6" w:rsidRPr="009E7F56">
        <w:rPr>
          <w:rStyle w:val="cit-name-surname"/>
          <w:color w:val="030303"/>
          <w:sz w:val="28"/>
          <w:szCs w:val="28"/>
          <w:bdr w:val="none" w:sz="0" w:space="0" w:color="auto" w:frame="1"/>
        </w:rPr>
        <w:t>Scarborough</w:t>
      </w:r>
      <w:proofErr w:type="spellEnd"/>
      <w:r w:rsidR="005807F5" w:rsidRPr="009E7F56">
        <w:rPr>
          <w:rStyle w:val="cit-name-surname"/>
          <w:color w:val="030303"/>
          <w:sz w:val="28"/>
          <w:szCs w:val="28"/>
          <w:bdr w:val="none" w:sz="0" w:space="0" w:color="auto" w:frame="1"/>
          <w:lang w:val="en-US"/>
        </w:rPr>
        <w:t xml:space="preserve"> [et al.]</w:t>
      </w:r>
      <w:r w:rsidR="00EF2CA6" w:rsidRPr="009E7F56">
        <w:rPr>
          <w:rStyle w:val="cit-name-surname"/>
          <w:color w:val="030303"/>
          <w:sz w:val="28"/>
          <w:szCs w:val="28"/>
          <w:bdr w:val="none" w:sz="0" w:space="0" w:color="auto" w:frame="1"/>
          <w:lang w:val="en-US"/>
        </w:rPr>
        <w:t xml:space="preserve"> //</w:t>
      </w:r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 xml:space="preserve"> </w:t>
      </w:r>
      <w:proofErr w:type="spellStart"/>
      <w:r w:rsidR="00EF2CA6" w:rsidRPr="009E7F56">
        <w:rPr>
          <w:sz w:val="28"/>
          <w:szCs w:val="28"/>
        </w:rPr>
        <w:t>European</w:t>
      </w:r>
      <w:proofErr w:type="spellEnd"/>
      <w:r w:rsidR="00EF2CA6" w:rsidRPr="009E7F56">
        <w:rPr>
          <w:sz w:val="28"/>
          <w:szCs w:val="28"/>
        </w:rPr>
        <w:t xml:space="preserve"> </w:t>
      </w:r>
      <w:proofErr w:type="spellStart"/>
      <w:r w:rsidR="00EF2CA6" w:rsidRPr="009E7F56">
        <w:rPr>
          <w:sz w:val="28"/>
          <w:szCs w:val="28"/>
        </w:rPr>
        <w:t>Heart</w:t>
      </w:r>
      <w:proofErr w:type="spellEnd"/>
      <w:r w:rsidR="00EF2CA6" w:rsidRPr="009E7F56">
        <w:rPr>
          <w:sz w:val="28"/>
          <w:szCs w:val="28"/>
        </w:rPr>
        <w:t xml:space="preserve"> </w:t>
      </w:r>
      <w:proofErr w:type="spellStart"/>
      <w:r w:rsidR="00EF2CA6" w:rsidRPr="009E7F56">
        <w:rPr>
          <w:sz w:val="28"/>
          <w:szCs w:val="28"/>
        </w:rPr>
        <w:t>Journal</w:t>
      </w:r>
      <w:proofErr w:type="spellEnd"/>
      <w:r w:rsidR="00EF2CA6" w:rsidRPr="009E7F56">
        <w:rPr>
          <w:sz w:val="28"/>
          <w:szCs w:val="28"/>
          <w:lang w:val="en-US"/>
        </w:rPr>
        <w:t xml:space="preserve">. – </w:t>
      </w:r>
      <w:r w:rsidR="00CF7A99" w:rsidRPr="009E7F56">
        <w:rPr>
          <w:rStyle w:val="cit-article-title"/>
          <w:color w:val="030303"/>
          <w:sz w:val="28"/>
          <w:szCs w:val="28"/>
          <w:bdr w:val="none" w:sz="0" w:space="0" w:color="auto" w:frame="1"/>
          <w:shd w:val="clear" w:color="auto" w:fill="FFFFFE"/>
        </w:rPr>
        <w:t>2015</w:t>
      </w:r>
      <w:r w:rsidR="00CF7A99" w:rsidRPr="009E7F56"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</w:rPr>
        <w:t>.</w:t>
      </w:r>
      <w:r w:rsidR="00EF2CA6" w:rsidRPr="009E7F56"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 </w:t>
      </w:r>
      <w:proofErr w:type="gramStart"/>
      <w:r w:rsidR="00EF2CA6" w:rsidRPr="009E7F56"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– </w:t>
      </w:r>
      <w:r w:rsidR="005807F5" w:rsidRPr="009E7F56"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  <w:lang w:val="en-US"/>
        </w:rPr>
        <w:t>№</w:t>
      </w:r>
      <w:r w:rsidR="00CF7A99" w:rsidRPr="009E7F56">
        <w:rPr>
          <w:rStyle w:val="cit-vol"/>
          <w:bCs/>
          <w:color w:val="030303"/>
          <w:sz w:val="28"/>
          <w:szCs w:val="28"/>
          <w:bdr w:val="none" w:sz="0" w:space="0" w:color="auto" w:frame="1"/>
          <w:shd w:val="clear" w:color="auto" w:fill="FFFFFE"/>
        </w:rPr>
        <w:t>36</w:t>
      </w:r>
      <w:r w:rsidR="00EF2CA6" w:rsidRPr="009E7F56">
        <w:rPr>
          <w:rStyle w:val="cit-vol"/>
          <w:bCs/>
          <w:color w:val="030303"/>
          <w:sz w:val="28"/>
          <w:szCs w:val="28"/>
          <w:bdr w:val="none" w:sz="0" w:space="0" w:color="auto" w:frame="1"/>
          <w:shd w:val="clear" w:color="auto" w:fill="FFFFFE"/>
          <w:lang w:val="en-US"/>
        </w:rPr>
        <w:t>.</w:t>
      </w:r>
      <w:proofErr w:type="gramEnd"/>
      <w:r w:rsidR="00EF2CA6" w:rsidRPr="009E7F56">
        <w:rPr>
          <w:rStyle w:val="cit-vol"/>
          <w:bCs/>
          <w:color w:val="030303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 – P. </w:t>
      </w:r>
      <w:r w:rsidR="00CF7A99" w:rsidRPr="009E7F56">
        <w:rPr>
          <w:rStyle w:val="cit-fpage"/>
          <w:color w:val="030303"/>
          <w:sz w:val="28"/>
          <w:szCs w:val="28"/>
          <w:bdr w:val="none" w:sz="0" w:space="0" w:color="auto" w:frame="1"/>
          <w:shd w:val="clear" w:color="auto" w:fill="FFFFFE"/>
        </w:rPr>
        <w:t>2696</w:t>
      </w:r>
      <w:r w:rsidR="00EF2CA6" w:rsidRPr="009E7F56"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  <w:lang w:val="en-US"/>
        </w:rPr>
        <w:t>-</w:t>
      </w:r>
      <w:r w:rsidR="00CF7A99" w:rsidRPr="009E7F56">
        <w:rPr>
          <w:rStyle w:val="cit-lpage"/>
          <w:color w:val="030303"/>
          <w:sz w:val="28"/>
          <w:szCs w:val="28"/>
          <w:bdr w:val="none" w:sz="0" w:space="0" w:color="auto" w:frame="1"/>
          <w:shd w:val="clear" w:color="auto" w:fill="FFFFFE"/>
        </w:rPr>
        <w:t>705</w:t>
      </w:r>
      <w:r w:rsidR="00CF7A99" w:rsidRPr="009E7F56">
        <w:rPr>
          <w:rStyle w:val="HTML"/>
          <w:iCs w:val="0"/>
          <w:color w:val="030303"/>
          <w:sz w:val="28"/>
          <w:szCs w:val="28"/>
          <w:bdr w:val="none" w:sz="0" w:space="0" w:color="auto" w:frame="1"/>
          <w:shd w:val="clear" w:color="auto" w:fill="FFFFFE"/>
        </w:rPr>
        <w:t>.</w:t>
      </w:r>
    </w:p>
    <w:p w:rsidR="009E7F56" w:rsidRPr="009E7F56" w:rsidRDefault="009E7F56" w:rsidP="009E7F56">
      <w:pPr>
        <w:shd w:val="clear" w:color="auto" w:fill="FFFFFE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E7F56">
        <w:rPr>
          <w:rStyle w:val="cit-name-surname"/>
          <w:color w:val="030303"/>
          <w:sz w:val="28"/>
          <w:szCs w:val="28"/>
          <w:bdr w:val="none" w:sz="0" w:space="0" w:color="auto" w:frame="1"/>
        </w:rPr>
        <w:t>2</w:t>
      </w:r>
      <w:r w:rsidRPr="009E7F56">
        <w:rPr>
          <w:sz w:val="28"/>
          <w:szCs w:val="28"/>
        </w:rPr>
        <w:t xml:space="preserve">. </w:t>
      </w:r>
      <w:proofErr w:type="spellStart"/>
      <w:r w:rsidRPr="009E7F56">
        <w:rPr>
          <w:sz w:val="28"/>
          <w:szCs w:val="28"/>
        </w:rPr>
        <w:t>Біловол</w:t>
      </w:r>
      <w:proofErr w:type="spellEnd"/>
      <w:r w:rsidRPr="009E7F56">
        <w:rPr>
          <w:sz w:val="28"/>
          <w:szCs w:val="28"/>
        </w:rPr>
        <w:t xml:space="preserve"> О. М. Ожиріння в практиці кардіолога та ендокринолога / О.М. </w:t>
      </w:r>
      <w:proofErr w:type="spellStart"/>
      <w:r w:rsidRPr="009E7F56">
        <w:rPr>
          <w:sz w:val="28"/>
          <w:szCs w:val="28"/>
        </w:rPr>
        <w:t>Біловол</w:t>
      </w:r>
      <w:proofErr w:type="spellEnd"/>
      <w:r w:rsidR="00B16D95">
        <w:rPr>
          <w:sz w:val="28"/>
          <w:szCs w:val="28"/>
        </w:rPr>
        <w:t>, О. М. Ковальова, С. С. Попова</w:t>
      </w:r>
      <w:r w:rsidRPr="009E7F56">
        <w:rPr>
          <w:sz w:val="28"/>
          <w:szCs w:val="28"/>
        </w:rPr>
        <w:t>. – Тернопіль : ТДМУ, 2009. – 620 с.</w:t>
      </w:r>
    </w:p>
    <w:p w:rsidR="008E5AE8" w:rsidRPr="009E7F56" w:rsidRDefault="00645094" w:rsidP="009E7F5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9E7F56">
        <w:rPr>
          <w:sz w:val="28"/>
          <w:szCs w:val="28"/>
          <w:lang w:val="en-US"/>
        </w:rPr>
        <w:lastRenderedPageBreak/>
        <w:t xml:space="preserve">3. </w:t>
      </w:r>
      <w:proofErr w:type="spellStart"/>
      <w:r w:rsidRPr="009E7F56">
        <w:rPr>
          <w:color w:val="000000"/>
          <w:sz w:val="28"/>
          <w:szCs w:val="28"/>
          <w:shd w:val="clear" w:color="auto" w:fill="FFFFFF"/>
        </w:rPr>
        <w:t>Marini</w:t>
      </w:r>
      <w:proofErr w:type="spellEnd"/>
      <w:r w:rsidRPr="009E7F56">
        <w:rPr>
          <w:color w:val="000000"/>
          <w:sz w:val="28"/>
          <w:szCs w:val="28"/>
          <w:shd w:val="clear" w:color="auto" w:fill="FFFFFF"/>
        </w:rPr>
        <w:t xml:space="preserve"> M</w:t>
      </w:r>
      <w:r w:rsidR="00EF2CA6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E7F56">
        <w:rPr>
          <w:color w:val="000000"/>
          <w:sz w:val="28"/>
          <w:szCs w:val="28"/>
          <w:shd w:val="clear" w:color="auto" w:fill="FFFFFF"/>
        </w:rPr>
        <w:t>A</w:t>
      </w:r>
      <w:r w:rsidR="00EF2CA6" w:rsidRPr="009E7F56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Cardiometabolic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risk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profiles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carotid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atherosclerosis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individuals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with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prediabetes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identified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by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fasting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glucose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postchallenge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glucose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hemoglobin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</w:rPr>
        <w:t xml:space="preserve"> A1c </w:t>
      </w:r>
      <w:proofErr w:type="spellStart"/>
      <w:r w:rsidR="00EF2CA6" w:rsidRPr="009E7F56">
        <w:rPr>
          <w:color w:val="000000"/>
          <w:sz w:val="28"/>
          <w:szCs w:val="28"/>
          <w:shd w:val="clear" w:color="auto" w:fill="FFFFFF"/>
        </w:rPr>
        <w:t>criteria</w:t>
      </w:r>
      <w:proofErr w:type="spellEnd"/>
      <w:r w:rsidR="00EF2CA6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 /</w:t>
      </w:r>
      <w:r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r w:rsidR="005807F5" w:rsidRPr="009E7F56">
        <w:rPr>
          <w:color w:val="000000"/>
          <w:sz w:val="28"/>
          <w:szCs w:val="28"/>
          <w:shd w:val="clear" w:color="auto" w:fill="FFFFFF"/>
        </w:rPr>
        <w:t>M</w:t>
      </w:r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5807F5" w:rsidRPr="009E7F56">
        <w:rPr>
          <w:color w:val="000000"/>
          <w:sz w:val="28"/>
          <w:szCs w:val="28"/>
          <w:shd w:val="clear" w:color="auto" w:fill="FFFFFF"/>
        </w:rPr>
        <w:t>A</w:t>
      </w:r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807F5" w:rsidRPr="009E7F56">
        <w:rPr>
          <w:color w:val="000000"/>
          <w:sz w:val="28"/>
          <w:szCs w:val="28"/>
          <w:shd w:val="clear" w:color="auto" w:fill="FFFFFF"/>
        </w:rPr>
        <w:t>Marini</w:t>
      </w:r>
      <w:proofErr w:type="spellEnd"/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F2CA6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E. </w:t>
      </w:r>
      <w:proofErr w:type="spellStart"/>
      <w:r w:rsidRPr="009E7F56">
        <w:rPr>
          <w:color w:val="000000"/>
          <w:sz w:val="28"/>
          <w:szCs w:val="28"/>
          <w:shd w:val="clear" w:color="auto" w:fill="FFFFFF"/>
        </w:rPr>
        <w:t>Succurro</w:t>
      </w:r>
      <w:proofErr w:type="spellEnd"/>
      <w:r w:rsidRPr="009E7F56">
        <w:rPr>
          <w:color w:val="000000"/>
          <w:sz w:val="28"/>
          <w:szCs w:val="28"/>
          <w:shd w:val="clear" w:color="auto" w:fill="FFFFFF"/>
        </w:rPr>
        <w:t>,</w:t>
      </w:r>
      <w:r w:rsidR="00EF2CA6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 E.</w:t>
      </w:r>
      <w:r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color w:val="000000"/>
          <w:sz w:val="28"/>
          <w:szCs w:val="28"/>
          <w:shd w:val="clear" w:color="auto" w:fill="FFFFFF"/>
        </w:rPr>
        <w:t>Castaldo</w:t>
      </w:r>
      <w:proofErr w:type="spellEnd"/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 [et al.] // </w:t>
      </w:r>
      <w:proofErr w:type="spellStart"/>
      <w:r w:rsidRPr="009E7F56">
        <w:rPr>
          <w:rStyle w:val="ref-journal"/>
          <w:color w:val="000000"/>
          <w:sz w:val="28"/>
          <w:szCs w:val="28"/>
          <w:shd w:val="clear" w:color="auto" w:fill="FFFFFF"/>
        </w:rPr>
        <w:t>Diabetes</w:t>
      </w:r>
      <w:proofErr w:type="spellEnd"/>
      <w:r w:rsidRPr="009E7F56">
        <w:rPr>
          <w:rStyle w:val="ref-journ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rStyle w:val="ref-journal"/>
          <w:color w:val="000000"/>
          <w:sz w:val="28"/>
          <w:szCs w:val="28"/>
          <w:shd w:val="clear" w:color="auto" w:fill="FFFFFF"/>
        </w:rPr>
        <w:t>Care</w:t>
      </w:r>
      <w:proofErr w:type="spellEnd"/>
      <w:r w:rsidRPr="009E7F56">
        <w:rPr>
          <w:rStyle w:val="ref-journal"/>
          <w:color w:val="000000"/>
          <w:sz w:val="28"/>
          <w:szCs w:val="28"/>
          <w:shd w:val="clear" w:color="auto" w:fill="FFFFFF"/>
        </w:rPr>
        <w:t>.</w:t>
      </w:r>
      <w:r w:rsidR="005807F5" w:rsidRPr="009E7F56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9E7F56">
        <w:rPr>
          <w:color w:val="000000"/>
          <w:sz w:val="28"/>
          <w:szCs w:val="28"/>
          <w:shd w:val="clear" w:color="auto" w:fill="FFFFFF"/>
        </w:rPr>
        <w:t>2012</w:t>
      </w:r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>– №</w:t>
      </w:r>
      <w:r w:rsidRPr="009E7F56">
        <w:rPr>
          <w:rStyle w:val="ref-vol"/>
          <w:color w:val="000000"/>
          <w:sz w:val="28"/>
          <w:szCs w:val="28"/>
          <w:shd w:val="clear" w:color="auto" w:fill="FFFFFF"/>
        </w:rPr>
        <w:t>35</w:t>
      </w:r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 – P. </w:t>
      </w:r>
      <w:r w:rsidR="005807F5" w:rsidRPr="009E7F56">
        <w:rPr>
          <w:color w:val="000000"/>
          <w:sz w:val="28"/>
          <w:szCs w:val="28"/>
          <w:shd w:val="clear" w:color="auto" w:fill="FFFFFF"/>
        </w:rPr>
        <w:t>1144</w:t>
      </w:r>
      <w:r w:rsidR="005807F5" w:rsidRPr="009E7F5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9E7F56">
        <w:rPr>
          <w:color w:val="000000"/>
          <w:sz w:val="28"/>
          <w:szCs w:val="28"/>
          <w:shd w:val="clear" w:color="auto" w:fill="FFFFFF"/>
        </w:rPr>
        <w:t>1149.</w:t>
      </w:r>
    </w:p>
    <w:p w:rsidR="00645094" w:rsidRPr="009E7F56" w:rsidRDefault="00E67983" w:rsidP="009E7F56">
      <w:pPr>
        <w:spacing w:line="360" w:lineRule="auto"/>
        <w:ind w:firstLine="709"/>
        <w:jc w:val="both"/>
        <w:rPr>
          <w:sz w:val="28"/>
          <w:szCs w:val="28"/>
        </w:rPr>
      </w:pPr>
      <w:r w:rsidRPr="009E7F56">
        <w:rPr>
          <w:sz w:val="28"/>
          <w:szCs w:val="28"/>
          <w:lang w:val="ru-RU"/>
        </w:rPr>
        <w:t xml:space="preserve">4. </w:t>
      </w:r>
      <w:r w:rsidRPr="009E7F56">
        <w:rPr>
          <w:sz w:val="28"/>
          <w:szCs w:val="28"/>
        </w:rPr>
        <w:t xml:space="preserve">РЕКОМЕНДАЦИИ ПО ДИАБЕТУ, ПРЕДИАБЕТУ И СЕРДЕЧНО-СОСУДИСТЫМ ЗАБОЛЕВАНИЯМ. EASD/ESC </w:t>
      </w:r>
      <w:proofErr w:type="spellStart"/>
      <w:r w:rsidRPr="009E7F56">
        <w:rPr>
          <w:sz w:val="28"/>
          <w:szCs w:val="28"/>
        </w:rPr>
        <w:t>Рабочая</w:t>
      </w:r>
      <w:proofErr w:type="spellEnd"/>
      <w:r w:rsidRPr="009E7F56">
        <w:rPr>
          <w:sz w:val="28"/>
          <w:szCs w:val="28"/>
        </w:rPr>
        <w:t xml:space="preserve"> </w:t>
      </w:r>
      <w:proofErr w:type="spellStart"/>
      <w:r w:rsidRPr="009E7F56">
        <w:rPr>
          <w:sz w:val="28"/>
          <w:szCs w:val="28"/>
        </w:rPr>
        <w:t>группа</w:t>
      </w:r>
      <w:proofErr w:type="spellEnd"/>
      <w:r w:rsidRPr="009E7F56">
        <w:rPr>
          <w:sz w:val="28"/>
          <w:szCs w:val="28"/>
        </w:rPr>
        <w:t xml:space="preserve"> по </w:t>
      </w:r>
      <w:proofErr w:type="spellStart"/>
      <w:r w:rsidRPr="009E7F56">
        <w:rPr>
          <w:sz w:val="28"/>
          <w:szCs w:val="28"/>
        </w:rPr>
        <w:t>диабету</w:t>
      </w:r>
      <w:proofErr w:type="spellEnd"/>
      <w:r w:rsidRPr="009E7F56">
        <w:rPr>
          <w:sz w:val="28"/>
          <w:szCs w:val="28"/>
        </w:rPr>
        <w:t xml:space="preserve">, </w:t>
      </w:r>
      <w:proofErr w:type="spellStart"/>
      <w:r w:rsidRPr="009E7F56">
        <w:rPr>
          <w:sz w:val="28"/>
          <w:szCs w:val="28"/>
        </w:rPr>
        <w:t>предиабету</w:t>
      </w:r>
      <w:proofErr w:type="spellEnd"/>
      <w:r w:rsidRPr="009E7F56">
        <w:rPr>
          <w:sz w:val="28"/>
          <w:szCs w:val="28"/>
        </w:rPr>
        <w:t xml:space="preserve"> и </w:t>
      </w:r>
      <w:proofErr w:type="spellStart"/>
      <w:r w:rsidRPr="009E7F56">
        <w:rPr>
          <w:sz w:val="28"/>
          <w:szCs w:val="28"/>
        </w:rPr>
        <w:t>сердечно-сосудистым</w:t>
      </w:r>
      <w:proofErr w:type="spellEnd"/>
      <w:r w:rsidRPr="009E7F56">
        <w:rPr>
          <w:sz w:val="28"/>
          <w:szCs w:val="28"/>
        </w:rPr>
        <w:t xml:space="preserve"> </w:t>
      </w:r>
      <w:proofErr w:type="spellStart"/>
      <w:r w:rsidRPr="009E7F56">
        <w:rPr>
          <w:sz w:val="28"/>
          <w:szCs w:val="28"/>
        </w:rPr>
        <w:t>заболеваниям</w:t>
      </w:r>
      <w:proofErr w:type="spellEnd"/>
      <w:r w:rsidRPr="009E7F56">
        <w:rPr>
          <w:sz w:val="28"/>
          <w:szCs w:val="28"/>
        </w:rPr>
        <w:t xml:space="preserve"> </w:t>
      </w:r>
      <w:proofErr w:type="spellStart"/>
      <w:r w:rsidRPr="009E7F56">
        <w:rPr>
          <w:sz w:val="28"/>
          <w:szCs w:val="28"/>
        </w:rPr>
        <w:t>Европейского</w:t>
      </w:r>
      <w:proofErr w:type="spellEnd"/>
      <w:r w:rsidRPr="009E7F56">
        <w:rPr>
          <w:sz w:val="28"/>
          <w:szCs w:val="28"/>
        </w:rPr>
        <w:t xml:space="preserve"> </w:t>
      </w:r>
      <w:proofErr w:type="spellStart"/>
      <w:r w:rsidRPr="009E7F56">
        <w:rPr>
          <w:sz w:val="28"/>
          <w:szCs w:val="28"/>
        </w:rPr>
        <w:t>общества</w:t>
      </w:r>
      <w:proofErr w:type="spellEnd"/>
      <w:r w:rsidRPr="009E7F56">
        <w:rPr>
          <w:sz w:val="28"/>
          <w:szCs w:val="28"/>
        </w:rPr>
        <w:t xml:space="preserve"> </w:t>
      </w:r>
      <w:proofErr w:type="spellStart"/>
      <w:r w:rsidRPr="009E7F56">
        <w:rPr>
          <w:sz w:val="28"/>
          <w:szCs w:val="28"/>
        </w:rPr>
        <w:t>кардиологов</w:t>
      </w:r>
      <w:proofErr w:type="spellEnd"/>
      <w:r w:rsidRPr="009E7F56">
        <w:rPr>
          <w:sz w:val="28"/>
          <w:szCs w:val="28"/>
        </w:rPr>
        <w:t xml:space="preserve"> (ESC) в </w:t>
      </w:r>
      <w:proofErr w:type="spellStart"/>
      <w:r w:rsidRPr="009E7F56">
        <w:rPr>
          <w:sz w:val="28"/>
          <w:szCs w:val="28"/>
        </w:rPr>
        <w:t>сотрудничестве</w:t>
      </w:r>
      <w:proofErr w:type="spellEnd"/>
      <w:r w:rsidRPr="009E7F56">
        <w:rPr>
          <w:sz w:val="28"/>
          <w:szCs w:val="28"/>
        </w:rPr>
        <w:t xml:space="preserve"> с </w:t>
      </w:r>
      <w:proofErr w:type="spellStart"/>
      <w:r w:rsidRPr="009E7F56">
        <w:rPr>
          <w:sz w:val="28"/>
          <w:szCs w:val="28"/>
        </w:rPr>
        <w:t>Европейской</w:t>
      </w:r>
      <w:proofErr w:type="spellEnd"/>
      <w:r w:rsidRPr="009E7F56">
        <w:rPr>
          <w:sz w:val="28"/>
          <w:szCs w:val="28"/>
        </w:rPr>
        <w:t xml:space="preserve"> </w:t>
      </w:r>
      <w:proofErr w:type="spellStart"/>
      <w:r w:rsidRPr="009E7F56">
        <w:rPr>
          <w:sz w:val="28"/>
          <w:szCs w:val="28"/>
        </w:rPr>
        <w:t>ассоциацией</w:t>
      </w:r>
      <w:proofErr w:type="spellEnd"/>
      <w:r w:rsidRPr="009E7F56">
        <w:rPr>
          <w:sz w:val="28"/>
          <w:szCs w:val="28"/>
        </w:rPr>
        <w:t xml:space="preserve"> по </w:t>
      </w:r>
      <w:proofErr w:type="spellStart"/>
      <w:r w:rsidRPr="009E7F56">
        <w:rPr>
          <w:sz w:val="28"/>
          <w:szCs w:val="28"/>
        </w:rPr>
        <w:t>изучению</w:t>
      </w:r>
      <w:proofErr w:type="spellEnd"/>
      <w:r w:rsidRPr="009E7F56">
        <w:rPr>
          <w:sz w:val="28"/>
          <w:szCs w:val="28"/>
        </w:rPr>
        <w:t xml:space="preserve"> </w:t>
      </w:r>
      <w:proofErr w:type="spellStart"/>
      <w:r w:rsidRPr="009E7F56">
        <w:rPr>
          <w:sz w:val="28"/>
          <w:szCs w:val="28"/>
        </w:rPr>
        <w:t>диабета</w:t>
      </w:r>
      <w:proofErr w:type="spellEnd"/>
      <w:r w:rsidR="00D46F86" w:rsidRPr="009E7F56">
        <w:rPr>
          <w:sz w:val="28"/>
          <w:szCs w:val="28"/>
        </w:rPr>
        <w:t xml:space="preserve"> (EASD) // </w:t>
      </w:r>
      <w:proofErr w:type="spellStart"/>
      <w:r w:rsidR="00D46F86" w:rsidRPr="009E7F56">
        <w:rPr>
          <w:sz w:val="28"/>
          <w:szCs w:val="28"/>
        </w:rPr>
        <w:t>Российский</w:t>
      </w:r>
      <w:proofErr w:type="spellEnd"/>
      <w:r w:rsidR="00D46F86" w:rsidRPr="009E7F56">
        <w:rPr>
          <w:sz w:val="28"/>
          <w:szCs w:val="28"/>
        </w:rPr>
        <w:t xml:space="preserve"> </w:t>
      </w:r>
      <w:proofErr w:type="spellStart"/>
      <w:r w:rsidR="00D46F86" w:rsidRPr="009E7F56">
        <w:rPr>
          <w:sz w:val="28"/>
          <w:szCs w:val="28"/>
        </w:rPr>
        <w:t>кардиологический</w:t>
      </w:r>
      <w:proofErr w:type="spellEnd"/>
      <w:r w:rsidR="00D46F86" w:rsidRPr="009E7F56">
        <w:rPr>
          <w:sz w:val="28"/>
          <w:szCs w:val="28"/>
        </w:rPr>
        <w:t xml:space="preserve"> журнал. – 201</w:t>
      </w:r>
      <w:r w:rsidR="00D46F86" w:rsidRPr="009E7F56">
        <w:rPr>
          <w:sz w:val="28"/>
          <w:szCs w:val="28"/>
          <w:lang w:val="ru-RU"/>
        </w:rPr>
        <w:t>4</w:t>
      </w:r>
      <w:r w:rsidR="00D46F86" w:rsidRPr="009E7F56">
        <w:rPr>
          <w:sz w:val="28"/>
          <w:szCs w:val="28"/>
        </w:rPr>
        <w:t>. – №3</w:t>
      </w:r>
      <w:r w:rsidR="00D46F86" w:rsidRPr="009E7F56">
        <w:rPr>
          <w:sz w:val="28"/>
          <w:szCs w:val="28"/>
          <w:lang w:val="ru-RU"/>
        </w:rPr>
        <w:t xml:space="preserve"> (107)</w:t>
      </w:r>
      <w:r w:rsidR="00D46F86" w:rsidRPr="009E7F56">
        <w:rPr>
          <w:sz w:val="28"/>
          <w:szCs w:val="28"/>
        </w:rPr>
        <w:t xml:space="preserve">. – </w:t>
      </w:r>
      <w:r w:rsidR="00D46F86" w:rsidRPr="009E7F56">
        <w:rPr>
          <w:sz w:val="28"/>
          <w:szCs w:val="28"/>
          <w:lang w:val="en-US"/>
        </w:rPr>
        <w:t>C</w:t>
      </w:r>
      <w:r w:rsidR="00D46F86" w:rsidRPr="009E7F56">
        <w:rPr>
          <w:sz w:val="28"/>
          <w:szCs w:val="28"/>
          <w:lang w:val="ru-RU"/>
        </w:rPr>
        <w:t>. 7-61.</w:t>
      </w:r>
    </w:p>
    <w:p w:rsidR="00B47F5F" w:rsidRPr="009E7F56" w:rsidRDefault="00B47F5F" w:rsidP="009E7F5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E7F56">
        <w:rPr>
          <w:sz w:val="28"/>
          <w:szCs w:val="28"/>
          <w:lang w:val="en-US"/>
        </w:rPr>
        <w:t xml:space="preserve">5. </w:t>
      </w:r>
      <w:proofErr w:type="spellStart"/>
      <w:r w:rsidRPr="009E7F56">
        <w:rPr>
          <w:color w:val="303030"/>
          <w:sz w:val="28"/>
          <w:szCs w:val="28"/>
          <w:shd w:val="clear" w:color="auto" w:fill="FFFFFF"/>
        </w:rPr>
        <w:t>Ayada</w:t>
      </w:r>
      <w:proofErr w:type="spellEnd"/>
      <w:r w:rsidRPr="009E7F56">
        <w:rPr>
          <w:color w:val="303030"/>
          <w:sz w:val="28"/>
          <w:szCs w:val="28"/>
          <w:shd w:val="clear" w:color="auto" w:fill="FFFFFF"/>
        </w:rPr>
        <w:t xml:space="preserve"> C. Nesfatin-1 </w:t>
      </w:r>
      <w:proofErr w:type="spellStart"/>
      <w:r w:rsidRPr="009E7F56">
        <w:rPr>
          <w:color w:val="303030"/>
          <w:sz w:val="28"/>
          <w:szCs w:val="28"/>
          <w:shd w:val="clear" w:color="auto" w:fill="FFFFFF"/>
        </w:rPr>
        <w:t>and</w:t>
      </w:r>
      <w:proofErr w:type="spellEnd"/>
      <w:r w:rsidRPr="009E7F5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color w:val="303030"/>
          <w:sz w:val="28"/>
          <w:szCs w:val="28"/>
          <w:shd w:val="clear" w:color="auto" w:fill="FFFFFF"/>
        </w:rPr>
        <w:t>its</w:t>
      </w:r>
      <w:proofErr w:type="spellEnd"/>
      <w:r w:rsidRPr="009E7F5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color w:val="303030"/>
          <w:sz w:val="28"/>
          <w:szCs w:val="28"/>
          <w:shd w:val="clear" w:color="auto" w:fill="FFFFFF"/>
        </w:rPr>
        <w:t>effects</w:t>
      </w:r>
      <w:proofErr w:type="spellEnd"/>
      <w:r w:rsidRPr="009E7F5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color w:val="303030"/>
          <w:sz w:val="28"/>
          <w:szCs w:val="28"/>
          <w:shd w:val="clear" w:color="auto" w:fill="FFFFFF"/>
        </w:rPr>
        <w:t>on</w:t>
      </w:r>
      <w:proofErr w:type="spellEnd"/>
      <w:r w:rsidRPr="009E7F5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color w:val="303030"/>
          <w:sz w:val="28"/>
          <w:szCs w:val="28"/>
          <w:shd w:val="clear" w:color="auto" w:fill="FFFFFF"/>
        </w:rPr>
        <w:t>different</w:t>
      </w:r>
      <w:proofErr w:type="spellEnd"/>
      <w:r w:rsidRPr="009E7F5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color w:val="303030"/>
          <w:sz w:val="28"/>
          <w:szCs w:val="28"/>
          <w:shd w:val="clear" w:color="auto" w:fill="FFFFFF"/>
        </w:rPr>
        <w:t>systems</w:t>
      </w:r>
      <w:proofErr w:type="spellEnd"/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 xml:space="preserve"> / C. </w:t>
      </w:r>
      <w:proofErr w:type="spellStart"/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>Ayada</w:t>
      </w:r>
      <w:proofErr w:type="spellEnd"/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 xml:space="preserve">, </w:t>
      </w:r>
      <w:r w:rsidR="00D46F86" w:rsidRPr="009E7F56">
        <w:rPr>
          <w:color w:val="303030"/>
          <w:sz w:val="28"/>
          <w:szCs w:val="28"/>
          <w:shd w:val="clear" w:color="auto" w:fill="FFFFFF"/>
        </w:rPr>
        <w:t>Ü</w:t>
      </w:r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>.</w:t>
      </w:r>
      <w:r w:rsidR="00D46F86" w:rsidRPr="009E7F5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46F86" w:rsidRPr="009E7F56">
        <w:rPr>
          <w:color w:val="303030"/>
          <w:sz w:val="28"/>
          <w:szCs w:val="28"/>
          <w:shd w:val="clear" w:color="auto" w:fill="FFFFFF"/>
        </w:rPr>
        <w:t>Toru</w:t>
      </w:r>
      <w:proofErr w:type="spellEnd"/>
      <w:r w:rsidR="00D46F86" w:rsidRPr="009E7F56">
        <w:rPr>
          <w:color w:val="303030"/>
          <w:sz w:val="28"/>
          <w:szCs w:val="28"/>
          <w:shd w:val="clear" w:color="auto" w:fill="FFFFFF"/>
        </w:rPr>
        <w:t>,</w:t>
      </w:r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 xml:space="preserve"> Y.</w:t>
      </w:r>
      <w:r w:rsidR="00D46F86" w:rsidRPr="009E7F5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46F86" w:rsidRPr="009E7F56">
        <w:rPr>
          <w:color w:val="303030"/>
          <w:sz w:val="28"/>
          <w:szCs w:val="28"/>
          <w:shd w:val="clear" w:color="auto" w:fill="FFFFFF"/>
        </w:rPr>
        <w:t>Korkut</w:t>
      </w:r>
      <w:proofErr w:type="spellEnd"/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 xml:space="preserve"> //</w:t>
      </w:r>
      <w:r w:rsidR="00D46F86" w:rsidRPr="009E7F56">
        <w:rPr>
          <w:i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9E7F56">
        <w:rPr>
          <w:iCs/>
          <w:color w:val="303030"/>
          <w:sz w:val="28"/>
          <w:szCs w:val="28"/>
          <w:shd w:val="clear" w:color="auto" w:fill="FFFFFF"/>
        </w:rPr>
        <w:t>Hippokratia</w:t>
      </w:r>
      <w:proofErr w:type="spellEnd"/>
      <w:r w:rsidRPr="009E7F56">
        <w:rPr>
          <w:color w:val="303030"/>
          <w:sz w:val="28"/>
          <w:szCs w:val="28"/>
          <w:shd w:val="clear" w:color="auto" w:fill="FFFFFF"/>
        </w:rPr>
        <w:t>.</w:t>
      </w:r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 xml:space="preserve"> – </w:t>
      </w:r>
      <w:r w:rsidRPr="009E7F56">
        <w:rPr>
          <w:color w:val="303030"/>
          <w:sz w:val="28"/>
          <w:szCs w:val="28"/>
          <w:shd w:val="clear" w:color="auto" w:fill="FFFFFF"/>
        </w:rPr>
        <w:t>2015</w:t>
      </w:r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 xml:space="preserve">. – </w:t>
      </w:r>
      <w:r w:rsidR="00D46F86" w:rsidRPr="009E7F56">
        <w:rPr>
          <w:color w:val="303030"/>
          <w:sz w:val="28"/>
          <w:szCs w:val="28"/>
          <w:shd w:val="clear" w:color="auto" w:fill="FFFFFF"/>
        </w:rPr>
        <w:t>№</w:t>
      </w:r>
      <w:proofErr w:type="gramStart"/>
      <w:r w:rsidRPr="009E7F56">
        <w:rPr>
          <w:color w:val="303030"/>
          <w:sz w:val="28"/>
          <w:szCs w:val="28"/>
          <w:shd w:val="clear" w:color="auto" w:fill="FFFFFF"/>
        </w:rPr>
        <w:t>19(</w:t>
      </w:r>
      <w:proofErr w:type="gramEnd"/>
      <w:r w:rsidRPr="009E7F56">
        <w:rPr>
          <w:color w:val="303030"/>
          <w:sz w:val="28"/>
          <w:szCs w:val="28"/>
          <w:shd w:val="clear" w:color="auto" w:fill="FFFFFF"/>
        </w:rPr>
        <w:t>1)</w:t>
      </w:r>
      <w:r w:rsidR="00D46F86" w:rsidRPr="009E7F56">
        <w:rPr>
          <w:color w:val="303030"/>
          <w:sz w:val="28"/>
          <w:szCs w:val="28"/>
          <w:shd w:val="clear" w:color="auto" w:fill="FFFFFF"/>
          <w:lang w:val="en-US"/>
        </w:rPr>
        <w:t>.</w:t>
      </w:r>
      <w:r w:rsidR="00D46F86" w:rsidRPr="009E7F56">
        <w:rPr>
          <w:color w:val="303030"/>
          <w:sz w:val="28"/>
          <w:szCs w:val="28"/>
          <w:shd w:val="clear" w:color="auto" w:fill="FFFFFF"/>
        </w:rPr>
        <w:t xml:space="preserve"> – P. </w:t>
      </w:r>
      <w:r w:rsidRPr="009E7F56">
        <w:rPr>
          <w:color w:val="303030"/>
          <w:sz w:val="28"/>
          <w:szCs w:val="28"/>
          <w:shd w:val="clear" w:color="auto" w:fill="FFFFFF"/>
        </w:rPr>
        <w:t>4-10.</w:t>
      </w:r>
    </w:p>
    <w:p w:rsidR="008E5AE8" w:rsidRPr="009E7F56" w:rsidRDefault="009A68D4" w:rsidP="009E7F5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E7F56">
        <w:rPr>
          <w:sz w:val="28"/>
          <w:szCs w:val="28"/>
        </w:rPr>
        <w:t>6.</w:t>
      </w:r>
      <w:r w:rsidRPr="009E7F56">
        <w:rPr>
          <w:sz w:val="28"/>
          <w:szCs w:val="28"/>
          <w:lang w:val="en-US"/>
        </w:rPr>
        <w:t xml:space="preserve"> </w:t>
      </w:r>
      <w:proofErr w:type="spellStart"/>
      <w:r w:rsidRPr="009E7F56">
        <w:rPr>
          <w:sz w:val="28"/>
          <w:szCs w:val="28"/>
          <w:lang w:val="en-US"/>
        </w:rPr>
        <w:t>Yamawaki</w:t>
      </w:r>
      <w:proofErr w:type="spellEnd"/>
      <w:r w:rsidRPr="009E7F56">
        <w:rPr>
          <w:sz w:val="28"/>
          <w:szCs w:val="28"/>
          <w:lang w:val="en-US"/>
        </w:rPr>
        <w:t xml:space="preserve"> H. </w:t>
      </w:r>
      <w:proofErr w:type="gramStart"/>
      <w:r w:rsidRPr="009E7F56">
        <w:rPr>
          <w:sz w:val="28"/>
          <w:szCs w:val="28"/>
          <w:lang w:val="en-US"/>
        </w:rPr>
        <w:t xml:space="preserve">A novel </w:t>
      </w:r>
      <w:proofErr w:type="spellStart"/>
      <w:r w:rsidRPr="009E7F56">
        <w:rPr>
          <w:sz w:val="28"/>
          <w:szCs w:val="28"/>
          <w:lang w:val="en-US"/>
        </w:rPr>
        <w:t>adipocytokine</w:t>
      </w:r>
      <w:proofErr w:type="spellEnd"/>
      <w:r w:rsidRPr="009E7F56">
        <w:rPr>
          <w:sz w:val="28"/>
          <w:szCs w:val="28"/>
          <w:lang w:val="en-US"/>
        </w:rPr>
        <w:t>?</w:t>
      </w:r>
      <w:proofErr w:type="gramEnd"/>
      <w:r w:rsidRPr="009E7F56">
        <w:rPr>
          <w:sz w:val="28"/>
          <w:szCs w:val="28"/>
          <w:lang w:val="en-US"/>
        </w:rPr>
        <w:t xml:space="preserve"> Nesfatin-1 modulates peripheral arterial contractility and blood pressure in rats / H. </w:t>
      </w:r>
      <w:proofErr w:type="spellStart"/>
      <w:r w:rsidRPr="009E7F56">
        <w:rPr>
          <w:sz w:val="28"/>
          <w:szCs w:val="28"/>
          <w:lang w:val="en-US"/>
        </w:rPr>
        <w:t>Yamawaki</w:t>
      </w:r>
      <w:proofErr w:type="spellEnd"/>
      <w:r w:rsidRPr="009E7F56">
        <w:rPr>
          <w:sz w:val="28"/>
          <w:szCs w:val="28"/>
          <w:lang w:val="en-US"/>
        </w:rPr>
        <w:t xml:space="preserve">, M. Takahashi, M. </w:t>
      </w:r>
      <w:proofErr w:type="spellStart"/>
      <w:r w:rsidRPr="009E7F56">
        <w:rPr>
          <w:sz w:val="28"/>
          <w:szCs w:val="28"/>
          <w:lang w:val="en-US"/>
        </w:rPr>
        <w:t>Mukohda</w:t>
      </w:r>
      <w:proofErr w:type="spellEnd"/>
      <w:r w:rsidRPr="009E7F56">
        <w:rPr>
          <w:sz w:val="28"/>
          <w:szCs w:val="28"/>
          <w:lang w:val="en-US"/>
        </w:rPr>
        <w:t xml:space="preserve"> [et al.] // </w:t>
      </w:r>
      <w:proofErr w:type="spellStart"/>
      <w:r w:rsidRPr="009E7F56">
        <w:rPr>
          <w:rFonts w:eastAsia="Arial Unicode MS"/>
          <w:sz w:val="28"/>
          <w:szCs w:val="28"/>
        </w:rPr>
        <w:t>Biochemical</w:t>
      </w:r>
      <w:proofErr w:type="spellEnd"/>
      <w:r w:rsidRPr="009E7F56">
        <w:rPr>
          <w:rFonts w:eastAsia="Arial Unicode MS"/>
          <w:sz w:val="28"/>
          <w:szCs w:val="28"/>
        </w:rPr>
        <w:t xml:space="preserve"> </w:t>
      </w:r>
      <w:proofErr w:type="spellStart"/>
      <w:r w:rsidRPr="009E7F56">
        <w:rPr>
          <w:rFonts w:eastAsia="Arial Unicode MS"/>
          <w:sz w:val="28"/>
          <w:szCs w:val="28"/>
        </w:rPr>
        <w:t>and</w:t>
      </w:r>
      <w:proofErr w:type="spellEnd"/>
      <w:r w:rsidRPr="009E7F56">
        <w:rPr>
          <w:rFonts w:eastAsia="Arial Unicode MS"/>
          <w:sz w:val="28"/>
          <w:szCs w:val="28"/>
        </w:rPr>
        <w:t xml:space="preserve"> </w:t>
      </w:r>
      <w:proofErr w:type="spellStart"/>
      <w:r w:rsidRPr="009E7F56">
        <w:rPr>
          <w:rFonts w:eastAsia="Arial Unicode MS"/>
          <w:sz w:val="28"/>
          <w:szCs w:val="28"/>
        </w:rPr>
        <w:t>Biophysical</w:t>
      </w:r>
      <w:proofErr w:type="spellEnd"/>
      <w:r w:rsidRPr="009E7F56">
        <w:rPr>
          <w:rFonts w:eastAsia="Arial Unicode MS"/>
          <w:sz w:val="28"/>
          <w:szCs w:val="28"/>
        </w:rPr>
        <w:t xml:space="preserve"> </w:t>
      </w:r>
      <w:proofErr w:type="spellStart"/>
      <w:r w:rsidRPr="009E7F56">
        <w:rPr>
          <w:rFonts w:eastAsia="Arial Unicode MS"/>
          <w:sz w:val="28"/>
          <w:szCs w:val="28"/>
        </w:rPr>
        <w:t>Research</w:t>
      </w:r>
      <w:proofErr w:type="spellEnd"/>
      <w:r w:rsidRPr="009E7F56">
        <w:rPr>
          <w:rFonts w:eastAsia="Arial Unicode MS"/>
          <w:sz w:val="28"/>
          <w:szCs w:val="28"/>
        </w:rPr>
        <w:t xml:space="preserve"> </w:t>
      </w:r>
      <w:proofErr w:type="spellStart"/>
      <w:r w:rsidRPr="009E7F56">
        <w:rPr>
          <w:rFonts w:eastAsia="Arial Unicode MS"/>
          <w:sz w:val="28"/>
          <w:szCs w:val="28"/>
        </w:rPr>
        <w:t>Communications</w:t>
      </w:r>
      <w:proofErr w:type="spellEnd"/>
      <w:r w:rsidRPr="009E7F56">
        <w:rPr>
          <w:sz w:val="28"/>
          <w:szCs w:val="28"/>
          <w:lang w:val="en-US"/>
        </w:rPr>
        <w:t xml:space="preserve">. – 2012. </w:t>
      </w:r>
      <w:proofErr w:type="gramStart"/>
      <w:r w:rsidRPr="009E7F56">
        <w:rPr>
          <w:sz w:val="28"/>
          <w:szCs w:val="28"/>
          <w:lang w:val="en-US"/>
        </w:rPr>
        <w:t>– № 418(4).</w:t>
      </w:r>
      <w:proofErr w:type="gramEnd"/>
      <w:r w:rsidRPr="009E7F56">
        <w:rPr>
          <w:sz w:val="28"/>
          <w:szCs w:val="28"/>
          <w:lang w:val="en-US"/>
        </w:rPr>
        <w:t xml:space="preserve"> – </w:t>
      </w:r>
      <w:proofErr w:type="gramStart"/>
      <w:r w:rsidRPr="009E7F56">
        <w:rPr>
          <w:sz w:val="28"/>
          <w:szCs w:val="28"/>
          <w:lang w:val="en-US"/>
        </w:rPr>
        <w:t>Р. 676</w:t>
      </w:r>
      <w:proofErr w:type="gramEnd"/>
      <w:r w:rsidRPr="009E7F56">
        <w:rPr>
          <w:sz w:val="28"/>
          <w:szCs w:val="28"/>
          <w:lang w:val="en-US"/>
        </w:rPr>
        <w:t>–681.</w:t>
      </w:r>
    </w:p>
    <w:p w:rsidR="009A68D4" w:rsidRPr="009E7F56" w:rsidRDefault="009A68D4" w:rsidP="009E7F5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E7F56">
        <w:rPr>
          <w:sz w:val="28"/>
          <w:szCs w:val="28"/>
          <w:lang w:val="en-US"/>
        </w:rPr>
        <w:t xml:space="preserve">7. </w:t>
      </w:r>
      <w:proofErr w:type="spellStart"/>
      <w:r w:rsidRPr="009E7F56">
        <w:rPr>
          <w:sz w:val="28"/>
          <w:szCs w:val="28"/>
          <w:lang w:val="en-US"/>
        </w:rPr>
        <w:t>Yosten</w:t>
      </w:r>
      <w:proofErr w:type="spellEnd"/>
      <w:r w:rsidRPr="009E7F56">
        <w:rPr>
          <w:sz w:val="28"/>
          <w:szCs w:val="28"/>
          <w:lang w:val="en-US"/>
        </w:rPr>
        <w:t xml:space="preserve"> G</w:t>
      </w:r>
      <w:r w:rsidR="00D46F86" w:rsidRPr="009E7F56">
        <w:rPr>
          <w:sz w:val="28"/>
          <w:szCs w:val="28"/>
          <w:lang w:val="en-US"/>
        </w:rPr>
        <w:t xml:space="preserve">. </w:t>
      </w:r>
      <w:r w:rsidRPr="009E7F56">
        <w:rPr>
          <w:sz w:val="28"/>
          <w:szCs w:val="28"/>
          <w:lang w:val="en-US"/>
        </w:rPr>
        <w:t>L</w:t>
      </w:r>
      <w:r w:rsidR="00D46F86" w:rsidRPr="009E7F56">
        <w:rPr>
          <w:sz w:val="28"/>
          <w:szCs w:val="28"/>
          <w:lang w:val="en-US"/>
        </w:rPr>
        <w:t>.</w:t>
      </w:r>
      <w:r w:rsidRPr="009E7F56">
        <w:rPr>
          <w:sz w:val="28"/>
          <w:szCs w:val="28"/>
          <w:lang w:val="en-US"/>
        </w:rPr>
        <w:t xml:space="preserve"> The </w:t>
      </w:r>
      <w:proofErr w:type="spellStart"/>
      <w:r w:rsidRPr="009E7F56">
        <w:rPr>
          <w:sz w:val="28"/>
          <w:szCs w:val="28"/>
          <w:lang w:val="en-US"/>
        </w:rPr>
        <w:t>anorexogenic</w:t>
      </w:r>
      <w:proofErr w:type="spellEnd"/>
      <w:r w:rsidRPr="009E7F56">
        <w:rPr>
          <w:sz w:val="28"/>
          <w:szCs w:val="28"/>
          <w:lang w:val="en-US"/>
        </w:rPr>
        <w:t xml:space="preserve"> and hypertensive effects of nesfatin-1 are reversed by pretreatment with an </w:t>
      </w:r>
      <w:proofErr w:type="spellStart"/>
      <w:r w:rsidRPr="009E7F56">
        <w:rPr>
          <w:sz w:val="28"/>
          <w:szCs w:val="28"/>
          <w:lang w:val="en-US"/>
        </w:rPr>
        <w:t>oxytocin</w:t>
      </w:r>
      <w:proofErr w:type="spellEnd"/>
      <w:r w:rsidRPr="009E7F56">
        <w:rPr>
          <w:sz w:val="28"/>
          <w:szCs w:val="28"/>
          <w:lang w:val="en-US"/>
        </w:rPr>
        <w:t xml:space="preserve"> receptor antagonist</w:t>
      </w:r>
      <w:r w:rsidR="00D46F86" w:rsidRPr="009E7F56">
        <w:rPr>
          <w:sz w:val="28"/>
          <w:szCs w:val="28"/>
          <w:lang w:val="en-US"/>
        </w:rPr>
        <w:t xml:space="preserve"> / G. L. </w:t>
      </w:r>
      <w:proofErr w:type="spellStart"/>
      <w:r w:rsidR="00D46F86" w:rsidRPr="009E7F56">
        <w:rPr>
          <w:sz w:val="28"/>
          <w:szCs w:val="28"/>
          <w:lang w:val="en-US"/>
        </w:rPr>
        <w:t>Yosten</w:t>
      </w:r>
      <w:proofErr w:type="spellEnd"/>
      <w:proofErr w:type="gramStart"/>
      <w:r w:rsidR="00D46F86" w:rsidRPr="009E7F56">
        <w:rPr>
          <w:sz w:val="28"/>
          <w:szCs w:val="28"/>
          <w:lang w:val="en-US"/>
        </w:rPr>
        <w:t xml:space="preserve">, </w:t>
      </w:r>
      <w:r w:rsidRPr="009E7F56">
        <w:rPr>
          <w:sz w:val="28"/>
          <w:szCs w:val="28"/>
          <w:lang w:val="en-US"/>
        </w:rPr>
        <w:t xml:space="preserve"> </w:t>
      </w:r>
      <w:r w:rsidR="00D46F86" w:rsidRPr="009E7F56">
        <w:rPr>
          <w:sz w:val="28"/>
          <w:szCs w:val="28"/>
          <w:lang w:val="en-US"/>
        </w:rPr>
        <w:t>W</w:t>
      </w:r>
      <w:proofErr w:type="gramEnd"/>
      <w:r w:rsidR="00D46F86" w:rsidRPr="009E7F56">
        <w:rPr>
          <w:sz w:val="28"/>
          <w:szCs w:val="28"/>
          <w:lang w:val="en-US"/>
        </w:rPr>
        <w:t xml:space="preserve">. K.  Samson </w:t>
      </w:r>
      <w:r w:rsidRPr="009E7F56">
        <w:rPr>
          <w:sz w:val="28"/>
          <w:szCs w:val="28"/>
          <w:lang w:val="en-US"/>
        </w:rPr>
        <w:t xml:space="preserve">//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American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journal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physiology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Regulatory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integrative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comparative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physiology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9E7F56">
        <w:rPr>
          <w:sz w:val="28"/>
          <w:szCs w:val="28"/>
          <w:lang w:val="en-US"/>
        </w:rPr>
        <w:t xml:space="preserve"> – 2010.</w:t>
      </w:r>
      <w:r w:rsidR="00D46F86" w:rsidRPr="009E7F56">
        <w:rPr>
          <w:sz w:val="28"/>
          <w:szCs w:val="28"/>
        </w:rPr>
        <w:t xml:space="preserve"> </w:t>
      </w:r>
      <w:proofErr w:type="gramStart"/>
      <w:r w:rsidRPr="009E7F56">
        <w:rPr>
          <w:sz w:val="28"/>
          <w:szCs w:val="28"/>
          <w:lang w:val="en-US"/>
        </w:rPr>
        <w:t xml:space="preserve">– </w:t>
      </w:r>
      <w:r w:rsidR="00D46F86" w:rsidRPr="009E7F56">
        <w:rPr>
          <w:sz w:val="28"/>
          <w:szCs w:val="28"/>
        </w:rPr>
        <w:t>№</w:t>
      </w:r>
      <w:r w:rsidRPr="009E7F56">
        <w:rPr>
          <w:sz w:val="28"/>
          <w:szCs w:val="28"/>
          <w:lang w:val="en-US"/>
        </w:rPr>
        <w:t>298</w:t>
      </w:r>
      <w:r w:rsidR="00D46F86" w:rsidRPr="009E7F56">
        <w:rPr>
          <w:sz w:val="28"/>
          <w:szCs w:val="28"/>
        </w:rPr>
        <w:t xml:space="preserve"> </w:t>
      </w:r>
      <w:r w:rsidRPr="009E7F56">
        <w:rPr>
          <w:sz w:val="28"/>
          <w:szCs w:val="28"/>
          <w:lang w:val="en-US"/>
        </w:rPr>
        <w:t>(6).</w:t>
      </w:r>
      <w:proofErr w:type="gramEnd"/>
      <w:r w:rsidR="00D46F86" w:rsidRPr="009E7F56">
        <w:rPr>
          <w:sz w:val="28"/>
          <w:szCs w:val="28"/>
        </w:rPr>
        <w:t xml:space="preserve"> </w:t>
      </w:r>
      <w:r w:rsidRPr="009E7F56">
        <w:rPr>
          <w:sz w:val="28"/>
          <w:szCs w:val="28"/>
          <w:lang w:val="en-US"/>
        </w:rPr>
        <w:t xml:space="preserve">– </w:t>
      </w:r>
      <w:proofErr w:type="gramStart"/>
      <w:r w:rsidRPr="009E7F56">
        <w:rPr>
          <w:sz w:val="28"/>
          <w:szCs w:val="28"/>
          <w:lang w:val="ru-RU"/>
        </w:rPr>
        <w:t>Р</w:t>
      </w:r>
      <w:r w:rsidR="00D46F86" w:rsidRPr="009E7F56">
        <w:rPr>
          <w:sz w:val="28"/>
          <w:szCs w:val="28"/>
          <w:lang w:val="en-US"/>
        </w:rPr>
        <w:t>. 1642</w:t>
      </w:r>
      <w:proofErr w:type="gramEnd"/>
      <w:r w:rsidR="00D46F86" w:rsidRPr="009E7F56">
        <w:rPr>
          <w:sz w:val="28"/>
          <w:szCs w:val="28"/>
        </w:rPr>
        <w:t>-</w:t>
      </w:r>
      <w:r w:rsidRPr="009E7F56">
        <w:rPr>
          <w:sz w:val="28"/>
          <w:szCs w:val="28"/>
          <w:lang w:val="en-US"/>
        </w:rPr>
        <w:t>1647.</w:t>
      </w:r>
    </w:p>
    <w:p w:rsidR="00456352" w:rsidRPr="009E7F56" w:rsidRDefault="00456352" w:rsidP="009E7F5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9E7F56">
        <w:rPr>
          <w:sz w:val="28"/>
          <w:szCs w:val="28"/>
          <w:lang w:val="en-US"/>
        </w:rPr>
        <w:t xml:space="preserve">8. </w:t>
      </w:r>
      <w:r w:rsidR="00D1477D" w:rsidRPr="009E7F56">
        <w:rPr>
          <w:sz w:val="28"/>
          <w:szCs w:val="28"/>
          <w:lang w:val="en-US"/>
        </w:rPr>
        <w:t xml:space="preserve">Nakata M. </w:t>
      </w:r>
      <w:r w:rsidR="00D1477D" w:rsidRPr="009E7F56">
        <w:rPr>
          <w:rStyle w:val="ref-title"/>
          <w:sz w:val="28"/>
          <w:szCs w:val="28"/>
          <w:lang w:val="en-US"/>
        </w:rPr>
        <w:t>Nesfatin-1 enhances glucose-induced insulin secretion by promoting Ca(2+) influx through L-type channels in mouse islet beta-cells / M. Nakata, K.</w:t>
      </w:r>
      <w:r w:rsidR="00D1477D" w:rsidRPr="009E7F56">
        <w:rPr>
          <w:sz w:val="28"/>
          <w:szCs w:val="28"/>
          <w:lang w:val="en-US"/>
        </w:rPr>
        <w:t xml:space="preserve"> Manaka, S. Yamamoto [et al.] // Endocrine Journal. – 2011. </w:t>
      </w:r>
      <w:proofErr w:type="gramStart"/>
      <w:r w:rsidR="00D1477D" w:rsidRPr="009E7F56">
        <w:rPr>
          <w:sz w:val="28"/>
          <w:szCs w:val="28"/>
          <w:lang w:val="en-US"/>
        </w:rPr>
        <w:t xml:space="preserve">– </w:t>
      </w:r>
      <w:r w:rsidR="00D1477D" w:rsidRPr="009E7F56">
        <w:rPr>
          <w:sz w:val="28"/>
          <w:szCs w:val="28"/>
        </w:rPr>
        <w:t>№</w:t>
      </w:r>
      <w:r w:rsidR="00D1477D" w:rsidRPr="009E7F56">
        <w:rPr>
          <w:rStyle w:val="apple-converted-space"/>
          <w:sz w:val="28"/>
          <w:szCs w:val="28"/>
          <w:lang w:val="en-US"/>
        </w:rPr>
        <w:t> </w:t>
      </w:r>
      <w:r w:rsidR="00D1477D" w:rsidRPr="009E7F56">
        <w:rPr>
          <w:rStyle w:val="ref-vol"/>
          <w:sz w:val="28"/>
          <w:szCs w:val="28"/>
          <w:lang w:val="en-US"/>
        </w:rPr>
        <w:t>58</w:t>
      </w:r>
      <w:r w:rsidR="00D1477D" w:rsidRPr="009E7F56">
        <w:rPr>
          <w:rStyle w:val="ref-vol"/>
          <w:sz w:val="28"/>
          <w:szCs w:val="28"/>
        </w:rPr>
        <w:t>.</w:t>
      </w:r>
      <w:proofErr w:type="gramEnd"/>
      <w:r w:rsidR="00D1477D" w:rsidRPr="009E7F56">
        <w:rPr>
          <w:rStyle w:val="ref-vol"/>
          <w:sz w:val="28"/>
          <w:szCs w:val="28"/>
          <w:lang w:val="en-US"/>
        </w:rPr>
        <w:t xml:space="preserve"> – P. </w:t>
      </w:r>
      <w:r w:rsidR="00D1477D" w:rsidRPr="009E7F56">
        <w:rPr>
          <w:sz w:val="28"/>
          <w:szCs w:val="28"/>
          <w:lang w:val="en-US"/>
        </w:rPr>
        <w:t>305-313.</w:t>
      </w:r>
    </w:p>
    <w:p w:rsidR="00076420" w:rsidRPr="009E7F56" w:rsidRDefault="00456352" w:rsidP="009E7F5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E7F56">
        <w:rPr>
          <w:color w:val="000000"/>
          <w:sz w:val="28"/>
          <w:szCs w:val="28"/>
          <w:shd w:val="clear" w:color="auto" w:fill="FFFFFF"/>
          <w:lang w:val="en-US"/>
        </w:rPr>
        <w:t xml:space="preserve">9. </w:t>
      </w:r>
      <w:proofErr w:type="spellStart"/>
      <w:r w:rsidR="00D1477D" w:rsidRPr="009E7F56">
        <w:rPr>
          <w:sz w:val="28"/>
          <w:szCs w:val="28"/>
          <w:lang w:val="en-US"/>
        </w:rPr>
        <w:t>Yosten</w:t>
      </w:r>
      <w:proofErr w:type="spellEnd"/>
      <w:r w:rsidR="00D1477D" w:rsidRPr="009E7F56">
        <w:rPr>
          <w:sz w:val="28"/>
          <w:szCs w:val="28"/>
          <w:lang w:val="en-US"/>
        </w:rPr>
        <w:t xml:space="preserve"> G. L. Nesfatin-1 exerts cardiovascular actions in brain^ possible interaction with the central </w:t>
      </w:r>
      <w:proofErr w:type="spellStart"/>
      <w:r w:rsidR="00D1477D" w:rsidRPr="009E7F56">
        <w:rPr>
          <w:sz w:val="28"/>
          <w:szCs w:val="28"/>
          <w:lang w:val="en-US"/>
        </w:rPr>
        <w:t>melanocortin</w:t>
      </w:r>
      <w:proofErr w:type="spellEnd"/>
      <w:r w:rsidR="00D1477D" w:rsidRPr="009E7F56">
        <w:rPr>
          <w:sz w:val="28"/>
          <w:szCs w:val="28"/>
          <w:lang w:val="en-US"/>
        </w:rPr>
        <w:t xml:space="preserve"> system / G. L. </w:t>
      </w:r>
      <w:proofErr w:type="spellStart"/>
      <w:r w:rsidR="00D1477D" w:rsidRPr="009E7F56">
        <w:rPr>
          <w:sz w:val="28"/>
          <w:szCs w:val="28"/>
          <w:lang w:val="en-US"/>
        </w:rPr>
        <w:t>Yosten</w:t>
      </w:r>
      <w:proofErr w:type="spellEnd"/>
      <w:r w:rsidR="00D1477D" w:rsidRPr="009E7F56">
        <w:rPr>
          <w:sz w:val="28"/>
          <w:szCs w:val="28"/>
          <w:lang w:val="en-US"/>
        </w:rPr>
        <w:t xml:space="preserve">, W. K. Samson //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American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journal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physiology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Regulatory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integrative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comparative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77D" w:rsidRPr="009E7F56">
        <w:rPr>
          <w:color w:val="000000"/>
          <w:sz w:val="28"/>
          <w:szCs w:val="28"/>
          <w:shd w:val="clear" w:color="auto" w:fill="FFFFFF"/>
        </w:rPr>
        <w:t>physiology</w:t>
      </w:r>
      <w:proofErr w:type="spellEnd"/>
      <w:r w:rsidR="00D1477D" w:rsidRPr="009E7F56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D1477D" w:rsidRPr="009E7F56">
        <w:rPr>
          <w:sz w:val="28"/>
          <w:szCs w:val="28"/>
          <w:lang w:val="en-US"/>
        </w:rPr>
        <w:t xml:space="preserve"> – 2009. </w:t>
      </w:r>
      <w:proofErr w:type="gramStart"/>
      <w:r w:rsidR="00D1477D" w:rsidRPr="009E7F56">
        <w:rPr>
          <w:sz w:val="28"/>
          <w:szCs w:val="28"/>
          <w:lang w:val="en-US"/>
        </w:rPr>
        <w:t xml:space="preserve">– </w:t>
      </w:r>
      <w:r w:rsidR="00D1477D" w:rsidRPr="009E7F56">
        <w:rPr>
          <w:sz w:val="28"/>
          <w:szCs w:val="28"/>
        </w:rPr>
        <w:t xml:space="preserve">№ </w:t>
      </w:r>
      <w:r w:rsidR="00D1477D" w:rsidRPr="009E7F56">
        <w:rPr>
          <w:sz w:val="28"/>
          <w:szCs w:val="28"/>
          <w:lang w:val="en-US"/>
        </w:rPr>
        <w:t>297(2).</w:t>
      </w:r>
      <w:proofErr w:type="gramEnd"/>
      <w:r w:rsidR="00D1477D" w:rsidRPr="009E7F56">
        <w:rPr>
          <w:sz w:val="28"/>
          <w:szCs w:val="28"/>
          <w:lang w:val="en-US"/>
        </w:rPr>
        <w:t xml:space="preserve"> – </w:t>
      </w:r>
      <w:proofErr w:type="gramStart"/>
      <w:r w:rsidR="00D1477D" w:rsidRPr="009E7F56">
        <w:rPr>
          <w:sz w:val="28"/>
          <w:szCs w:val="28"/>
          <w:lang w:val="en-US"/>
        </w:rPr>
        <w:t>Р. 330</w:t>
      </w:r>
      <w:proofErr w:type="gramEnd"/>
      <w:r w:rsidR="00D1477D" w:rsidRPr="009E7F56">
        <w:rPr>
          <w:sz w:val="28"/>
          <w:szCs w:val="28"/>
          <w:lang w:val="en-US"/>
        </w:rPr>
        <w:t>–336.</w:t>
      </w:r>
    </w:p>
    <w:p w:rsidR="00076420" w:rsidRPr="009E7F56" w:rsidRDefault="00076420" w:rsidP="009E7F5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E7F56">
        <w:rPr>
          <w:sz w:val="28"/>
          <w:szCs w:val="28"/>
          <w:lang w:val="en-US"/>
        </w:rPr>
        <w:t xml:space="preserve">10. </w:t>
      </w:r>
      <w:r w:rsidR="00D1477D" w:rsidRPr="009E7F56">
        <w:rPr>
          <w:sz w:val="28"/>
          <w:szCs w:val="28"/>
          <w:lang w:val="en-US"/>
        </w:rPr>
        <w:t xml:space="preserve">Li Z. Peripheral effects of nesfatin-1 on glucose homeostasis / Z. Li, L. </w:t>
      </w:r>
      <w:proofErr w:type="spellStart"/>
      <w:r w:rsidR="00D1477D" w:rsidRPr="009E7F56">
        <w:rPr>
          <w:sz w:val="28"/>
          <w:szCs w:val="28"/>
          <w:lang w:val="en-US"/>
        </w:rPr>
        <w:t>Gao</w:t>
      </w:r>
      <w:proofErr w:type="spellEnd"/>
      <w:r w:rsidR="00D1477D" w:rsidRPr="009E7F56">
        <w:rPr>
          <w:sz w:val="28"/>
          <w:szCs w:val="28"/>
          <w:lang w:val="en-US"/>
        </w:rPr>
        <w:t xml:space="preserve">, H. Tang [et al.] // </w:t>
      </w:r>
      <w:proofErr w:type="spellStart"/>
      <w:r w:rsidR="00D1477D" w:rsidRPr="009E7F56">
        <w:rPr>
          <w:sz w:val="28"/>
          <w:szCs w:val="28"/>
          <w:lang w:val="en-US"/>
        </w:rPr>
        <w:t>PLoS</w:t>
      </w:r>
      <w:proofErr w:type="spellEnd"/>
      <w:r w:rsidR="00D1477D" w:rsidRPr="009E7F56">
        <w:rPr>
          <w:sz w:val="28"/>
          <w:szCs w:val="28"/>
          <w:lang w:val="en-US"/>
        </w:rPr>
        <w:t xml:space="preserve"> ONE. – 2013. </w:t>
      </w:r>
      <w:proofErr w:type="gramStart"/>
      <w:r w:rsidR="00D1477D" w:rsidRPr="009E7F56">
        <w:rPr>
          <w:sz w:val="28"/>
          <w:szCs w:val="28"/>
          <w:lang w:val="en-US"/>
        </w:rPr>
        <w:t>– № 8(8)</w:t>
      </w:r>
      <w:r w:rsidR="00D1477D" w:rsidRPr="009E7F56">
        <w:rPr>
          <w:sz w:val="28"/>
          <w:szCs w:val="28"/>
        </w:rPr>
        <w:t>.</w:t>
      </w:r>
      <w:proofErr w:type="gramEnd"/>
      <w:r w:rsidR="00D1477D" w:rsidRPr="009E7F56">
        <w:rPr>
          <w:sz w:val="28"/>
          <w:szCs w:val="28"/>
          <w:lang w:val="en-US"/>
        </w:rPr>
        <w:t xml:space="preserve"> </w:t>
      </w:r>
      <w:proofErr w:type="gramStart"/>
      <w:r w:rsidR="00D1477D" w:rsidRPr="009E7F56">
        <w:rPr>
          <w:sz w:val="28"/>
          <w:szCs w:val="28"/>
          <w:lang w:val="en-US"/>
        </w:rPr>
        <w:t>– e71513.</w:t>
      </w:r>
      <w:proofErr w:type="gramEnd"/>
    </w:p>
    <w:p w:rsidR="002C49D4" w:rsidRDefault="002C49D4" w:rsidP="009E7F56">
      <w:pPr>
        <w:spacing w:line="360" w:lineRule="auto"/>
        <w:ind w:firstLine="709"/>
        <w:jc w:val="both"/>
        <w:rPr>
          <w:sz w:val="28"/>
          <w:szCs w:val="28"/>
        </w:rPr>
      </w:pPr>
      <w:r w:rsidRPr="009E7F56">
        <w:rPr>
          <w:sz w:val="28"/>
          <w:szCs w:val="28"/>
          <w:lang w:val="en-US"/>
        </w:rPr>
        <w:lastRenderedPageBreak/>
        <w:t xml:space="preserve">11. </w:t>
      </w:r>
      <w:proofErr w:type="spellStart"/>
      <w:r w:rsidR="00D1477D" w:rsidRPr="009E7F56">
        <w:rPr>
          <w:sz w:val="28"/>
          <w:szCs w:val="28"/>
          <w:lang w:val="en-US"/>
        </w:rPr>
        <w:t>Mirzaei</w:t>
      </w:r>
      <w:proofErr w:type="spellEnd"/>
      <w:r w:rsidR="00D1477D" w:rsidRPr="009E7F56">
        <w:rPr>
          <w:sz w:val="28"/>
          <w:szCs w:val="28"/>
          <w:lang w:val="en-US"/>
        </w:rPr>
        <w:t xml:space="preserve"> K. Association of nesfatin-1 level with body composition, dietary intake and resting metabolic rate in obese and morbid obese subjects / K. </w:t>
      </w:r>
      <w:proofErr w:type="spellStart"/>
      <w:r w:rsidR="00D1477D" w:rsidRPr="009E7F56">
        <w:rPr>
          <w:sz w:val="28"/>
          <w:szCs w:val="28"/>
          <w:lang w:val="en-US"/>
        </w:rPr>
        <w:t>Mirzaei</w:t>
      </w:r>
      <w:proofErr w:type="spellEnd"/>
      <w:r w:rsidR="00D1477D" w:rsidRPr="009E7F56">
        <w:rPr>
          <w:sz w:val="28"/>
          <w:szCs w:val="28"/>
          <w:lang w:val="en-US"/>
        </w:rPr>
        <w:t xml:space="preserve">, A. </w:t>
      </w:r>
      <w:proofErr w:type="spellStart"/>
      <w:r w:rsidR="00D1477D" w:rsidRPr="009E7F56">
        <w:rPr>
          <w:sz w:val="28"/>
          <w:szCs w:val="28"/>
          <w:lang w:val="en-US"/>
        </w:rPr>
        <w:t>Hossein-nezhad</w:t>
      </w:r>
      <w:proofErr w:type="spellEnd"/>
      <w:r w:rsidR="00D1477D" w:rsidRPr="009E7F56">
        <w:rPr>
          <w:sz w:val="28"/>
          <w:szCs w:val="28"/>
          <w:lang w:val="en-US"/>
        </w:rPr>
        <w:t xml:space="preserve">, S.A. </w:t>
      </w:r>
      <w:proofErr w:type="spellStart"/>
      <w:r w:rsidR="00D1477D" w:rsidRPr="009E7F56">
        <w:rPr>
          <w:sz w:val="28"/>
          <w:szCs w:val="28"/>
          <w:lang w:val="en-US"/>
        </w:rPr>
        <w:t>Keshavarz</w:t>
      </w:r>
      <w:proofErr w:type="spellEnd"/>
      <w:r w:rsidR="00D1477D" w:rsidRPr="009E7F56">
        <w:rPr>
          <w:sz w:val="28"/>
          <w:szCs w:val="28"/>
          <w:lang w:val="en-US"/>
        </w:rPr>
        <w:t xml:space="preserve"> [et al.] // Diabetes </w:t>
      </w:r>
      <w:proofErr w:type="spellStart"/>
      <w:r w:rsidR="00D1477D" w:rsidRPr="009E7F56">
        <w:rPr>
          <w:sz w:val="28"/>
          <w:szCs w:val="28"/>
          <w:lang w:val="en-US"/>
        </w:rPr>
        <w:t>Metab</w:t>
      </w:r>
      <w:proofErr w:type="spellEnd"/>
      <w:r w:rsidR="00D1477D" w:rsidRPr="009E7F56">
        <w:rPr>
          <w:sz w:val="28"/>
          <w:szCs w:val="28"/>
          <w:lang w:val="en-US"/>
        </w:rPr>
        <w:t xml:space="preserve"> </w:t>
      </w:r>
      <w:proofErr w:type="spellStart"/>
      <w:r w:rsidR="00D1477D" w:rsidRPr="009E7F56">
        <w:rPr>
          <w:sz w:val="28"/>
          <w:szCs w:val="28"/>
          <w:lang w:val="en-US"/>
        </w:rPr>
        <w:t>Syndr</w:t>
      </w:r>
      <w:proofErr w:type="spellEnd"/>
      <w:r w:rsidR="00D1477D" w:rsidRPr="009E7F56">
        <w:rPr>
          <w:sz w:val="28"/>
          <w:szCs w:val="28"/>
          <w:lang w:val="en-US"/>
        </w:rPr>
        <w:t xml:space="preserve">. – 2015. </w:t>
      </w:r>
      <w:proofErr w:type="gramStart"/>
      <w:r w:rsidR="00D1477D" w:rsidRPr="009E7F56">
        <w:rPr>
          <w:sz w:val="28"/>
          <w:szCs w:val="28"/>
          <w:lang w:val="en-US"/>
        </w:rPr>
        <w:t>– №9</w:t>
      </w:r>
      <w:r w:rsidR="009E4579">
        <w:rPr>
          <w:sz w:val="28"/>
          <w:szCs w:val="28"/>
          <w:lang w:val="en-US"/>
        </w:rPr>
        <w:t xml:space="preserve"> </w:t>
      </w:r>
      <w:r w:rsidR="00D1477D" w:rsidRPr="009E7F56">
        <w:rPr>
          <w:sz w:val="28"/>
          <w:szCs w:val="28"/>
          <w:lang w:val="en-US"/>
        </w:rPr>
        <w:t>(4).</w:t>
      </w:r>
      <w:proofErr w:type="gramEnd"/>
      <w:r w:rsidR="00D1477D" w:rsidRPr="009E7F56">
        <w:rPr>
          <w:sz w:val="28"/>
          <w:szCs w:val="28"/>
          <w:lang w:val="en-US"/>
        </w:rPr>
        <w:t xml:space="preserve"> – P.</w:t>
      </w:r>
      <w:r w:rsidR="009E4579">
        <w:rPr>
          <w:sz w:val="28"/>
          <w:szCs w:val="28"/>
          <w:lang w:val="en-US"/>
        </w:rPr>
        <w:t xml:space="preserve"> </w:t>
      </w:r>
      <w:r w:rsidR="00D1477D" w:rsidRPr="009E7F56">
        <w:rPr>
          <w:sz w:val="28"/>
          <w:szCs w:val="28"/>
          <w:lang w:val="en-US"/>
        </w:rPr>
        <w:t>292-8.</w:t>
      </w:r>
    </w:p>
    <w:p w:rsidR="009E7F56" w:rsidRDefault="009E7F56" w:rsidP="009E7F56">
      <w:pPr>
        <w:spacing w:line="360" w:lineRule="auto"/>
        <w:ind w:firstLine="709"/>
        <w:jc w:val="both"/>
        <w:rPr>
          <w:sz w:val="28"/>
          <w:szCs w:val="28"/>
        </w:rPr>
      </w:pPr>
    </w:p>
    <w:p w:rsidR="009E4579" w:rsidRPr="009E4579" w:rsidRDefault="009E4579" w:rsidP="000203A6">
      <w:pPr>
        <w:spacing w:line="360" w:lineRule="auto"/>
        <w:jc w:val="center"/>
      </w:pPr>
    </w:p>
    <w:p w:rsidR="004352DB" w:rsidRPr="006554EA" w:rsidRDefault="009E4579" w:rsidP="000203A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554EA">
        <w:rPr>
          <w:b/>
          <w:sz w:val="28"/>
          <w:szCs w:val="28"/>
        </w:rPr>
        <w:t>Несфатин</w:t>
      </w:r>
      <w:proofErr w:type="spellEnd"/>
      <w:r w:rsidRPr="006554EA">
        <w:rPr>
          <w:b/>
          <w:sz w:val="28"/>
          <w:szCs w:val="28"/>
        </w:rPr>
        <w:t>-1</w:t>
      </w:r>
      <w:r w:rsidR="004352DB" w:rsidRPr="006554EA">
        <w:rPr>
          <w:b/>
          <w:sz w:val="28"/>
          <w:szCs w:val="28"/>
        </w:rPr>
        <w:t xml:space="preserve"> та ліпідний профіль у хворих з </w:t>
      </w:r>
      <w:proofErr w:type="spellStart"/>
      <w:r w:rsidR="004352DB" w:rsidRPr="006554EA">
        <w:rPr>
          <w:b/>
          <w:sz w:val="28"/>
          <w:szCs w:val="28"/>
        </w:rPr>
        <w:t>коморбідним</w:t>
      </w:r>
      <w:proofErr w:type="spellEnd"/>
      <w:r w:rsidR="004352DB" w:rsidRPr="006554EA">
        <w:rPr>
          <w:b/>
          <w:sz w:val="28"/>
          <w:szCs w:val="28"/>
        </w:rPr>
        <w:t xml:space="preserve"> перебігом гіпертонічної хвороби</w:t>
      </w:r>
    </w:p>
    <w:p w:rsidR="004352DB" w:rsidRPr="006554EA" w:rsidRDefault="004352DB" w:rsidP="000203A6">
      <w:pPr>
        <w:spacing w:line="360" w:lineRule="auto"/>
        <w:jc w:val="center"/>
        <w:rPr>
          <w:sz w:val="28"/>
          <w:szCs w:val="28"/>
        </w:rPr>
      </w:pPr>
      <w:proofErr w:type="spellStart"/>
      <w:r w:rsidRPr="006554EA">
        <w:rPr>
          <w:sz w:val="28"/>
          <w:szCs w:val="28"/>
        </w:rPr>
        <w:t>Візір</w:t>
      </w:r>
      <w:proofErr w:type="spellEnd"/>
      <w:r w:rsidRPr="006554EA">
        <w:rPr>
          <w:sz w:val="28"/>
          <w:szCs w:val="28"/>
        </w:rPr>
        <w:t xml:space="preserve"> М. О.</w:t>
      </w:r>
    </w:p>
    <w:p w:rsidR="00087388" w:rsidRPr="006554EA" w:rsidRDefault="004352DB" w:rsidP="000203A6">
      <w:pPr>
        <w:spacing w:line="360" w:lineRule="auto"/>
        <w:jc w:val="center"/>
        <w:rPr>
          <w:sz w:val="28"/>
          <w:szCs w:val="28"/>
        </w:rPr>
      </w:pPr>
      <w:r w:rsidRPr="006554EA">
        <w:rPr>
          <w:sz w:val="28"/>
          <w:szCs w:val="28"/>
        </w:rPr>
        <w:t>Харківський національний медичний університет</w:t>
      </w:r>
    </w:p>
    <w:p w:rsidR="00087388" w:rsidRPr="006554EA" w:rsidRDefault="00087388" w:rsidP="000203A6">
      <w:pPr>
        <w:spacing w:line="360" w:lineRule="auto"/>
        <w:jc w:val="center"/>
        <w:rPr>
          <w:sz w:val="28"/>
          <w:szCs w:val="28"/>
        </w:rPr>
      </w:pPr>
    </w:p>
    <w:p w:rsidR="006554EA" w:rsidRPr="006554EA" w:rsidRDefault="00087388" w:rsidP="00087388">
      <w:pPr>
        <w:spacing w:line="360" w:lineRule="auto"/>
        <w:jc w:val="both"/>
        <w:rPr>
          <w:color w:val="212121"/>
          <w:sz w:val="28"/>
          <w:szCs w:val="28"/>
        </w:rPr>
      </w:pPr>
      <w:r w:rsidRPr="006554EA">
        <w:rPr>
          <w:b/>
          <w:sz w:val="28"/>
          <w:szCs w:val="28"/>
        </w:rPr>
        <w:t xml:space="preserve">Резюме. </w:t>
      </w:r>
      <w:r w:rsidRPr="006554EA">
        <w:rPr>
          <w:sz w:val="28"/>
          <w:szCs w:val="28"/>
        </w:rPr>
        <w:t xml:space="preserve">Дослідження присвячене вивченню </w:t>
      </w:r>
      <w:r w:rsidR="006554EA" w:rsidRPr="006554EA">
        <w:rPr>
          <w:sz w:val="28"/>
          <w:szCs w:val="28"/>
        </w:rPr>
        <w:t>взаємозв’язків</w:t>
      </w:r>
      <w:r w:rsidRPr="006554EA">
        <w:rPr>
          <w:sz w:val="28"/>
          <w:szCs w:val="28"/>
        </w:rPr>
        <w:t xml:space="preserve"> </w:t>
      </w:r>
      <w:r w:rsidR="006554EA" w:rsidRPr="006554EA">
        <w:rPr>
          <w:sz w:val="28"/>
          <w:szCs w:val="28"/>
        </w:rPr>
        <w:t>рівня несфатину</w:t>
      </w:r>
      <w:r w:rsidRPr="006554EA">
        <w:rPr>
          <w:sz w:val="28"/>
          <w:szCs w:val="28"/>
        </w:rPr>
        <w:t xml:space="preserve">-1 з показниками ліпідного профілю при </w:t>
      </w:r>
      <w:proofErr w:type="spellStart"/>
      <w:r w:rsidRPr="006554EA">
        <w:rPr>
          <w:sz w:val="28"/>
          <w:szCs w:val="28"/>
        </w:rPr>
        <w:t>предіабеті</w:t>
      </w:r>
      <w:proofErr w:type="spellEnd"/>
      <w:r w:rsidRPr="006554EA">
        <w:rPr>
          <w:sz w:val="28"/>
          <w:szCs w:val="28"/>
        </w:rPr>
        <w:t xml:space="preserve"> </w:t>
      </w:r>
      <w:r w:rsidR="006554EA" w:rsidRPr="006554EA">
        <w:rPr>
          <w:sz w:val="28"/>
          <w:szCs w:val="28"/>
        </w:rPr>
        <w:t>та цукровому діабеті 2 типу</w:t>
      </w:r>
      <w:r w:rsidRPr="006554EA">
        <w:rPr>
          <w:sz w:val="28"/>
          <w:szCs w:val="28"/>
        </w:rPr>
        <w:t xml:space="preserve"> у пацієнтів з гіпертонічною хворобою та ожирінням. Обстежено 57 хворих на гіпертонічну хворобу та ожиріння, які були розподілені на групи в залежності від стану вуглеводного профілю. Рівень несфатину-1 визначали методом </w:t>
      </w:r>
      <w:proofErr w:type="spellStart"/>
      <w:r w:rsidRPr="006554EA">
        <w:rPr>
          <w:sz w:val="28"/>
          <w:szCs w:val="28"/>
        </w:rPr>
        <w:t>імуноферментного</w:t>
      </w:r>
      <w:proofErr w:type="spellEnd"/>
      <w:r w:rsidRPr="006554EA">
        <w:rPr>
          <w:sz w:val="28"/>
          <w:szCs w:val="28"/>
        </w:rPr>
        <w:t xml:space="preserve"> аналізу. Хворі на гіпертонічну хворобу</w:t>
      </w:r>
      <w:r w:rsidR="00532A52" w:rsidRPr="006554EA">
        <w:rPr>
          <w:sz w:val="28"/>
          <w:szCs w:val="28"/>
        </w:rPr>
        <w:t xml:space="preserve"> мали достовірно в</w:t>
      </w:r>
      <w:r w:rsidR="006554EA" w:rsidRPr="006554EA">
        <w:rPr>
          <w:sz w:val="28"/>
          <w:szCs w:val="28"/>
        </w:rPr>
        <w:t xml:space="preserve">ищий рівень даного </w:t>
      </w:r>
      <w:proofErr w:type="spellStart"/>
      <w:r w:rsidR="006554EA" w:rsidRPr="006554EA">
        <w:rPr>
          <w:sz w:val="28"/>
          <w:szCs w:val="28"/>
        </w:rPr>
        <w:t>адипоцитокіну</w:t>
      </w:r>
      <w:proofErr w:type="spellEnd"/>
      <w:r w:rsidR="00532A52" w:rsidRPr="006554EA">
        <w:rPr>
          <w:sz w:val="28"/>
          <w:szCs w:val="28"/>
        </w:rPr>
        <w:t xml:space="preserve">, ніж здорові особи. Встановлена позитивна кореляція рівня несфатину-1 з </w:t>
      </w:r>
      <w:proofErr w:type="spellStart"/>
      <w:r w:rsidR="00532A52" w:rsidRPr="006554EA">
        <w:rPr>
          <w:sz w:val="28"/>
          <w:szCs w:val="28"/>
        </w:rPr>
        <w:t>глюкозой</w:t>
      </w:r>
      <w:proofErr w:type="spellEnd"/>
      <w:r w:rsidR="00532A52" w:rsidRPr="006554EA">
        <w:rPr>
          <w:sz w:val="28"/>
          <w:szCs w:val="28"/>
        </w:rPr>
        <w:t xml:space="preserve">, інсуліном крові, індексом </w:t>
      </w:r>
      <w:r w:rsidR="00532A52" w:rsidRPr="006554EA">
        <w:rPr>
          <w:color w:val="212121"/>
          <w:sz w:val="28"/>
          <w:szCs w:val="28"/>
          <w:lang w:val="en-US"/>
        </w:rPr>
        <w:t>HOMA</w:t>
      </w:r>
      <w:r w:rsidR="00532A52" w:rsidRPr="006554EA">
        <w:rPr>
          <w:color w:val="212121"/>
          <w:sz w:val="28"/>
          <w:szCs w:val="28"/>
        </w:rPr>
        <w:t>-</w:t>
      </w:r>
      <w:r w:rsidR="00532A52" w:rsidRPr="006554EA">
        <w:rPr>
          <w:color w:val="212121"/>
          <w:sz w:val="28"/>
          <w:szCs w:val="28"/>
          <w:lang w:val="en-US"/>
        </w:rPr>
        <w:t>IR</w:t>
      </w:r>
      <w:r w:rsidR="00532A52" w:rsidRPr="006554EA">
        <w:rPr>
          <w:color w:val="212121"/>
          <w:sz w:val="28"/>
          <w:szCs w:val="28"/>
        </w:rPr>
        <w:t xml:space="preserve">, ТГ, ХС ЛПДНЩ, а також негативна кореляція з рівнем </w:t>
      </w:r>
      <w:proofErr w:type="spellStart"/>
      <w:r w:rsidR="00532A52" w:rsidRPr="006554EA">
        <w:rPr>
          <w:color w:val="212121"/>
          <w:sz w:val="28"/>
          <w:szCs w:val="28"/>
        </w:rPr>
        <w:t>постпрандіальної</w:t>
      </w:r>
      <w:proofErr w:type="spellEnd"/>
      <w:r w:rsidR="00532A52" w:rsidRPr="006554EA">
        <w:rPr>
          <w:color w:val="212121"/>
          <w:sz w:val="28"/>
          <w:szCs w:val="28"/>
        </w:rPr>
        <w:t xml:space="preserve"> глюкози, ХС ЛПВЩ при </w:t>
      </w:r>
      <w:proofErr w:type="spellStart"/>
      <w:r w:rsidR="00532A52" w:rsidRPr="006554EA">
        <w:rPr>
          <w:color w:val="212121"/>
          <w:sz w:val="28"/>
          <w:szCs w:val="28"/>
        </w:rPr>
        <w:t>нормоглікемії</w:t>
      </w:r>
      <w:proofErr w:type="spellEnd"/>
      <w:r w:rsidR="00532A52" w:rsidRPr="006554EA">
        <w:rPr>
          <w:color w:val="212121"/>
          <w:sz w:val="28"/>
          <w:szCs w:val="28"/>
        </w:rPr>
        <w:t xml:space="preserve"> та </w:t>
      </w:r>
      <w:proofErr w:type="spellStart"/>
      <w:r w:rsidR="00532A52" w:rsidRPr="006554EA">
        <w:rPr>
          <w:color w:val="212121"/>
          <w:sz w:val="28"/>
          <w:szCs w:val="28"/>
        </w:rPr>
        <w:t>предіабеті</w:t>
      </w:r>
      <w:proofErr w:type="spellEnd"/>
      <w:r w:rsidR="00532A52" w:rsidRPr="006554EA">
        <w:rPr>
          <w:color w:val="212121"/>
          <w:sz w:val="28"/>
          <w:szCs w:val="28"/>
        </w:rPr>
        <w:t>. При суп</w:t>
      </w:r>
      <w:r w:rsidR="006554EA" w:rsidRPr="006554EA">
        <w:rPr>
          <w:color w:val="212121"/>
          <w:sz w:val="28"/>
          <w:szCs w:val="28"/>
        </w:rPr>
        <w:t>утньому цукровому діабеті 2 типу</w:t>
      </w:r>
      <w:r w:rsidR="00532A52" w:rsidRPr="006554EA">
        <w:rPr>
          <w:color w:val="212121"/>
          <w:sz w:val="28"/>
          <w:szCs w:val="28"/>
        </w:rPr>
        <w:t xml:space="preserve"> встановлена</w:t>
      </w:r>
      <w:r w:rsidR="006554EA" w:rsidRPr="006554EA">
        <w:rPr>
          <w:color w:val="212121"/>
          <w:sz w:val="28"/>
          <w:szCs w:val="28"/>
        </w:rPr>
        <w:t xml:space="preserve"> негативна кореляція несфатину-1 з інсуліном крові та індексом </w:t>
      </w:r>
      <w:r w:rsidR="006554EA" w:rsidRPr="006554EA">
        <w:rPr>
          <w:color w:val="212121"/>
          <w:sz w:val="28"/>
          <w:szCs w:val="28"/>
          <w:lang w:val="en-US"/>
        </w:rPr>
        <w:t>HOMA</w:t>
      </w:r>
      <w:r w:rsidR="006554EA" w:rsidRPr="006554EA">
        <w:rPr>
          <w:color w:val="212121"/>
          <w:sz w:val="28"/>
          <w:szCs w:val="28"/>
        </w:rPr>
        <w:t>-</w:t>
      </w:r>
      <w:r w:rsidR="006554EA" w:rsidRPr="006554EA">
        <w:rPr>
          <w:color w:val="212121"/>
          <w:sz w:val="28"/>
          <w:szCs w:val="28"/>
          <w:lang w:val="en-US"/>
        </w:rPr>
        <w:t>IR</w:t>
      </w:r>
      <w:r w:rsidR="006554EA" w:rsidRPr="006554EA">
        <w:rPr>
          <w:color w:val="212121"/>
          <w:sz w:val="28"/>
          <w:szCs w:val="28"/>
        </w:rPr>
        <w:t>.</w:t>
      </w:r>
    </w:p>
    <w:p w:rsidR="009E4579" w:rsidRPr="006554EA" w:rsidRDefault="006554EA" w:rsidP="00087388">
      <w:pPr>
        <w:spacing w:line="360" w:lineRule="auto"/>
        <w:jc w:val="both"/>
        <w:rPr>
          <w:sz w:val="28"/>
          <w:szCs w:val="28"/>
        </w:rPr>
      </w:pPr>
      <w:r w:rsidRPr="006554EA">
        <w:rPr>
          <w:b/>
          <w:color w:val="212121"/>
          <w:sz w:val="28"/>
          <w:szCs w:val="28"/>
        </w:rPr>
        <w:t>Ключові слова:</w:t>
      </w:r>
      <w:r w:rsidRPr="006554EA">
        <w:rPr>
          <w:color w:val="212121"/>
          <w:sz w:val="28"/>
          <w:szCs w:val="28"/>
        </w:rPr>
        <w:t xml:space="preserve"> гіпертонічна хвороба, ожиріння, </w:t>
      </w:r>
      <w:proofErr w:type="spellStart"/>
      <w:r w:rsidRPr="006554EA">
        <w:rPr>
          <w:color w:val="212121"/>
          <w:sz w:val="28"/>
          <w:szCs w:val="28"/>
        </w:rPr>
        <w:t>предіабет</w:t>
      </w:r>
      <w:proofErr w:type="spellEnd"/>
      <w:r w:rsidRPr="006554EA">
        <w:rPr>
          <w:color w:val="212121"/>
          <w:sz w:val="28"/>
          <w:szCs w:val="28"/>
        </w:rPr>
        <w:t xml:space="preserve">, цукровий діабет 2 типу, несфатин-1, </w:t>
      </w:r>
      <w:proofErr w:type="spellStart"/>
      <w:r w:rsidRPr="006554EA">
        <w:rPr>
          <w:color w:val="212121"/>
          <w:sz w:val="28"/>
          <w:szCs w:val="28"/>
        </w:rPr>
        <w:t>дисліпідемія</w:t>
      </w:r>
      <w:proofErr w:type="spellEnd"/>
      <w:r w:rsidRPr="006554EA">
        <w:rPr>
          <w:color w:val="212121"/>
          <w:sz w:val="28"/>
          <w:szCs w:val="28"/>
        </w:rPr>
        <w:t xml:space="preserve"> </w:t>
      </w:r>
    </w:p>
    <w:p w:rsidR="006554EA" w:rsidRDefault="006554EA" w:rsidP="000203A6">
      <w:pPr>
        <w:spacing w:line="360" w:lineRule="auto"/>
        <w:jc w:val="center"/>
      </w:pPr>
    </w:p>
    <w:p w:rsidR="009E7F56" w:rsidRPr="000203A6" w:rsidRDefault="005C5109" w:rsidP="000203A6">
      <w:pPr>
        <w:spacing w:line="360" w:lineRule="auto"/>
        <w:jc w:val="center"/>
        <w:rPr>
          <w:b/>
          <w:color w:val="212121"/>
          <w:sz w:val="28"/>
          <w:szCs w:val="28"/>
          <w:shd w:val="clear" w:color="auto" w:fill="FFFFFF"/>
          <w:lang w:val="en-US"/>
        </w:rPr>
      </w:pPr>
      <w:r>
        <w:br/>
      </w:r>
      <w:proofErr w:type="spellStart"/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Nesfatin</w:t>
      </w:r>
      <w:proofErr w:type="spellEnd"/>
      <w:r w:rsidRPr="00532A52">
        <w:rPr>
          <w:b/>
          <w:color w:val="212121"/>
          <w:sz w:val="28"/>
          <w:szCs w:val="28"/>
          <w:shd w:val="clear" w:color="auto" w:fill="FFFFFF"/>
        </w:rPr>
        <w:t xml:space="preserve">-1 </w:t>
      </w:r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and</w:t>
      </w:r>
      <w:r w:rsidRPr="00532A52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lipid</w:t>
      </w:r>
      <w:r w:rsidRPr="00532A52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profile</w:t>
      </w:r>
      <w:r w:rsidRPr="00532A52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in</w:t>
      </w:r>
      <w:r w:rsidRPr="00532A52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patients</w:t>
      </w:r>
      <w:r w:rsidRPr="00532A52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with</w:t>
      </w:r>
      <w:r w:rsidRPr="00532A52">
        <w:rPr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comorbid</w:t>
      </w:r>
      <w:proofErr w:type="spellEnd"/>
      <w:r w:rsidRPr="00532A52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0203A6">
        <w:rPr>
          <w:b/>
          <w:color w:val="212121"/>
          <w:sz w:val="28"/>
          <w:szCs w:val="28"/>
          <w:shd w:val="clear" w:color="auto" w:fill="FFFFFF"/>
          <w:lang w:val="en-US"/>
        </w:rPr>
        <w:t>course of essential hypertension</w:t>
      </w:r>
    </w:p>
    <w:p w:rsidR="00D24E2E" w:rsidRPr="000203A6" w:rsidRDefault="00D24E2E" w:rsidP="000203A6">
      <w:pPr>
        <w:spacing w:line="360" w:lineRule="auto"/>
        <w:jc w:val="center"/>
        <w:rPr>
          <w:color w:val="212121"/>
          <w:sz w:val="28"/>
          <w:szCs w:val="28"/>
          <w:shd w:val="clear" w:color="auto" w:fill="FFFFFF"/>
          <w:lang w:val="en-US"/>
        </w:rPr>
      </w:pPr>
      <w:proofErr w:type="spellStart"/>
      <w:r w:rsidRPr="000203A6">
        <w:rPr>
          <w:color w:val="212121"/>
          <w:sz w:val="28"/>
          <w:szCs w:val="28"/>
          <w:shd w:val="clear" w:color="auto" w:fill="FFFFFF"/>
          <w:lang w:val="en-US"/>
        </w:rPr>
        <w:t>Vizir</w:t>
      </w:r>
      <w:proofErr w:type="spellEnd"/>
      <w:r w:rsidRPr="000203A6">
        <w:rPr>
          <w:color w:val="212121"/>
          <w:sz w:val="28"/>
          <w:szCs w:val="28"/>
          <w:shd w:val="clear" w:color="auto" w:fill="FFFFFF"/>
          <w:lang w:val="en-US"/>
        </w:rPr>
        <w:t xml:space="preserve"> M. O.</w:t>
      </w:r>
    </w:p>
    <w:p w:rsidR="00D24E2E" w:rsidRPr="000203A6" w:rsidRDefault="00D24E2E" w:rsidP="000203A6">
      <w:pPr>
        <w:spacing w:line="360" w:lineRule="auto"/>
        <w:jc w:val="center"/>
        <w:rPr>
          <w:color w:val="212121"/>
          <w:sz w:val="28"/>
          <w:szCs w:val="28"/>
          <w:shd w:val="clear" w:color="auto" w:fill="FFFFFF"/>
          <w:lang w:val="en-US"/>
        </w:rPr>
      </w:pPr>
      <w:proofErr w:type="spellStart"/>
      <w:r w:rsidRPr="000203A6">
        <w:rPr>
          <w:color w:val="212121"/>
          <w:sz w:val="28"/>
          <w:szCs w:val="28"/>
          <w:shd w:val="clear" w:color="auto" w:fill="FFFFFF"/>
          <w:lang w:val="en-US"/>
        </w:rPr>
        <w:lastRenderedPageBreak/>
        <w:t>Kharkiv</w:t>
      </w:r>
      <w:proofErr w:type="spellEnd"/>
      <w:r w:rsidRPr="000203A6">
        <w:rPr>
          <w:color w:val="212121"/>
          <w:sz w:val="28"/>
          <w:szCs w:val="28"/>
          <w:shd w:val="clear" w:color="auto" w:fill="FFFFFF"/>
          <w:lang w:val="en-US"/>
        </w:rPr>
        <w:t xml:space="preserve"> national medical university</w:t>
      </w:r>
    </w:p>
    <w:p w:rsidR="00D24E2E" w:rsidRPr="000203A6" w:rsidRDefault="00D24E2E" w:rsidP="000203A6">
      <w:pPr>
        <w:spacing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en-US"/>
        </w:rPr>
      </w:pPr>
    </w:p>
    <w:p w:rsidR="00D24E2E" w:rsidRDefault="00D24E2E" w:rsidP="000203A6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gramStart"/>
      <w:r w:rsidRPr="009E457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Summary.</w:t>
      </w:r>
      <w:proofErr w:type="gramEnd"/>
      <w:r w:rsidRPr="000203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>The study investigates the relationship of nesfatin-1 level with the lipid profile i</w:t>
      </w:r>
      <w:r w:rsidR="00CE6817"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n </w:t>
      </w:r>
      <w:proofErr w:type="spellStart"/>
      <w:r w:rsidR="00CE6817"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>prediabetes</w:t>
      </w:r>
      <w:proofErr w:type="spellEnd"/>
      <w:r w:rsidR="00CE6817"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or</w:t>
      </w:r>
      <w:r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type 2 diabetes mellitus of patients with</w:t>
      </w:r>
      <w:r w:rsidR="00CE6817"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essential</w:t>
      </w:r>
      <w:r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hypertension and obesity.</w:t>
      </w:r>
      <w:r w:rsidR="00CE6817" w:rsidRPr="00B16D9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The study involved 57 patients with essential hypertension and obesity, which have been divided into groups depending on the state of carbohydrate profile. Nesfatin-1 Level was measured by enzyme immunoassay.</w:t>
      </w:r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Patients with essential hypertension had significantly higher level of this </w:t>
      </w:r>
      <w:proofErr w:type="spellStart"/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>adipocytokine</w:t>
      </w:r>
      <w:proofErr w:type="spellEnd"/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than healthy people. The positive correlation</w:t>
      </w:r>
      <w:r w:rsidR="000203A6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>s of</w:t>
      </w:r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nesfatin-1 level with glucose, insulin, HOMA-IR index, TG, VLDL cholesterol and a negative correlation with the levels of postprandial glucose, HDL cholesterol were established in patients with </w:t>
      </w:r>
      <w:proofErr w:type="spellStart"/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>normoglycemia</w:t>
      </w:r>
      <w:proofErr w:type="spellEnd"/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and </w:t>
      </w:r>
      <w:proofErr w:type="spellStart"/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>prediabetes</w:t>
      </w:r>
      <w:proofErr w:type="spellEnd"/>
      <w:r w:rsidR="00030914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>.</w:t>
      </w:r>
      <w:r w:rsidR="000203A6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The negative correlations of nesfatin-1 level with blood insulin and HOMA-IR index were found in patients with concomitant type </w:t>
      </w:r>
      <w:proofErr w:type="gramStart"/>
      <w:r w:rsidR="000203A6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>2  diabetes</w:t>
      </w:r>
      <w:proofErr w:type="gramEnd"/>
      <w:r w:rsidR="000203A6" w:rsidRPr="000203A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mellitus.</w:t>
      </w:r>
    </w:p>
    <w:p w:rsidR="009E4579" w:rsidRPr="009E4579" w:rsidRDefault="009E4579" w:rsidP="000203A6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9E4579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Key words: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essential hypertension, obesity,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prediabetes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, type 2 diabetes mellitus, nesfatin-1,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dyslipidemia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. </w:t>
      </w:r>
    </w:p>
    <w:p w:rsidR="00D24E2E" w:rsidRPr="000203A6" w:rsidRDefault="00D24E2E" w:rsidP="000203A6">
      <w:pPr>
        <w:spacing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en-US"/>
        </w:rPr>
      </w:pPr>
    </w:p>
    <w:sectPr w:rsidR="00D24E2E" w:rsidRPr="000203A6" w:rsidSect="00E53E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290D"/>
    <w:multiLevelType w:val="multilevel"/>
    <w:tmpl w:val="3F34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0495F"/>
    <w:multiLevelType w:val="hybridMultilevel"/>
    <w:tmpl w:val="37726524"/>
    <w:lvl w:ilvl="0" w:tplc="76A05E6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DA20EC"/>
    <w:multiLevelType w:val="multilevel"/>
    <w:tmpl w:val="62A4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F5605"/>
    <w:multiLevelType w:val="hybridMultilevel"/>
    <w:tmpl w:val="E3A001C4"/>
    <w:lvl w:ilvl="0" w:tplc="1C542B4C">
      <w:start w:val="1"/>
      <w:numFmt w:val="decimal"/>
      <w:lvlText w:val="%1."/>
      <w:lvlJc w:val="left"/>
      <w:pPr>
        <w:ind w:left="720" w:hanging="360"/>
      </w:pPr>
    </w:lvl>
    <w:lvl w:ilvl="1" w:tplc="8D2078A8">
      <w:start w:val="1"/>
      <w:numFmt w:val="lowerLetter"/>
      <w:lvlText w:val="%2."/>
      <w:lvlJc w:val="left"/>
      <w:pPr>
        <w:ind w:left="1440" w:hanging="360"/>
      </w:pPr>
    </w:lvl>
    <w:lvl w:ilvl="2" w:tplc="286AEDA6">
      <w:start w:val="1"/>
      <w:numFmt w:val="lowerRoman"/>
      <w:lvlText w:val="%3."/>
      <w:lvlJc w:val="right"/>
      <w:pPr>
        <w:ind w:left="2160" w:hanging="180"/>
      </w:pPr>
    </w:lvl>
    <w:lvl w:ilvl="3" w:tplc="A350BDD4">
      <w:start w:val="1"/>
      <w:numFmt w:val="decimal"/>
      <w:lvlText w:val="%4."/>
      <w:lvlJc w:val="left"/>
      <w:pPr>
        <w:ind w:left="2880" w:hanging="360"/>
      </w:pPr>
    </w:lvl>
    <w:lvl w:ilvl="4" w:tplc="F99C9276">
      <w:start w:val="1"/>
      <w:numFmt w:val="lowerLetter"/>
      <w:lvlText w:val="%5."/>
      <w:lvlJc w:val="left"/>
      <w:pPr>
        <w:ind w:left="3600" w:hanging="360"/>
      </w:pPr>
    </w:lvl>
    <w:lvl w:ilvl="5" w:tplc="59B26230">
      <w:start w:val="1"/>
      <w:numFmt w:val="lowerRoman"/>
      <w:lvlText w:val="%6."/>
      <w:lvlJc w:val="right"/>
      <w:pPr>
        <w:ind w:left="4320" w:hanging="180"/>
      </w:pPr>
    </w:lvl>
    <w:lvl w:ilvl="6" w:tplc="41B64A4A">
      <w:start w:val="1"/>
      <w:numFmt w:val="decimal"/>
      <w:lvlText w:val="%7."/>
      <w:lvlJc w:val="left"/>
      <w:pPr>
        <w:ind w:left="5040" w:hanging="360"/>
      </w:pPr>
    </w:lvl>
    <w:lvl w:ilvl="7" w:tplc="7696FA06">
      <w:start w:val="1"/>
      <w:numFmt w:val="lowerLetter"/>
      <w:lvlText w:val="%8."/>
      <w:lvlJc w:val="left"/>
      <w:pPr>
        <w:ind w:left="5760" w:hanging="360"/>
      </w:pPr>
    </w:lvl>
    <w:lvl w:ilvl="8" w:tplc="83CCBC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600F"/>
    <w:multiLevelType w:val="hybridMultilevel"/>
    <w:tmpl w:val="E3A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AE8"/>
    <w:rsid w:val="000104F0"/>
    <w:rsid w:val="000203A6"/>
    <w:rsid w:val="00030914"/>
    <w:rsid w:val="000342C5"/>
    <w:rsid w:val="00053C05"/>
    <w:rsid w:val="00062FCA"/>
    <w:rsid w:val="000723DC"/>
    <w:rsid w:val="00076420"/>
    <w:rsid w:val="00087388"/>
    <w:rsid w:val="00087932"/>
    <w:rsid w:val="000A0E97"/>
    <w:rsid w:val="000A1B1F"/>
    <w:rsid w:val="00122BE4"/>
    <w:rsid w:val="00126BD1"/>
    <w:rsid w:val="001543BC"/>
    <w:rsid w:val="00160079"/>
    <w:rsid w:val="001912A5"/>
    <w:rsid w:val="001A0BF0"/>
    <w:rsid w:val="001B09ED"/>
    <w:rsid w:val="001C3FF2"/>
    <w:rsid w:val="00213971"/>
    <w:rsid w:val="00214997"/>
    <w:rsid w:val="0021762F"/>
    <w:rsid w:val="0022215D"/>
    <w:rsid w:val="0024291A"/>
    <w:rsid w:val="002477D8"/>
    <w:rsid w:val="00250FA8"/>
    <w:rsid w:val="0025731C"/>
    <w:rsid w:val="002B7CEA"/>
    <w:rsid w:val="002C2D02"/>
    <w:rsid w:val="002C49D4"/>
    <w:rsid w:val="002F45E3"/>
    <w:rsid w:val="0030782D"/>
    <w:rsid w:val="00330DCB"/>
    <w:rsid w:val="0038037E"/>
    <w:rsid w:val="00384277"/>
    <w:rsid w:val="00387240"/>
    <w:rsid w:val="003A2C47"/>
    <w:rsid w:val="003D639E"/>
    <w:rsid w:val="003E4705"/>
    <w:rsid w:val="003F5A26"/>
    <w:rsid w:val="00401621"/>
    <w:rsid w:val="004352DB"/>
    <w:rsid w:val="00453A2C"/>
    <w:rsid w:val="00456352"/>
    <w:rsid w:val="004716C1"/>
    <w:rsid w:val="00482F29"/>
    <w:rsid w:val="00483742"/>
    <w:rsid w:val="004957FC"/>
    <w:rsid w:val="004E288A"/>
    <w:rsid w:val="00515B58"/>
    <w:rsid w:val="00532A52"/>
    <w:rsid w:val="00542D66"/>
    <w:rsid w:val="0055302B"/>
    <w:rsid w:val="005543FC"/>
    <w:rsid w:val="005807F5"/>
    <w:rsid w:val="005B525E"/>
    <w:rsid w:val="005C5109"/>
    <w:rsid w:val="005D09C0"/>
    <w:rsid w:val="005E0C15"/>
    <w:rsid w:val="00607AFF"/>
    <w:rsid w:val="006166B7"/>
    <w:rsid w:val="006236AA"/>
    <w:rsid w:val="00645094"/>
    <w:rsid w:val="00651A0F"/>
    <w:rsid w:val="006554EA"/>
    <w:rsid w:val="00660BFB"/>
    <w:rsid w:val="00685EB0"/>
    <w:rsid w:val="00692C16"/>
    <w:rsid w:val="006A244D"/>
    <w:rsid w:val="006A49C5"/>
    <w:rsid w:val="006B290B"/>
    <w:rsid w:val="006B76D5"/>
    <w:rsid w:val="006F0A11"/>
    <w:rsid w:val="00735D8E"/>
    <w:rsid w:val="00744C9D"/>
    <w:rsid w:val="00752239"/>
    <w:rsid w:val="0075568C"/>
    <w:rsid w:val="00757F31"/>
    <w:rsid w:val="00767F97"/>
    <w:rsid w:val="00770EC4"/>
    <w:rsid w:val="007929EC"/>
    <w:rsid w:val="007A35B6"/>
    <w:rsid w:val="007B0864"/>
    <w:rsid w:val="007F2285"/>
    <w:rsid w:val="007F2A10"/>
    <w:rsid w:val="00836F4B"/>
    <w:rsid w:val="008812ED"/>
    <w:rsid w:val="008A5C4E"/>
    <w:rsid w:val="008E5AE8"/>
    <w:rsid w:val="008F1B85"/>
    <w:rsid w:val="00900D65"/>
    <w:rsid w:val="00922750"/>
    <w:rsid w:val="009362CF"/>
    <w:rsid w:val="0096161E"/>
    <w:rsid w:val="009649D4"/>
    <w:rsid w:val="00971F5C"/>
    <w:rsid w:val="009750C3"/>
    <w:rsid w:val="00984F5B"/>
    <w:rsid w:val="009A68D4"/>
    <w:rsid w:val="009B13FB"/>
    <w:rsid w:val="009B7C43"/>
    <w:rsid w:val="009C11EF"/>
    <w:rsid w:val="009D6682"/>
    <w:rsid w:val="009E4579"/>
    <w:rsid w:val="009E7F56"/>
    <w:rsid w:val="00A07FCB"/>
    <w:rsid w:val="00A15459"/>
    <w:rsid w:val="00A20611"/>
    <w:rsid w:val="00A23F80"/>
    <w:rsid w:val="00A63440"/>
    <w:rsid w:val="00A66900"/>
    <w:rsid w:val="00A95759"/>
    <w:rsid w:val="00A960AF"/>
    <w:rsid w:val="00AA5137"/>
    <w:rsid w:val="00AC63BD"/>
    <w:rsid w:val="00AF13DA"/>
    <w:rsid w:val="00AF1E49"/>
    <w:rsid w:val="00B16D95"/>
    <w:rsid w:val="00B47F5F"/>
    <w:rsid w:val="00B50CB4"/>
    <w:rsid w:val="00B57C37"/>
    <w:rsid w:val="00B64CF0"/>
    <w:rsid w:val="00B77E00"/>
    <w:rsid w:val="00BA1495"/>
    <w:rsid w:val="00BF0FC0"/>
    <w:rsid w:val="00C05CB1"/>
    <w:rsid w:val="00C13230"/>
    <w:rsid w:val="00C25767"/>
    <w:rsid w:val="00C61961"/>
    <w:rsid w:val="00C63B05"/>
    <w:rsid w:val="00C90C15"/>
    <w:rsid w:val="00CA5D10"/>
    <w:rsid w:val="00CB100A"/>
    <w:rsid w:val="00CC0085"/>
    <w:rsid w:val="00CD42AA"/>
    <w:rsid w:val="00CE6817"/>
    <w:rsid w:val="00CF7A99"/>
    <w:rsid w:val="00D1477D"/>
    <w:rsid w:val="00D15E54"/>
    <w:rsid w:val="00D24E2E"/>
    <w:rsid w:val="00D4697E"/>
    <w:rsid w:val="00D46F86"/>
    <w:rsid w:val="00D53EB8"/>
    <w:rsid w:val="00D77C0E"/>
    <w:rsid w:val="00D9367D"/>
    <w:rsid w:val="00DC10EC"/>
    <w:rsid w:val="00DF4ABC"/>
    <w:rsid w:val="00E04683"/>
    <w:rsid w:val="00E053D2"/>
    <w:rsid w:val="00E14973"/>
    <w:rsid w:val="00E439EE"/>
    <w:rsid w:val="00E53E14"/>
    <w:rsid w:val="00E670B6"/>
    <w:rsid w:val="00E67983"/>
    <w:rsid w:val="00E70881"/>
    <w:rsid w:val="00E82338"/>
    <w:rsid w:val="00EC3941"/>
    <w:rsid w:val="00EC3E8F"/>
    <w:rsid w:val="00ED2970"/>
    <w:rsid w:val="00EF2CA6"/>
    <w:rsid w:val="00F00C0A"/>
    <w:rsid w:val="00F20F2E"/>
    <w:rsid w:val="00F46B18"/>
    <w:rsid w:val="00FA6601"/>
    <w:rsid w:val="00FA781E"/>
    <w:rsid w:val="00FB648B"/>
    <w:rsid w:val="00FC19A1"/>
    <w:rsid w:val="00FC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E8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E5AE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8E5AE8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8E5A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E8"/>
    <w:rPr>
      <w:rFonts w:ascii="Tahoma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FB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76D5"/>
    <w:pPr>
      <w:ind w:left="720"/>
      <w:contextualSpacing/>
    </w:pPr>
  </w:style>
  <w:style w:type="paragraph" w:customStyle="1" w:styleId="Style2">
    <w:name w:val="Style2"/>
    <w:basedOn w:val="a"/>
    <w:rsid w:val="003F5A26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5">
    <w:name w:val="Font Style45"/>
    <w:uiPriority w:val="99"/>
    <w:rsid w:val="003F5A26"/>
    <w:rPr>
      <w:rFonts w:ascii="Times New Roman" w:hAnsi="Times New Roman" w:cs="Times New Roman"/>
      <w:sz w:val="16"/>
      <w:szCs w:val="16"/>
    </w:rPr>
  </w:style>
  <w:style w:type="character" w:customStyle="1" w:styleId="cit-name-surname">
    <w:name w:val="cit-name-surname"/>
    <w:basedOn w:val="a0"/>
    <w:rsid w:val="00CF7A99"/>
  </w:style>
  <w:style w:type="character" w:customStyle="1" w:styleId="apple-converted-space">
    <w:name w:val="apple-converted-space"/>
    <w:basedOn w:val="a0"/>
    <w:rsid w:val="00CF7A99"/>
  </w:style>
  <w:style w:type="character" w:customStyle="1" w:styleId="cit-name-given-names">
    <w:name w:val="cit-name-given-names"/>
    <w:basedOn w:val="a0"/>
    <w:rsid w:val="00CF7A99"/>
  </w:style>
  <w:style w:type="character" w:styleId="HTML">
    <w:name w:val="HTML Cite"/>
    <w:basedOn w:val="a0"/>
    <w:uiPriority w:val="99"/>
    <w:semiHidden/>
    <w:unhideWhenUsed/>
    <w:rsid w:val="00CF7A99"/>
    <w:rPr>
      <w:i/>
      <w:iCs/>
    </w:rPr>
  </w:style>
  <w:style w:type="character" w:customStyle="1" w:styleId="cit-article-title">
    <w:name w:val="cit-article-title"/>
    <w:basedOn w:val="a0"/>
    <w:rsid w:val="00CF7A99"/>
  </w:style>
  <w:style w:type="character" w:customStyle="1" w:styleId="cit-pub-date">
    <w:name w:val="cit-pub-date"/>
    <w:basedOn w:val="a0"/>
    <w:rsid w:val="00CF7A99"/>
  </w:style>
  <w:style w:type="character" w:customStyle="1" w:styleId="cit-vol">
    <w:name w:val="cit-vol"/>
    <w:basedOn w:val="a0"/>
    <w:rsid w:val="00CF7A99"/>
  </w:style>
  <w:style w:type="character" w:customStyle="1" w:styleId="cit-fpage">
    <w:name w:val="cit-fpage"/>
    <w:basedOn w:val="a0"/>
    <w:rsid w:val="00CF7A99"/>
  </w:style>
  <w:style w:type="character" w:customStyle="1" w:styleId="cit-lpage">
    <w:name w:val="cit-lpage"/>
    <w:basedOn w:val="a0"/>
    <w:rsid w:val="00CF7A99"/>
  </w:style>
  <w:style w:type="character" w:customStyle="1" w:styleId="ref-journal">
    <w:name w:val="ref-journal"/>
    <w:basedOn w:val="a0"/>
    <w:rsid w:val="00645094"/>
  </w:style>
  <w:style w:type="character" w:customStyle="1" w:styleId="ref-vol">
    <w:name w:val="ref-vol"/>
    <w:basedOn w:val="a0"/>
    <w:rsid w:val="00645094"/>
  </w:style>
  <w:style w:type="character" w:customStyle="1" w:styleId="ref-title">
    <w:name w:val="ref-title"/>
    <w:basedOn w:val="a0"/>
    <w:rsid w:val="00D1477D"/>
  </w:style>
  <w:style w:type="paragraph" w:styleId="HTML0">
    <w:name w:val="HTML Preformatted"/>
    <w:basedOn w:val="a"/>
    <w:link w:val="HTML1"/>
    <w:uiPriority w:val="99"/>
    <w:semiHidden/>
    <w:unhideWhenUsed/>
    <w:rsid w:val="00D24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24E2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BFFA-F78D-444C-9B51-68F2207B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22</cp:revision>
  <dcterms:created xsi:type="dcterms:W3CDTF">2016-11-09T20:02:00Z</dcterms:created>
  <dcterms:modified xsi:type="dcterms:W3CDTF">2016-11-21T11:16:00Z</dcterms:modified>
</cp:coreProperties>
</file>