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6F" w:rsidRDefault="0064446F" w:rsidP="0064446F">
      <w:pPr>
        <w:rPr>
          <w:sz w:val="28"/>
          <w:szCs w:val="28"/>
          <w:lang w:val="uk-UA"/>
        </w:rPr>
      </w:pPr>
      <w:bookmarkStart w:id="0" w:name="_GoBack"/>
      <w:bookmarkEnd w:id="0"/>
    </w:p>
    <w:p w:rsidR="0064446F" w:rsidRPr="0064446F" w:rsidRDefault="0064446F" w:rsidP="0064446F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64446F">
        <w:rPr>
          <w:b/>
          <w:bCs/>
          <w:sz w:val="28"/>
          <w:szCs w:val="28"/>
          <w:lang w:val="uk-UA"/>
        </w:rPr>
        <w:t>ВПЛИВ ЦИТОКІНІВ І ДЕЯКИХ МАКРО- ТА МІКРОЕЛЕМЕНТІВ НА СТАН ІМУНОЛОГІЧНОЇ РЕАКТИВНОСТІ ВАГІТНИХ ЩУРІВ ЯКІ ЗНАХОДИЛИСЯ НА ГІПЕРКАЛОРІЙНІЙ ДИЄТІ ТА ЇХ ПОТОМСТВА</w:t>
      </w:r>
    </w:p>
    <w:p w:rsidR="0064446F" w:rsidRPr="0064446F" w:rsidRDefault="0064446F" w:rsidP="0064446F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64446F">
        <w:rPr>
          <w:b/>
          <w:bCs/>
          <w:sz w:val="28"/>
          <w:szCs w:val="28"/>
          <w:lang w:val="uk-UA"/>
        </w:rPr>
        <w:t>СІРЕНКО В.А.</w:t>
      </w:r>
    </w:p>
    <w:p w:rsidR="0064446F" w:rsidRDefault="0064446F" w:rsidP="0064446F">
      <w:pPr>
        <w:pStyle w:val="Default"/>
        <w:spacing w:line="360" w:lineRule="auto"/>
        <w:jc w:val="center"/>
        <w:rPr>
          <w:sz w:val="28"/>
          <w:szCs w:val="28"/>
        </w:rPr>
      </w:pPr>
      <w:r w:rsidRPr="0064446F">
        <w:rPr>
          <w:b/>
          <w:bCs/>
          <w:i/>
          <w:iCs/>
          <w:sz w:val="28"/>
          <w:szCs w:val="28"/>
          <w:lang w:val="uk-UA"/>
        </w:rPr>
        <w:t xml:space="preserve">аспірант кафедри патологічної фізіології ім. </w:t>
      </w:r>
      <w:r>
        <w:rPr>
          <w:b/>
          <w:bCs/>
          <w:i/>
          <w:iCs/>
          <w:sz w:val="28"/>
          <w:szCs w:val="28"/>
        </w:rPr>
        <w:t xml:space="preserve">Д.О. </w:t>
      </w:r>
      <w:proofErr w:type="spellStart"/>
      <w:r>
        <w:rPr>
          <w:b/>
          <w:bCs/>
          <w:i/>
          <w:iCs/>
          <w:sz w:val="28"/>
          <w:szCs w:val="28"/>
        </w:rPr>
        <w:t>Альперна</w:t>
      </w:r>
      <w:proofErr w:type="spellEnd"/>
    </w:p>
    <w:p w:rsidR="0064446F" w:rsidRDefault="0064446F" w:rsidP="0064446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КОВАЛЬЦОВА М.В.</w:t>
      </w:r>
    </w:p>
    <w:p w:rsidR="0064446F" w:rsidRDefault="0064446F" w:rsidP="0064446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кандидат </w:t>
      </w:r>
      <w:proofErr w:type="spellStart"/>
      <w:r>
        <w:rPr>
          <w:b/>
          <w:bCs/>
          <w:i/>
          <w:iCs/>
          <w:sz w:val="28"/>
          <w:szCs w:val="28"/>
        </w:rPr>
        <w:t>медичних</w:t>
      </w:r>
      <w:proofErr w:type="spellEnd"/>
      <w:r>
        <w:rPr>
          <w:b/>
          <w:bCs/>
          <w:i/>
          <w:iCs/>
          <w:sz w:val="28"/>
          <w:szCs w:val="28"/>
        </w:rPr>
        <w:t xml:space="preserve"> наук,</w:t>
      </w:r>
    </w:p>
    <w:p w:rsidR="0064446F" w:rsidRDefault="0064446F" w:rsidP="0064446F">
      <w:pPr>
        <w:pStyle w:val="Default"/>
        <w:spacing w:line="360" w:lineRule="auto"/>
        <w:jc w:val="center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асистент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кафедри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патологічної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фізіології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ім</w:t>
      </w:r>
      <w:proofErr w:type="spellEnd"/>
      <w:r>
        <w:rPr>
          <w:b/>
          <w:bCs/>
          <w:i/>
          <w:iCs/>
          <w:sz w:val="28"/>
          <w:szCs w:val="28"/>
        </w:rPr>
        <w:t xml:space="preserve">. Д.О. </w:t>
      </w:r>
      <w:proofErr w:type="spellStart"/>
      <w:r>
        <w:rPr>
          <w:b/>
          <w:bCs/>
          <w:i/>
          <w:iCs/>
          <w:sz w:val="28"/>
          <w:szCs w:val="28"/>
        </w:rPr>
        <w:t>Альперна</w:t>
      </w:r>
      <w:proofErr w:type="spellEnd"/>
    </w:p>
    <w:p w:rsidR="0064446F" w:rsidRDefault="0064446F" w:rsidP="0064446F">
      <w:pPr>
        <w:pStyle w:val="Default"/>
        <w:spacing w:line="360" w:lineRule="auto"/>
        <w:jc w:val="center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Харківський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національний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медичний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університет</w:t>
      </w:r>
      <w:proofErr w:type="spellEnd"/>
    </w:p>
    <w:p w:rsidR="0064446F" w:rsidRDefault="0064446F" w:rsidP="0064446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м. </w:t>
      </w:r>
      <w:proofErr w:type="spellStart"/>
      <w:r>
        <w:rPr>
          <w:i/>
          <w:iCs/>
          <w:sz w:val="28"/>
          <w:szCs w:val="28"/>
        </w:rPr>
        <w:t>Харків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Україна</w:t>
      </w:r>
      <w:proofErr w:type="spellEnd"/>
    </w:p>
    <w:p w:rsidR="0064446F" w:rsidRPr="0064446F" w:rsidRDefault="0064446F" w:rsidP="0064446F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4446F">
        <w:rPr>
          <w:sz w:val="28"/>
          <w:szCs w:val="28"/>
          <w:lang w:val="uk-UA"/>
        </w:rPr>
        <w:t xml:space="preserve">Патологія підшлункової залози (ПЗ) є однією з актуальних проблем медицини та займає значне місце в структурі захворюваності дітей і дорослих. </w:t>
      </w:r>
    </w:p>
    <w:p w:rsidR="0064446F" w:rsidRDefault="0064446F" w:rsidP="006444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446F">
        <w:rPr>
          <w:sz w:val="28"/>
          <w:szCs w:val="28"/>
          <w:lang w:val="uk-UA"/>
        </w:rPr>
        <w:t xml:space="preserve">Відомо, що у відповідь на пошкодження різної природи (стрес, вагітність, порушення харчування) в організмі розвивається комплекс місцевих і системних захисних реакцій. </w:t>
      </w:r>
      <w:r w:rsidRPr="00BD3BB5">
        <w:rPr>
          <w:sz w:val="28"/>
          <w:szCs w:val="28"/>
          <w:lang w:val="uk-UA"/>
        </w:rPr>
        <w:t xml:space="preserve">Запалення як прояв місцевого пошкодження тканин, є основою неспецифічної компоненти системної імунної відповіді. </w:t>
      </w:r>
      <w:proofErr w:type="spellStart"/>
      <w:r>
        <w:rPr>
          <w:sz w:val="28"/>
          <w:szCs w:val="28"/>
        </w:rPr>
        <w:t>Комунікативна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взаємодія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імунної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нейроендокринної</w:t>
      </w:r>
      <w:proofErr w:type="spellEnd"/>
      <w:r>
        <w:rPr>
          <w:sz w:val="28"/>
          <w:szCs w:val="28"/>
        </w:rPr>
        <w:t xml:space="preserve"> систем </w:t>
      </w:r>
      <w:proofErr w:type="spellStart"/>
      <w:r>
        <w:rPr>
          <w:sz w:val="28"/>
          <w:szCs w:val="28"/>
        </w:rPr>
        <w:t>забезпечується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конкретними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сигнальними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механізмами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боку </w:t>
      </w:r>
      <w:proofErr w:type="spellStart"/>
      <w:r>
        <w:rPr>
          <w:sz w:val="28"/>
          <w:szCs w:val="28"/>
        </w:rPr>
        <w:t>імунної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афферентація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чином </w:t>
      </w:r>
      <w:proofErr w:type="spellStart"/>
      <w:r>
        <w:rPr>
          <w:sz w:val="28"/>
          <w:szCs w:val="28"/>
        </w:rPr>
        <w:t>цитокінами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прослідкувати</w:t>
      </w:r>
      <w:proofErr w:type="spellEnd"/>
      <w:r>
        <w:rPr>
          <w:sz w:val="28"/>
          <w:szCs w:val="28"/>
        </w:rPr>
        <w:t xml:space="preserve"> шлях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імунної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 [3, 86с]. </w:t>
      </w:r>
    </w:p>
    <w:p w:rsidR="0064446F" w:rsidRDefault="0064446F" w:rsidP="006444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446F">
        <w:rPr>
          <w:sz w:val="28"/>
          <w:szCs w:val="28"/>
          <w:lang w:val="uk-UA"/>
        </w:rPr>
        <w:t xml:space="preserve">В регуляції більшості біохімічних реакцій в нашому організмі роль </w:t>
      </w:r>
      <w:proofErr w:type="spellStart"/>
      <w:r w:rsidRPr="0064446F">
        <w:rPr>
          <w:sz w:val="28"/>
          <w:szCs w:val="28"/>
          <w:lang w:val="uk-UA"/>
        </w:rPr>
        <w:t>макро-</w:t>
      </w:r>
      <w:proofErr w:type="spellEnd"/>
      <w:r w:rsidRPr="0064446F">
        <w:rPr>
          <w:sz w:val="28"/>
          <w:szCs w:val="28"/>
          <w:lang w:val="uk-UA"/>
        </w:rPr>
        <w:t xml:space="preserve"> і мікроелементів можна порівняти з регуляторної роллю гормонів. а наслідки їх хронічного дефіциту – з важкими гормональними порушеннями. </w:t>
      </w:r>
      <w:r>
        <w:rPr>
          <w:sz w:val="28"/>
          <w:szCs w:val="28"/>
        </w:rPr>
        <w:t xml:space="preserve">Дисбаланс </w:t>
      </w:r>
      <w:proofErr w:type="spellStart"/>
      <w:r>
        <w:rPr>
          <w:sz w:val="28"/>
          <w:szCs w:val="28"/>
        </w:rPr>
        <w:t>виникає</w:t>
      </w:r>
      <w:proofErr w:type="spellEnd"/>
      <w:r>
        <w:rPr>
          <w:sz w:val="28"/>
          <w:szCs w:val="28"/>
        </w:rPr>
        <w:t xml:space="preserve"> як правило </w:t>
      </w:r>
      <w:proofErr w:type="spellStart"/>
      <w:r>
        <w:rPr>
          <w:sz w:val="28"/>
          <w:szCs w:val="28"/>
        </w:rPr>
        <w:t>внаслідок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незбалансованого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сприяє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патології</w:t>
      </w:r>
      <w:proofErr w:type="spellEnd"/>
      <w:r>
        <w:rPr>
          <w:sz w:val="28"/>
          <w:szCs w:val="28"/>
        </w:rPr>
        <w:t xml:space="preserve"> ПЗ [1,19с; 5,69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]. </w:t>
      </w:r>
    </w:p>
    <w:p w:rsidR="0064446F" w:rsidRPr="0064446F" w:rsidRDefault="0064446F" w:rsidP="0064446F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4446F">
        <w:rPr>
          <w:sz w:val="28"/>
          <w:szCs w:val="28"/>
          <w:lang w:val="uk-UA"/>
        </w:rPr>
        <w:t xml:space="preserve">Беручи до уваги розрізнені дані літератури, що присвячені вивченню проблем, пов'язаних з особливостями онтогенезу імунної системи і </w:t>
      </w:r>
      <w:r w:rsidRPr="0064446F">
        <w:rPr>
          <w:sz w:val="28"/>
          <w:szCs w:val="28"/>
          <w:lang w:val="uk-UA"/>
        </w:rPr>
        <w:lastRenderedPageBreak/>
        <w:t xml:space="preserve">спрямованістю імунних реакцій, що виникають на тлі патологічних змін протягом </w:t>
      </w:r>
      <w:proofErr w:type="spellStart"/>
      <w:r w:rsidRPr="0064446F">
        <w:rPr>
          <w:sz w:val="28"/>
          <w:szCs w:val="28"/>
          <w:lang w:val="uk-UA"/>
        </w:rPr>
        <w:t>перинатального</w:t>
      </w:r>
      <w:proofErr w:type="spellEnd"/>
      <w:r w:rsidRPr="0064446F">
        <w:rPr>
          <w:sz w:val="28"/>
          <w:szCs w:val="28"/>
          <w:lang w:val="uk-UA"/>
        </w:rPr>
        <w:t xml:space="preserve"> і раннього постнатального періодів розвитку організму є важливим з'ясування ролі імунної системи і дисбалансу </w:t>
      </w:r>
      <w:proofErr w:type="spellStart"/>
      <w:r w:rsidRPr="0064446F">
        <w:rPr>
          <w:sz w:val="28"/>
          <w:szCs w:val="28"/>
          <w:lang w:val="uk-UA"/>
        </w:rPr>
        <w:t>макро-</w:t>
      </w:r>
      <w:proofErr w:type="spellEnd"/>
      <w:r w:rsidRPr="0064446F">
        <w:rPr>
          <w:sz w:val="28"/>
          <w:szCs w:val="28"/>
          <w:lang w:val="uk-UA"/>
        </w:rPr>
        <w:t xml:space="preserve"> та мікроелементів в механізмах пошкодження структури і функції ПЗ. </w:t>
      </w:r>
    </w:p>
    <w:p w:rsidR="0064446F" w:rsidRPr="0064446F" w:rsidRDefault="0064446F" w:rsidP="0064446F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4446F">
        <w:rPr>
          <w:b/>
          <w:bCs/>
          <w:sz w:val="28"/>
          <w:szCs w:val="28"/>
          <w:lang w:val="uk-UA"/>
        </w:rPr>
        <w:t xml:space="preserve">Метою дослідження </w:t>
      </w:r>
      <w:r w:rsidRPr="0064446F">
        <w:rPr>
          <w:sz w:val="28"/>
          <w:szCs w:val="28"/>
          <w:lang w:val="uk-UA"/>
        </w:rPr>
        <w:t xml:space="preserve">було визначення особливостей </w:t>
      </w:r>
      <w:proofErr w:type="spellStart"/>
      <w:r w:rsidRPr="0064446F">
        <w:rPr>
          <w:sz w:val="28"/>
          <w:szCs w:val="28"/>
          <w:lang w:val="uk-UA"/>
        </w:rPr>
        <w:t>морфофункціонального</w:t>
      </w:r>
      <w:proofErr w:type="spellEnd"/>
      <w:r w:rsidRPr="0064446F">
        <w:rPr>
          <w:sz w:val="28"/>
          <w:szCs w:val="28"/>
          <w:lang w:val="uk-UA"/>
        </w:rPr>
        <w:t xml:space="preserve"> стану ПЗ, вмісту </w:t>
      </w:r>
      <w:proofErr w:type="spellStart"/>
      <w:r w:rsidRPr="0064446F">
        <w:rPr>
          <w:sz w:val="28"/>
          <w:szCs w:val="28"/>
          <w:lang w:val="uk-UA"/>
        </w:rPr>
        <w:t>цитокінів</w:t>
      </w:r>
      <w:proofErr w:type="spellEnd"/>
      <w:r w:rsidRPr="0064446F">
        <w:rPr>
          <w:sz w:val="28"/>
          <w:szCs w:val="28"/>
          <w:lang w:val="uk-UA"/>
        </w:rPr>
        <w:t xml:space="preserve"> ІЛ-12, </w:t>
      </w:r>
      <w:proofErr w:type="spellStart"/>
      <w:r w:rsidRPr="0064446F">
        <w:rPr>
          <w:sz w:val="28"/>
          <w:szCs w:val="28"/>
          <w:lang w:val="uk-UA"/>
        </w:rPr>
        <w:t>ІЛ</w:t>
      </w:r>
      <w:proofErr w:type="spellEnd"/>
      <w:r w:rsidRPr="0064446F">
        <w:rPr>
          <w:sz w:val="28"/>
          <w:szCs w:val="28"/>
          <w:lang w:val="uk-UA"/>
        </w:rPr>
        <w:t xml:space="preserve">-4 у сироватці крові та кальцію, магнію, цинку в </w:t>
      </w:r>
      <w:proofErr w:type="spellStart"/>
      <w:r w:rsidRPr="0064446F">
        <w:rPr>
          <w:sz w:val="28"/>
          <w:szCs w:val="28"/>
          <w:lang w:val="uk-UA"/>
        </w:rPr>
        <w:t>гомогенаті</w:t>
      </w:r>
      <w:proofErr w:type="spellEnd"/>
      <w:r w:rsidRPr="0064446F">
        <w:rPr>
          <w:sz w:val="28"/>
          <w:szCs w:val="28"/>
          <w:lang w:val="uk-UA"/>
        </w:rPr>
        <w:t xml:space="preserve"> тканини ПЗ щурів-матерів які протягом вагітності отримували </w:t>
      </w:r>
      <w:proofErr w:type="spellStart"/>
      <w:r w:rsidRPr="0064446F">
        <w:rPr>
          <w:sz w:val="28"/>
          <w:szCs w:val="28"/>
          <w:lang w:val="uk-UA"/>
        </w:rPr>
        <w:t>гіперкалорійну</w:t>
      </w:r>
      <w:proofErr w:type="spellEnd"/>
      <w:r w:rsidRPr="0064446F">
        <w:rPr>
          <w:sz w:val="28"/>
          <w:szCs w:val="28"/>
          <w:lang w:val="uk-UA"/>
        </w:rPr>
        <w:t xml:space="preserve"> дієту та у їх потомства. </w:t>
      </w:r>
    </w:p>
    <w:p w:rsidR="0064446F" w:rsidRDefault="0064446F" w:rsidP="0064446F">
      <w:pPr>
        <w:pStyle w:val="Default"/>
        <w:spacing w:line="360" w:lineRule="auto"/>
        <w:ind w:firstLine="708"/>
        <w:rPr>
          <w:sz w:val="28"/>
          <w:szCs w:val="28"/>
        </w:rPr>
      </w:pPr>
      <w:r w:rsidRPr="00BD3BB5">
        <w:rPr>
          <w:b/>
          <w:bCs/>
          <w:sz w:val="28"/>
          <w:szCs w:val="28"/>
          <w:lang w:val="uk-UA"/>
        </w:rPr>
        <w:t xml:space="preserve">Матеріали та методи дослідження. </w:t>
      </w:r>
      <w:r w:rsidRPr="00BD3BB5">
        <w:rPr>
          <w:sz w:val="28"/>
          <w:szCs w:val="28"/>
          <w:lang w:val="uk-UA"/>
        </w:rPr>
        <w:t xml:space="preserve">Об’єм досліджень включав експерименти на 20 нелінійних вагітних щурах (популяції </w:t>
      </w:r>
      <w:r>
        <w:rPr>
          <w:sz w:val="28"/>
          <w:szCs w:val="28"/>
        </w:rPr>
        <w:t>WAG</w:t>
      </w:r>
      <w:r w:rsidRPr="00BD3BB5">
        <w:rPr>
          <w:sz w:val="28"/>
          <w:szCs w:val="28"/>
          <w:lang w:val="uk-UA"/>
        </w:rPr>
        <w:t>/</w:t>
      </w:r>
      <w:r>
        <w:rPr>
          <w:sz w:val="28"/>
          <w:szCs w:val="28"/>
        </w:rPr>
        <w:t>G</w:t>
      </w:r>
      <w:r w:rsidRPr="00BD3BB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Sto</w:t>
      </w:r>
      <w:proofErr w:type="spellEnd"/>
      <w:r w:rsidRPr="00BD3BB5">
        <w:rPr>
          <w:sz w:val="28"/>
          <w:szCs w:val="28"/>
          <w:lang w:val="uk-UA"/>
        </w:rPr>
        <w:t xml:space="preserve">) та їх потомстві (чоловічої статі) (60 голів). </w:t>
      </w:r>
      <w:proofErr w:type="spellStart"/>
      <w:r>
        <w:rPr>
          <w:sz w:val="28"/>
          <w:szCs w:val="28"/>
        </w:rPr>
        <w:t>Морфологічне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sz w:val="28"/>
          <w:szCs w:val="28"/>
        </w:rPr>
        <w:t xml:space="preserve"> ПЗ включало в себе комплекс </w:t>
      </w:r>
      <w:proofErr w:type="spellStart"/>
      <w:r>
        <w:rPr>
          <w:sz w:val="28"/>
          <w:szCs w:val="28"/>
        </w:rPr>
        <w:t>гістологічних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морфометричних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гістохімічних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методів</w:t>
      </w:r>
      <w:proofErr w:type="spellEnd"/>
      <w:r>
        <w:rPr>
          <w:sz w:val="28"/>
          <w:szCs w:val="28"/>
        </w:rPr>
        <w:t xml:space="preserve"> [6,39с]. </w:t>
      </w:r>
    </w:p>
    <w:p w:rsidR="0064446F" w:rsidRDefault="0064446F" w:rsidP="0064446F">
      <w:pPr>
        <w:pStyle w:val="Default"/>
        <w:spacing w:line="360" w:lineRule="auto"/>
        <w:ind w:firstLine="708"/>
        <w:rPr>
          <w:color w:val="auto"/>
          <w:sz w:val="28"/>
          <w:szCs w:val="28"/>
        </w:rPr>
      </w:pPr>
      <w:r w:rsidRPr="0064446F">
        <w:rPr>
          <w:sz w:val="28"/>
          <w:szCs w:val="28"/>
          <w:lang w:val="uk-UA"/>
        </w:rPr>
        <w:t xml:space="preserve">Оцінка імунологічних порушень, пов'язаних із незбалансованим харчуванням проводилася на підставі вивчення в сироватці крові рівнів інтерлейкіну-4 (ІЛ-4) та інтерлейкіну-12 (ІЛ-12) </w:t>
      </w:r>
      <w:proofErr w:type="spellStart"/>
      <w:r w:rsidRPr="0064446F">
        <w:rPr>
          <w:sz w:val="28"/>
          <w:szCs w:val="28"/>
          <w:lang w:val="uk-UA"/>
        </w:rPr>
        <w:t>імуноферментним</w:t>
      </w:r>
      <w:proofErr w:type="spellEnd"/>
      <w:r w:rsidRPr="0064446F">
        <w:rPr>
          <w:sz w:val="28"/>
          <w:szCs w:val="28"/>
          <w:lang w:val="uk-UA"/>
        </w:rPr>
        <w:t xml:space="preserve"> методом за </w:t>
      </w:r>
      <w:proofErr w:type="spellStart"/>
      <w:r>
        <w:rPr>
          <w:color w:val="auto"/>
          <w:sz w:val="28"/>
          <w:szCs w:val="28"/>
        </w:rPr>
        <w:t>допомогою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наборів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реактивів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фірми</w:t>
      </w:r>
      <w:proofErr w:type="spellEnd"/>
      <w:r>
        <w:rPr>
          <w:color w:val="auto"/>
          <w:sz w:val="28"/>
          <w:szCs w:val="28"/>
        </w:rPr>
        <w:t xml:space="preserve"> «Вектор БЕСТ» (</w:t>
      </w:r>
      <w:proofErr w:type="spellStart"/>
      <w:r>
        <w:rPr>
          <w:color w:val="auto"/>
          <w:sz w:val="28"/>
          <w:szCs w:val="28"/>
        </w:rPr>
        <w:t>Новосибірськ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Російська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Федерація</w:t>
      </w:r>
      <w:proofErr w:type="spellEnd"/>
      <w:r>
        <w:rPr>
          <w:color w:val="auto"/>
          <w:sz w:val="28"/>
          <w:szCs w:val="28"/>
        </w:rPr>
        <w:t xml:space="preserve">) та </w:t>
      </w:r>
      <w:proofErr w:type="spellStart"/>
      <w:r>
        <w:rPr>
          <w:color w:val="auto"/>
          <w:sz w:val="28"/>
          <w:szCs w:val="28"/>
        </w:rPr>
        <w:t>наборів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реактивів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фірми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Elisa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Kit</w:t>
      </w:r>
      <w:proofErr w:type="spellEnd"/>
      <w:r>
        <w:rPr>
          <w:color w:val="auto"/>
          <w:sz w:val="28"/>
          <w:szCs w:val="28"/>
        </w:rPr>
        <w:t xml:space="preserve">) </w:t>
      </w:r>
      <w:proofErr w:type="spellStart"/>
      <w:r>
        <w:rPr>
          <w:color w:val="auto"/>
          <w:sz w:val="28"/>
          <w:szCs w:val="28"/>
        </w:rPr>
        <w:t>Ani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Biotech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Oy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Orgenium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laboratories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Business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Unit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Finland</w:t>
      </w:r>
      <w:proofErr w:type="spellEnd"/>
      <w:r>
        <w:rPr>
          <w:color w:val="auto"/>
          <w:sz w:val="28"/>
          <w:szCs w:val="28"/>
        </w:rPr>
        <w:t xml:space="preserve">) </w:t>
      </w:r>
      <w:proofErr w:type="spellStart"/>
      <w:r>
        <w:rPr>
          <w:color w:val="auto"/>
          <w:sz w:val="28"/>
          <w:szCs w:val="28"/>
        </w:rPr>
        <w:t>відповідно</w:t>
      </w:r>
      <w:proofErr w:type="spellEnd"/>
      <w:r>
        <w:rPr>
          <w:color w:val="auto"/>
          <w:sz w:val="28"/>
          <w:szCs w:val="28"/>
        </w:rPr>
        <w:t xml:space="preserve"> за </w:t>
      </w:r>
      <w:proofErr w:type="spellStart"/>
      <w:r>
        <w:rPr>
          <w:color w:val="auto"/>
          <w:sz w:val="28"/>
          <w:szCs w:val="28"/>
        </w:rPr>
        <w:t>прикладеними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інструкціями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64446F" w:rsidRDefault="0064446F" w:rsidP="0064446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</w:t>
      </w:r>
      <w:proofErr w:type="spellStart"/>
      <w:r>
        <w:rPr>
          <w:color w:val="auto"/>
          <w:sz w:val="28"/>
          <w:szCs w:val="28"/>
        </w:rPr>
        <w:t>оцінки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статистичної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значущості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відмінностей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між</w:t>
      </w:r>
      <w:proofErr w:type="spellEnd"/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експериментальними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групами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використовувався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однофакторний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дисперсійний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аналіз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64446F" w:rsidRDefault="0064446F" w:rsidP="0064446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Експериментальних</w:t>
      </w:r>
      <w:proofErr w:type="spellEnd"/>
      <w:r>
        <w:rPr>
          <w:color w:val="auto"/>
          <w:sz w:val="28"/>
          <w:szCs w:val="28"/>
        </w:rPr>
        <w:t xml:space="preserve"> самок </w:t>
      </w:r>
      <w:proofErr w:type="spellStart"/>
      <w:r>
        <w:rPr>
          <w:color w:val="auto"/>
          <w:sz w:val="28"/>
          <w:szCs w:val="28"/>
        </w:rPr>
        <w:t>поділено</w:t>
      </w:r>
      <w:proofErr w:type="spellEnd"/>
      <w:r>
        <w:rPr>
          <w:color w:val="auto"/>
          <w:sz w:val="28"/>
          <w:szCs w:val="28"/>
        </w:rPr>
        <w:t xml:space="preserve"> на 2 </w:t>
      </w:r>
      <w:proofErr w:type="spellStart"/>
      <w:r>
        <w:rPr>
          <w:color w:val="auto"/>
          <w:sz w:val="28"/>
          <w:szCs w:val="28"/>
        </w:rPr>
        <w:t>групи</w:t>
      </w:r>
      <w:proofErr w:type="spellEnd"/>
      <w:r>
        <w:rPr>
          <w:color w:val="auto"/>
          <w:sz w:val="28"/>
          <w:szCs w:val="28"/>
        </w:rPr>
        <w:t xml:space="preserve">. На </w:t>
      </w:r>
      <w:proofErr w:type="spellStart"/>
      <w:r>
        <w:rPr>
          <w:color w:val="auto"/>
          <w:sz w:val="28"/>
          <w:szCs w:val="28"/>
        </w:rPr>
        <w:t>вагітних</w:t>
      </w:r>
      <w:proofErr w:type="spellEnd"/>
      <w:r>
        <w:rPr>
          <w:color w:val="auto"/>
          <w:sz w:val="28"/>
          <w:szCs w:val="28"/>
        </w:rPr>
        <w:t xml:space="preserve"> щурах 1-ї </w:t>
      </w:r>
      <w:proofErr w:type="spellStart"/>
      <w:r>
        <w:rPr>
          <w:color w:val="auto"/>
          <w:sz w:val="28"/>
          <w:szCs w:val="28"/>
        </w:rPr>
        <w:t>групи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здійснено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ал</w:t>
      </w:r>
      <w:proofErr w:type="gramEnd"/>
      <w:r>
        <w:rPr>
          <w:color w:val="auto"/>
          <w:sz w:val="28"/>
          <w:szCs w:val="28"/>
        </w:rPr>
        <w:t>іментарний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експеримент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Згідно</w:t>
      </w:r>
      <w:proofErr w:type="spellEnd"/>
      <w:r>
        <w:rPr>
          <w:color w:val="auto"/>
          <w:sz w:val="28"/>
          <w:szCs w:val="28"/>
        </w:rPr>
        <w:t xml:space="preserve"> способу </w:t>
      </w:r>
      <w:proofErr w:type="spellStart"/>
      <w:r>
        <w:rPr>
          <w:color w:val="auto"/>
          <w:sz w:val="28"/>
          <w:szCs w:val="28"/>
        </w:rPr>
        <w:t>від</w:t>
      </w:r>
      <w:proofErr w:type="spellEnd"/>
      <w:r>
        <w:rPr>
          <w:color w:val="auto"/>
          <w:sz w:val="28"/>
          <w:szCs w:val="28"/>
        </w:rPr>
        <w:t xml:space="preserve"> початку </w:t>
      </w:r>
      <w:proofErr w:type="spellStart"/>
      <w:r>
        <w:rPr>
          <w:color w:val="auto"/>
          <w:sz w:val="28"/>
          <w:szCs w:val="28"/>
        </w:rPr>
        <w:t>експерименту</w:t>
      </w:r>
      <w:proofErr w:type="spellEnd"/>
      <w:r>
        <w:rPr>
          <w:color w:val="auto"/>
          <w:sz w:val="28"/>
          <w:szCs w:val="28"/>
        </w:rPr>
        <w:t xml:space="preserve"> щур-самки в </w:t>
      </w:r>
      <w:proofErr w:type="spellStart"/>
      <w:r>
        <w:rPr>
          <w:color w:val="auto"/>
          <w:sz w:val="28"/>
          <w:szCs w:val="28"/>
        </w:rPr>
        <w:t>раціоні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харчування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отримували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незбалансовану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дієту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серед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аліментарних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факторів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якої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базовими</w:t>
      </w:r>
      <w:proofErr w:type="spellEnd"/>
      <w:r>
        <w:rPr>
          <w:color w:val="auto"/>
          <w:sz w:val="28"/>
          <w:szCs w:val="28"/>
        </w:rPr>
        <w:t xml:space="preserve"> є </w:t>
      </w:r>
      <w:proofErr w:type="spellStart"/>
      <w:r>
        <w:rPr>
          <w:color w:val="auto"/>
          <w:sz w:val="28"/>
          <w:szCs w:val="28"/>
        </w:rPr>
        <w:t>вуглеводне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жирове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навантаження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які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>ідвищують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загальний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калораж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раціону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майже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втричі</w:t>
      </w:r>
      <w:proofErr w:type="spellEnd"/>
      <w:r>
        <w:rPr>
          <w:color w:val="auto"/>
          <w:sz w:val="28"/>
          <w:szCs w:val="28"/>
        </w:rPr>
        <w:t xml:space="preserve">. Таким чином один щур за </w:t>
      </w:r>
      <w:proofErr w:type="spellStart"/>
      <w:r>
        <w:rPr>
          <w:color w:val="auto"/>
          <w:sz w:val="28"/>
          <w:szCs w:val="28"/>
        </w:rPr>
        <w:t>добу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отримував</w:t>
      </w:r>
      <w:proofErr w:type="spellEnd"/>
      <w:r>
        <w:rPr>
          <w:color w:val="auto"/>
          <w:sz w:val="28"/>
          <w:szCs w:val="28"/>
        </w:rPr>
        <w:t xml:space="preserve">: </w:t>
      </w:r>
      <w:proofErr w:type="spellStart"/>
      <w:r>
        <w:rPr>
          <w:color w:val="auto"/>
          <w:sz w:val="28"/>
          <w:szCs w:val="28"/>
        </w:rPr>
        <w:t>білків</w:t>
      </w:r>
      <w:proofErr w:type="spellEnd"/>
      <w:r>
        <w:rPr>
          <w:color w:val="auto"/>
          <w:sz w:val="28"/>
          <w:szCs w:val="28"/>
        </w:rPr>
        <w:t xml:space="preserve"> 9,11 г; </w:t>
      </w:r>
      <w:proofErr w:type="spellStart"/>
      <w:r>
        <w:rPr>
          <w:color w:val="auto"/>
          <w:sz w:val="28"/>
          <w:szCs w:val="28"/>
        </w:rPr>
        <w:t>жирів</w:t>
      </w:r>
      <w:proofErr w:type="spellEnd"/>
      <w:r>
        <w:rPr>
          <w:color w:val="auto"/>
          <w:sz w:val="28"/>
          <w:szCs w:val="28"/>
        </w:rPr>
        <w:t xml:space="preserve"> 8,57 г; </w:t>
      </w:r>
      <w:proofErr w:type="spellStart"/>
      <w:r>
        <w:rPr>
          <w:color w:val="auto"/>
          <w:sz w:val="28"/>
          <w:szCs w:val="28"/>
        </w:rPr>
        <w:t>вуглеводів</w:t>
      </w:r>
      <w:proofErr w:type="spellEnd"/>
      <w:r>
        <w:rPr>
          <w:color w:val="auto"/>
          <w:sz w:val="28"/>
          <w:szCs w:val="28"/>
        </w:rPr>
        <w:t xml:space="preserve"> 50,6 г. </w:t>
      </w:r>
      <w:proofErr w:type="spellStart"/>
      <w:r>
        <w:rPr>
          <w:color w:val="auto"/>
          <w:sz w:val="28"/>
          <w:szCs w:val="28"/>
        </w:rPr>
        <w:t>Поживна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цінність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раціону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складала</w:t>
      </w:r>
      <w:proofErr w:type="spellEnd"/>
      <w:r>
        <w:rPr>
          <w:color w:val="auto"/>
          <w:sz w:val="28"/>
          <w:szCs w:val="28"/>
        </w:rPr>
        <w:t xml:space="preserve"> 300,4 ккал на одного </w:t>
      </w:r>
      <w:r>
        <w:rPr>
          <w:color w:val="auto"/>
          <w:sz w:val="28"/>
          <w:szCs w:val="28"/>
        </w:rPr>
        <w:lastRenderedPageBreak/>
        <w:t xml:space="preserve">щура на </w:t>
      </w:r>
      <w:proofErr w:type="spellStart"/>
      <w:r>
        <w:rPr>
          <w:color w:val="auto"/>
          <w:sz w:val="28"/>
          <w:szCs w:val="28"/>
        </w:rPr>
        <w:t>добу</w:t>
      </w:r>
      <w:proofErr w:type="spellEnd"/>
      <w:r>
        <w:rPr>
          <w:color w:val="auto"/>
          <w:sz w:val="28"/>
          <w:szCs w:val="28"/>
        </w:rPr>
        <w:t xml:space="preserve"> [7, 3с]. </w:t>
      </w:r>
      <w:proofErr w:type="spellStart"/>
      <w:r>
        <w:rPr>
          <w:color w:val="auto"/>
          <w:sz w:val="28"/>
          <w:szCs w:val="28"/>
        </w:rPr>
        <w:t>Контрольна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група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тварин</w:t>
      </w:r>
      <w:proofErr w:type="spellEnd"/>
      <w:r>
        <w:rPr>
          <w:color w:val="auto"/>
          <w:sz w:val="28"/>
          <w:szCs w:val="28"/>
        </w:rPr>
        <w:t xml:space="preserve"> (2 </w:t>
      </w:r>
      <w:proofErr w:type="spellStart"/>
      <w:r>
        <w:rPr>
          <w:color w:val="auto"/>
          <w:sz w:val="28"/>
          <w:szCs w:val="28"/>
        </w:rPr>
        <w:t>група</w:t>
      </w:r>
      <w:proofErr w:type="spellEnd"/>
      <w:r>
        <w:rPr>
          <w:color w:val="auto"/>
          <w:sz w:val="28"/>
          <w:szCs w:val="28"/>
        </w:rPr>
        <w:t xml:space="preserve"> – </w:t>
      </w:r>
      <w:proofErr w:type="spellStart"/>
      <w:r>
        <w:rPr>
          <w:color w:val="auto"/>
          <w:sz w:val="28"/>
          <w:szCs w:val="28"/>
        </w:rPr>
        <w:t>група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порівняння</w:t>
      </w:r>
      <w:proofErr w:type="spellEnd"/>
      <w:r>
        <w:rPr>
          <w:color w:val="auto"/>
          <w:sz w:val="28"/>
          <w:szCs w:val="28"/>
        </w:rPr>
        <w:t xml:space="preserve">) </w:t>
      </w:r>
      <w:proofErr w:type="spellStart"/>
      <w:r>
        <w:rPr>
          <w:color w:val="auto"/>
          <w:sz w:val="28"/>
          <w:szCs w:val="28"/>
        </w:rPr>
        <w:t>протягом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експерименту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отримала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фізіологічно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збалансоване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харчування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білків</w:t>
      </w:r>
      <w:proofErr w:type="spellEnd"/>
      <w:r>
        <w:rPr>
          <w:color w:val="auto"/>
          <w:sz w:val="28"/>
          <w:szCs w:val="28"/>
        </w:rPr>
        <w:t xml:space="preserve"> 4,13 г; </w:t>
      </w:r>
      <w:proofErr w:type="spellStart"/>
      <w:r>
        <w:rPr>
          <w:color w:val="auto"/>
          <w:sz w:val="28"/>
          <w:szCs w:val="28"/>
        </w:rPr>
        <w:t>жирів</w:t>
      </w:r>
      <w:proofErr w:type="spellEnd"/>
      <w:r>
        <w:rPr>
          <w:color w:val="auto"/>
          <w:sz w:val="28"/>
          <w:szCs w:val="28"/>
        </w:rPr>
        <w:t xml:space="preserve"> 2,4 г; </w:t>
      </w:r>
      <w:proofErr w:type="spellStart"/>
      <w:r>
        <w:rPr>
          <w:color w:val="auto"/>
          <w:sz w:val="28"/>
          <w:szCs w:val="28"/>
        </w:rPr>
        <w:t>вуглеводів</w:t>
      </w:r>
      <w:proofErr w:type="spellEnd"/>
      <w:r>
        <w:rPr>
          <w:color w:val="auto"/>
          <w:sz w:val="28"/>
          <w:szCs w:val="28"/>
        </w:rPr>
        <w:t xml:space="preserve"> 17,6 г; 104,5 ккал на одного щура на </w:t>
      </w:r>
      <w:proofErr w:type="spellStart"/>
      <w:r>
        <w:rPr>
          <w:color w:val="auto"/>
          <w:sz w:val="28"/>
          <w:szCs w:val="28"/>
        </w:rPr>
        <w:t>добу</w:t>
      </w:r>
      <w:proofErr w:type="spellEnd"/>
      <w:r>
        <w:rPr>
          <w:color w:val="auto"/>
          <w:sz w:val="28"/>
          <w:szCs w:val="28"/>
        </w:rPr>
        <w:t xml:space="preserve">), </w:t>
      </w:r>
      <w:proofErr w:type="spellStart"/>
      <w:r>
        <w:rPr>
          <w:color w:val="auto"/>
          <w:sz w:val="28"/>
          <w:szCs w:val="28"/>
        </w:rPr>
        <w:t>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відповідає</w:t>
      </w:r>
      <w:proofErr w:type="spellEnd"/>
      <w:r>
        <w:rPr>
          <w:color w:val="auto"/>
          <w:sz w:val="28"/>
          <w:szCs w:val="28"/>
        </w:rPr>
        <w:t xml:space="preserve"> нормативу, </w:t>
      </w:r>
      <w:proofErr w:type="spellStart"/>
      <w:r>
        <w:rPr>
          <w:color w:val="auto"/>
          <w:sz w:val="28"/>
          <w:szCs w:val="28"/>
        </w:rPr>
        <w:t>встановленому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для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тварин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Було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досл</w:t>
      </w:r>
      <w:proofErr w:type="gramEnd"/>
      <w:r>
        <w:rPr>
          <w:color w:val="auto"/>
          <w:sz w:val="28"/>
          <w:szCs w:val="28"/>
        </w:rPr>
        <w:t>іджено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вагітних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щурів</w:t>
      </w:r>
      <w:proofErr w:type="spellEnd"/>
      <w:r>
        <w:rPr>
          <w:color w:val="auto"/>
          <w:sz w:val="28"/>
          <w:szCs w:val="28"/>
        </w:rPr>
        <w:t xml:space="preserve"> (гр. 1 та 2) і щурят </w:t>
      </w:r>
      <w:proofErr w:type="spellStart"/>
      <w:r>
        <w:rPr>
          <w:color w:val="auto"/>
          <w:sz w:val="28"/>
          <w:szCs w:val="28"/>
        </w:rPr>
        <w:t>народжених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цих</w:t>
      </w:r>
      <w:proofErr w:type="spellEnd"/>
      <w:r>
        <w:rPr>
          <w:color w:val="auto"/>
          <w:sz w:val="28"/>
          <w:szCs w:val="28"/>
        </w:rPr>
        <w:t xml:space="preserve"> самок у </w:t>
      </w:r>
      <w:proofErr w:type="spellStart"/>
      <w:r>
        <w:rPr>
          <w:color w:val="auto"/>
          <w:sz w:val="28"/>
          <w:szCs w:val="28"/>
        </w:rPr>
        <w:t>трьох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вікових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групах</w:t>
      </w:r>
      <w:proofErr w:type="spellEnd"/>
      <w:r>
        <w:rPr>
          <w:color w:val="auto"/>
          <w:sz w:val="28"/>
          <w:szCs w:val="28"/>
        </w:rPr>
        <w:t xml:space="preserve">: </w:t>
      </w:r>
      <w:proofErr w:type="spellStart"/>
      <w:r>
        <w:rPr>
          <w:color w:val="auto"/>
          <w:sz w:val="28"/>
          <w:szCs w:val="28"/>
        </w:rPr>
        <w:t>новонароджених</w:t>
      </w:r>
      <w:proofErr w:type="spellEnd"/>
      <w:r>
        <w:rPr>
          <w:color w:val="auto"/>
          <w:sz w:val="28"/>
          <w:szCs w:val="28"/>
        </w:rPr>
        <w:t xml:space="preserve"> (гр. 1.1 та 2.1), 1-місячних (гр. 1.2 та 2.2), 2-місячних (гр. 1.3 та 2.3). </w:t>
      </w:r>
      <w:proofErr w:type="spellStart"/>
      <w:r>
        <w:rPr>
          <w:color w:val="auto"/>
          <w:sz w:val="28"/>
          <w:szCs w:val="28"/>
        </w:rPr>
        <w:t>Всі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щури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які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були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народжені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матерів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вище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означених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груп</w:t>
      </w:r>
      <w:proofErr w:type="spellEnd"/>
      <w:r>
        <w:rPr>
          <w:color w:val="auto"/>
          <w:sz w:val="28"/>
          <w:szCs w:val="28"/>
        </w:rPr>
        <w:t xml:space="preserve"> (як </w:t>
      </w:r>
      <w:proofErr w:type="spellStart"/>
      <w:r>
        <w:rPr>
          <w:color w:val="auto"/>
          <w:sz w:val="28"/>
          <w:szCs w:val="28"/>
        </w:rPr>
        <w:t>основних</w:t>
      </w:r>
      <w:proofErr w:type="spellEnd"/>
      <w:r>
        <w:rPr>
          <w:color w:val="auto"/>
          <w:sz w:val="28"/>
          <w:szCs w:val="28"/>
        </w:rPr>
        <w:t xml:space="preserve">, так і </w:t>
      </w:r>
      <w:proofErr w:type="spellStart"/>
      <w:r>
        <w:rPr>
          <w:color w:val="auto"/>
          <w:sz w:val="28"/>
          <w:szCs w:val="28"/>
        </w:rPr>
        <w:t>контрольної</w:t>
      </w:r>
      <w:proofErr w:type="spellEnd"/>
      <w:r>
        <w:rPr>
          <w:color w:val="auto"/>
          <w:sz w:val="28"/>
          <w:szCs w:val="28"/>
        </w:rPr>
        <w:t xml:space="preserve">), </w:t>
      </w:r>
      <w:proofErr w:type="spellStart"/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>ісля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народження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отримували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фізіологічне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збалансоване</w:t>
      </w:r>
      <w:proofErr w:type="spellEnd"/>
      <w:r>
        <w:rPr>
          <w:color w:val="auto"/>
          <w:sz w:val="28"/>
          <w:szCs w:val="28"/>
        </w:rPr>
        <w:t xml:space="preserve">) </w:t>
      </w:r>
      <w:proofErr w:type="spellStart"/>
      <w:r>
        <w:rPr>
          <w:color w:val="auto"/>
          <w:sz w:val="28"/>
          <w:szCs w:val="28"/>
        </w:rPr>
        <w:t>харчування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Всі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процедури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тваринах</w:t>
      </w:r>
      <w:proofErr w:type="spellEnd"/>
      <w:r>
        <w:rPr>
          <w:color w:val="auto"/>
          <w:sz w:val="28"/>
          <w:szCs w:val="28"/>
        </w:rPr>
        <w:t xml:space="preserve">, а </w:t>
      </w:r>
      <w:proofErr w:type="spellStart"/>
      <w:r>
        <w:rPr>
          <w:color w:val="auto"/>
          <w:sz w:val="28"/>
          <w:szCs w:val="28"/>
        </w:rPr>
        <w:t>також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виведення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щурів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експерименту</w:t>
      </w:r>
      <w:proofErr w:type="spellEnd"/>
      <w:r>
        <w:rPr>
          <w:color w:val="auto"/>
          <w:sz w:val="28"/>
          <w:szCs w:val="28"/>
        </w:rPr>
        <w:t xml:space="preserve"> шляхом </w:t>
      </w:r>
      <w:proofErr w:type="spellStart"/>
      <w:r>
        <w:rPr>
          <w:color w:val="auto"/>
          <w:sz w:val="28"/>
          <w:szCs w:val="28"/>
        </w:rPr>
        <w:t>декапітації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проводилися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>ід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анестезією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використанням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тіопенталового</w:t>
      </w:r>
      <w:proofErr w:type="spellEnd"/>
      <w:r>
        <w:rPr>
          <w:color w:val="auto"/>
          <w:sz w:val="28"/>
          <w:szCs w:val="28"/>
        </w:rPr>
        <w:t xml:space="preserve"> наркозу (2% </w:t>
      </w:r>
      <w:proofErr w:type="spellStart"/>
      <w:r>
        <w:rPr>
          <w:color w:val="auto"/>
          <w:sz w:val="28"/>
          <w:szCs w:val="28"/>
        </w:rPr>
        <w:t>розчин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дозі</w:t>
      </w:r>
      <w:proofErr w:type="spellEnd"/>
      <w:r>
        <w:rPr>
          <w:color w:val="auto"/>
          <w:sz w:val="28"/>
          <w:szCs w:val="28"/>
        </w:rPr>
        <w:t xml:space="preserve"> 50 мг/кг ваги) </w:t>
      </w:r>
      <w:proofErr w:type="spellStart"/>
      <w:r>
        <w:rPr>
          <w:color w:val="auto"/>
          <w:sz w:val="28"/>
          <w:szCs w:val="28"/>
        </w:rPr>
        <w:t>відповідно</w:t>
      </w:r>
      <w:proofErr w:type="spellEnd"/>
      <w:r>
        <w:rPr>
          <w:color w:val="auto"/>
          <w:sz w:val="28"/>
          <w:szCs w:val="28"/>
        </w:rPr>
        <w:t xml:space="preserve"> до </w:t>
      </w:r>
      <w:proofErr w:type="spellStart"/>
      <w:r>
        <w:rPr>
          <w:color w:val="auto"/>
          <w:sz w:val="28"/>
          <w:szCs w:val="28"/>
        </w:rPr>
        <w:t>національних</w:t>
      </w:r>
      <w:proofErr w:type="spellEnd"/>
      <w:r>
        <w:rPr>
          <w:color w:val="auto"/>
          <w:sz w:val="28"/>
          <w:szCs w:val="28"/>
        </w:rPr>
        <w:t xml:space="preserve"> «</w:t>
      </w:r>
      <w:proofErr w:type="spellStart"/>
      <w:r>
        <w:rPr>
          <w:color w:val="auto"/>
          <w:sz w:val="28"/>
          <w:szCs w:val="28"/>
        </w:rPr>
        <w:t>Загальних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етичних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принципів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досліджень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тваринах</w:t>
      </w:r>
      <w:proofErr w:type="spellEnd"/>
      <w:r>
        <w:rPr>
          <w:color w:val="auto"/>
          <w:sz w:val="28"/>
          <w:szCs w:val="28"/>
        </w:rPr>
        <w:t>» (</w:t>
      </w:r>
      <w:proofErr w:type="spellStart"/>
      <w:r>
        <w:rPr>
          <w:color w:val="auto"/>
          <w:sz w:val="28"/>
          <w:szCs w:val="28"/>
        </w:rPr>
        <w:t>Україна</w:t>
      </w:r>
      <w:proofErr w:type="spellEnd"/>
      <w:r>
        <w:rPr>
          <w:color w:val="auto"/>
          <w:sz w:val="28"/>
          <w:szCs w:val="28"/>
        </w:rPr>
        <w:t xml:space="preserve">, 2001), </w:t>
      </w:r>
      <w:proofErr w:type="spellStart"/>
      <w:r>
        <w:rPr>
          <w:color w:val="auto"/>
          <w:sz w:val="28"/>
          <w:szCs w:val="28"/>
        </w:rPr>
        <w:t>які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узгоджуються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положеннями</w:t>
      </w:r>
      <w:proofErr w:type="spellEnd"/>
      <w:r>
        <w:rPr>
          <w:color w:val="auto"/>
          <w:sz w:val="28"/>
          <w:szCs w:val="28"/>
        </w:rPr>
        <w:t xml:space="preserve"> «</w:t>
      </w:r>
      <w:proofErr w:type="spellStart"/>
      <w:r>
        <w:rPr>
          <w:color w:val="auto"/>
          <w:sz w:val="28"/>
          <w:szCs w:val="28"/>
        </w:rPr>
        <w:t>Європейської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конвенції</w:t>
      </w:r>
      <w:proofErr w:type="spellEnd"/>
      <w:r>
        <w:rPr>
          <w:color w:val="auto"/>
          <w:sz w:val="28"/>
          <w:szCs w:val="28"/>
        </w:rPr>
        <w:t xml:space="preserve"> про </w:t>
      </w:r>
      <w:proofErr w:type="spellStart"/>
      <w:r>
        <w:rPr>
          <w:color w:val="auto"/>
          <w:sz w:val="28"/>
          <w:szCs w:val="28"/>
        </w:rPr>
        <w:t>захист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хребетних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тварин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використовуються</w:t>
      </w:r>
      <w:proofErr w:type="spellEnd"/>
      <w:r>
        <w:rPr>
          <w:color w:val="auto"/>
          <w:sz w:val="28"/>
          <w:szCs w:val="28"/>
        </w:rPr>
        <w:t xml:space="preserve"> для </w:t>
      </w:r>
      <w:proofErr w:type="spellStart"/>
      <w:r>
        <w:rPr>
          <w:color w:val="auto"/>
          <w:sz w:val="28"/>
          <w:szCs w:val="28"/>
        </w:rPr>
        <w:t>експериментальних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інших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наукових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цілей</w:t>
      </w:r>
      <w:proofErr w:type="spellEnd"/>
      <w:r>
        <w:rPr>
          <w:color w:val="auto"/>
          <w:sz w:val="28"/>
          <w:szCs w:val="28"/>
        </w:rPr>
        <w:t xml:space="preserve">» (Страсбург, 18.03.1986 р.), а </w:t>
      </w:r>
      <w:proofErr w:type="spellStart"/>
      <w:r>
        <w:rPr>
          <w:color w:val="auto"/>
          <w:sz w:val="28"/>
          <w:szCs w:val="28"/>
        </w:rPr>
        <w:t>також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Гельсінської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декларації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прийнятої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Генеральною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асамблеєю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Всесвітньої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медичної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асоціації</w:t>
      </w:r>
      <w:proofErr w:type="spellEnd"/>
      <w:r>
        <w:rPr>
          <w:color w:val="auto"/>
          <w:sz w:val="28"/>
          <w:szCs w:val="28"/>
        </w:rPr>
        <w:t xml:space="preserve"> (1964–2000), Статутом </w:t>
      </w:r>
      <w:proofErr w:type="spellStart"/>
      <w:r>
        <w:rPr>
          <w:color w:val="auto"/>
          <w:sz w:val="28"/>
          <w:szCs w:val="28"/>
        </w:rPr>
        <w:t>Української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асоціації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біоетики</w:t>
      </w:r>
      <w:proofErr w:type="spellEnd"/>
      <w:r>
        <w:rPr>
          <w:color w:val="auto"/>
          <w:sz w:val="28"/>
          <w:szCs w:val="28"/>
        </w:rPr>
        <w:t xml:space="preserve"> та нормами GLP (1992). </w:t>
      </w:r>
    </w:p>
    <w:p w:rsidR="0064446F" w:rsidRPr="0064446F" w:rsidRDefault="0064446F" w:rsidP="0064446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64446F">
        <w:rPr>
          <w:color w:val="auto"/>
          <w:sz w:val="28"/>
          <w:szCs w:val="28"/>
          <w:lang w:val="uk-UA"/>
        </w:rPr>
        <w:t xml:space="preserve">На відміну від досліджень, які проводилися раніше було проведено порівняльний аналіз особливостей </w:t>
      </w:r>
      <w:proofErr w:type="spellStart"/>
      <w:r w:rsidRPr="0064446F">
        <w:rPr>
          <w:color w:val="auto"/>
          <w:sz w:val="28"/>
          <w:szCs w:val="28"/>
          <w:lang w:val="uk-UA"/>
        </w:rPr>
        <w:t>морфофункціонального</w:t>
      </w:r>
      <w:proofErr w:type="spellEnd"/>
      <w:r w:rsidRPr="0064446F">
        <w:rPr>
          <w:color w:val="auto"/>
          <w:sz w:val="28"/>
          <w:szCs w:val="28"/>
          <w:lang w:val="uk-UA"/>
        </w:rPr>
        <w:t xml:space="preserve"> стану екзокринної та ендокринної частини ПЗ у щурів-матерів та їх потомства різного віку та з'ясовано участь імунних механізмів. </w:t>
      </w:r>
    </w:p>
    <w:p w:rsidR="0064446F" w:rsidRDefault="0064446F" w:rsidP="0064446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D3BB5">
        <w:rPr>
          <w:b/>
          <w:bCs/>
          <w:color w:val="auto"/>
          <w:sz w:val="28"/>
          <w:szCs w:val="28"/>
          <w:lang w:val="uk-UA"/>
        </w:rPr>
        <w:t xml:space="preserve">Результати дослідження. </w:t>
      </w:r>
      <w:r w:rsidRPr="00BD3BB5">
        <w:rPr>
          <w:color w:val="auto"/>
          <w:sz w:val="28"/>
          <w:szCs w:val="28"/>
          <w:lang w:val="uk-UA"/>
        </w:rPr>
        <w:t xml:space="preserve">За результатами морфологічного дослідження у 100% вагітних щурів 1 гр. виявлені набряк сполучної тканини, у 40% тварин </w:t>
      </w:r>
      <w:proofErr w:type="spellStart"/>
      <w:r w:rsidRPr="00BD3BB5">
        <w:rPr>
          <w:color w:val="auto"/>
          <w:sz w:val="28"/>
          <w:szCs w:val="28"/>
          <w:lang w:val="uk-UA"/>
        </w:rPr>
        <w:t>внутрішньочасточковий</w:t>
      </w:r>
      <w:proofErr w:type="spellEnd"/>
      <w:r w:rsidRPr="00BD3BB5">
        <w:rPr>
          <w:color w:val="auto"/>
          <w:sz w:val="28"/>
          <w:szCs w:val="28"/>
          <w:lang w:val="uk-UA"/>
        </w:rPr>
        <w:t xml:space="preserve"> та </w:t>
      </w:r>
      <w:proofErr w:type="spellStart"/>
      <w:r w:rsidRPr="00BD3BB5">
        <w:rPr>
          <w:color w:val="auto"/>
          <w:sz w:val="28"/>
          <w:szCs w:val="28"/>
          <w:lang w:val="uk-UA"/>
        </w:rPr>
        <w:t>міжчасточковий</w:t>
      </w:r>
      <w:proofErr w:type="spellEnd"/>
      <w:r w:rsidRPr="00BD3BB5">
        <w:rPr>
          <w:color w:val="auto"/>
          <w:sz w:val="28"/>
          <w:szCs w:val="28"/>
          <w:lang w:val="uk-UA"/>
        </w:rPr>
        <w:t xml:space="preserve"> склероз і </w:t>
      </w:r>
      <w:proofErr w:type="spellStart"/>
      <w:r w:rsidRPr="00BD3BB5">
        <w:rPr>
          <w:color w:val="auto"/>
          <w:sz w:val="28"/>
          <w:szCs w:val="28"/>
          <w:lang w:val="uk-UA"/>
        </w:rPr>
        <w:t>ліпоматоз</w:t>
      </w:r>
      <w:proofErr w:type="spellEnd"/>
      <w:r w:rsidRPr="00BD3BB5">
        <w:rPr>
          <w:color w:val="auto"/>
          <w:sz w:val="28"/>
          <w:szCs w:val="28"/>
          <w:lang w:val="uk-UA"/>
        </w:rPr>
        <w:t xml:space="preserve">, у 100% помірне повнокров'я капілярів, у 100% дистрофічні зміни та ектазія частини </w:t>
      </w:r>
      <w:proofErr w:type="spellStart"/>
      <w:r w:rsidRPr="00BD3BB5">
        <w:rPr>
          <w:color w:val="auto"/>
          <w:sz w:val="28"/>
          <w:szCs w:val="28"/>
          <w:lang w:val="uk-UA"/>
        </w:rPr>
        <w:t>внутрішньо-</w:t>
      </w:r>
      <w:proofErr w:type="spellEnd"/>
      <w:r w:rsidRPr="00BD3BB5">
        <w:rPr>
          <w:color w:val="auto"/>
          <w:sz w:val="28"/>
          <w:szCs w:val="28"/>
          <w:lang w:val="uk-UA"/>
        </w:rPr>
        <w:t xml:space="preserve"> та </w:t>
      </w:r>
      <w:proofErr w:type="spellStart"/>
      <w:r w:rsidRPr="00BD3BB5">
        <w:rPr>
          <w:color w:val="auto"/>
          <w:sz w:val="28"/>
          <w:szCs w:val="28"/>
          <w:lang w:val="uk-UA"/>
        </w:rPr>
        <w:t>міжчасточкових</w:t>
      </w:r>
      <w:proofErr w:type="spellEnd"/>
      <w:r w:rsidRPr="00BD3BB5">
        <w:rPr>
          <w:color w:val="auto"/>
          <w:sz w:val="28"/>
          <w:szCs w:val="28"/>
          <w:lang w:val="uk-UA"/>
        </w:rPr>
        <w:t xml:space="preserve"> вивідних протоків, у 100% щурів дистрофічні зміни в більшій частині </w:t>
      </w:r>
      <w:proofErr w:type="spellStart"/>
      <w:r w:rsidRPr="00BD3BB5">
        <w:rPr>
          <w:color w:val="auto"/>
          <w:sz w:val="28"/>
          <w:szCs w:val="28"/>
          <w:lang w:val="uk-UA"/>
        </w:rPr>
        <w:t>екзокриноцитів</w:t>
      </w:r>
      <w:proofErr w:type="spellEnd"/>
      <w:r w:rsidRPr="00BD3BB5">
        <w:rPr>
          <w:color w:val="auto"/>
          <w:sz w:val="28"/>
          <w:szCs w:val="28"/>
          <w:lang w:val="uk-UA"/>
        </w:rPr>
        <w:t xml:space="preserve"> та </w:t>
      </w:r>
      <w:proofErr w:type="spellStart"/>
      <w:r w:rsidRPr="00BD3BB5">
        <w:rPr>
          <w:color w:val="auto"/>
          <w:sz w:val="28"/>
          <w:szCs w:val="28"/>
          <w:lang w:val="uk-UA"/>
        </w:rPr>
        <w:t>ендокриноцитів</w:t>
      </w:r>
      <w:proofErr w:type="spellEnd"/>
      <w:r w:rsidRPr="00BD3BB5">
        <w:rPr>
          <w:color w:val="auto"/>
          <w:sz w:val="28"/>
          <w:szCs w:val="28"/>
          <w:lang w:val="uk-UA"/>
        </w:rPr>
        <w:t xml:space="preserve">, у 100% новоутворення дрібних островків </w:t>
      </w:r>
      <w:proofErr w:type="spellStart"/>
      <w:r w:rsidRPr="00BD3BB5">
        <w:rPr>
          <w:color w:val="auto"/>
          <w:sz w:val="28"/>
          <w:szCs w:val="28"/>
          <w:lang w:val="uk-UA"/>
        </w:rPr>
        <w:t>Лангерганса</w:t>
      </w:r>
      <w:proofErr w:type="spellEnd"/>
      <w:r w:rsidRPr="00BD3BB5">
        <w:rPr>
          <w:color w:val="auto"/>
          <w:sz w:val="28"/>
          <w:szCs w:val="28"/>
          <w:lang w:val="uk-UA"/>
        </w:rPr>
        <w:t xml:space="preserve">. </w:t>
      </w:r>
      <w:proofErr w:type="gramStart"/>
      <w:r>
        <w:rPr>
          <w:color w:val="auto"/>
          <w:sz w:val="28"/>
          <w:szCs w:val="28"/>
        </w:rPr>
        <w:t xml:space="preserve">У потомства </w:t>
      </w:r>
      <w:proofErr w:type="spellStart"/>
      <w:r>
        <w:rPr>
          <w:color w:val="auto"/>
          <w:sz w:val="28"/>
          <w:szCs w:val="28"/>
        </w:rPr>
        <w:t>щурів</w:t>
      </w:r>
      <w:proofErr w:type="spellEnd"/>
      <w:r>
        <w:rPr>
          <w:color w:val="auto"/>
          <w:sz w:val="28"/>
          <w:szCs w:val="28"/>
        </w:rPr>
        <w:t xml:space="preserve"> 1-ї гр. </w:t>
      </w:r>
      <w:proofErr w:type="spellStart"/>
      <w:r>
        <w:rPr>
          <w:color w:val="auto"/>
          <w:sz w:val="28"/>
          <w:szCs w:val="28"/>
        </w:rPr>
        <w:t>зміни</w:t>
      </w:r>
      <w:proofErr w:type="spellEnd"/>
      <w:r>
        <w:rPr>
          <w:color w:val="auto"/>
          <w:sz w:val="28"/>
          <w:szCs w:val="28"/>
        </w:rPr>
        <w:t xml:space="preserve"> у ПЗ </w:t>
      </w:r>
      <w:proofErr w:type="spellStart"/>
      <w:r>
        <w:rPr>
          <w:color w:val="auto"/>
          <w:sz w:val="28"/>
          <w:szCs w:val="28"/>
        </w:rPr>
        <w:t>виникають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періоді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новонародженості</w:t>
      </w:r>
      <w:proofErr w:type="spellEnd"/>
      <w:r>
        <w:rPr>
          <w:color w:val="auto"/>
          <w:sz w:val="28"/>
          <w:szCs w:val="28"/>
        </w:rPr>
        <w:t xml:space="preserve">, і є </w:t>
      </w:r>
      <w:proofErr w:type="spellStart"/>
      <w:r>
        <w:rPr>
          <w:color w:val="auto"/>
          <w:sz w:val="28"/>
          <w:szCs w:val="28"/>
        </w:rPr>
        <w:lastRenderedPageBreak/>
        <w:t>аналогічні</w:t>
      </w:r>
      <w:proofErr w:type="spellEnd"/>
      <w:r>
        <w:rPr>
          <w:color w:val="auto"/>
          <w:sz w:val="28"/>
          <w:szCs w:val="28"/>
        </w:rPr>
        <w:t xml:space="preserve"> таким у </w:t>
      </w:r>
      <w:proofErr w:type="spellStart"/>
      <w:r>
        <w:rPr>
          <w:color w:val="auto"/>
          <w:sz w:val="28"/>
          <w:szCs w:val="28"/>
        </w:rPr>
        <w:t>їх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матерів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Також</w:t>
      </w:r>
      <w:proofErr w:type="spellEnd"/>
      <w:r>
        <w:rPr>
          <w:color w:val="auto"/>
          <w:sz w:val="28"/>
          <w:szCs w:val="28"/>
        </w:rPr>
        <w:t xml:space="preserve"> у щурят гр. 1.1 </w:t>
      </w:r>
      <w:proofErr w:type="spellStart"/>
      <w:r>
        <w:rPr>
          <w:color w:val="auto"/>
          <w:sz w:val="28"/>
          <w:szCs w:val="28"/>
        </w:rPr>
        <w:t>має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місце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незрілість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паренхіми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строми</w:t>
      </w:r>
      <w:proofErr w:type="spellEnd"/>
      <w:r>
        <w:rPr>
          <w:color w:val="auto"/>
          <w:sz w:val="28"/>
          <w:szCs w:val="28"/>
        </w:rPr>
        <w:t xml:space="preserve"> (у 100%), </w:t>
      </w:r>
      <w:proofErr w:type="spellStart"/>
      <w:r>
        <w:rPr>
          <w:color w:val="auto"/>
          <w:sz w:val="28"/>
          <w:szCs w:val="28"/>
        </w:rPr>
        <w:t>запальна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інфільтрація</w:t>
      </w:r>
      <w:proofErr w:type="spellEnd"/>
      <w:r>
        <w:rPr>
          <w:color w:val="auto"/>
          <w:sz w:val="28"/>
          <w:szCs w:val="28"/>
        </w:rPr>
        <w:t xml:space="preserve"> (у 40%), </w:t>
      </w:r>
      <w:proofErr w:type="spellStart"/>
      <w:r>
        <w:rPr>
          <w:color w:val="auto"/>
          <w:sz w:val="28"/>
          <w:szCs w:val="28"/>
        </w:rPr>
        <w:t>з’являються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ознаки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атрофії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паренхіми</w:t>
      </w:r>
      <w:proofErr w:type="spellEnd"/>
      <w:r>
        <w:rPr>
          <w:color w:val="auto"/>
          <w:sz w:val="28"/>
          <w:szCs w:val="28"/>
        </w:rPr>
        <w:t xml:space="preserve"> (у 90%).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Подібні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структурні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зміни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екзокринному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ендокринному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апараті</w:t>
      </w:r>
      <w:proofErr w:type="spellEnd"/>
      <w:r>
        <w:rPr>
          <w:color w:val="auto"/>
          <w:sz w:val="28"/>
          <w:szCs w:val="28"/>
        </w:rPr>
        <w:t xml:space="preserve"> ПЗ</w:t>
      </w:r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8"/>
          <w:szCs w:val="28"/>
        </w:rPr>
        <w:t>посилюються</w:t>
      </w:r>
      <w:proofErr w:type="spellEnd"/>
      <w:r>
        <w:rPr>
          <w:color w:val="auto"/>
          <w:sz w:val="28"/>
          <w:szCs w:val="28"/>
        </w:rPr>
        <w:t xml:space="preserve"> і </w:t>
      </w:r>
      <w:proofErr w:type="spellStart"/>
      <w:r>
        <w:rPr>
          <w:color w:val="auto"/>
          <w:sz w:val="28"/>
          <w:szCs w:val="28"/>
        </w:rPr>
        <w:t>зберігаються</w:t>
      </w:r>
      <w:proofErr w:type="spellEnd"/>
      <w:r>
        <w:rPr>
          <w:color w:val="auto"/>
          <w:sz w:val="28"/>
          <w:szCs w:val="28"/>
        </w:rPr>
        <w:t xml:space="preserve"> до 2-місячного </w:t>
      </w:r>
      <w:proofErr w:type="spellStart"/>
      <w:r>
        <w:rPr>
          <w:color w:val="auto"/>
          <w:sz w:val="28"/>
          <w:szCs w:val="28"/>
        </w:rPr>
        <w:t>віку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64446F" w:rsidRPr="00BD3BB5" w:rsidRDefault="0064446F" w:rsidP="0064446F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  <w:proofErr w:type="spellStart"/>
      <w:r>
        <w:rPr>
          <w:color w:val="auto"/>
          <w:sz w:val="28"/>
          <w:szCs w:val="28"/>
        </w:rPr>
        <w:t>Відомо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що</w:t>
      </w:r>
      <w:proofErr w:type="spellEnd"/>
      <w:r>
        <w:rPr>
          <w:color w:val="auto"/>
          <w:sz w:val="28"/>
          <w:szCs w:val="28"/>
        </w:rPr>
        <w:t xml:space="preserve"> ІЛ-4 </w:t>
      </w:r>
      <w:proofErr w:type="spellStart"/>
      <w:r>
        <w:rPr>
          <w:color w:val="auto"/>
          <w:sz w:val="28"/>
          <w:szCs w:val="28"/>
        </w:rPr>
        <w:t>індукує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прол</w:t>
      </w:r>
      <w:proofErr w:type="gramEnd"/>
      <w:r>
        <w:rPr>
          <w:color w:val="auto"/>
          <w:sz w:val="28"/>
          <w:szCs w:val="28"/>
        </w:rPr>
        <w:t>іферацію</w:t>
      </w:r>
      <w:proofErr w:type="spellEnd"/>
      <w:r>
        <w:rPr>
          <w:color w:val="auto"/>
          <w:sz w:val="28"/>
          <w:szCs w:val="28"/>
        </w:rPr>
        <w:t xml:space="preserve"> Т-</w:t>
      </w:r>
      <w:proofErr w:type="spellStart"/>
      <w:r>
        <w:rPr>
          <w:color w:val="auto"/>
          <w:sz w:val="28"/>
          <w:szCs w:val="28"/>
        </w:rPr>
        <w:t>хелперів</w:t>
      </w:r>
      <w:proofErr w:type="spellEnd"/>
      <w:r>
        <w:rPr>
          <w:color w:val="auto"/>
          <w:sz w:val="28"/>
          <w:szCs w:val="28"/>
        </w:rPr>
        <w:t xml:space="preserve"> 2-го типу (Th2), </w:t>
      </w:r>
      <w:proofErr w:type="spellStart"/>
      <w:r>
        <w:rPr>
          <w:color w:val="auto"/>
          <w:sz w:val="28"/>
          <w:szCs w:val="28"/>
        </w:rPr>
        <w:t>які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опосередковують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реакції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гуморальної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імунної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відповіді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стимуляція</w:t>
      </w:r>
      <w:proofErr w:type="spellEnd"/>
      <w:r>
        <w:rPr>
          <w:color w:val="auto"/>
          <w:sz w:val="28"/>
          <w:szCs w:val="28"/>
        </w:rPr>
        <w:t xml:space="preserve"> B-</w:t>
      </w:r>
      <w:proofErr w:type="spellStart"/>
      <w:r>
        <w:rPr>
          <w:color w:val="auto"/>
          <w:sz w:val="28"/>
          <w:szCs w:val="28"/>
        </w:rPr>
        <w:t>лімфоцитів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продукція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антитіл</w:t>
      </w:r>
      <w:proofErr w:type="spellEnd"/>
      <w:r>
        <w:rPr>
          <w:color w:val="auto"/>
          <w:sz w:val="28"/>
          <w:szCs w:val="28"/>
        </w:rPr>
        <w:t xml:space="preserve">), </w:t>
      </w:r>
      <w:proofErr w:type="spellStart"/>
      <w:r>
        <w:rPr>
          <w:color w:val="auto"/>
          <w:sz w:val="28"/>
          <w:szCs w:val="28"/>
        </w:rPr>
        <w:t>також</w:t>
      </w:r>
      <w:proofErr w:type="spellEnd"/>
      <w:r>
        <w:rPr>
          <w:color w:val="auto"/>
          <w:sz w:val="28"/>
          <w:szCs w:val="28"/>
        </w:rPr>
        <w:t xml:space="preserve"> є </w:t>
      </w:r>
      <w:proofErr w:type="spellStart"/>
      <w:r>
        <w:rPr>
          <w:color w:val="auto"/>
          <w:sz w:val="28"/>
          <w:szCs w:val="28"/>
        </w:rPr>
        <w:t>антагоністом</w:t>
      </w:r>
      <w:proofErr w:type="spellEnd"/>
      <w:r>
        <w:rPr>
          <w:color w:val="auto"/>
          <w:sz w:val="28"/>
          <w:szCs w:val="28"/>
        </w:rPr>
        <w:t xml:space="preserve"> гамма - </w:t>
      </w:r>
      <w:proofErr w:type="spellStart"/>
      <w:r>
        <w:rPr>
          <w:color w:val="auto"/>
          <w:sz w:val="28"/>
          <w:szCs w:val="28"/>
        </w:rPr>
        <w:t>інтерферону</w:t>
      </w:r>
      <w:proofErr w:type="spellEnd"/>
      <w:r>
        <w:rPr>
          <w:color w:val="auto"/>
          <w:sz w:val="28"/>
          <w:szCs w:val="28"/>
        </w:rPr>
        <w:t xml:space="preserve"> і таким чином </w:t>
      </w:r>
      <w:proofErr w:type="spellStart"/>
      <w:r>
        <w:rPr>
          <w:color w:val="auto"/>
          <w:sz w:val="28"/>
          <w:szCs w:val="28"/>
        </w:rPr>
        <w:t>пригнічує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проліферацію</w:t>
      </w:r>
      <w:proofErr w:type="spellEnd"/>
      <w:r>
        <w:rPr>
          <w:color w:val="auto"/>
          <w:sz w:val="28"/>
          <w:szCs w:val="28"/>
        </w:rPr>
        <w:t xml:space="preserve"> Т-</w:t>
      </w:r>
      <w:proofErr w:type="spellStart"/>
      <w:r>
        <w:rPr>
          <w:color w:val="auto"/>
          <w:sz w:val="28"/>
          <w:szCs w:val="28"/>
        </w:rPr>
        <w:t>хелперів</w:t>
      </w:r>
      <w:proofErr w:type="spellEnd"/>
      <w:r>
        <w:rPr>
          <w:color w:val="auto"/>
          <w:sz w:val="28"/>
          <w:szCs w:val="28"/>
        </w:rPr>
        <w:t xml:space="preserve"> 1-го (Th1) [3,121с], в той час як ІЛ-12 , </w:t>
      </w:r>
      <w:proofErr w:type="spellStart"/>
      <w:r>
        <w:rPr>
          <w:color w:val="auto"/>
          <w:sz w:val="28"/>
          <w:szCs w:val="28"/>
        </w:rPr>
        <w:t>підсилює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проліферацію</w:t>
      </w:r>
      <w:proofErr w:type="spellEnd"/>
      <w:r>
        <w:rPr>
          <w:color w:val="auto"/>
          <w:sz w:val="28"/>
          <w:szCs w:val="28"/>
        </w:rPr>
        <w:t xml:space="preserve"> і </w:t>
      </w:r>
      <w:proofErr w:type="spellStart"/>
      <w:r>
        <w:rPr>
          <w:color w:val="auto"/>
          <w:sz w:val="28"/>
          <w:szCs w:val="28"/>
        </w:rPr>
        <w:t>дифференціювання</w:t>
      </w:r>
      <w:proofErr w:type="spellEnd"/>
      <w:r>
        <w:rPr>
          <w:color w:val="auto"/>
          <w:sz w:val="28"/>
          <w:szCs w:val="28"/>
        </w:rPr>
        <w:t xml:space="preserve"> Т-</w:t>
      </w:r>
      <w:proofErr w:type="spellStart"/>
      <w:r>
        <w:rPr>
          <w:color w:val="auto"/>
          <w:sz w:val="28"/>
          <w:szCs w:val="28"/>
        </w:rPr>
        <w:t>хелперів</w:t>
      </w:r>
      <w:proofErr w:type="spellEnd"/>
      <w:r>
        <w:rPr>
          <w:color w:val="auto"/>
          <w:sz w:val="28"/>
          <w:szCs w:val="28"/>
        </w:rPr>
        <w:t xml:space="preserve"> 1-го (Th1) </w:t>
      </w:r>
      <w:proofErr w:type="spellStart"/>
      <w:r>
        <w:rPr>
          <w:color w:val="auto"/>
          <w:sz w:val="28"/>
          <w:szCs w:val="28"/>
        </w:rPr>
        <w:t>які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опосередковують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реакції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клітинного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імунітету</w:t>
      </w:r>
      <w:proofErr w:type="spellEnd"/>
      <w:r>
        <w:rPr>
          <w:color w:val="auto"/>
          <w:sz w:val="28"/>
          <w:szCs w:val="28"/>
        </w:rPr>
        <w:t xml:space="preserve"> і в той же час </w:t>
      </w:r>
      <w:proofErr w:type="spellStart"/>
      <w:r>
        <w:rPr>
          <w:color w:val="auto"/>
          <w:sz w:val="28"/>
          <w:szCs w:val="28"/>
        </w:rPr>
        <w:t>пригнічує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прол</w:t>
      </w:r>
      <w:proofErr w:type="gramEnd"/>
      <w:r>
        <w:rPr>
          <w:color w:val="auto"/>
          <w:sz w:val="28"/>
          <w:szCs w:val="28"/>
        </w:rPr>
        <w:t>іферацію</w:t>
      </w:r>
      <w:proofErr w:type="spellEnd"/>
      <w:r>
        <w:rPr>
          <w:color w:val="auto"/>
          <w:sz w:val="28"/>
          <w:szCs w:val="28"/>
        </w:rPr>
        <w:t xml:space="preserve"> Т-</w:t>
      </w:r>
      <w:proofErr w:type="spellStart"/>
      <w:r>
        <w:rPr>
          <w:color w:val="auto"/>
          <w:sz w:val="28"/>
          <w:szCs w:val="28"/>
        </w:rPr>
        <w:t>хелперів</w:t>
      </w:r>
      <w:proofErr w:type="spellEnd"/>
      <w:r>
        <w:rPr>
          <w:color w:val="auto"/>
          <w:sz w:val="28"/>
          <w:szCs w:val="28"/>
        </w:rPr>
        <w:t xml:space="preserve"> 2 -го типу (Th2) [3, 122с; 7, 312с; 8, 435 с]. </w:t>
      </w:r>
      <w:r>
        <w:rPr>
          <w:color w:val="auto"/>
          <w:sz w:val="28"/>
          <w:szCs w:val="28"/>
          <w:lang w:val="uk-UA"/>
        </w:rPr>
        <w:t xml:space="preserve"> </w:t>
      </w:r>
      <w:r w:rsidRPr="00BD3BB5">
        <w:rPr>
          <w:color w:val="auto"/>
          <w:sz w:val="28"/>
          <w:szCs w:val="28"/>
          <w:lang w:val="uk-UA"/>
        </w:rPr>
        <w:t xml:space="preserve">У щурів - матерів, які протягом вагітності отримували </w:t>
      </w:r>
      <w:proofErr w:type="spellStart"/>
      <w:r w:rsidRPr="00BD3BB5">
        <w:rPr>
          <w:color w:val="auto"/>
          <w:sz w:val="28"/>
          <w:szCs w:val="28"/>
          <w:lang w:val="uk-UA"/>
        </w:rPr>
        <w:t>гіперкалорійну</w:t>
      </w:r>
      <w:proofErr w:type="spellEnd"/>
      <w:r w:rsidRPr="00BD3BB5">
        <w:rPr>
          <w:color w:val="auto"/>
          <w:sz w:val="28"/>
          <w:szCs w:val="28"/>
          <w:lang w:val="uk-UA"/>
        </w:rPr>
        <w:t xml:space="preserve"> дієту середній рівень вмісту ІЛ-12, виявився збільшеним на 13,2% від </w:t>
      </w:r>
      <w:proofErr w:type="spellStart"/>
      <w:r w:rsidRPr="00BD3BB5">
        <w:rPr>
          <w:color w:val="auto"/>
          <w:sz w:val="28"/>
          <w:szCs w:val="28"/>
          <w:lang w:val="uk-UA"/>
        </w:rPr>
        <w:t>такового</w:t>
      </w:r>
      <w:proofErr w:type="spellEnd"/>
      <w:r w:rsidRPr="00BD3BB5">
        <w:rPr>
          <w:color w:val="auto"/>
          <w:sz w:val="28"/>
          <w:szCs w:val="28"/>
          <w:lang w:val="uk-UA"/>
        </w:rPr>
        <w:t xml:space="preserve"> в контролі (табл. 1), що достовірно відрізнялося від нормативного показника. </w:t>
      </w:r>
    </w:p>
    <w:p w:rsidR="0064446F" w:rsidRDefault="0064446F" w:rsidP="0064446F">
      <w:pPr>
        <w:pStyle w:val="Default"/>
        <w:spacing w:line="360" w:lineRule="auto"/>
        <w:jc w:val="right"/>
        <w:rPr>
          <w:b/>
          <w:color w:val="auto"/>
          <w:sz w:val="28"/>
          <w:szCs w:val="28"/>
          <w:lang w:val="uk-UA"/>
        </w:rPr>
      </w:pPr>
      <w:r w:rsidRPr="00BD3BB5">
        <w:rPr>
          <w:b/>
          <w:color w:val="auto"/>
          <w:sz w:val="28"/>
          <w:szCs w:val="28"/>
          <w:lang w:val="uk-UA"/>
        </w:rPr>
        <w:t xml:space="preserve">Таблиця 1 </w:t>
      </w:r>
    </w:p>
    <w:p w:rsidR="0064446F" w:rsidRPr="0064446F" w:rsidRDefault="0064446F" w:rsidP="0064446F">
      <w:pPr>
        <w:pStyle w:val="Default"/>
        <w:spacing w:line="360" w:lineRule="auto"/>
        <w:jc w:val="center"/>
        <w:rPr>
          <w:b/>
          <w:color w:val="auto"/>
          <w:sz w:val="28"/>
          <w:szCs w:val="28"/>
          <w:lang w:val="uk-UA"/>
        </w:rPr>
      </w:pPr>
      <w:r w:rsidRPr="0064446F">
        <w:rPr>
          <w:color w:val="auto"/>
          <w:sz w:val="28"/>
          <w:szCs w:val="28"/>
          <w:lang w:val="uk-UA"/>
        </w:rPr>
        <w:t xml:space="preserve">Вміст </w:t>
      </w:r>
      <w:proofErr w:type="spellStart"/>
      <w:r w:rsidRPr="0064446F">
        <w:rPr>
          <w:color w:val="auto"/>
          <w:sz w:val="28"/>
          <w:szCs w:val="28"/>
          <w:lang w:val="uk-UA"/>
        </w:rPr>
        <w:t>цитокінів</w:t>
      </w:r>
      <w:proofErr w:type="spellEnd"/>
      <w:r w:rsidRPr="0064446F">
        <w:rPr>
          <w:color w:val="auto"/>
          <w:sz w:val="28"/>
          <w:szCs w:val="28"/>
          <w:lang w:val="uk-UA"/>
        </w:rPr>
        <w:t xml:space="preserve"> у крові та </w:t>
      </w:r>
      <w:proofErr w:type="spellStart"/>
      <w:r w:rsidRPr="0064446F">
        <w:rPr>
          <w:color w:val="auto"/>
          <w:sz w:val="28"/>
          <w:szCs w:val="28"/>
          <w:lang w:val="uk-UA"/>
        </w:rPr>
        <w:t>макро-</w:t>
      </w:r>
      <w:proofErr w:type="spellEnd"/>
      <w:r w:rsidRPr="0064446F">
        <w:rPr>
          <w:color w:val="auto"/>
          <w:sz w:val="28"/>
          <w:szCs w:val="28"/>
          <w:lang w:val="uk-UA"/>
        </w:rPr>
        <w:t xml:space="preserve"> і мікроелементів в </w:t>
      </w:r>
      <w:proofErr w:type="spellStart"/>
      <w:r w:rsidRPr="0064446F">
        <w:rPr>
          <w:color w:val="auto"/>
          <w:sz w:val="28"/>
          <w:szCs w:val="28"/>
          <w:lang w:val="uk-UA"/>
        </w:rPr>
        <w:t>гомогенаті</w:t>
      </w:r>
      <w:proofErr w:type="spellEnd"/>
      <w:r w:rsidRPr="0064446F">
        <w:rPr>
          <w:color w:val="auto"/>
          <w:sz w:val="28"/>
          <w:szCs w:val="28"/>
          <w:lang w:val="uk-UA"/>
        </w:rPr>
        <w:t xml:space="preserve"> тканини ПЗ (М±</w:t>
      </w:r>
      <w:r>
        <w:rPr>
          <w:color w:val="auto"/>
          <w:sz w:val="28"/>
          <w:szCs w:val="28"/>
        </w:rPr>
        <w:t>m</w:t>
      </w:r>
      <w:r w:rsidRPr="0064446F">
        <w:rPr>
          <w:color w:val="auto"/>
          <w:sz w:val="28"/>
          <w:szCs w:val="28"/>
          <w:lang w:val="uk-UA"/>
        </w:rPr>
        <w:t xml:space="preserve">) у щурів-матерів які протягом вагітності отримували </w:t>
      </w:r>
      <w:proofErr w:type="spellStart"/>
      <w:r w:rsidRPr="0064446F">
        <w:rPr>
          <w:color w:val="auto"/>
          <w:sz w:val="28"/>
          <w:szCs w:val="28"/>
          <w:lang w:val="uk-UA"/>
        </w:rPr>
        <w:t>гіперкалорійну</w:t>
      </w:r>
      <w:proofErr w:type="spellEnd"/>
      <w:r w:rsidRPr="0064446F">
        <w:rPr>
          <w:color w:val="auto"/>
          <w:sz w:val="28"/>
          <w:szCs w:val="28"/>
          <w:lang w:val="uk-UA"/>
        </w:rPr>
        <w:t xml:space="preserve"> дієту (у % від нормативу)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620"/>
        <w:gridCol w:w="1951"/>
      </w:tblGrid>
      <w:tr w:rsidR="0064446F" w:rsidTr="0064446F">
        <w:trPr>
          <w:trHeight w:val="127"/>
        </w:trPr>
        <w:tc>
          <w:tcPr>
            <w:tcW w:w="3981" w:type="pct"/>
          </w:tcPr>
          <w:p w:rsidR="0064446F" w:rsidRDefault="0064446F" w:rsidP="0064446F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Показники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9" w:type="pct"/>
          </w:tcPr>
          <w:p w:rsidR="0064446F" w:rsidRDefault="0064446F" w:rsidP="0064446F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Щури-матері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4446F" w:rsidTr="0064446F">
        <w:trPr>
          <w:trHeight w:val="127"/>
        </w:trPr>
        <w:tc>
          <w:tcPr>
            <w:tcW w:w="3981" w:type="pct"/>
          </w:tcPr>
          <w:p w:rsidR="0064446F" w:rsidRDefault="0064446F" w:rsidP="006444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ІЛ-12 </w:t>
            </w:r>
          </w:p>
        </w:tc>
        <w:tc>
          <w:tcPr>
            <w:tcW w:w="1019" w:type="pct"/>
          </w:tcPr>
          <w:p w:rsidR="0064446F" w:rsidRDefault="0064446F" w:rsidP="006444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113,2±3,9* </w:t>
            </w:r>
          </w:p>
        </w:tc>
      </w:tr>
      <w:tr w:rsidR="0064446F" w:rsidTr="0064446F">
        <w:trPr>
          <w:trHeight w:val="127"/>
        </w:trPr>
        <w:tc>
          <w:tcPr>
            <w:tcW w:w="3981" w:type="pct"/>
          </w:tcPr>
          <w:p w:rsidR="0064446F" w:rsidRDefault="0064446F" w:rsidP="006444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ІЛ-4 </w:t>
            </w:r>
          </w:p>
        </w:tc>
        <w:tc>
          <w:tcPr>
            <w:tcW w:w="1019" w:type="pct"/>
          </w:tcPr>
          <w:p w:rsidR="0064446F" w:rsidRDefault="0064446F" w:rsidP="006444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108,8±9,7 </w:t>
            </w:r>
          </w:p>
        </w:tc>
      </w:tr>
      <w:tr w:rsidR="0064446F" w:rsidTr="0064446F">
        <w:trPr>
          <w:trHeight w:val="127"/>
        </w:trPr>
        <w:tc>
          <w:tcPr>
            <w:tcW w:w="3981" w:type="pct"/>
          </w:tcPr>
          <w:p w:rsidR="0064446F" w:rsidRDefault="0064446F" w:rsidP="006444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ІЛ-12/ІЛ-4 </w:t>
            </w:r>
          </w:p>
        </w:tc>
        <w:tc>
          <w:tcPr>
            <w:tcW w:w="1019" w:type="pct"/>
          </w:tcPr>
          <w:p w:rsidR="0064446F" w:rsidRDefault="0064446F" w:rsidP="006444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113,6±13,1 </w:t>
            </w:r>
          </w:p>
        </w:tc>
      </w:tr>
      <w:tr w:rsidR="0064446F" w:rsidTr="0064446F">
        <w:trPr>
          <w:trHeight w:val="127"/>
        </w:trPr>
        <w:tc>
          <w:tcPr>
            <w:tcW w:w="3981" w:type="pct"/>
          </w:tcPr>
          <w:p w:rsidR="0064446F" w:rsidRDefault="0064446F" w:rsidP="0064446F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Кальцій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9" w:type="pct"/>
          </w:tcPr>
          <w:p w:rsidR="0064446F" w:rsidRDefault="0064446F" w:rsidP="006444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148,8±3,5*** </w:t>
            </w:r>
          </w:p>
        </w:tc>
      </w:tr>
      <w:tr w:rsidR="0064446F" w:rsidTr="0064446F">
        <w:trPr>
          <w:trHeight w:val="127"/>
        </w:trPr>
        <w:tc>
          <w:tcPr>
            <w:tcW w:w="3981" w:type="pct"/>
          </w:tcPr>
          <w:p w:rsidR="0064446F" w:rsidRDefault="0064446F" w:rsidP="0064446F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9" w:type="pct"/>
          </w:tcPr>
          <w:p w:rsidR="0064446F" w:rsidRDefault="0064446F" w:rsidP="006444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176,8±3,9*** </w:t>
            </w:r>
          </w:p>
        </w:tc>
      </w:tr>
      <w:tr w:rsidR="0064446F" w:rsidTr="0064446F">
        <w:trPr>
          <w:trHeight w:val="127"/>
        </w:trPr>
        <w:tc>
          <w:tcPr>
            <w:tcW w:w="3981" w:type="pct"/>
          </w:tcPr>
          <w:p w:rsidR="0064446F" w:rsidRDefault="0064446F" w:rsidP="006444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Цинк </w:t>
            </w:r>
          </w:p>
        </w:tc>
        <w:tc>
          <w:tcPr>
            <w:tcW w:w="1019" w:type="pct"/>
          </w:tcPr>
          <w:p w:rsidR="0064446F" w:rsidRDefault="0064446F" w:rsidP="0064446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76±3*** </w:t>
            </w:r>
          </w:p>
        </w:tc>
      </w:tr>
    </w:tbl>
    <w:p w:rsidR="0064446F" w:rsidRDefault="0064446F" w:rsidP="0064446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Примітка</w:t>
      </w:r>
      <w:proofErr w:type="spellEnd"/>
      <w:r>
        <w:rPr>
          <w:sz w:val="28"/>
          <w:szCs w:val="28"/>
        </w:rPr>
        <w:t>: ***p &lt; 0,001, *p &lt; 0,05 (</w:t>
      </w:r>
      <w:proofErr w:type="spellStart"/>
      <w:r>
        <w:rPr>
          <w:sz w:val="28"/>
          <w:szCs w:val="28"/>
        </w:rPr>
        <w:t>порівняння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групою</w:t>
      </w:r>
      <w:proofErr w:type="spellEnd"/>
      <w:r>
        <w:rPr>
          <w:sz w:val="28"/>
          <w:szCs w:val="28"/>
        </w:rPr>
        <w:t xml:space="preserve"> контролю).</w:t>
      </w:r>
    </w:p>
    <w:p w:rsidR="0064446F" w:rsidRPr="0064446F" w:rsidRDefault="0064446F" w:rsidP="0064446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В той час як при </w:t>
      </w:r>
      <w:proofErr w:type="spellStart"/>
      <w:proofErr w:type="gram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64446F">
        <w:rPr>
          <w:rFonts w:ascii="Times New Roman" w:hAnsi="Times New Roman" w:cs="Times New Roman"/>
          <w:color w:val="000000"/>
          <w:sz w:val="28"/>
          <w:szCs w:val="28"/>
        </w:rPr>
        <w:t>ідження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вмісту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ІЛ-4 не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спостерігалося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достовірного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відхилення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даних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контролю. За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аналізу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показника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спі</w:t>
      </w:r>
      <w:proofErr w:type="gram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gramEnd"/>
      <w:r w:rsidRPr="0064446F">
        <w:rPr>
          <w:rFonts w:ascii="Times New Roman" w:hAnsi="Times New Roman" w:cs="Times New Roman"/>
          <w:color w:val="000000"/>
          <w:sz w:val="28"/>
          <w:szCs w:val="28"/>
        </w:rPr>
        <w:t>ідношення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ІЛ-12/ІЛ-4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визначили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пропорційність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змін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вмісту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ІЛ-12 і ІЛ-</w:t>
      </w:r>
      <w:r w:rsidRPr="006444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4,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однак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щурів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матерів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гіперкалорійної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дієти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майже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відрізнявся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такого в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групі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контролю.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Отримані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дані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вказують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тенденцію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, через ІЛ-12, до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розгортання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реакцій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клітинного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типу через </w:t>
      </w:r>
      <w:proofErr w:type="spellStart"/>
      <w:proofErr w:type="gram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446F">
        <w:rPr>
          <w:rFonts w:ascii="Times New Roman" w:hAnsi="Times New Roman" w:cs="Times New Roman"/>
          <w:color w:val="000000"/>
          <w:sz w:val="28"/>
          <w:szCs w:val="28"/>
        </w:rPr>
        <w:t>ідсилення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проліферації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дифференціювання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Th1 і таким чином до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залучення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імунної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системної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відповіді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ушкодженні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ПЗ [2,41с; 3, 122с; 4, 63с]. </w:t>
      </w:r>
    </w:p>
    <w:p w:rsidR="0064446F" w:rsidRPr="0064446F" w:rsidRDefault="0064446F" w:rsidP="0064446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444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Подальші дослідження були присвячені вивченню рівнів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макро-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мікроелементів у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гомогенаті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тканини ПЗ тварин у щурів-матерів, що протягом вагітності отримували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  <w:lang w:val="uk-UA"/>
        </w:rPr>
        <w:t>гіперкалорійну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дієту. </w:t>
      </w:r>
      <w:r w:rsidRPr="00BD3B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Було встановлено достовірне зниження рівня цинку і навпаки підвищення рівня кальцію та магнію відповідно. </w:t>
      </w:r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Таким чином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відзначалась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гіперкальціемії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гіпермагніемії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гіпоцинкемії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>) (див</w:t>
      </w:r>
      <w:proofErr w:type="gram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абл. 1).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Відомо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висока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концентрація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іонів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кальція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цитоплазмі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клітин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не є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прогностично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сприятливою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тому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зазвичай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призводить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надлишкової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активації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фосфоліпази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А2,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утворенню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лізофосфолі</w:t>
      </w:r>
      <w:proofErr w:type="gram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446F">
        <w:rPr>
          <w:rFonts w:ascii="Times New Roman" w:hAnsi="Times New Roman" w:cs="Times New Roman"/>
          <w:color w:val="000000"/>
          <w:sz w:val="28"/>
          <w:szCs w:val="28"/>
        </w:rPr>
        <w:t>ідів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прямої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пошкоджуючої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клітинні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мембрани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gramEnd"/>
      <w:r w:rsidRPr="0064446F">
        <w:rPr>
          <w:rFonts w:ascii="Times New Roman" w:hAnsi="Times New Roman" w:cs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 xml:space="preserve">того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кальцій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спроможних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індукувати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апоптоз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[3,134с; 5,93с]. </w:t>
      </w:r>
    </w:p>
    <w:p w:rsidR="0064446F" w:rsidRPr="0064446F" w:rsidRDefault="0064446F" w:rsidP="0064446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4446F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дослідження вмісту </w:t>
      </w:r>
      <w:proofErr w:type="spellStart"/>
      <w:r w:rsidRPr="0064446F">
        <w:rPr>
          <w:rFonts w:ascii="Times New Roman" w:hAnsi="Times New Roman" w:cs="Times New Roman"/>
          <w:sz w:val="28"/>
          <w:szCs w:val="28"/>
          <w:lang w:val="uk-UA"/>
        </w:rPr>
        <w:t>макро-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uk-UA"/>
        </w:rPr>
        <w:t xml:space="preserve"> і мікроелементів в </w:t>
      </w:r>
      <w:proofErr w:type="spellStart"/>
      <w:r w:rsidRPr="0064446F">
        <w:rPr>
          <w:rFonts w:ascii="Times New Roman" w:hAnsi="Times New Roman" w:cs="Times New Roman"/>
          <w:sz w:val="28"/>
          <w:szCs w:val="28"/>
          <w:lang w:val="uk-UA"/>
        </w:rPr>
        <w:t>гомогенаті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uk-UA"/>
        </w:rPr>
        <w:t xml:space="preserve"> тканини ПЗ щурів – матерів, що були на </w:t>
      </w:r>
      <w:proofErr w:type="spellStart"/>
      <w:r w:rsidRPr="0064446F">
        <w:rPr>
          <w:rFonts w:ascii="Times New Roman" w:hAnsi="Times New Roman" w:cs="Times New Roman"/>
          <w:sz w:val="28"/>
          <w:szCs w:val="28"/>
          <w:lang w:val="uk-UA"/>
        </w:rPr>
        <w:t>гіперкалорийній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uk-UA"/>
        </w:rPr>
        <w:t xml:space="preserve"> дієті під час вагітності відображають наявність їх дисбалансу, що, ймовірно може впливати на метаболізм і функціональну активність клітин ПЗ, і обґрунтовують доцільність подальших досліджень спрямованих на з’ясування можливостей відновлення функціонального стану клітин ПЗ за допомогою препаратів магнію і цинку. </w:t>
      </w:r>
    </w:p>
    <w:p w:rsidR="0064446F" w:rsidRPr="00BD3BB5" w:rsidRDefault="0064446F" w:rsidP="0064446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4446F">
        <w:rPr>
          <w:rFonts w:ascii="Times New Roman" w:hAnsi="Times New Roman" w:cs="Times New Roman"/>
          <w:sz w:val="28"/>
          <w:szCs w:val="28"/>
          <w:lang w:val="uk-UA"/>
        </w:rPr>
        <w:t xml:space="preserve">Проведений аналіз вмісту </w:t>
      </w:r>
      <w:proofErr w:type="spellStart"/>
      <w:r w:rsidRPr="0064446F">
        <w:rPr>
          <w:rFonts w:ascii="Times New Roman" w:hAnsi="Times New Roman" w:cs="Times New Roman"/>
          <w:sz w:val="28"/>
          <w:szCs w:val="28"/>
          <w:lang w:val="uk-UA"/>
        </w:rPr>
        <w:t>цитокінів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uk-UA"/>
        </w:rPr>
        <w:t xml:space="preserve"> у крові </w:t>
      </w:r>
      <w:proofErr w:type="spellStart"/>
      <w:r w:rsidRPr="0064446F">
        <w:rPr>
          <w:rFonts w:ascii="Times New Roman" w:hAnsi="Times New Roman" w:cs="Times New Roman"/>
          <w:sz w:val="28"/>
          <w:szCs w:val="28"/>
          <w:lang w:val="uk-UA"/>
        </w:rPr>
        <w:t>одно-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uk-UA"/>
        </w:rPr>
        <w:t xml:space="preserve"> і двомісячних щурят, що народились від щурів-матерів які протягом вагітності отримували </w:t>
      </w:r>
      <w:proofErr w:type="spellStart"/>
      <w:r w:rsidRPr="0064446F">
        <w:rPr>
          <w:rFonts w:ascii="Times New Roman" w:hAnsi="Times New Roman" w:cs="Times New Roman"/>
          <w:sz w:val="28"/>
          <w:szCs w:val="28"/>
          <w:lang w:val="uk-UA"/>
        </w:rPr>
        <w:t>гіперкалорійну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uk-UA"/>
        </w:rPr>
        <w:t xml:space="preserve"> дієту також показав достовірно підвищений рівень ІЛ-12(1,6 і 2.0 рази відповідно) і суттєво знижений вміст ІЛ-4 (табл. </w:t>
      </w:r>
      <w:r w:rsidRPr="00BD3BB5">
        <w:rPr>
          <w:rFonts w:ascii="Times New Roman" w:hAnsi="Times New Roman" w:cs="Times New Roman"/>
          <w:sz w:val="28"/>
          <w:szCs w:val="28"/>
          <w:lang w:val="uk-UA"/>
        </w:rPr>
        <w:t xml:space="preserve">2) Отримані дані відображають наявність більш суттєвого дисбалансу </w:t>
      </w:r>
      <w:proofErr w:type="spellStart"/>
      <w:r w:rsidRPr="00BD3BB5">
        <w:rPr>
          <w:rFonts w:ascii="Times New Roman" w:hAnsi="Times New Roman" w:cs="Times New Roman"/>
          <w:sz w:val="28"/>
          <w:szCs w:val="28"/>
          <w:lang w:val="uk-UA"/>
        </w:rPr>
        <w:t>цитокінів</w:t>
      </w:r>
      <w:proofErr w:type="spellEnd"/>
      <w:r w:rsidRPr="00BD3BB5">
        <w:rPr>
          <w:rFonts w:ascii="Times New Roman" w:hAnsi="Times New Roman" w:cs="Times New Roman"/>
          <w:sz w:val="28"/>
          <w:szCs w:val="28"/>
          <w:lang w:val="uk-UA"/>
        </w:rPr>
        <w:t xml:space="preserve"> у щурят, порівняно з щурами - матерями. Показник співвідношення ІЛ-12/</w:t>
      </w:r>
      <w:proofErr w:type="spellStart"/>
      <w:r w:rsidRPr="00BD3BB5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BD3BB5">
        <w:rPr>
          <w:rFonts w:ascii="Times New Roman" w:hAnsi="Times New Roman" w:cs="Times New Roman"/>
          <w:sz w:val="28"/>
          <w:szCs w:val="28"/>
          <w:lang w:val="uk-UA"/>
        </w:rPr>
        <w:t xml:space="preserve">-4 був </w:t>
      </w:r>
      <w:r w:rsidRPr="00BD3BB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достовірно – в 7 разів вище такого в контролі і у щурів - матерів, та ймовірно опосередковано здатен вказувати на підвищення функціональної активності макрофагів - клітин </w:t>
      </w:r>
      <w:proofErr w:type="spellStart"/>
      <w:r w:rsidRPr="00BD3BB5">
        <w:rPr>
          <w:rFonts w:ascii="Times New Roman" w:hAnsi="Times New Roman" w:cs="Times New Roman"/>
          <w:sz w:val="28"/>
          <w:szCs w:val="28"/>
          <w:lang w:val="uk-UA"/>
        </w:rPr>
        <w:t>ефекторів</w:t>
      </w:r>
      <w:proofErr w:type="spellEnd"/>
      <w:r w:rsidRPr="00BD3BB5">
        <w:rPr>
          <w:rFonts w:ascii="Times New Roman" w:hAnsi="Times New Roman" w:cs="Times New Roman"/>
          <w:sz w:val="28"/>
          <w:szCs w:val="28"/>
          <w:lang w:val="uk-UA"/>
        </w:rPr>
        <w:t xml:space="preserve"> і модуляторів імунної відповіді, джерела регуляторних </w:t>
      </w:r>
      <w:proofErr w:type="spellStart"/>
      <w:r w:rsidRPr="00BD3BB5">
        <w:rPr>
          <w:rFonts w:ascii="Times New Roman" w:hAnsi="Times New Roman" w:cs="Times New Roman"/>
          <w:sz w:val="28"/>
          <w:szCs w:val="28"/>
          <w:lang w:val="uk-UA"/>
        </w:rPr>
        <w:t>цитокінів</w:t>
      </w:r>
      <w:proofErr w:type="spellEnd"/>
      <w:r w:rsidRPr="00BD3BB5">
        <w:rPr>
          <w:rFonts w:ascii="Times New Roman" w:hAnsi="Times New Roman" w:cs="Times New Roman"/>
          <w:sz w:val="28"/>
          <w:szCs w:val="28"/>
          <w:lang w:val="uk-UA"/>
        </w:rPr>
        <w:t xml:space="preserve"> (один з них ІЛ-12) [6, 211с] який, як відомо, знаходяться в тісній кооперативний взаємодії з Т</w:t>
      </w:r>
      <w:r w:rsidRPr="0064446F">
        <w:rPr>
          <w:rFonts w:ascii="Times New Roman" w:hAnsi="Times New Roman" w:cs="Times New Roman"/>
          <w:sz w:val="28"/>
          <w:szCs w:val="28"/>
        </w:rPr>
        <w:t>h</w:t>
      </w:r>
      <w:r w:rsidRPr="00BD3BB5">
        <w:rPr>
          <w:rFonts w:ascii="Times New Roman" w:hAnsi="Times New Roman" w:cs="Times New Roman"/>
          <w:sz w:val="28"/>
          <w:szCs w:val="28"/>
          <w:lang w:val="uk-UA"/>
        </w:rPr>
        <w:t xml:space="preserve"> потенціюючи </w:t>
      </w:r>
    </w:p>
    <w:p w:rsidR="0064446F" w:rsidRPr="0064446F" w:rsidRDefault="0064446F" w:rsidP="0064446F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446F">
        <w:rPr>
          <w:rFonts w:ascii="Times New Roman" w:hAnsi="Times New Roman" w:cs="Times New Roman"/>
          <w:b/>
          <w:sz w:val="28"/>
          <w:szCs w:val="28"/>
        </w:rPr>
        <w:t>Таблиця</w:t>
      </w:r>
      <w:proofErr w:type="spellEnd"/>
      <w:r w:rsidRPr="0064446F">
        <w:rPr>
          <w:rFonts w:ascii="Times New Roman" w:hAnsi="Times New Roman" w:cs="Times New Roman"/>
          <w:b/>
          <w:sz w:val="28"/>
          <w:szCs w:val="28"/>
        </w:rPr>
        <w:t xml:space="preserve"> 2 </w:t>
      </w:r>
    </w:p>
    <w:p w:rsidR="0064446F" w:rsidRDefault="0064446F" w:rsidP="006444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цитокінів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4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сироватці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та макро- і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мікроелементів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гомогенаті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ПЗ (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М±m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) у щурят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народжених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матерів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гіперкалорійну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дієту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(у %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нормативу)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097"/>
        <w:gridCol w:w="10"/>
        <w:gridCol w:w="3108"/>
      </w:tblGrid>
      <w:tr w:rsidR="0064446F" w:rsidRPr="0064446F" w:rsidTr="0064446F">
        <w:trPr>
          <w:trHeight w:val="322"/>
        </w:trPr>
        <w:tc>
          <w:tcPr>
            <w:tcW w:w="6204" w:type="dxa"/>
            <w:gridSpan w:val="2"/>
          </w:tcPr>
          <w:p w:rsidR="0064446F" w:rsidRPr="0064446F" w:rsidRDefault="0064446F" w:rsidP="006444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4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Показники</w:t>
            </w:r>
            <w:proofErr w:type="spellEnd"/>
            <w:r w:rsidRPr="00644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64446F" w:rsidRPr="0064446F" w:rsidRDefault="0064446F" w:rsidP="006444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4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</w:t>
            </w:r>
            <w:proofErr w:type="spellEnd"/>
            <w:r w:rsidRPr="00644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44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групи</w:t>
            </w:r>
            <w:proofErr w:type="spellEnd"/>
            <w:r w:rsidRPr="00644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щурят </w:t>
            </w:r>
          </w:p>
        </w:tc>
      </w:tr>
      <w:tr w:rsidR="0064446F" w:rsidRPr="0064446F" w:rsidTr="0064446F">
        <w:trPr>
          <w:trHeight w:val="127"/>
        </w:trPr>
        <w:tc>
          <w:tcPr>
            <w:tcW w:w="6204" w:type="dxa"/>
            <w:gridSpan w:val="2"/>
          </w:tcPr>
          <w:p w:rsidR="0064446F" w:rsidRPr="0064446F" w:rsidRDefault="0064446F" w:rsidP="006444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</w:t>
            </w:r>
            <w:r w:rsidRPr="00644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644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місяць</w:t>
            </w:r>
            <w:proofErr w:type="spellEnd"/>
            <w:r w:rsidRPr="00644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64446F" w:rsidRPr="0064446F" w:rsidRDefault="0064446F" w:rsidP="006444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644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місяці</w:t>
            </w:r>
            <w:proofErr w:type="spellEnd"/>
            <w:r w:rsidRPr="00644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4446F" w:rsidRPr="0064446F" w:rsidTr="0064446F">
        <w:trPr>
          <w:trHeight w:val="132"/>
        </w:trPr>
        <w:tc>
          <w:tcPr>
            <w:tcW w:w="3107" w:type="dxa"/>
          </w:tcPr>
          <w:p w:rsidR="0064446F" w:rsidRPr="0064446F" w:rsidRDefault="0064446F" w:rsidP="006444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ІЛ-12 </w:t>
            </w:r>
          </w:p>
        </w:tc>
        <w:tc>
          <w:tcPr>
            <w:tcW w:w="3107" w:type="dxa"/>
            <w:gridSpan w:val="2"/>
          </w:tcPr>
          <w:p w:rsidR="0064446F" w:rsidRPr="0064446F" w:rsidRDefault="0064446F" w:rsidP="006444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163,6±2,4*** </w:t>
            </w:r>
          </w:p>
        </w:tc>
        <w:tc>
          <w:tcPr>
            <w:tcW w:w="3108" w:type="dxa"/>
          </w:tcPr>
          <w:p w:rsidR="0064446F" w:rsidRPr="0064446F" w:rsidRDefault="0064446F" w:rsidP="006444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209,4±4,3 (</w:t>
            </w:r>
            <w:proofErr w:type="spellStart"/>
            <w:r w:rsidRPr="0064446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рХ</w:t>
            </w:r>
            <w:proofErr w:type="spellEnd"/>
            <w:r w:rsidRPr="0064446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&lt;0,001) </w:t>
            </w:r>
          </w:p>
        </w:tc>
      </w:tr>
      <w:tr w:rsidR="0064446F" w:rsidRPr="0064446F" w:rsidTr="0064446F">
        <w:trPr>
          <w:trHeight w:val="127"/>
        </w:trPr>
        <w:tc>
          <w:tcPr>
            <w:tcW w:w="3107" w:type="dxa"/>
          </w:tcPr>
          <w:p w:rsidR="0064446F" w:rsidRPr="0064446F" w:rsidRDefault="0064446F" w:rsidP="006444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ІЛ-4 </w:t>
            </w:r>
          </w:p>
        </w:tc>
        <w:tc>
          <w:tcPr>
            <w:tcW w:w="3107" w:type="dxa"/>
            <w:gridSpan w:val="2"/>
          </w:tcPr>
          <w:p w:rsidR="0064446F" w:rsidRPr="0064446F" w:rsidRDefault="0064446F" w:rsidP="006444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23,7±1,1*** </w:t>
            </w:r>
          </w:p>
        </w:tc>
        <w:tc>
          <w:tcPr>
            <w:tcW w:w="3108" w:type="dxa"/>
          </w:tcPr>
          <w:p w:rsidR="0064446F" w:rsidRPr="0064446F" w:rsidRDefault="0064446F" w:rsidP="006444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23,1±4*** </w:t>
            </w:r>
          </w:p>
        </w:tc>
      </w:tr>
      <w:tr w:rsidR="0064446F" w:rsidRPr="0064446F" w:rsidTr="0064446F">
        <w:trPr>
          <w:trHeight w:val="127"/>
        </w:trPr>
        <w:tc>
          <w:tcPr>
            <w:tcW w:w="3107" w:type="dxa"/>
          </w:tcPr>
          <w:p w:rsidR="0064446F" w:rsidRPr="0064446F" w:rsidRDefault="0064446F" w:rsidP="006444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ІЛ-12 / ІЛ-4 </w:t>
            </w:r>
          </w:p>
        </w:tc>
        <w:tc>
          <w:tcPr>
            <w:tcW w:w="3107" w:type="dxa"/>
            <w:gridSpan w:val="2"/>
          </w:tcPr>
          <w:p w:rsidR="0064446F" w:rsidRPr="0064446F" w:rsidRDefault="0064446F" w:rsidP="006444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706,6±40,9*** </w:t>
            </w:r>
          </w:p>
        </w:tc>
        <w:tc>
          <w:tcPr>
            <w:tcW w:w="3108" w:type="dxa"/>
          </w:tcPr>
          <w:p w:rsidR="0064446F" w:rsidRPr="0064446F" w:rsidRDefault="0064446F" w:rsidP="006444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610,7±66,7*** </w:t>
            </w:r>
          </w:p>
        </w:tc>
      </w:tr>
      <w:tr w:rsidR="0064446F" w:rsidRPr="0064446F" w:rsidTr="0064446F">
        <w:trPr>
          <w:trHeight w:val="132"/>
        </w:trPr>
        <w:tc>
          <w:tcPr>
            <w:tcW w:w="3107" w:type="dxa"/>
          </w:tcPr>
          <w:p w:rsidR="0064446F" w:rsidRPr="0064446F" w:rsidRDefault="0064446F" w:rsidP="006444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4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Кальцій</w:t>
            </w:r>
            <w:proofErr w:type="spellEnd"/>
            <w:r w:rsidRPr="00644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  <w:gridSpan w:val="2"/>
          </w:tcPr>
          <w:p w:rsidR="0064446F" w:rsidRPr="0064446F" w:rsidRDefault="0064446F" w:rsidP="006444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73,7±0,6*** </w:t>
            </w:r>
          </w:p>
        </w:tc>
        <w:tc>
          <w:tcPr>
            <w:tcW w:w="3108" w:type="dxa"/>
          </w:tcPr>
          <w:p w:rsidR="0064446F" w:rsidRPr="0064446F" w:rsidRDefault="0064446F" w:rsidP="006444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79,7±1*** (</w:t>
            </w:r>
            <w:proofErr w:type="spellStart"/>
            <w:r w:rsidRPr="0064446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рХ</w:t>
            </w:r>
            <w:proofErr w:type="spellEnd"/>
            <w:r w:rsidRPr="0064446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&lt;0,001) </w:t>
            </w:r>
          </w:p>
        </w:tc>
      </w:tr>
      <w:tr w:rsidR="0064446F" w:rsidRPr="0064446F" w:rsidTr="0064446F">
        <w:trPr>
          <w:trHeight w:val="127"/>
        </w:trPr>
        <w:tc>
          <w:tcPr>
            <w:tcW w:w="3107" w:type="dxa"/>
          </w:tcPr>
          <w:p w:rsidR="0064446F" w:rsidRPr="0064446F" w:rsidRDefault="0064446F" w:rsidP="006444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4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Магній</w:t>
            </w:r>
            <w:proofErr w:type="spellEnd"/>
            <w:r w:rsidRPr="00644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  <w:gridSpan w:val="2"/>
          </w:tcPr>
          <w:p w:rsidR="0064446F" w:rsidRPr="0064446F" w:rsidRDefault="0064446F" w:rsidP="006444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124±1,9*** </w:t>
            </w:r>
          </w:p>
        </w:tc>
        <w:tc>
          <w:tcPr>
            <w:tcW w:w="3108" w:type="dxa"/>
          </w:tcPr>
          <w:p w:rsidR="0064446F" w:rsidRPr="0064446F" w:rsidRDefault="0064446F" w:rsidP="006444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125,8±1*** </w:t>
            </w:r>
          </w:p>
        </w:tc>
      </w:tr>
      <w:tr w:rsidR="0064446F" w:rsidRPr="0064446F" w:rsidTr="0064446F">
        <w:trPr>
          <w:trHeight w:val="132"/>
        </w:trPr>
        <w:tc>
          <w:tcPr>
            <w:tcW w:w="3107" w:type="dxa"/>
          </w:tcPr>
          <w:p w:rsidR="0064446F" w:rsidRPr="0064446F" w:rsidRDefault="0064446F" w:rsidP="006444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Цинк </w:t>
            </w:r>
          </w:p>
        </w:tc>
        <w:tc>
          <w:tcPr>
            <w:tcW w:w="3107" w:type="dxa"/>
            <w:gridSpan w:val="2"/>
          </w:tcPr>
          <w:p w:rsidR="0064446F" w:rsidRPr="0064446F" w:rsidRDefault="0064446F" w:rsidP="006444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111±1,5*** </w:t>
            </w:r>
          </w:p>
        </w:tc>
        <w:tc>
          <w:tcPr>
            <w:tcW w:w="3108" w:type="dxa"/>
          </w:tcPr>
          <w:p w:rsidR="0064446F" w:rsidRPr="0064446F" w:rsidRDefault="0064446F" w:rsidP="006444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74,2±0,7*** (</w:t>
            </w:r>
            <w:proofErr w:type="spellStart"/>
            <w:r w:rsidRPr="0064446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рХ</w:t>
            </w:r>
            <w:proofErr w:type="spellEnd"/>
            <w:r w:rsidRPr="0064446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&lt;0,001) </w:t>
            </w:r>
          </w:p>
        </w:tc>
      </w:tr>
    </w:tbl>
    <w:p w:rsidR="0064446F" w:rsidRDefault="0064446F" w:rsidP="0064446F">
      <w:pPr>
        <w:spacing w:line="240" w:lineRule="auto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Примітки</w:t>
      </w:r>
      <w:proofErr w:type="spellEnd"/>
      <w:r>
        <w:rPr>
          <w:sz w:val="28"/>
          <w:szCs w:val="28"/>
        </w:rPr>
        <w:t xml:space="preserve">. 1) ***p &lt; 0,001, ** p &lt; 0,01, *p &lt; 0,05 </w:t>
      </w:r>
      <w:proofErr w:type="spellStart"/>
      <w:r>
        <w:rPr>
          <w:sz w:val="28"/>
          <w:szCs w:val="28"/>
        </w:rPr>
        <w:t>порівняння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групою</w:t>
      </w:r>
      <w:proofErr w:type="spellEnd"/>
      <w:r>
        <w:rPr>
          <w:sz w:val="28"/>
          <w:szCs w:val="28"/>
        </w:rPr>
        <w:t xml:space="preserve"> контролю. 2) </w:t>
      </w:r>
      <w:proofErr w:type="spellStart"/>
      <w:r>
        <w:rPr>
          <w:i/>
          <w:iCs/>
          <w:sz w:val="28"/>
          <w:szCs w:val="28"/>
        </w:rPr>
        <w:t>р</w:t>
      </w:r>
      <w:r>
        <w:rPr>
          <w:i/>
          <w:iCs/>
          <w:sz w:val="18"/>
          <w:szCs w:val="18"/>
        </w:rPr>
        <w:t>Х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достовірність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відміни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порівнянні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 1-но та 2-місячних щурят.</w:t>
      </w:r>
    </w:p>
    <w:p w:rsidR="0064446F" w:rsidRDefault="0064446F" w:rsidP="0064446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446F" w:rsidRPr="0064446F" w:rsidRDefault="0064446F" w:rsidP="0064446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4446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диференціювання Т</w:t>
      </w:r>
      <w:r w:rsidRPr="0064446F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Pr="006444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 і в той же час пригнічуючи проліферацію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</w:rPr>
        <w:t>Th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 що свідчать про переважання клітинної ланки специфічної і неспецифічної імунологічної реактивності над гуморальною у тварин пренатальний розвиток яких відбувався в умовах дефіциту поживних речовин, що і призвів до постнатального пошкодження тканини ПЗ. </w:t>
      </w:r>
    </w:p>
    <w:p w:rsidR="0064446F" w:rsidRPr="0064446F" w:rsidRDefault="0064446F" w:rsidP="0064446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6444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Аналіз динаміки вмісту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макро-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мікроелементів у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гомогенаті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тканини ПЗ показав, що у 1- місячних та 2-х місячних щурят спостерігалося зниження вмісту кальцію, на відміну від </w:t>
      </w:r>
      <w:proofErr w:type="spellStart"/>
      <w:r w:rsidRPr="0064446F">
        <w:rPr>
          <w:rFonts w:ascii="Times New Roman" w:hAnsi="Times New Roman" w:cs="Times New Roman"/>
          <w:color w:val="000000"/>
          <w:sz w:val="28"/>
          <w:szCs w:val="28"/>
          <w:lang w:val="uk-UA"/>
        </w:rPr>
        <w:t>гіперкальціемії</w:t>
      </w:r>
      <w:proofErr w:type="spellEnd"/>
      <w:r w:rsidRPr="006444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спостерігалася у їх матерів </w:t>
      </w:r>
      <w:r w:rsidRPr="0064446F">
        <w:rPr>
          <w:rFonts w:ascii="Times New Roman" w:hAnsi="Times New Roman" w:cs="Times New Roman"/>
          <w:sz w:val="28"/>
          <w:szCs w:val="28"/>
          <w:lang w:val="uk-UA"/>
        </w:rPr>
        <w:t xml:space="preserve">(див. табл. </w:t>
      </w:r>
      <w:r w:rsidRPr="00BD3BB5">
        <w:rPr>
          <w:rFonts w:ascii="Times New Roman" w:hAnsi="Times New Roman" w:cs="Times New Roman"/>
          <w:sz w:val="28"/>
          <w:szCs w:val="28"/>
          <w:lang w:val="uk-UA"/>
        </w:rPr>
        <w:t xml:space="preserve">2). Що стосується рівня магнію та цинку у </w:t>
      </w:r>
      <w:proofErr w:type="spellStart"/>
      <w:r w:rsidRPr="00BD3BB5">
        <w:rPr>
          <w:rFonts w:ascii="Times New Roman" w:hAnsi="Times New Roman" w:cs="Times New Roman"/>
          <w:sz w:val="28"/>
          <w:szCs w:val="28"/>
          <w:lang w:val="uk-UA"/>
        </w:rPr>
        <w:t>гомогенаті</w:t>
      </w:r>
      <w:proofErr w:type="spellEnd"/>
      <w:r w:rsidRPr="00BD3BB5">
        <w:rPr>
          <w:rFonts w:ascii="Times New Roman" w:hAnsi="Times New Roman" w:cs="Times New Roman"/>
          <w:sz w:val="28"/>
          <w:szCs w:val="28"/>
          <w:lang w:val="uk-UA"/>
        </w:rPr>
        <w:t xml:space="preserve"> тканини ПЗ щурят, у 1-місячних – спостерігалося відносне підвищення рівня цинку, в той </w:t>
      </w:r>
      <w:r w:rsidRPr="00BD3BB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час як у їх матерів визначалася </w:t>
      </w:r>
      <w:proofErr w:type="spellStart"/>
      <w:r w:rsidRPr="00BD3BB5">
        <w:rPr>
          <w:rFonts w:ascii="Times New Roman" w:hAnsi="Times New Roman" w:cs="Times New Roman"/>
          <w:sz w:val="28"/>
          <w:szCs w:val="28"/>
          <w:lang w:val="uk-UA"/>
        </w:rPr>
        <w:t>гіпоцинкемія</w:t>
      </w:r>
      <w:proofErr w:type="spellEnd"/>
      <w:r w:rsidRPr="00BD3B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4446F">
        <w:rPr>
          <w:rFonts w:ascii="Times New Roman" w:hAnsi="Times New Roman" w:cs="Times New Roman"/>
          <w:sz w:val="28"/>
          <w:szCs w:val="28"/>
        </w:rPr>
        <w:t xml:space="preserve">У 2-місячних-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встановлена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гіпермагніемії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гіпоцинкемії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, (див. табл. 2).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перерахованих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виявилися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статистично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достовірними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44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446F">
        <w:rPr>
          <w:rFonts w:ascii="Times New Roman" w:hAnsi="Times New Roman" w:cs="Times New Roman"/>
          <w:sz w:val="28"/>
          <w:szCs w:val="28"/>
        </w:rPr>
        <w:t>ізноспрямованість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відхилень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макро- і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мікроелементів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у 1- і 2-місячних щурят (у перших -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гіперцинкемії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гіпоцинкемії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(див. табл. 2). </w:t>
      </w:r>
    </w:p>
    <w:p w:rsidR="0064446F" w:rsidRPr="00BD3BB5" w:rsidRDefault="0064446F" w:rsidP="0064446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4446F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суттєвий, довготривалий дисбаланс вмісту </w:t>
      </w:r>
      <w:proofErr w:type="spellStart"/>
      <w:r w:rsidRPr="0064446F">
        <w:rPr>
          <w:rFonts w:ascii="Times New Roman" w:hAnsi="Times New Roman" w:cs="Times New Roman"/>
          <w:sz w:val="28"/>
          <w:szCs w:val="28"/>
          <w:lang w:val="uk-UA"/>
        </w:rPr>
        <w:t>макро-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uk-UA"/>
        </w:rPr>
        <w:t xml:space="preserve"> і мікроелементів в </w:t>
      </w:r>
      <w:proofErr w:type="spellStart"/>
      <w:r w:rsidRPr="0064446F">
        <w:rPr>
          <w:rFonts w:ascii="Times New Roman" w:hAnsi="Times New Roman" w:cs="Times New Roman"/>
          <w:sz w:val="28"/>
          <w:szCs w:val="28"/>
          <w:lang w:val="uk-UA"/>
        </w:rPr>
        <w:t>гомогенаті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uk-UA"/>
        </w:rPr>
        <w:t xml:space="preserve"> тканини ПЗ щурят, що народились від матерів, що під час вагітності вживали </w:t>
      </w:r>
      <w:proofErr w:type="spellStart"/>
      <w:r w:rsidRPr="0064446F">
        <w:rPr>
          <w:rFonts w:ascii="Times New Roman" w:hAnsi="Times New Roman" w:cs="Times New Roman"/>
          <w:sz w:val="28"/>
          <w:szCs w:val="28"/>
          <w:lang w:val="uk-UA"/>
        </w:rPr>
        <w:t>гіперкалорийну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uk-UA"/>
        </w:rPr>
        <w:t xml:space="preserve"> дієту, ймовірно, спроможний впливати на метаболізм і функціональну активність клітин ПЗ і навіть призводити до її пошкодження. </w:t>
      </w:r>
      <w:r w:rsidRPr="00BD3BB5">
        <w:rPr>
          <w:rFonts w:ascii="Times New Roman" w:hAnsi="Times New Roman" w:cs="Times New Roman"/>
          <w:sz w:val="28"/>
          <w:szCs w:val="28"/>
          <w:lang w:val="uk-UA"/>
        </w:rPr>
        <w:t xml:space="preserve">Вищенаведені дані обґрунтовують доцільність подальших досліджень спрямованих на з’ясування можливостей відновлення функціонального стану клітин ПЗ за допомогою препаратів магнію і цинку, які ймовірно необхідно включати до складу патогенетичної терапії пошкоджень ПЗ тому, що на відміну від різних органічних сполук </w:t>
      </w:r>
      <w:proofErr w:type="spellStart"/>
      <w:r w:rsidRPr="00BD3BB5">
        <w:rPr>
          <w:rFonts w:ascii="Times New Roman" w:hAnsi="Times New Roman" w:cs="Times New Roman"/>
          <w:sz w:val="28"/>
          <w:szCs w:val="28"/>
          <w:lang w:val="uk-UA"/>
        </w:rPr>
        <w:t>макро-</w:t>
      </w:r>
      <w:proofErr w:type="spellEnd"/>
      <w:r w:rsidRPr="00BD3BB5">
        <w:rPr>
          <w:rFonts w:ascii="Times New Roman" w:hAnsi="Times New Roman" w:cs="Times New Roman"/>
          <w:sz w:val="28"/>
          <w:szCs w:val="28"/>
          <w:lang w:val="uk-UA"/>
        </w:rPr>
        <w:t xml:space="preserve"> і мікроелементи в організмі не синтезуються [1,164 с.]. Отримані дані свідчать про те, що незбалансоване харчування з підвищеним вмістом вуглеводів та жирів у вагітних щурів є істотним чинником ризику розвитку органічної патології ПЗ з секреторною недостатністю не тільки у них самих, а й у їхнього потомства. </w:t>
      </w:r>
    </w:p>
    <w:p w:rsidR="0064446F" w:rsidRPr="0064446F" w:rsidRDefault="0064446F" w:rsidP="0064446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446F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proofErr w:type="spellEnd"/>
    </w:p>
    <w:p w:rsidR="0064446F" w:rsidRPr="0064446F" w:rsidRDefault="0064446F" w:rsidP="0064446F">
      <w:pPr>
        <w:autoSpaceDE w:val="0"/>
        <w:autoSpaceDN w:val="0"/>
        <w:adjustRightInd w:val="0"/>
        <w:spacing w:after="199"/>
        <w:ind w:firstLine="0"/>
        <w:rPr>
          <w:rFonts w:ascii="Times New Roman" w:hAnsi="Times New Roman" w:cs="Times New Roman"/>
          <w:sz w:val="28"/>
          <w:szCs w:val="28"/>
        </w:rPr>
      </w:pPr>
      <w:r w:rsidRPr="0064446F">
        <w:rPr>
          <w:rFonts w:ascii="Times New Roman" w:hAnsi="Times New Roman" w:cs="Times New Roman"/>
          <w:sz w:val="28"/>
          <w:szCs w:val="28"/>
        </w:rPr>
        <w:t xml:space="preserve">1. У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щурів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гіперкалорійну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дієту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44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446F">
        <w:rPr>
          <w:rFonts w:ascii="Times New Roman" w:hAnsi="Times New Roman" w:cs="Times New Roman"/>
          <w:sz w:val="28"/>
          <w:szCs w:val="28"/>
        </w:rPr>
        <w:t>ізновікового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потомства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морфофункціональних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екзокринному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, так і у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ендокринному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апараті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ПЗ. </w:t>
      </w:r>
    </w:p>
    <w:p w:rsidR="0064446F" w:rsidRPr="0064446F" w:rsidRDefault="0064446F" w:rsidP="0064446F">
      <w:pPr>
        <w:autoSpaceDE w:val="0"/>
        <w:autoSpaceDN w:val="0"/>
        <w:adjustRightInd w:val="0"/>
        <w:spacing w:after="199"/>
        <w:ind w:firstLine="0"/>
        <w:rPr>
          <w:rFonts w:ascii="Times New Roman" w:hAnsi="Times New Roman" w:cs="Times New Roman"/>
          <w:sz w:val="28"/>
          <w:szCs w:val="28"/>
        </w:rPr>
      </w:pPr>
      <w:r w:rsidRPr="0064446F">
        <w:rPr>
          <w:rFonts w:ascii="Times New Roman" w:hAnsi="Times New Roman" w:cs="Times New Roman"/>
          <w:sz w:val="28"/>
          <w:szCs w:val="28"/>
        </w:rPr>
        <w:t xml:space="preserve">2. У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щурів-матерів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гіперкалорійну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дієту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потомства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імунологічної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реактивності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дисбалансу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цитокінів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переважанням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ІЛ-12,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зниженим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44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446F">
        <w:rPr>
          <w:rFonts w:ascii="Times New Roman" w:hAnsi="Times New Roman" w:cs="Times New Roman"/>
          <w:sz w:val="28"/>
          <w:szCs w:val="28"/>
        </w:rPr>
        <w:t>івнем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ІЛ-4,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переважне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до патогенезу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ушкодження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підшлункової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клітинної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ланки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імунітету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46F" w:rsidRPr="0064446F" w:rsidRDefault="0064446F" w:rsidP="0064446F">
      <w:pPr>
        <w:autoSpaceDE w:val="0"/>
        <w:autoSpaceDN w:val="0"/>
        <w:adjustRightInd w:val="0"/>
        <w:spacing w:after="199"/>
        <w:ind w:firstLine="0"/>
        <w:rPr>
          <w:rFonts w:ascii="Times New Roman" w:hAnsi="Times New Roman" w:cs="Times New Roman"/>
          <w:sz w:val="28"/>
          <w:szCs w:val="28"/>
        </w:rPr>
      </w:pPr>
      <w:r w:rsidRPr="0064446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Динаміка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макро- і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мікроелементів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4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гомогенаті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ПЗ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щурів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матерів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потомства,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дисбалансу з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переважним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зниженням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цинку –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інгібітора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апоптозу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негативно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функціональній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ПЗ і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хронічного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панкреатита в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46F" w:rsidRPr="0064446F" w:rsidRDefault="0064446F" w:rsidP="0064446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64446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Дісбаланс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макр</w:t>
      </w:r>
      <w:proofErr w:type="gramStart"/>
      <w:r w:rsidRPr="0064446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4446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мікроелементів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щурів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медикаментозної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магнію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і цинку до складу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патогенетичної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пошкоджень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ПЗ тому,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органічних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макро- і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мікроелементи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синтезуються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46F" w:rsidRPr="0064446F" w:rsidRDefault="0064446F" w:rsidP="0064446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4446F" w:rsidRPr="0064446F" w:rsidRDefault="0064446F" w:rsidP="0064446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446F">
        <w:rPr>
          <w:rFonts w:ascii="Times New Roman" w:hAnsi="Times New Roman" w:cs="Times New Roman"/>
          <w:b/>
          <w:sz w:val="28"/>
          <w:szCs w:val="28"/>
        </w:rPr>
        <w:t>Використана</w:t>
      </w:r>
      <w:proofErr w:type="spellEnd"/>
      <w:r w:rsidRPr="006444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 w:rsidRPr="0064446F">
        <w:rPr>
          <w:rFonts w:ascii="Times New Roman" w:hAnsi="Times New Roman" w:cs="Times New Roman"/>
          <w:b/>
          <w:sz w:val="28"/>
          <w:szCs w:val="28"/>
        </w:rPr>
        <w:t>:</w:t>
      </w:r>
    </w:p>
    <w:p w:rsidR="0064446F" w:rsidRPr="0064446F" w:rsidRDefault="0064446F" w:rsidP="0064446F">
      <w:pPr>
        <w:autoSpaceDE w:val="0"/>
        <w:autoSpaceDN w:val="0"/>
        <w:adjustRightInd w:val="0"/>
        <w:spacing w:after="197"/>
        <w:ind w:firstLine="0"/>
        <w:rPr>
          <w:rFonts w:ascii="Times New Roman" w:hAnsi="Times New Roman" w:cs="Times New Roman"/>
          <w:sz w:val="28"/>
          <w:szCs w:val="28"/>
        </w:rPr>
      </w:pPr>
      <w:r w:rsidRPr="0064446F">
        <w:rPr>
          <w:rFonts w:ascii="Times New Roman" w:hAnsi="Times New Roman" w:cs="Times New Roman"/>
          <w:sz w:val="28"/>
          <w:szCs w:val="28"/>
        </w:rPr>
        <w:t>1. Горбачев В. В. Витамины. Макро- и микроэлементы: справочник / В. В. Горбачев, В. Н. Горбачева. − Москва</w:t>
      </w:r>
      <w:proofErr w:type="gramStart"/>
      <w:r w:rsidRPr="006444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46F">
        <w:rPr>
          <w:rFonts w:ascii="Times New Roman" w:hAnsi="Times New Roman" w:cs="Times New Roman"/>
          <w:sz w:val="28"/>
          <w:szCs w:val="28"/>
        </w:rPr>
        <w:t xml:space="preserve"> Мед</w:t>
      </w:r>
      <w:proofErr w:type="gramStart"/>
      <w:r w:rsidRPr="006444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4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4446F">
        <w:rPr>
          <w:rFonts w:ascii="Times New Roman" w:hAnsi="Times New Roman" w:cs="Times New Roman"/>
          <w:sz w:val="28"/>
          <w:szCs w:val="28"/>
        </w:rPr>
        <w:t xml:space="preserve">н., 2011. – 428 с. </w:t>
      </w:r>
    </w:p>
    <w:p w:rsidR="0064446F" w:rsidRPr="0064446F" w:rsidRDefault="0064446F" w:rsidP="0064446F">
      <w:pPr>
        <w:autoSpaceDE w:val="0"/>
        <w:autoSpaceDN w:val="0"/>
        <w:adjustRightInd w:val="0"/>
        <w:spacing w:after="197"/>
        <w:ind w:firstLine="0"/>
        <w:rPr>
          <w:rFonts w:ascii="Times New Roman" w:hAnsi="Times New Roman" w:cs="Times New Roman"/>
          <w:sz w:val="28"/>
          <w:szCs w:val="28"/>
        </w:rPr>
      </w:pPr>
      <w:r w:rsidRPr="0064446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Дацюк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О. І.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Дисцитокінемія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як предиктор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стартової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інфузійної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комплексі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передопераційної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44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446F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панкреатит / О. І.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Дацюк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Бевз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Клінічна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хірургія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. − 2016. − № 5. − С. 41−44. </w:t>
      </w:r>
    </w:p>
    <w:p w:rsidR="0064446F" w:rsidRPr="0064446F" w:rsidRDefault="0064446F" w:rsidP="0064446F">
      <w:pPr>
        <w:autoSpaceDE w:val="0"/>
        <w:autoSpaceDN w:val="0"/>
        <w:adjustRightInd w:val="0"/>
        <w:spacing w:after="197"/>
        <w:ind w:firstLine="0"/>
        <w:rPr>
          <w:rFonts w:ascii="Times New Roman" w:hAnsi="Times New Roman" w:cs="Times New Roman"/>
          <w:sz w:val="28"/>
          <w:szCs w:val="28"/>
        </w:rPr>
      </w:pPr>
      <w:r w:rsidRPr="0064446F">
        <w:rPr>
          <w:rFonts w:ascii="Times New Roman" w:hAnsi="Times New Roman" w:cs="Times New Roman"/>
          <w:sz w:val="28"/>
          <w:szCs w:val="28"/>
        </w:rPr>
        <w:t xml:space="preserve">3. Клиническая иммунология и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алергология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с возрастными особенностями: учебное пособие / В.Е.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Казамирчук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, Л.В. Ковальчук, Д.В. Мальцев / - 2-е изд. – К. ВСИ «Медицина», 2012. - 520 </w:t>
      </w:r>
      <w:proofErr w:type="gramStart"/>
      <w:r w:rsidRPr="006444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46F" w:rsidRPr="0064446F" w:rsidRDefault="0064446F" w:rsidP="0064446F">
      <w:pPr>
        <w:autoSpaceDE w:val="0"/>
        <w:autoSpaceDN w:val="0"/>
        <w:adjustRightInd w:val="0"/>
        <w:spacing w:after="197"/>
        <w:ind w:firstLine="0"/>
        <w:rPr>
          <w:rFonts w:ascii="Times New Roman" w:hAnsi="Times New Roman" w:cs="Times New Roman"/>
          <w:sz w:val="28"/>
          <w:szCs w:val="28"/>
        </w:rPr>
      </w:pPr>
      <w:r w:rsidRPr="0064446F">
        <w:rPr>
          <w:rFonts w:ascii="Times New Roman" w:hAnsi="Times New Roman" w:cs="Times New Roman"/>
          <w:sz w:val="28"/>
          <w:szCs w:val="28"/>
        </w:rPr>
        <w:t xml:space="preserve">4. Куц Л. В.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Клінічна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імунологія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первинні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імунодефіцити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446F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4446F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/ Л. В. Куц. −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proofErr w:type="gramStart"/>
      <w:r w:rsidRPr="006444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46F">
        <w:rPr>
          <w:rFonts w:ascii="Times New Roman" w:hAnsi="Times New Roman" w:cs="Times New Roman"/>
          <w:sz w:val="28"/>
          <w:szCs w:val="28"/>
        </w:rPr>
        <w:t xml:space="preserve"> СДУ, 2014. – 154 с. </w:t>
      </w:r>
    </w:p>
    <w:p w:rsidR="0064446F" w:rsidRPr="0064446F" w:rsidRDefault="0064446F" w:rsidP="0064446F">
      <w:pPr>
        <w:autoSpaceDE w:val="0"/>
        <w:autoSpaceDN w:val="0"/>
        <w:adjustRightInd w:val="0"/>
        <w:spacing w:after="197"/>
        <w:ind w:firstLine="0"/>
        <w:rPr>
          <w:rFonts w:ascii="Times New Roman" w:hAnsi="Times New Roman" w:cs="Times New Roman"/>
          <w:sz w:val="28"/>
          <w:szCs w:val="28"/>
        </w:rPr>
      </w:pPr>
      <w:r w:rsidRPr="0064446F">
        <w:rPr>
          <w:rFonts w:ascii="Times New Roman" w:hAnsi="Times New Roman" w:cs="Times New Roman"/>
          <w:sz w:val="28"/>
          <w:szCs w:val="28"/>
        </w:rPr>
        <w:t xml:space="preserve">5. Макро-та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мікроелементи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патологія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/ М. В.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Погорєлов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, В. І.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Бумейстер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, Г. Ф. Ткач [та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.];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Сумський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. −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СумДУ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, 2010. – 145 с. </w:t>
      </w:r>
    </w:p>
    <w:p w:rsidR="0064446F" w:rsidRPr="0064446F" w:rsidRDefault="0064446F" w:rsidP="0064446F">
      <w:pPr>
        <w:autoSpaceDE w:val="0"/>
        <w:autoSpaceDN w:val="0"/>
        <w:adjustRightInd w:val="0"/>
        <w:spacing w:after="197"/>
        <w:ind w:firstLine="0"/>
        <w:rPr>
          <w:rFonts w:ascii="Times New Roman" w:hAnsi="Times New Roman" w:cs="Times New Roman"/>
          <w:sz w:val="28"/>
          <w:szCs w:val="28"/>
        </w:rPr>
      </w:pPr>
      <w:r w:rsidRPr="0064446F">
        <w:rPr>
          <w:rFonts w:ascii="Times New Roman" w:hAnsi="Times New Roman" w:cs="Times New Roman"/>
          <w:sz w:val="28"/>
          <w:szCs w:val="28"/>
        </w:rPr>
        <w:t xml:space="preserve">6. Меркулов Г. А. Курс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патологогистологической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техники / Г. А. Меркулов. – М.: Медицина, 1961. – 339 с. </w:t>
      </w:r>
    </w:p>
    <w:p w:rsidR="0064446F" w:rsidRPr="0064446F" w:rsidRDefault="0064446F" w:rsidP="0064446F">
      <w:pPr>
        <w:autoSpaceDE w:val="0"/>
        <w:autoSpaceDN w:val="0"/>
        <w:adjustRightInd w:val="0"/>
        <w:spacing w:after="197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4446F">
        <w:rPr>
          <w:rFonts w:ascii="Times New Roman" w:hAnsi="Times New Roman" w:cs="Times New Roman"/>
          <w:sz w:val="28"/>
          <w:szCs w:val="28"/>
        </w:rPr>
        <w:lastRenderedPageBreak/>
        <w:t xml:space="preserve">7. Пат. 80979 UA, G09В 23/28 (2006.01)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надмірної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ваги /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Ніколаєва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Ковальцова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Євтушенко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Т.Г. (UA);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заявник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(UA). - № u 2013 01221,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. 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01.02.2013;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. 10.06.2013.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. № 11. – 4 </w:t>
      </w:r>
      <w:r w:rsidRPr="0064446F">
        <w:rPr>
          <w:rFonts w:ascii="Times New Roman" w:hAnsi="Times New Roman" w:cs="Times New Roman"/>
          <w:sz w:val="28"/>
          <w:szCs w:val="28"/>
        </w:rPr>
        <w:t>с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4446F" w:rsidRPr="0064446F" w:rsidRDefault="0064446F" w:rsidP="0064446F">
      <w:pPr>
        <w:autoSpaceDE w:val="0"/>
        <w:autoSpaceDN w:val="0"/>
        <w:adjustRightInd w:val="0"/>
        <w:spacing w:after="197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8. Interleukin-12 as a predictor of outcome in patients with severe acute pancreatitis / P. </w:t>
      </w:r>
      <w:proofErr w:type="spellStart"/>
      <w:r w:rsidRPr="0064446F">
        <w:rPr>
          <w:rFonts w:ascii="Times New Roman" w:hAnsi="Times New Roman" w:cs="Times New Roman"/>
          <w:sz w:val="28"/>
          <w:szCs w:val="28"/>
          <w:lang w:val="en-US"/>
        </w:rPr>
        <w:t>Gregorić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, K. </w:t>
      </w:r>
      <w:proofErr w:type="spellStart"/>
      <w:r w:rsidRPr="0064446F">
        <w:rPr>
          <w:rFonts w:ascii="Times New Roman" w:hAnsi="Times New Roman" w:cs="Times New Roman"/>
          <w:sz w:val="28"/>
          <w:szCs w:val="28"/>
          <w:lang w:val="en-US"/>
        </w:rPr>
        <w:t>Doklestić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, S. </w:t>
      </w:r>
      <w:proofErr w:type="spellStart"/>
      <w:r w:rsidRPr="0064446F">
        <w:rPr>
          <w:rFonts w:ascii="Times New Roman" w:hAnsi="Times New Roman" w:cs="Times New Roman"/>
          <w:sz w:val="28"/>
          <w:szCs w:val="28"/>
          <w:lang w:val="en-US"/>
        </w:rPr>
        <w:t>Stanković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[et al.] // </w:t>
      </w:r>
      <w:proofErr w:type="spellStart"/>
      <w:r w:rsidRPr="0064446F">
        <w:rPr>
          <w:rFonts w:ascii="Times New Roman" w:hAnsi="Times New Roman" w:cs="Times New Roman"/>
          <w:sz w:val="28"/>
          <w:szCs w:val="28"/>
          <w:lang w:val="en-US"/>
        </w:rPr>
        <w:t>Hepatogastroenterology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. – 2014. – Vol. 61, N 129. – P. 208−211. </w:t>
      </w:r>
    </w:p>
    <w:p w:rsidR="0064446F" w:rsidRPr="0064446F" w:rsidRDefault="0064446F" w:rsidP="0064446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9. T-cell populations in chronic pancreatitis / S. Mansour, C. D. Johnson, J. Sanderson [et al.] // </w:t>
      </w:r>
      <w:proofErr w:type="spellStart"/>
      <w:r w:rsidRPr="0064446F">
        <w:rPr>
          <w:rFonts w:ascii="Times New Roman" w:hAnsi="Times New Roman" w:cs="Times New Roman"/>
          <w:sz w:val="28"/>
          <w:szCs w:val="28"/>
          <w:lang w:val="en-US"/>
        </w:rPr>
        <w:t>Pancreatology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. – 2015. – Vol. 15, N 4. – P. 311−312. − DOI: 10.1016/j.pan.2015.04.009. </w:t>
      </w:r>
    </w:p>
    <w:p w:rsidR="0064446F" w:rsidRPr="0064446F" w:rsidRDefault="0064446F" w:rsidP="0064446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10. T-helper cell-mediated islet inflammation contributes to </w:t>
      </w:r>
      <w:r w:rsidRPr="0064446F">
        <w:rPr>
          <w:rFonts w:ascii="Times New Roman" w:hAnsi="Times New Roman" w:cs="Times New Roman"/>
          <w:sz w:val="28"/>
          <w:szCs w:val="28"/>
        </w:rPr>
        <w:t>β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-cell dysfunction in chronic pancreatitis / R. </w:t>
      </w:r>
      <w:proofErr w:type="spellStart"/>
      <w:r w:rsidRPr="0064446F">
        <w:rPr>
          <w:rFonts w:ascii="Times New Roman" w:hAnsi="Times New Roman" w:cs="Times New Roman"/>
          <w:sz w:val="28"/>
          <w:szCs w:val="28"/>
          <w:lang w:val="en-US"/>
        </w:rPr>
        <w:t>Talukdar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64446F">
        <w:rPr>
          <w:rFonts w:ascii="Times New Roman" w:hAnsi="Times New Roman" w:cs="Times New Roman"/>
          <w:sz w:val="28"/>
          <w:szCs w:val="28"/>
          <w:lang w:val="en-US"/>
        </w:rPr>
        <w:t>Sasikala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, P. </w:t>
      </w:r>
      <w:proofErr w:type="spellStart"/>
      <w:r w:rsidRPr="0064446F">
        <w:rPr>
          <w:rFonts w:ascii="Times New Roman" w:hAnsi="Times New Roman" w:cs="Times New Roman"/>
          <w:sz w:val="28"/>
          <w:szCs w:val="28"/>
          <w:lang w:val="en-US"/>
        </w:rPr>
        <w:t>Pavan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Kumar [et al.]// Pancreas</w:t>
      </w:r>
      <w:proofErr w:type="gramStart"/>
      <w:r w:rsidRPr="0064446F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2016. – Vol. 45, N 3. – P. 434−442. − DOI: 10.1097/MPA.0000000000000479. </w:t>
      </w:r>
    </w:p>
    <w:p w:rsidR="0064446F" w:rsidRPr="0064446F" w:rsidRDefault="0064446F" w:rsidP="0064446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446F" w:rsidRPr="0064446F" w:rsidRDefault="0064446F" w:rsidP="0064446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446F">
        <w:rPr>
          <w:rFonts w:ascii="Times New Roman" w:hAnsi="Times New Roman" w:cs="Times New Roman"/>
          <w:b/>
          <w:bCs/>
          <w:sz w:val="28"/>
          <w:szCs w:val="28"/>
        </w:rPr>
        <w:t>Вплив</w:t>
      </w:r>
      <w:proofErr w:type="spellEnd"/>
      <w:r w:rsidRPr="006444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b/>
          <w:bCs/>
          <w:sz w:val="28"/>
          <w:szCs w:val="28"/>
        </w:rPr>
        <w:t>цитокінів</w:t>
      </w:r>
      <w:proofErr w:type="spellEnd"/>
      <w:r w:rsidRPr="006444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6444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b/>
          <w:bCs/>
          <w:sz w:val="28"/>
          <w:szCs w:val="28"/>
        </w:rPr>
        <w:t>деяких</w:t>
      </w:r>
      <w:proofErr w:type="spellEnd"/>
      <w:r w:rsidRPr="006444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b/>
          <w:bCs/>
          <w:sz w:val="28"/>
          <w:szCs w:val="28"/>
        </w:rPr>
        <w:t>макр</w:t>
      </w:r>
      <w:proofErr w:type="gramStart"/>
      <w:r w:rsidRPr="0064446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4446F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proofErr w:type="gramEnd"/>
      <w:r w:rsidRPr="006444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6444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b/>
          <w:bCs/>
          <w:sz w:val="28"/>
          <w:szCs w:val="28"/>
        </w:rPr>
        <w:t>мікроелементів</w:t>
      </w:r>
      <w:proofErr w:type="spellEnd"/>
      <w:r w:rsidRPr="006444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6444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b/>
          <w:bCs/>
          <w:sz w:val="28"/>
          <w:szCs w:val="28"/>
        </w:rPr>
        <w:t>стан</w:t>
      </w:r>
      <w:r w:rsidRPr="006444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b/>
          <w:bCs/>
          <w:sz w:val="28"/>
          <w:szCs w:val="28"/>
        </w:rPr>
        <w:t>імунологічної</w:t>
      </w:r>
      <w:proofErr w:type="spellEnd"/>
      <w:r w:rsidRPr="006444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b/>
          <w:bCs/>
          <w:sz w:val="28"/>
          <w:szCs w:val="28"/>
        </w:rPr>
        <w:t>реактивності</w:t>
      </w:r>
      <w:proofErr w:type="spellEnd"/>
      <w:r w:rsidRPr="006444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b/>
          <w:bCs/>
          <w:sz w:val="28"/>
          <w:szCs w:val="28"/>
        </w:rPr>
        <w:t>вагітних</w:t>
      </w:r>
      <w:proofErr w:type="spellEnd"/>
      <w:r w:rsidRPr="006444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b/>
          <w:bCs/>
          <w:sz w:val="28"/>
          <w:szCs w:val="28"/>
        </w:rPr>
        <w:t>щурів</w:t>
      </w:r>
      <w:proofErr w:type="spellEnd"/>
      <w:r w:rsidRPr="006444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6444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b/>
          <w:bCs/>
          <w:sz w:val="28"/>
          <w:szCs w:val="28"/>
        </w:rPr>
        <w:t>знаходилися</w:t>
      </w:r>
      <w:proofErr w:type="spellEnd"/>
      <w:r w:rsidRPr="006444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6444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b/>
          <w:bCs/>
          <w:sz w:val="28"/>
          <w:szCs w:val="28"/>
        </w:rPr>
        <w:t>гіперкалорійній</w:t>
      </w:r>
      <w:proofErr w:type="spellEnd"/>
      <w:r w:rsidRPr="006444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b/>
          <w:bCs/>
          <w:sz w:val="28"/>
          <w:szCs w:val="28"/>
        </w:rPr>
        <w:t>диєті</w:t>
      </w:r>
      <w:proofErr w:type="spellEnd"/>
      <w:r w:rsidRPr="006444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6444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b/>
          <w:bCs/>
          <w:sz w:val="28"/>
          <w:szCs w:val="28"/>
        </w:rPr>
        <w:t>їх</w:t>
      </w:r>
      <w:proofErr w:type="spellEnd"/>
      <w:r w:rsidRPr="006444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b/>
          <w:bCs/>
          <w:sz w:val="28"/>
          <w:szCs w:val="28"/>
        </w:rPr>
        <w:t>потомства</w:t>
      </w:r>
    </w:p>
    <w:p w:rsidR="0064446F" w:rsidRPr="0064446F" w:rsidRDefault="0064446F" w:rsidP="0064446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64446F" w:rsidRPr="0064446F" w:rsidRDefault="0064446F" w:rsidP="0064446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4446F">
        <w:rPr>
          <w:rFonts w:ascii="Times New Roman" w:hAnsi="Times New Roman" w:cs="Times New Roman"/>
          <w:b/>
          <w:bCs/>
          <w:sz w:val="28"/>
          <w:szCs w:val="28"/>
        </w:rPr>
        <w:t>Резюме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4446F">
        <w:rPr>
          <w:rFonts w:ascii="Times New Roman" w:hAnsi="Times New Roman" w:cs="Times New Roman"/>
          <w:sz w:val="28"/>
          <w:szCs w:val="28"/>
        </w:rPr>
        <w:t>При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з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>'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ясуванні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дисбалансу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макро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64446F">
        <w:rPr>
          <w:rFonts w:ascii="Times New Roman" w:hAnsi="Times New Roman" w:cs="Times New Roman"/>
          <w:sz w:val="28"/>
          <w:szCs w:val="28"/>
        </w:rPr>
        <w:t>і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мікроелементів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44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гомогенаті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підшлункової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і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цитокінів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в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імунних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у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щурів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на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гіперкалорійних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дієті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та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у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потомства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в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з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контролем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дисбалансу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цитокінів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з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переважним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збільшенням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ІЛ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-12,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зниженням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64446F">
        <w:rPr>
          <w:rFonts w:ascii="Times New Roman" w:hAnsi="Times New Roman" w:cs="Times New Roman"/>
          <w:sz w:val="28"/>
          <w:szCs w:val="28"/>
        </w:rPr>
        <w:t>ІЛ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-4,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4446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4446F">
        <w:rPr>
          <w:rFonts w:ascii="Times New Roman" w:hAnsi="Times New Roman" w:cs="Times New Roman"/>
          <w:sz w:val="28"/>
          <w:szCs w:val="28"/>
        </w:rPr>
        <w:t>ідчить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про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в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патогенез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ушкодження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підшлункової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клітинної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ланки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імунітету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4446F">
        <w:rPr>
          <w:rFonts w:ascii="Times New Roman" w:hAnsi="Times New Roman" w:cs="Times New Roman"/>
          <w:sz w:val="28"/>
          <w:szCs w:val="28"/>
        </w:rPr>
        <w:t>а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так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само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дисбалансу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макро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64446F">
        <w:rPr>
          <w:rFonts w:ascii="Times New Roman" w:hAnsi="Times New Roman" w:cs="Times New Roman"/>
          <w:sz w:val="28"/>
          <w:szCs w:val="28"/>
        </w:rPr>
        <w:t>і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мікроелементів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з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зниженням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цинку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інгібітора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апоптозу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негативно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на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функціональній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і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хронічного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панкреатиту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в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4446F" w:rsidRPr="0064446F" w:rsidRDefault="0064446F" w:rsidP="0064446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44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Ключові</w:t>
      </w:r>
      <w:proofErr w:type="spellEnd"/>
      <w:r w:rsidRPr="006444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4446F">
        <w:rPr>
          <w:rFonts w:ascii="Times New Roman" w:hAnsi="Times New Roman" w:cs="Times New Roman"/>
          <w:b/>
          <w:bCs/>
          <w:sz w:val="28"/>
          <w:szCs w:val="28"/>
        </w:rPr>
        <w:t>слова</w:t>
      </w:r>
      <w:r w:rsidRPr="006444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імунологічна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реактивність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цитокіни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6444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446F">
        <w:rPr>
          <w:rFonts w:ascii="Times New Roman" w:hAnsi="Times New Roman" w:cs="Times New Roman"/>
          <w:sz w:val="28"/>
          <w:szCs w:val="28"/>
        </w:rPr>
        <w:t>ідшлункова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залоза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4446F">
        <w:rPr>
          <w:rFonts w:ascii="Times New Roman" w:hAnsi="Times New Roman" w:cs="Times New Roman"/>
          <w:sz w:val="28"/>
          <w:szCs w:val="28"/>
        </w:rPr>
        <w:t>макро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64446F">
        <w:rPr>
          <w:rFonts w:ascii="Times New Roman" w:hAnsi="Times New Roman" w:cs="Times New Roman"/>
          <w:sz w:val="28"/>
          <w:szCs w:val="28"/>
        </w:rPr>
        <w:t>і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мікроелементи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4446F" w:rsidRDefault="0064446F" w:rsidP="0064446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446F" w:rsidRPr="0064446F" w:rsidRDefault="0064446F" w:rsidP="0064446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446F">
        <w:rPr>
          <w:rFonts w:ascii="Times New Roman" w:hAnsi="Times New Roman" w:cs="Times New Roman"/>
          <w:b/>
          <w:bCs/>
          <w:sz w:val="28"/>
          <w:szCs w:val="28"/>
        </w:rPr>
        <w:t>Влияние цитокинов и некоторых макр</w:t>
      </w:r>
      <w:proofErr w:type="gramStart"/>
      <w:r w:rsidRPr="0064446F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64446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64446F">
        <w:rPr>
          <w:rFonts w:ascii="Times New Roman" w:hAnsi="Times New Roman" w:cs="Times New Roman"/>
          <w:b/>
          <w:bCs/>
          <w:sz w:val="28"/>
          <w:szCs w:val="28"/>
        </w:rPr>
        <w:t>микроелементов</w:t>
      </w:r>
      <w:proofErr w:type="spellEnd"/>
      <w:r w:rsidRPr="0064446F">
        <w:rPr>
          <w:rFonts w:ascii="Times New Roman" w:hAnsi="Times New Roman" w:cs="Times New Roman"/>
          <w:b/>
          <w:bCs/>
          <w:sz w:val="28"/>
          <w:szCs w:val="28"/>
        </w:rPr>
        <w:t xml:space="preserve"> на состояние иммунологической реактивности беременности крыс находившихся на </w:t>
      </w:r>
      <w:proofErr w:type="spellStart"/>
      <w:r w:rsidRPr="0064446F">
        <w:rPr>
          <w:rFonts w:ascii="Times New Roman" w:hAnsi="Times New Roman" w:cs="Times New Roman"/>
          <w:b/>
          <w:bCs/>
          <w:sz w:val="28"/>
          <w:szCs w:val="28"/>
        </w:rPr>
        <w:t>гиперкалорийной</w:t>
      </w:r>
      <w:proofErr w:type="spellEnd"/>
      <w:r w:rsidRPr="0064446F">
        <w:rPr>
          <w:rFonts w:ascii="Times New Roman" w:hAnsi="Times New Roman" w:cs="Times New Roman"/>
          <w:b/>
          <w:bCs/>
          <w:sz w:val="28"/>
          <w:szCs w:val="28"/>
        </w:rPr>
        <w:t xml:space="preserve"> диете и их потомства</w:t>
      </w:r>
    </w:p>
    <w:p w:rsidR="0064446F" w:rsidRPr="0064446F" w:rsidRDefault="0064446F" w:rsidP="0064446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446F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64446F" w:rsidRPr="0064446F" w:rsidRDefault="0064446F" w:rsidP="0064446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4446F">
        <w:rPr>
          <w:rFonts w:ascii="Times New Roman" w:hAnsi="Times New Roman" w:cs="Times New Roman"/>
          <w:b/>
          <w:bCs/>
          <w:sz w:val="28"/>
          <w:szCs w:val="28"/>
        </w:rPr>
        <w:t xml:space="preserve">Резюме. </w:t>
      </w:r>
      <w:r w:rsidRPr="0064446F">
        <w:rPr>
          <w:rFonts w:ascii="Times New Roman" w:hAnsi="Times New Roman" w:cs="Times New Roman"/>
          <w:sz w:val="28"/>
          <w:szCs w:val="28"/>
        </w:rPr>
        <w:t>При выяснении роли дисбаланса макр</w:t>
      </w:r>
      <w:proofErr w:type="gramStart"/>
      <w:r w:rsidRPr="0064446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444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микроелементов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гомогенате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ткани поджелудочной железы и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эффекторных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цитокинов крови в реализации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имунных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реакций у находившихся на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гиперкалорийной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диете во время беременности крыс и у их потомства по сравнению с контролем, установлено: наличие дисбаланса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 цитокинов с преимущественным увеличением содержания ІЛ-12, снижением - ІЛ-4, что свидетельствует о преимущественном вовлечении в патогенез повреждения поджелудочной железы клеточного звена иммунитета, а так же наличие дисбаланса макро- и микроэлементов с преимущественным снижением уровня цинка - ингибитора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апоптоза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 xml:space="preserve">, что негативно сказывается на функциональной активности клеток и может способствовать развитию хронического панкреатита в будущем. 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194 </w:t>
      </w:r>
    </w:p>
    <w:p w:rsidR="0064446F" w:rsidRPr="0064446F" w:rsidRDefault="0064446F" w:rsidP="0064446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64446F" w:rsidRPr="00BD3BB5" w:rsidRDefault="0064446F" w:rsidP="0064446F">
      <w:pPr>
        <w:pageBreakBefore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6444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Ключевые</w:t>
      </w:r>
      <w:r w:rsidRPr="00BD3B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446F">
        <w:rPr>
          <w:rFonts w:ascii="Times New Roman" w:hAnsi="Times New Roman" w:cs="Times New Roman"/>
          <w:b/>
          <w:bCs/>
          <w:sz w:val="28"/>
          <w:szCs w:val="28"/>
        </w:rPr>
        <w:t>слова</w:t>
      </w:r>
      <w:r w:rsidRPr="00BD3B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иммунологическая</w:t>
      </w:r>
      <w:r w:rsidRPr="00BD3BB5">
        <w:rPr>
          <w:rFonts w:ascii="Times New Roman" w:hAnsi="Times New Roman" w:cs="Times New Roman"/>
          <w:sz w:val="28"/>
          <w:szCs w:val="28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реактивность</w:t>
      </w:r>
      <w:r w:rsidRPr="00BD3BB5">
        <w:rPr>
          <w:rFonts w:ascii="Times New Roman" w:hAnsi="Times New Roman" w:cs="Times New Roman"/>
          <w:sz w:val="28"/>
          <w:szCs w:val="28"/>
        </w:rPr>
        <w:t xml:space="preserve">, </w:t>
      </w:r>
      <w:r w:rsidRPr="0064446F">
        <w:rPr>
          <w:rFonts w:ascii="Times New Roman" w:hAnsi="Times New Roman" w:cs="Times New Roman"/>
          <w:sz w:val="28"/>
          <w:szCs w:val="28"/>
        </w:rPr>
        <w:t>цитокины</w:t>
      </w:r>
      <w:r w:rsidRPr="00BD3BB5">
        <w:rPr>
          <w:rFonts w:ascii="Times New Roman" w:hAnsi="Times New Roman" w:cs="Times New Roman"/>
          <w:sz w:val="28"/>
          <w:szCs w:val="28"/>
        </w:rPr>
        <w:t xml:space="preserve">, </w:t>
      </w:r>
      <w:r w:rsidRPr="0064446F">
        <w:rPr>
          <w:rFonts w:ascii="Times New Roman" w:hAnsi="Times New Roman" w:cs="Times New Roman"/>
          <w:sz w:val="28"/>
          <w:szCs w:val="28"/>
        </w:rPr>
        <w:t>поджелудочная</w:t>
      </w:r>
      <w:r w:rsidRPr="00BD3BB5">
        <w:rPr>
          <w:rFonts w:ascii="Times New Roman" w:hAnsi="Times New Roman" w:cs="Times New Roman"/>
          <w:sz w:val="28"/>
          <w:szCs w:val="28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железа</w:t>
      </w:r>
      <w:r w:rsidRPr="00BD3BB5">
        <w:rPr>
          <w:rFonts w:ascii="Times New Roman" w:hAnsi="Times New Roman" w:cs="Times New Roman"/>
          <w:sz w:val="28"/>
          <w:szCs w:val="28"/>
        </w:rPr>
        <w:t xml:space="preserve">, </w:t>
      </w:r>
      <w:r w:rsidRPr="0064446F">
        <w:rPr>
          <w:rFonts w:ascii="Times New Roman" w:hAnsi="Times New Roman" w:cs="Times New Roman"/>
          <w:sz w:val="28"/>
          <w:szCs w:val="28"/>
        </w:rPr>
        <w:t>макр</w:t>
      </w:r>
      <w:proofErr w:type="gramStart"/>
      <w:r w:rsidRPr="0064446F">
        <w:rPr>
          <w:rFonts w:ascii="Times New Roman" w:hAnsi="Times New Roman" w:cs="Times New Roman"/>
          <w:sz w:val="28"/>
          <w:szCs w:val="28"/>
        </w:rPr>
        <w:t>о</w:t>
      </w:r>
      <w:r w:rsidRPr="00BD3BB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D3BB5">
        <w:rPr>
          <w:rFonts w:ascii="Times New Roman" w:hAnsi="Times New Roman" w:cs="Times New Roman"/>
          <w:sz w:val="28"/>
          <w:szCs w:val="28"/>
        </w:rPr>
        <w:t xml:space="preserve"> </w:t>
      </w:r>
      <w:r w:rsidRPr="0064446F">
        <w:rPr>
          <w:rFonts w:ascii="Times New Roman" w:hAnsi="Times New Roman" w:cs="Times New Roman"/>
          <w:sz w:val="28"/>
          <w:szCs w:val="28"/>
        </w:rPr>
        <w:t>и</w:t>
      </w:r>
      <w:r w:rsidRPr="00BD3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6F">
        <w:rPr>
          <w:rFonts w:ascii="Times New Roman" w:hAnsi="Times New Roman" w:cs="Times New Roman"/>
          <w:sz w:val="28"/>
          <w:szCs w:val="28"/>
        </w:rPr>
        <w:t>микроелементы</w:t>
      </w:r>
      <w:proofErr w:type="spellEnd"/>
      <w:r w:rsidRPr="00BD3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46F" w:rsidRDefault="0064446F" w:rsidP="0064446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446F" w:rsidRPr="0064446F" w:rsidRDefault="0064446F" w:rsidP="0064446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4446F">
        <w:rPr>
          <w:rFonts w:ascii="Times New Roman" w:hAnsi="Times New Roman" w:cs="Times New Roman"/>
          <w:b/>
          <w:bCs/>
          <w:sz w:val="28"/>
          <w:szCs w:val="28"/>
          <w:lang w:val="en-US"/>
        </w:rPr>
        <w:t>Influence of cytokines and some macro- and microelements on the state of immunological reactivity were</w:t>
      </w:r>
      <w:proofErr w:type="gramEnd"/>
      <w:r w:rsidRPr="006444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on </w:t>
      </w:r>
      <w:proofErr w:type="spellStart"/>
      <w:r w:rsidRPr="0064446F">
        <w:rPr>
          <w:rFonts w:ascii="Times New Roman" w:hAnsi="Times New Roman" w:cs="Times New Roman"/>
          <w:b/>
          <w:bCs/>
          <w:sz w:val="28"/>
          <w:szCs w:val="28"/>
          <w:lang w:val="en-US"/>
        </w:rPr>
        <w:t>hypercaloric</w:t>
      </w:r>
      <w:proofErr w:type="spellEnd"/>
      <w:r w:rsidRPr="006444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diet during pregnancy rats and their offspring.</w:t>
      </w:r>
    </w:p>
    <w:p w:rsidR="0064446F" w:rsidRPr="0064446F" w:rsidRDefault="0064446F" w:rsidP="0064446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4446F">
        <w:rPr>
          <w:rFonts w:ascii="Times New Roman" w:hAnsi="Times New Roman" w:cs="Times New Roman"/>
          <w:sz w:val="28"/>
          <w:szCs w:val="28"/>
          <w:lang w:val="en-US"/>
        </w:rPr>
        <w:t>Kharkov National Medical University</w:t>
      </w:r>
    </w:p>
    <w:p w:rsidR="0064446F" w:rsidRPr="0064446F" w:rsidRDefault="0064446F" w:rsidP="0064446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In explaining the role of macro- and microelements imbalance in pancreatic tissue homogenates and blood effector cytokines in the implementation of immune responses in rats were on </w:t>
      </w:r>
      <w:proofErr w:type="spellStart"/>
      <w:r w:rsidRPr="0064446F">
        <w:rPr>
          <w:rFonts w:ascii="Times New Roman" w:hAnsi="Times New Roman" w:cs="Times New Roman"/>
          <w:sz w:val="28"/>
          <w:szCs w:val="28"/>
          <w:lang w:val="en-US"/>
        </w:rPr>
        <w:t>hypercaloric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diet during pregnancy and in their offspring as compared with the control is established: the presence of an imbalance of the regulatory cytokine with a predominant increase in the content </w:t>
      </w:r>
      <w:r w:rsidRPr="0064446F">
        <w:rPr>
          <w:rFonts w:ascii="Times New Roman" w:hAnsi="Times New Roman" w:cs="Times New Roman"/>
          <w:sz w:val="28"/>
          <w:szCs w:val="28"/>
        </w:rPr>
        <w:t>І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L-12, decrease - </w:t>
      </w:r>
      <w:r w:rsidRPr="0064446F">
        <w:rPr>
          <w:rFonts w:ascii="Times New Roman" w:hAnsi="Times New Roman" w:cs="Times New Roman"/>
          <w:sz w:val="28"/>
          <w:szCs w:val="28"/>
        </w:rPr>
        <w:t>І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L-4, which indicates the preferential involvement in the pathogenesis of lesions of the pancreas cell immunity, as well as the presence of macro-imbalances </w:t>
      </w:r>
      <w:proofErr w:type="spellStart"/>
      <w:r w:rsidRPr="0064446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Pr="0064446F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Pr="0064446F">
        <w:rPr>
          <w:rFonts w:ascii="Times New Roman" w:hAnsi="Times New Roman" w:cs="Times New Roman"/>
          <w:sz w:val="28"/>
          <w:szCs w:val="28"/>
          <w:lang w:val="en-US"/>
        </w:rPr>
        <w:t>kroelement</w:t>
      </w:r>
      <w:proofErr w:type="spellEnd"/>
      <w:r w:rsidRPr="0064446F">
        <w:rPr>
          <w:rFonts w:ascii="Times New Roman" w:hAnsi="Times New Roman" w:cs="Times New Roman"/>
          <w:sz w:val="28"/>
          <w:szCs w:val="28"/>
        </w:rPr>
        <w:t>і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 xml:space="preserve">v with mostly lower level of zinc - an inhibitor of apoptosis, which adversely affects the functional activity of the cells and may contribute to chronic pancreatitis in the future. </w:t>
      </w:r>
    </w:p>
    <w:p w:rsidR="0064446F" w:rsidRPr="0064446F" w:rsidRDefault="0064446F" w:rsidP="0064446F">
      <w:pPr>
        <w:rPr>
          <w:sz w:val="28"/>
          <w:szCs w:val="28"/>
          <w:lang w:val="en-US"/>
        </w:rPr>
      </w:pPr>
      <w:r w:rsidRPr="0064446F">
        <w:rPr>
          <w:rFonts w:ascii="Times New Roman" w:hAnsi="Times New Roman" w:cs="Times New Roman"/>
          <w:b/>
          <w:bCs/>
          <w:sz w:val="28"/>
          <w:szCs w:val="28"/>
          <w:lang w:val="en-US"/>
        </w:rPr>
        <w:t>Key words</w:t>
      </w:r>
      <w:r w:rsidRPr="0064446F">
        <w:rPr>
          <w:rFonts w:ascii="Times New Roman" w:hAnsi="Times New Roman" w:cs="Times New Roman"/>
          <w:sz w:val="28"/>
          <w:szCs w:val="28"/>
          <w:lang w:val="en-US"/>
        </w:rPr>
        <w:t>: immunologic reactivity, cytokines, pancreas, macro- and microelements</w:t>
      </w:r>
    </w:p>
    <w:sectPr w:rsidR="0064446F" w:rsidRPr="0064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31BFB6"/>
    <w:multiLevelType w:val="hybridMultilevel"/>
    <w:tmpl w:val="D31E6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950137F"/>
    <w:multiLevelType w:val="hybridMultilevel"/>
    <w:tmpl w:val="FBE4E6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DDD937D"/>
    <w:multiLevelType w:val="hybridMultilevel"/>
    <w:tmpl w:val="A59291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FA73772"/>
    <w:multiLevelType w:val="hybridMultilevel"/>
    <w:tmpl w:val="24E301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C709151"/>
    <w:multiLevelType w:val="hybridMultilevel"/>
    <w:tmpl w:val="7463AE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B0BC538"/>
    <w:multiLevelType w:val="hybridMultilevel"/>
    <w:tmpl w:val="71658F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817A091"/>
    <w:multiLevelType w:val="hybridMultilevel"/>
    <w:tmpl w:val="C8E9CB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B67AD32"/>
    <w:multiLevelType w:val="hybridMultilevel"/>
    <w:tmpl w:val="1EDBBD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6B"/>
    <w:rsid w:val="00027D6B"/>
    <w:rsid w:val="0056200D"/>
    <w:rsid w:val="0064446F"/>
    <w:rsid w:val="00BD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446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446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11673</Words>
  <Characters>6654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Лиля</cp:lastModifiedBy>
  <cp:revision>3</cp:revision>
  <dcterms:created xsi:type="dcterms:W3CDTF">2017-03-23T10:22:00Z</dcterms:created>
  <dcterms:modified xsi:type="dcterms:W3CDTF">2017-03-30T09:33:00Z</dcterms:modified>
</cp:coreProperties>
</file>