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81" w:rsidRPr="004018A2" w:rsidRDefault="00E07681" w:rsidP="00E07681">
      <w:pPr>
        <w:widowControl w:val="0"/>
        <w:autoSpaceDE w:val="0"/>
        <w:autoSpaceDN w:val="0"/>
        <w:adjustRightInd w:val="0"/>
        <w:spacing w:after="240" w:line="360" w:lineRule="auto"/>
        <w:ind w:left="-284" w:right="566"/>
        <w:rPr>
          <w:rFonts w:eastAsia="PetersburgC-Italic"/>
          <w:iCs/>
          <w:sz w:val="28"/>
          <w:szCs w:val="28"/>
        </w:rPr>
      </w:pPr>
      <w:r w:rsidRPr="00E07681">
        <w:rPr>
          <w:rFonts w:eastAsia="PetersburgC-Italic"/>
          <w:iCs/>
          <w:sz w:val="28"/>
          <w:szCs w:val="28"/>
        </w:rPr>
        <w:t>УДК 616.314-007.285</w:t>
      </w:r>
      <w:r w:rsidRPr="004018A2">
        <w:rPr>
          <w:rFonts w:eastAsia="PetersburgC-Italic"/>
          <w:iCs/>
          <w:sz w:val="28"/>
          <w:szCs w:val="28"/>
        </w:rPr>
        <w:t>:316-008.8]:</w:t>
      </w:r>
      <w:r w:rsidRPr="00E07681">
        <w:rPr>
          <w:rFonts w:eastAsia="PetersburgC-Italic"/>
          <w:iCs/>
          <w:sz w:val="28"/>
          <w:szCs w:val="28"/>
        </w:rPr>
        <w:t>577.152: 613.292: 591.476</w:t>
      </w:r>
    </w:p>
    <w:p w:rsidR="00BE6F4F" w:rsidRPr="00BE6F4F" w:rsidRDefault="00BE6F4F" w:rsidP="00BE6F4F">
      <w:pPr>
        <w:widowControl w:val="0"/>
        <w:autoSpaceDE w:val="0"/>
        <w:autoSpaceDN w:val="0"/>
        <w:adjustRightInd w:val="0"/>
        <w:spacing w:after="240" w:line="360" w:lineRule="auto"/>
        <w:ind w:left="-284" w:right="566"/>
        <w:rPr>
          <w:rFonts w:eastAsiaTheme="minorEastAsia"/>
          <w:i/>
          <w:sz w:val="28"/>
          <w:szCs w:val="28"/>
        </w:rPr>
      </w:pPr>
      <w:r w:rsidRPr="00E07681">
        <w:rPr>
          <w:rFonts w:eastAsiaTheme="minorEastAsia"/>
          <w:i/>
          <w:sz w:val="28"/>
          <w:szCs w:val="28"/>
        </w:rPr>
        <w:t>Никонов А.Ю., Сергиенко М.А.</w:t>
      </w:r>
    </w:p>
    <w:p w:rsidR="00E07681" w:rsidRPr="004018A2" w:rsidRDefault="00E07681" w:rsidP="00E07681">
      <w:pPr>
        <w:widowControl w:val="0"/>
        <w:autoSpaceDE w:val="0"/>
        <w:autoSpaceDN w:val="0"/>
        <w:adjustRightInd w:val="0"/>
        <w:spacing w:after="240" w:line="360" w:lineRule="auto"/>
        <w:ind w:left="-284" w:right="566"/>
        <w:jc w:val="center"/>
        <w:rPr>
          <w:rFonts w:eastAsiaTheme="minorEastAsia"/>
          <w:b/>
          <w:caps/>
          <w:sz w:val="28"/>
          <w:szCs w:val="28"/>
        </w:rPr>
      </w:pPr>
      <w:r w:rsidRPr="00E07681">
        <w:rPr>
          <w:rFonts w:eastAsiaTheme="minorEastAsia"/>
          <w:b/>
          <w:caps/>
          <w:sz w:val="28"/>
          <w:szCs w:val="28"/>
        </w:rPr>
        <w:t>Процессы перекисного окисления липидов и антиоксидантной системы у пациентов с несъё</w:t>
      </w:r>
      <w:r w:rsidR="00BE5A79">
        <w:rPr>
          <w:rFonts w:eastAsiaTheme="minorEastAsia"/>
          <w:b/>
          <w:caps/>
          <w:sz w:val="28"/>
          <w:szCs w:val="28"/>
          <w:lang w:val="uk-UA"/>
        </w:rPr>
        <w:t>м</w:t>
      </w:r>
      <w:r w:rsidRPr="00E07681">
        <w:rPr>
          <w:rFonts w:eastAsiaTheme="minorEastAsia"/>
          <w:b/>
          <w:caps/>
          <w:sz w:val="28"/>
          <w:szCs w:val="28"/>
        </w:rPr>
        <w:t>ными мета</w:t>
      </w:r>
      <w:r w:rsidR="00BE5A79">
        <w:rPr>
          <w:rFonts w:eastAsiaTheme="minorEastAsia"/>
          <w:b/>
          <w:caps/>
          <w:sz w:val="28"/>
          <w:szCs w:val="28"/>
          <w:lang w:val="uk-UA"/>
        </w:rPr>
        <w:t>л</w:t>
      </w:r>
      <w:r w:rsidRPr="00E07681">
        <w:rPr>
          <w:rFonts w:eastAsiaTheme="minorEastAsia"/>
          <w:b/>
          <w:caps/>
          <w:sz w:val="28"/>
          <w:szCs w:val="28"/>
        </w:rPr>
        <w:t>лическими ортопедическими конструкциям</w:t>
      </w:r>
      <w:r w:rsidR="00BE5A79">
        <w:rPr>
          <w:rFonts w:eastAsiaTheme="minorEastAsia"/>
          <w:b/>
          <w:caps/>
          <w:sz w:val="28"/>
          <w:szCs w:val="28"/>
        </w:rPr>
        <w:t>и при использовании парафармаце</w:t>
      </w:r>
      <w:r w:rsidR="00BE5A79">
        <w:rPr>
          <w:rFonts w:eastAsiaTheme="minorEastAsia"/>
          <w:b/>
          <w:caps/>
          <w:sz w:val="28"/>
          <w:szCs w:val="28"/>
          <w:lang w:val="uk-UA"/>
        </w:rPr>
        <w:t>в</w:t>
      </w:r>
      <w:r w:rsidRPr="00E07681">
        <w:rPr>
          <w:rFonts w:eastAsiaTheme="minorEastAsia"/>
          <w:b/>
          <w:caps/>
          <w:sz w:val="28"/>
          <w:szCs w:val="28"/>
        </w:rPr>
        <w:t>тика «Вин-Вита»</w:t>
      </w:r>
    </w:p>
    <w:p w:rsidR="00BE6F4F" w:rsidRDefault="00BE6F4F" w:rsidP="00504C9F">
      <w:pPr>
        <w:widowControl w:val="0"/>
        <w:autoSpaceDE w:val="0"/>
        <w:autoSpaceDN w:val="0"/>
        <w:adjustRightInd w:val="0"/>
        <w:spacing w:after="240" w:line="360" w:lineRule="auto"/>
        <w:ind w:left="-284" w:right="566"/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Харьковский национальный медицинский университет, г. Харьков</w:t>
      </w:r>
    </w:p>
    <w:p w:rsidR="00BE6F4F" w:rsidRPr="00BE6F4F" w:rsidRDefault="00BE6F4F" w:rsidP="00504C9F">
      <w:pPr>
        <w:widowControl w:val="0"/>
        <w:autoSpaceDE w:val="0"/>
        <w:autoSpaceDN w:val="0"/>
        <w:adjustRightInd w:val="0"/>
        <w:spacing w:after="240" w:line="360" w:lineRule="auto"/>
        <w:ind w:left="-284" w:right="566"/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maksim</w:t>
      </w:r>
      <w:r w:rsidRPr="00BE6F4F">
        <w:rPr>
          <w:rFonts w:eastAsiaTheme="minorEastAsia"/>
          <w:i/>
          <w:sz w:val="28"/>
          <w:szCs w:val="28"/>
        </w:rPr>
        <w:t>.</w:t>
      </w:r>
      <w:r>
        <w:rPr>
          <w:rFonts w:eastAsiaTheme="minorEastAsia"/>
          <w:i/>
          <w:sz w:val="28"/>
          <w:szCs w:val="28"/>
          <w:lang w:val="en-US"/>
        </w:rPr>
        <w:t>knave</w:t>
      </w:r>
      <w:r w:rsidRPr="00BE6F4F">
        <w:rPr>
          <w:rFonts w:eastAsiaTheme="minorEastAsia"/>
          <w:i/>
          <w:sz w:val="28"/>
          <w:szCs w:val="28"/>
        </w:rPr>
        <w:t>@</w:t>
      </w:r>
      <w:r>
        <w:rPr>
          <w:rFonts w:eastAsiaTheme="minorEastAsia"/>
          <w:i/>
          <w:sz w:val="28"/>
          <w:szCs w:val="28"/>
          <w:lang w:val="en-US"/>
        </w:rPr>
        <w:t>gmail</w:t>
      </w:r>
      <w:r w:rsidRPr="00BE6F4F">
        <w:rPr>
          <w:rFonts w:eastAsiaTheme="minorEastAsia"/>
          <w:i/>
          <w:sz w:val="28"/>
          <w:szCs w:val="28"/>
        </w:rPr>
        <w:t>.</w:t>
      </w:r>
      <w:r>
        <w:rPr>
          <w:rFonts w:eastAsiaTheme="minorEastAsia"/>
          <w:i/>
          <w:sz w:val="28"/>
          <w:szCs w:val="28"/>
          <w:lang w:val="en-US"/>
        </w:rPr>
        <w:t>com</w:t>
      </w:r>
    </w:p>
    <w:p w:rsidR="00C871F3" w:rsidRPr="00E07681" w:rsidRDefault="00BE6F4F" w:rsidP="00BE5A79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Вступление</w:t>
      </w:r>
      <w:r w:rsidR="00C871F3" w:rsidRPr="00E07681">
        <w:rPr>
          <w:rFonts w:eastAsiaTheme="minorEastAsia"/>
          <w:b/>
          <w:sz w:val="28"/>
          <w:szCs w:val="28"/>
        </w:rPr>
        <w:t>.</w:t>
      </w:r>
      <w:r w:rsidR="00C871F3" w:rsidRPr="00E07681">
        <w:rPr>
          <w:rFonts w:eastAsiaTheme="minorEastAsia"/>
          <w:sz w:val="28"/>
          <w:szCs w:val="28"/>
        </w:rPr>
        <w:t xml:space="preserve"> В стоматологии одним из методов восстановления целостности зубного ряда, является применение несъё</w:t>
      </w:r>
      <w:r w:rsidR="00601667" w:rsidRPr="00E07681">
        <w:rPr>
          <w:rFonts w:eastAsiaTheme="minorEastAsia"/>
          <w:sz w:val="28"/>
          <w:szCs w:val="28"/>
        </w:rPr>
        <w:t>мных</w:t>
      </w:r>
      <w:r w:rsidR="00BE5A79">
        <w:rPr>
          <w:rFonts w:eastAsiaTheme="minorEastAsia"/>
          <w:sz w:val="28"/>
          <w:szCs w:val="28"/>
          <w:lang w:val="uk-UA"/>
        </w:rPr>
        <w:t xml:space="preserve"> металлических</w:t>
      </w:r>
      <w:r w:rsidR="00601667" w:rsidRPr="00E07681">
        <w:rPr>
          <w:rFonts w:eastAsiaTheme="minorEastAsia"/>
          <w:sz w:val="28"/>
          <w:szCs w:val="28"/>
        </w:rPr>
        <w:t xml:space="preserve"> ортопедических конструкций</w:t>
      </w:r>
      <w:r w:rsidR="00D73AB2" w:rsidRPr="00E07681">
        <w:rPr>
          <w:rFonts w:eastAsiaTheme="minorEastAsia"/>
          <w:sz w:val="28"/>
          <w:szCs w:val="28"/>
          <w:lang w:val="uk-UA"/>
        </w:rPr>
        <w:t xml:space="preserve"> </w:t>
      </w:r>
      <w:r w:rsidR="00273805">
        <w:rPr>
          <w:rFonts w:eastAsia="ArialMT"/>
          <w:sz w:val="28"/>
          <w:szCs w:val="28"/>
        </w:rPr>
        <w:t>[7, 13</w:t>
      </w:r>
      <w:r w:rsidR="00D73AB2" w:rsidRPr="00E07681">
        <w:rPr>
          <w:rFonts w:eastAsia="ArialMT"/>
          <w:sz w:val="28"/>
          <w:szCs w:val="28"/>
        </w:rPr>
        <w:t>].</w:t>
      </w:r>
      <w:r w:rsidR="00C871F3" w:rsidRPr="00E07681">
        <w:rPr>
          <w:rFonts w:eastAsiaTheme="minorEastAsia"/>
          <w:sz w:val="28"/>
          <w:szCs w:val="28"/>
        </w:rPr>
        <w:t xml:space="preserve"> Сплавы металлов, применяемые для несъемного протезирования, содержат в своём составе различные вещества, которые способны оказывать отрицательное влияние на окислительно-восстановительные процессы, протекающие местно в полости рта пациента и организме в целом и, как следствие, приводить к </w:t>
      </w:r>
      <w:r w:rsidR="00C871F3" w:rsidRPr="00E07681">
        <w:rPr>
          <w:sz w:val="28"/>
          <w:szCs w:val="28"/>
        </w:rPr>
        <w:t>снижению устойчивости основных физиологически</w:t>
      </w:r>
      <w:r w:rsidR="00601667" w:rsidRPr="00E07681">
        <w:rPr>
          <w:sz w:val="28"/>
          <w:szCs w:val="28"/>
        </w:rPr>
        <w:t>х механизмов организма человека</w:t>
      </w:r>
      <w:r w:rsidR="00C871F3" w:rsidRPr="00E07681">
        <w:rPr>
          <w:sz w:val="28"/>
          <w:szCs w:val="28"/>
        </w:rPr>
        <w:t xml:space="preserve"> </w:t>
      </w:r>
      <w:r w:rsidR="00D73AB2" w:rsidRPr="00E07681">
        <w:rPr>
          <w:sz w:val="28"/>
          <w:szCs w:val="28"/>
        </w:rPr>
        <w:t>[</w:t>
      </w:r>
      <w:r w:rsidR="00273805">
        <w:rPr>
          <w:sz w:val="28"/>
          <w:szCs w:val="28"/>
        </w:rPr>
        <w:t>4</w:t>
      </w:r>
      <w:r w:rsidR="00C147C8" w:rsidRPr="00E07681">
        <w:rPr>
          <w:sz w:val="28"/>
          <w:szCs w:val="28"/>
        </w:rPr>
        <w:t>,</w:t>
      </w:r>
      <w:r w:rsidR="00601667" w:rsidRPr="00E07681">
        <w:rPr>
          <w:sz w:val="28"/>
          <w:szCs w:val="28"/>
        </w:rPr>
        <w:t xml:space="preserve"> </w:t>
      </w:r>
      <w:r w:rsidR="00273805">
        <w:rPr>
          <w:sz w:val="28"/>
          <w:szCs w:val="28"/>
        </w:rPr>
        <w:t>6</w:t>
      </w:r>
      <w:r w:rsidR="00C147C8" w:rsidRPr="00E07681">
        <w:rPr>
          <w:sz w:val="28"/>
          <w:szCs w:val="28"/>
        </w:rPr>
        <w:t>,</w:t>
      </w:r>
      <w:r w:rsidR="00601667" w:rsidRPr="00E07681">
        <w:rPr>
          <w:sz w:val="28"/>
          <w:szCs w:val="28"/>
        </w:rPr>
        <w:t xml:space="preserve"> </w:t>
      </w:r>
      <w:r w:rsidR="00273805">
        <w:rPr>
          <w:sz w:val="28"/>
          <w:szCs w:val="28"/>
        </w:rPr>
        <w:t>11</w:t>
      </w:r>
      <w:r w:rsidR="00C147C8" w:rsidRPr="00E07681">
        <w:rPr>
          <w:sz w:val="28"/>
          <w:szCs w:val="28"/>
        </w:rPr>
        <w:t>,</w:t>
      </w:r>
      <w:r w:rsidR="00601667" w:rsidRPr="00E07681">
        <w:rPr>
          <w:sz w:val="28"/>
          <w:szCs w:val="28"/>
        </w:rPr>
        <w:t xml:space="preserve"> </w:t>
      </w:r>
      <w:r w:rsidR="00273805">
        <w:rPr>
          <w:sz w:val="28"/>
          <w:szCs w:val="28"/>
        </w:rPr>
        <w:t>17</w:t>
      </w:r>
      <w:r w:rsidR="00C147C8" w:rsidRPr="00E07681">
        <w:rPr>
          <w:sz w:val="28"/>
          <w:szCs w:val="28"/>
        </w:rPr>
        <w:t>,</w:t>
      </w:r>
      <w:r w:rsidR="00601667" w:rsidRPr="00E07681">
        <w:rPr>
          <w:sz w:val="28"/>
          <w:szCs w:val="28"/>
        </w:rPr>
        <w:t xml:space="preserve"> </w:t>
      </w:r>
      <w:r w:rsidR="00273805">
        <w:rPr>
          <w:sz w:val="28"/>
          <w:szCs w:val="28"/>
        </w:rPr>
        <w:t>18</w:t>
      </w:r>
      <w:r w:rsidR="00D73AB2" w:rsidRPr="00E07681">
        <w:rPr>
          <w:sz w:val="28"/>
          <w:szCs w:val="28"/>
        </w:rPr>
        <w:t>]</w:t>
      </w:r>
      <w:r w:rsidR="00601667" w:rsidRPr="00E07681">
        <w:rPr>
          <w:sz w:val="28"/>
          <w:szCs w:val="28"/>
        </w:rPr>
        <w:t>.</w:t>
      </w:r>
    </w:p>
    <w:p w:rsidR="00BE5A79" w:rsidRDefault="00C871F3" w:rsidP="00BE5A79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567"/>
        <w:jc w:val="both"/>
        <w:rPr>
          <w:rFonts w:eastAsiaTheme="minorEastAsia"/>
          <w:sz w:val="28"/>
          <w:szCs w:val="28"/>
        </w:rPr>
      </w:pPr>
      <w:r w:rsidRPr="00E07681">
        <w:rPr>
          <w:rFonts w:eastAsiaTheme="minorEastAsia"/>
          <w:sz w:val="28"/>
          <w:szCs w:val="28"/>
        </w:rPr>
        <w:t>Присутствие тяжёлых метал</w:t>
      </w:r>
      <w:r w:rsidR="009C53FB" w:rsidRPr="00E07681">
        <w:rPr>
          <w:rFonts w:eastAsiaTheme="minorEastAsia"/>
          <w:sz w:val="28"/>
          <w:szCs w:val="28"/>
        </w:rPr>
        <w:t>л</w:t>
      </w:r>
      <w:r w:rsidRPr="00E07681">
        <w:rPr>
          <w:rFonts w:eastAsiaTheme="minorEastAsia"/>
          <w:sz w:val="28"/>
          <w:szCs w:val="28"/>
        </w:rPr>
        <w:t>ов в стоматологических конструкционных сплавах может приводить к увеличению количества свободных радикалов в слюне, сдвигу про-/антиоксидантного равновесия, нарушая биохимические процессы,</w:t>
      </w:r>
      <w:r w:rsidR="00601667" w:rsidRPr="00E07681">
        <w:rPr>
          <w:rFonts w:eastAsiaTheme="minorEastAsia"/>
          <w:sz w:val="28"/>
          <w:szCs w:val="28"/>
        </w:rPr>
        <w:t xml:space="preserve"> протекающие в ротовой жидкости</w:t>
      </w:r>
      <w:r w:rsidR="00D73AB2" w:rsidRPr="00E07681">
        <w:rPr>
          <w:rFonts w:eastAsiaTheme="minorEastAsia"/>
          <w:sz w:val="28"/>
          <w:szCs w:val="28"/>
          <w:lang w:val="uk-UA"/>
        </w:rPr>
        <w:t xml:space="preserve"> </w:t>
      </w:r>
      <w:r w:rsidR="00B15977">
        <w:rPr>
          <w:rFonts w:eastAsia="ArialMT"/>
          <w:sz w:val="28"/>
          <w:szCs w:val="28"/>
        </w:rPr>
        <w:t>[2, 7, 8</w:t>
      </w:r>
      <w:r w:rsidR="00D73AB2" w:rsidRPr="00E07681">
        <w:rPr>
          <w:rFonts w:eastAsia="ArialMT"/>
          <w:sz w:val="28"/>
          <w:szCs w:val="28"/>
        </w:rPr>
        <w:t>].</w:t>
      </w:r>
      <w:r w:rsidRPr="00E07681">
        <w:rPr>
          <w:rFonts w:eastAsiaTheme="minorEastAsia"/>
          <w:sz w:val="28"/>
          <w:szCs w:val="28"/>
        </w:rPr>
        <w:t xml:space="preserve"> Такие изменения способствуют активации процессов перекисного окисления липидов (ПОЛ) и ингибированию антиоксидантной системы </w:t>
      </w:r>
      <w:r w:rsidRPr="00E07681">
        <w:rPr>
          <w:rFonts w:eastAsiaTheme="minorEastAsia"/>
          <w:sz w:val="28"/>
          <w:szCs w:val="28"/>
        </w:rPr>
        <w:lastRenderedPageBreak/>
        <w:t>(АОС), что ведет к развитию окислительного стресса, оказывающего пагубное влияние на со</w:t>
      </w:r>
      <w:r w:rsidR="00D73AB2" w:rsidRPr="00E07681">
        <w:rPr>
          <w:rFonts w:eastAsiaTheme="minorEastAsia"/>
          <w:sz w:val="28"/>
          <w:szCs w:val="28"/>
        </w:rPr>
        <w:t>стояние не только зубочелюстно</w:t>
      </w:r>
      <w:r w:rsidR="00D73AB2" w:rsidRPr="00E07681">
        <w:rPr>
          <w:rFonts w:eastAsiaTheme="minorEastAsia"/>
          <w:sz w:val="28"/>
          <w:szCs w:val="28"/>
          <w:lang w:val="uk-UA"/>
        </w:rPr>
        <w:t>й</w:t>
      </w:r>
      <w:r w:rsidRPr="00E07681">
        <w:rPr>
          <w:rFonts w:eastAsiaTheme="minorEastAsia"/>
          <w:sz w:val="28"/>
          <w:szCs w:val="28"/>
        </w:rPr>
        <w:t xml:space="preserve"> систем</w:t>
      </w:r>
      <w:r w:rsidR="00601667" w:rsidRPr="00E07681">
        <w:rPr>
          <w:rFonts w:eastAsiaTheme="minorEastAsia"/>
          <w:sz w:val="28"/>
          <w:szCs w:val="28"/>
        </w:rPr>
        <w:t>ы, но и других систем организма</w:t>
      </w:r>
      <w:r w:rsidR="00BE5A79">
        <w:rPr>
          <w:rFonts w:eastAsiaTheme="minorEastAsia"/>
          <w:sz w:val="28"/>
          <w:szCs w:val="28"/>
        </w:rPr>
        <w:t>, что согласовывается с нашими предыдущими исследованиями</w:t>
      </w:r>
      <w:r w:rsidR="00D73AB2" w:rsidRPr="00E07681">
        <w:rPr>
          <w:rFonts w:eastAsiaTheme="minorEastAsia"/>
          <w:sz w:val="28"/>
          <w:szCs w:val="28"/>
          <w:lang w:val="uk-UA"/>
        </w:rPr>
        <w:t xml:space="preserve"> </w:t>
      </w:r>
      <w:r w:rsidR="00601667" w:rsidRPr="00E07681">
        <w:rPr>
          <w:rFonts w:eastAsia="ArialMT"/>
          <w:sz w:val="28"/>
          <w:szCs w:val="28"/>
        </w:rPr>
        <w:t>[</w:t>
      </w:r>
      <w:r w:rsidR="00273805">
        <w:rPr>
          <w:rFonts w:eastAsia="ArialMT"/>
          <w:sz w:val="28"/>
          <w:szCs w:val="28"/>
        </w:rPr>
        <w:t>1, 10,</w:t>
      </w:r>
      <w:r w:rsidR="00B15977">
        <w:rPr>
          <w:rFonts w:eastAsia="ArialMT"/>
          <w:sz w:val="28"/>
          <w:szCs w:val="28"/>
        </w:rPr>
        <w:t xml:space="preserve"> 11,</w:t>
      </w:r>
      <w:r w:rsidR="00273805">
        <w:rPr>
          <w:rFonts w:eastAsia="ArialMT"/>
          <w:sz w:val="28"/>
          <w:szCs w:val="28"/>
        </w:rPr>
        <w:t xml:space="preserve"> 15</w:t>
      </w:r>
      <w:r w:rsidR="00D73AB2" w:rsidRPr="00E07681">
        <w:rPr>
          <w:rFonts w:eastAsia="ArialMT"/>
          <w:sz w:val="28"/>
          <w:szCs w:val="28"/>
        </w:rPr>
        <w:t>].</w:t>
      </w:r>
      <w:r w:rsidRPr="00E07681">
        <w:rPr>
          <w:rFonts w:eastAsiaTheme="minorEastAsia"/>
          <w:sz w:val="28"/>
          <w:szCs w:val="28"/>
        </w:rPr>
        <w:t xml:space="preserve"> Отсюда возникает интерес к способам восстановления антиоксидантных возможностей организма пациентов с ортопедическими несъёмными конструкциями. </w:t>
      </w:r>
    </w:p>
    <w:p w:rsidR="00596FD4" w:rsidRPr="00E07681" w:rsidRDefault="00C871F3" w:rsidP="00BE5A79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567"/>
        <w:jc w:val="both"/>
        <w:rPr>
          <w:color w:val="000000"/>
          <w:sz w:val="28"/>
          <w:szCs w:val="28"/>
        </w:rPr>
      </w:pPr>
      <w:r w:rsidRPr="00E07681">
        <w:rPr>
          <w:rFonts w:eastAsiaTheme="minorEastAsia"/>
          <w:sz w:val="28"/>
          <w:szCs w:val="28"/>
        </w:rPr>
        <w:t xml:space="preserve"> Последние исследования показали, что в целях коррекции равновесия окислительно-восстановительных процессов целесообразно применение биофлавоноидов, относящиеся к группе полифенолов растительного происхождения</w:t>
      </w:r>
      <w:r w:rsidR="00BE5A79" w:rsidRPr="00BE5A79">
        <w:rPr>
          <w:rFonts w:eastAsiaTheme="minorEastAsia"/>
          <w:sz w:val="28"/>
          <w:szCs w:val="28"/>
        </w:rPr>
        <w:t xml:space="preserve"> [</w:t>
      </w:r>
      <w:r w:rsidR="00273805">
        <w:rPr>
          <w:rFonts w:eastAsiaTheme="minorEastAsia"/>
          <w:sz w:val="28"/>
          <w:szCs w:val="28"/>
        </w:rPr>
        <w:t>14</w:t>
      </w:r>
      <w:r w:rsidR="00BE5A79" w:rsidRPr="00BE5A79">
        <w:rPr>
          <w:rFonts w:eastAsiaTheme="minorEastAsia"/>
          <w:sz w:val="28"/>
          <w:szCs w:val="28"/>
        </w:rPr>
        <w:t>]</w:t>
      </w:r>
      <w:r w:rsidRPr="00E07681">
        <w:rPr>
          <w:rFonts w:eastAsiaTheme="minorEastAsia"/>
          <w:sz w:val="28"/>
          <w:szCs w:val="28"/>
        </w:rPr>
        <w:t xml:space="preserve">. Ингибируя процессы свободнорадикального окисления (СРО), препараты на их основе оказывают мощное антиоксидантное действие. </w:t>
      </w:r>
      <w:r w:rsidRPr="00E07681">
        <w:rPr>
          <w:sz w:val="28"/>
          <w:szCs w:val="28"/>
        </w:rPr>
        <w:t xml:space="preserve">Парафармацевтик «Вин-Вита» производства «Экофарм» представляет собой именно такой </w:t>
      </w:r>
      <w:r w:rsidRPr="00E07681">
        <w:rPr>
          <w:color w:val="000000"/>
          <w:sz w:val="28"/>
          <w:szCs w:val="28"/>
        </w:rPr>
        <w:t>комплекс активных биофлавоноидов, выделенных из кожицы и косточек темных европейских сортов винограда</w:t>
      </w:r>
      <w:r w:rsidR="00601667" w:rsidRPr="00E07681">
        <w:rPr>
          <w:color w:val="000000"/>
          <w:sz w:val="28"/>
          <w:szCs w:val="28"/>
        </w:rPr>
        <w:t xml:space="preserve"> Vitis vinifera L. типа Каберне</w:t>
      </w:r>
      <w:r w:rsidR="00D73AB2" w:rsidRPr="00E07681">
        <w:rPr>
          <w:color w:val="000000"/>
          <w:sz w:val="28"/>
          <w:szCs w:val="28"/>
          <w:lang w:val="uk-UA"/>
        </w:rPr>
        <w:t xml:space="preserve"> </w:t>
      </w:r>
      <w:r w:rsidR="00D73AB2" w:rsidRPr="00E07681">
        <w:rPr>
          <w:color w:val="000000"/>
          <w:sz w:val="28"/>
          <w:szCs w:val="28"/>
        </w:rPr>
        <w:t>[</w:t>
      </w:r>
      <w:r w:rsidR="00273805">
        <w:rPr>
          <w:color w:val="000000"/>
          <w:sz w:val="28"/>
          <w:szCs w:val="28"/>
        </w:rPr>
        <w:t>12, 16</w:t>
      </w:r>
      <w:r w:rsidR="00D73AB2" w:rsidRPr="00E07681">
        <w:rPr>
          <w:color w:val="000000"/>
          <w:sz w:val="28"/>
          <w:szCs w:val="28"/>
        </w:rPr>
        <w:t>]</w:t>
      </w:r>
      <w:r w:rsidR="00601667" w:rsidRPr="00E07681">
        <w:rPr>
          <w:color w:val="000000"/>
          <w:sz w:val="28"/>
          <w:szCs w:val="28"/>
        </w:rPr>
        <w:t>.</w:t>
      </w:r>
      <w:r w:rsidR="00D36E99" w:rsidRPr="00E07681">
        <w:rPr>
          <w:color w:val="000000"/>
          <w:sz w:val="28"/>
          <w:szCs w:val="28"/>
        </w:rPr>
        <w:t xml:space="preserve"> </w:t>
      </w:r>
    </w:p>
    <w:p w:rsidR="00E31F38" w:rsidRDefault="00601667" w:rsidP="00E31F38">
      <w:pPr>
        <w:spacing w:before="100" w:beforeAutospacing="1" w:after="100" w:afterAutospacing="1" w:line="360" w:lineRule="auto"/>
        <w:ind w:left="-284" w:right="567" w:firstLine="567"/>
        <w:jc w:val="both"/>
        <w:rPr>
          <w:sz w:val="28"/>
          <w:szCs w:val="28"/>
        </w:rPr>
      </w:pPr>
      <w:r w:rsidRPr="00E07681">
        <w:rPr>
          <w:b/>
          <w:sz w:val="28"/>
          <w:szCs w:val="28"/>
        </w:rPr>
        <w:t>Цель настоящего исследования</w:t>
      </w:r>
      <w:r w:rsidR="00581618" w:rsidRPr="00E07681">
        <w:rPr>
          <w:b/>
          <w:sz w:val="28"/>
          <w:szCs w:val="28"/>
        </w:rPr>
        <w:t xml:space="preserve"> -</w:t>
      </w:r>
      <w:r w:rsidRPr="00E07681">
        <w:rPr>
          <w:b/>
          <w:sz w:val="28"/>
          <w:szCs w:val="28"/>
        </w:rPr>
        <w:t xml:space="preserve"> </w:t>
      </w:r>
      <w:r w:rsidRPr="00E07681">
        <w:rPr>
          <w:sz w:val="28"/>
          <w:szCs w:val="28"/>
        </w:rPr>
        <w:t>изучение</w:t>
      </w:r>
      <w:r w:rsidR="00FD78DC" w:rsidRPr="00E07681">
        <w:rPr>
          <w:sz w:val="28"/>
          <w:szCs w:val="28"/>
        </w:rPr>
        <w:t xml:space="preserve"> </w:t>
      </w:r>
      <w:r w:rsidRPr="00E07681">
        <w:rPr>
          <w:sz w:val="28"/>
          <w:szCs w:val="28"/>
        </w:rPr>
        <w:t xml:space="preserve">показателей </w:t>
      </w:r>
      <w:r w:rsidR="00F4681D" w:rsidRPr="00E07681">
        <w:rPr>
          <w:sz w:val="28"/>
          <w:szCs w:val="28"/>
        </w:rPr>
        <w:t>антиоксидантной системы и пере</w:t>
      </w:r>
      <w:r w:rsidR="00FD78DC" w:rsidRPr="00E07681">
        <w:rPr>
          <w:sz w:val="28"/>
          <w:szCs w:val="28"/>
        </w:rPr>
        <w:t>кисного окисления липидов</w:t>
      </w:r>
      <w:r w:rsidRPr="00E07681">
        <w:rPr>
          <w:sz w:val="28"/>
          <w:szCs w:val="28"/>
        </w:rPr>
        <w:t xml:space="preserve"> в ротовой жидкости и сыворотке крови</w:t>
      </w:r>
      <w:r w:rsidR="00596FD4" w:rsidRPr="00E07681">
        <w:rPr>
          <w:sz w:val="28"/>
          <w:szCs w:val="28"/>
        </w:rPr>
        <w:t xml:space="preserve"> </w:t>
      </w:r>
      <w:r w:rsidR="00FD78DC" w:rsidRPr="00E07681">
        <w:rPr>
          <w:sz w:val="28"/>
          <w:szCs w:val="28"/>
        </w:rPr>
        <w:t>в усл</w:t>
      </w:r>
      <w:r w:rsidRPr="00E07681">
        <w:rPr>
          <w:sz w:val="28"/>
          <w:szCs w:val="28"/>
        </w:rPr>
        <w:t>овиях несъёмного протезирования и применения парафармацевтика «Вин-Вита».</w:t>
      </w:r>
    </w:p>
    <w:p w:rsidR="00AE2344" w:rsidRPr="00E31F38" w:rsidRDefault="00E31F38" w:rsidP="00E31F38">
      <w:pPr>
        <w:spacing w:before="100" w:beforeAutospacing="1" w:after="100" w:afterAutospacing="1" w:line="360" w:lineRule="auto"/>
        <w:ind w:left="-284" w:right="567" w:firstLine="567"/>
        <w:jc w:val="both"/>
        <w:rPr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Материалы и методы исследования. </w:t>
      </w:r>
      <w:r w:rsidR="00AE2344" w:rsidRPr="00E07681">
        <w:rPr>
          <w:rFonts w:eastAsiaTheme="minorEastAsia"/>
          <w:sz w:val="28"/>
          <w:szCs w:val="28"/>
        </w:rPr>
        <w:t>В рамках проведенного исследования были обследованы 46 пациентов (среднии</w:t>
      </w:r>
      <w:r w:rsidR="00AE2344"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="00AE2344" w:rsidRPr="00E07681">
        <w:rPr>
          <w:rFonts w:eastAsiaTheme="minorEastAsia"/>
          <w:sz w:val="28"/>
          <w:szCs w:val="28"/>
        </w:rPr>
        <w:t xml:space="preserve"> возраст 52 года, из них 21 мужчина, 25 женщин) </w:t>
      </w:r>
      <w:r w:rsidR="00BE5A79">
        <w:rPr>
          <w:rFonts w:eastAsiaTheme="minorEastAsia"/>
          <w:sz w:val="28"/>
          <w:szCs w:val="28"/>
        </w:rPr>
        <w:t>со штампованно-паяными</w:t>
      </w:r>
      <w:r w:rsidR="00AE2344" w:rsidRPr="00E07681">
        <w:rPr>
          <w:rFonts w:eastAsiaTheme="minorEastAsia"/>
          <w:sz w:val="28"/>
          <w:szCs w:val="28"/>
        </w:rPr>
        <w:t>и</w:t>
      </w:r>
      <w:r w:rsidR="00BE5A79">
        <w:rPr>
          <w:rFonts w:eastAsiaTheme="minorEastAsia"/>
          <w:sz w:val="28"/>
          <w:szCs w:val="28"/>
        </w:rPr>
        <w:t xml:space="preserve"> стальными мостовидными протезами с явлениями непереносимости и</w:t>
      </w:r>
      <w:r w:rsidR="00AE2344" w:rsidRPr="00E07681">
        <w:rPr>
          <w:rFonts w:eastAsiaTheme="minorEastAsia"/>
          <w:sz w:val="28"/>
          <w:szCs w:val="28"/>
        </w:rPr>
        <w:t xml:space="preserve"> 20 </w:t>
      </w:r>
      <w:r w:rsidR="00BE5A79">
        <w:rPr>
          <w:rFonts w:eastAsiaTheme="minorEastAsia"/>
          <w:sz w:val="28"/>
          <w:szCs w:val="28"/>
        </w:rPr>
        <w:t xml:space="preserve">пациентов </w:t>
      </w:r>
      <w:r w:rsidR="00AE2344" w:rsidRPr="00E07681">
        <w:rPr>
          <w:rFonts w:eastAsiaTheme="minorEastAsia"/>
          <w:sz w:val="28"/>
          <w:szCs w:val="28"/>
        </w:rPr>
        <w:t>(среднии</w:t>
      </w:r>
      <w:r w:rsidR="00AE2344"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="00BE5A79">
        <w:rPr>
          <w:rFonts w:eastAsiaTheme="minorEastAsia"/>
          <w:sz w:val="28"/>
          <w:szCs w:val="28"/>
        </w:rPr>
        <w:t xml:space="preserve"> возраст 48</w:t>
      </w:r>
      <w:r w:rsidR="00AE2344" w:rsidRPr="00E07681">
        <w:rPr>
          <w:rFonts w:eastAsiaTheme="minorEastAsia"/>
          <w:sz w:val="28"/>
          <w:szCs w:val="28"/>
        </w:rPr>
        <w:t xml:space="preserve"> лет, из них 10 мужчин, 10 женщин) </w:t>
      </w:r>
      <w:r w:rsidR="00BE5A79">
        <w:rPr>
          <w:rFonts w:eastAsiaTheme="minorEastAsia"/>
          <w:sz w:val="28"/>
          <w:szCs w:val="28"/>
        </w:rPr>
        <w:t>без металличе</w:t>
      </w:r>
      <w:r w:rsidR="0086532E">
        <w:rPr>
          <w:rFonts w:eastAsiaTheme="minorEastAsia"/>
          <w:sz w:val="28"/>
          <w:szCs w:val="28"/>
        </w:rPr>
        <w:t>ских ортопедических конструкций, обратившихся в клинику с целью профилактического осмотра.</w:t>
      </w:r>
    </w:p>
    <w:p w:rsidR="00743759" w:rsidRPr="00E07681" w:rsidRDefault="00AE2344" w:rsidP="0086532E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992"/>
        <w:jc w:val="both"/>
        <w:rPr>
          <w:rFonts w:eastAsiaTheme="minorEastAsia"/>
          <w:sz w:val="28"/>
          <w:szCs w:val="28"/>
        </w:rPr>
      </w:pPr>
      <w:r w:rsidRPr="00E07681">
        <w:rPr>
          <w:rFonts w:eastAsiaTheme="minorEastAsia"/>
          <w:sz w:val="28"/>
          <w:szCs w:val="28"/>
        </w:rPr>
        <w:t>Исследуемые были разделены на</w:t>
      </w:r>
      <w:r w:rsidR="00A8166C">
        <w:rPr>
          <w:rFonts w:eastAsiaTheme="minorEastAsia"/>
          <w:sz w:val="28"/>
          <w:szCs w:val="28"/>
        </w:rPr>
        <w:t xml:space="preserve">: </w:t>
      </w:r>
      <w:r w:rsidR="002404C5" w:rsidRPr="00E07681">
        <w:rPr>
          <w:rFonts w:eastAsiaTheme="minorEastAsia"/>
          <w:sz w:val="28"/>
          <w:szCs w:val="28"/>
        </w:rPr>
        <w:t>группу сравнения из 20</w:t>
      </w:r>
      <w:r w:rsidR="0086532E">
        <w:rPr>
          <w:rFonts w:eastAsiaTheme="minorEastAsia"/>
          <w:sz w:val="28"/>
          <w:szCs w:val="28"/>
        </w:rPr>
        <w:t xml:space="preserve"> пациентов без металлических включений в полости рта</w:t>
      </w:r>
      <w:r w:rsidR="00743759" w:rsidRPr="00E07681">
        <w:rPr>
          <w:rFonts w:eastAsiaTheme="minorEastAsia"/>
          <w:sz w:val="28"/>
          <w:szCs w:val="28"/>
        </w:rPr>
        <w:t xml:space="preserve"> </w:t>
      </w:r>
      <w:r w:rsidR="002404C5" w:rsidRPr="00E07681">
        <w:rPr>
          <w:rFonts w:eastAsiaTheme="minorEastAsia"/>
          <w:sz w:val="28"/>
          <w:szCs w:val="28"/>
        </w:rPr>
        <w:t>и две опытные группы из пациентов с несъёмными</w:t>
      </w:r>
      <w:r w:rsidR="0086532E">
        <w:rPr>
          <w:rFonts w:eastAsiaTheme="minorEastAsia"/>
          <w:sz w:val="28"/>
          <w:szCs w:val="28"/>
        </w:rPr>
        <w:t xml:space="preserve"> металлическими</w:t>
      </w:r>
      <w:r w:rsidR="002404C5" w:rsidRPr="00E07681">
        <w:rPr>
          <w:rFonts w:eastAsiaTheme="minorEastAsia"/>
          <w:sz w:val="28"/>
          <w:szCs w:val="28"/>
        </w:rPr>
        <w:t xml:space="preserve"> протезами.</w:t>
      </w:r>
      <w:r w:rsidRPr="00E07681">
        <w:rPr>
          <w:rFonts w:eastAsiaTheme="minorEastAsia"/>
          <w:sz w:val="28"/>
          <w:szCs w:val="28"/>
        </w:rPr>
        <w:t xml:space="preserve"> Первую</w:t>
      </w:r>
      <w:r w:rsidR="002404C5" w:rsidRPr="00E07681">
        <w:rPr>
          <w:rFonts w:eastAsiaTheme="minorEastAsia"/>
          <w:sz w:val="28"/>
          <w:szCs w:val="28"/>
        </w:rPr>
        <w:t xml:space="preserve"> </w:t>
      </w:r>
      <w:r w:rsidR="0086532E">
        <w:rPr>
          <w:rFonts w:eastAsiaTheme="minorEastAsia"/>
          <w:sz w:val="28"/>
          <w:szCs w:val="28"/>
        </w:rPr>
        <w:t xml:space="preserve">клиническую </w:t>
      </w:r>
      <w:r w:rsidRPr="00E07681">
        <w:rPr>
          <w:rFonts w:eastAsiaTheme="minorEastAsia"/>
          <w:sz w:val="28"/>
          <w:szCs w:val="28"/>
        </w:rPr>
        <w:t xml:space="preserve">группу составили пациенты с </w:t>
      </w:r>
      <w:r w:rsidR="002404C5" w:rsidRPr="00E07681">
        <w:rPr>
          <w:rFonts w:eastAsiaTheme="minorEastAsia"/>
          <w:sz w:val="28"/>
          <w:szCs w:val="28"/>
        </w:rPr>
        <w:t xml:space="preserve">несъёмными протезами, </w:t>
      </w:r>
      <w:r w:rsidR="00743759" w:rsidRPr="00E07681">
        <w:rPr>
          <w:rFonts w:eastAsiaTheme="minorEastAsia"/>
          <w:sz w:val="28"/>
          <w:szCs w:val="28"/>
        </w:rPr>
        <w:t>которым не проводилось коррекций</w:t>
      </w:r>
      <w:r w:rsidR="002404C5" w:rsidRPr="00E07681">
        <w:rPr>
          <w:rFonts w:eastAsiaTheme="minorEastAsia"/>
          <w:sz w:val="28"/>
          <w:szCs w:val="28"/>
        </w:rPr>
        <w:t xml:space="preserve"> в рационе питания </w:t>
      </w:r>
      <w:r w:rsidRPr="00E07681">
        <w:rPr>
          <w:rFonts w:eastAsiaTheme="minorEastAsia"/>
          <w:sz w:val="28"/>
          <w:szCs w:val="28"/>
        </w:rPr>
        <w:t>(</w:t>
      </w:r>
      <w:r w:rsidRPr="00E07681">
        <w:rPr>
          <w:rFonts w:eastAsiaTheme="minorEastAsia"/>
          <w:sz w:val="28"/>
          <w:szCs w:val="28"/>
          <w:lang w:val="en-US"/>
        </w:rPr>
        <w:t>n</w:t>
      </w:r>
      <w:r w:rsidR="00743759" w:rsidRPr="00E07681">
        <w:rPr>
          <w:rFonts w:eastAsiaTheme="minorEastAsia"/>
          <w:sz w:val="28"/>
          <w:szCs w:val="28"/>
        </w:rPr>
        <w:t>=23). Во вто</w:t>
      </w:r>
      <w:r w:rsidR="002404C5" w:rsidRPr="00E07681">
        <w:rPr>
          <w:rFonts w:eastAsiaTheme="minorEastAsia"/>
          <w:sz w:val="28"/>
          <w:szCs w:val="28"/>
        </w:rPr>
        <w:t>рую вошли</w:t>
      </w:r>
      <w:r w:rsidR="00A8166C">
        <w:rPr>
          <w:rFonts w:eastAsiaTheme="minorEastAsia"/>
          <w:sz w:val="28"/>
          <w:szCs w:val="28"/>
        </w:rPr>
        <w:t xml:space="preserve"> </w:t>
      </w:r>
      <w:r w:rsidR="0086532E">
        <w:rPr>
          <w:rFonts w:eastAsiaTheme="minorEastAsia"/>
          <w:sz w:val="28"/>
          <w:szCs w:val="28"/>
        </w:rPr>
        <w:t>пациенты</w:t>
      </w:r>
      <w:r w:rsidR="002404C5" w:rsidRPr="00E07681">
        <w:rPr>
          <w:rFonts w:eastAsiaTheme="minorEastAsia"/>
          <w:sz w:val="28"/>
          <w:szCs w:val="28"/>
        </w:rPr>
        <w:t>, которым был назначен парафармацевтик “Вин-Вита”</w:t>
      </w:r>
      <w:r w:rsidR="00DB0D5E" w:rsidRPr="00E07681">
        <w:rPr>
          <w:rFonts w:eastAsiaTheme="minorEastAsia"/>
          <w:sz w:val="28"/>
          <w:szCs w:val="28"/>
        </w:rPr>
        <w:t xml:space="preserve"> дозировкой 15 мл </w:t>
      </w:r>
      <w:r w:rsidR="00743759" w:rsidRPr="00E07681">
        <w:rPr>
          <w:rFonts w:eastAsiaTheme="minorEastAsia"/>
          <w:sz w:val="28"/>
          <w:szCs w:val="28"/>
        </w:rPr>
        <w:t>раз в день в течение 30 дней (</w:t>
      </w:r>
      <w:r w:rsidR="00743759" w:rsidRPr="00E07681">
        <w:rPr>
          <w:rFonts w:eastAsiaTheme="minorEastAsia"/>
          <w:sz w:val="28"/>
          <w:szCs w:val="28"/>
          <w:lang w:val="en-US"/>
        </w:rPr>
        <w:t>n</w:t>
      </w:r>
      <w:r w:rsidR="00743759" w:rsidRPr="00E07681">
        <w:rPr>
          <w:rFonts w:eastAsiaTheme="minorEastAsia"/>
          <w:sz w:val="28"/>
          <w:szCs w:val="28"/>
        </w:rPr>
        <w:t>=23</w:t>
      </w:r>
      <w:r w:rsidRPr="00E07681">
        <w:rPr>
          <w:rFonts w:eastAsiaTheme="minorEastAsia"/>
          <w:sz w:val="28"/>
          <w:szCs w:val="28"/>
        </w:rPr>
        <w:t xml:space="preserve">). </w:t>
      </w:r>
    </w:p>
    <w:p w:rsidR="00AE2344" w:rsidRPr="00504C9F" w:rsidRDefault="00B83F16" w:rsidP="0086532E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567"/>
        <w:jc w:val="both"/>
        <w:rPr>
          <w:rFonts w:eastAsiaTheme="minorEastAsia"/>
          <w:sz w:val="28"/>
          <w:szCs w:val="28"/>
        </w:rPr>
      </w:pPr>
      <w:r w:rsidRPr="00E07681">
        <w:rPr>
          <w:sz w:val="28"/>
          <w:szCs w:val="28"/>
        </w:rPr>
        <w:t>Влияние антиоксидантных добавок на состояние перекисного окисления липидов (ПОЛ) и антиоксидантной системы (АОС) в сыворотке крови исследуемых оценивали по концентрации диеновых конъюгатов (ДК</w:t>
      </w:r>
      <w:r w:rsidR="0086532E">
        <w:rPr>
          <w:sz w:val="28"/>
          <w:szCs w:val="28"/>
        </w:rPr>
        <w:t>), малонового диальдегида (МДА) и</w:t>
      </w:r>
      <w:r w:rsidRPr="00E07681">
        <w:rPr>
          <w:sz w:val="28"/>
          <w:szCs w:val="28"/>
        </w:rPr>
        <w:t xml:space="preserve"> </w:t>
      </w:r>
      <w:r w:rsidRPr="00E07681">
        <w:rPr>
          <w:sz w:val="28"/>
          <w:szCs w:val="28"/>
          <w:lang w:val="en-US"/>
        </w:rPr>
        <w:t>SH</w:t>
      </w:r>
      <w:r w:rsidRPr="00E07681">
        <w:rPr>
          <w:sz w:val="28"/>
          <w:szCs w:val="28"/>
        </w:rPr>
        <w:t xml:space="preserve"> - групп. </w:t>
      </w:r>
      <w:r w:rsidR="00AE2344" w:rsidRPr="00E07681">
        <w:rPr>
          <w:rFonts w:eastAsiaTheme="minorEastAsia"/>
          <w:sz w:val="28"/>
          <w:szCs w:val="28"/>
        </w:rPr>
        <w:t>Для проведения биохимических исследовании</w:t>
      </w:r>
      <w:r w:rsidR="00AE2344"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="00AE2344" w:rsidRPr="00E07681">
        <w:rPr>
          <w:rFonts w:eastAsiaTheme="minorEastAsia"/>
          <w:sz w:val="28"/>
          <w:szCs w:val="28"/>
        </w:rPr>
        <w:t xml:space="preserve"> у </w:t>
      </w:r>
      <w:r w:rsidR="00A8166C">
        <w:rPr>
          <w:rFonts w:eastAsiaTheme="minorEastAsia"/>
          <w:sz w:val="28"/>
          <w:szCs w:val="28"/>
        </w:rPr>
        <w:t xml:space="preserve">пациентов </w:t>
      </w:r>
      <w:r w:rsidRPr="00E07681">
        <w:rPr>
          <w:rFonts w:eastAsiaTheme="minorEastAsia"/>
          <w:sz w:val="28"/>
          <w:szCs w:val="28"/>
        </w:rPr>
        <w:t>также</w:t>
      </w:r>
      <w:r w:rsidR="00E365D9" w:rsidRPr="00E07681">
        <w:rPr>
          <w:rFonts w:eastAsiaTheme="minorEastAsia"/>
          <w:sz w:val="28"/>
          <w:szCs w:val="28"/>
        </w:rPr>
        <w:t xml:space="preserve"> </w:t>
      </w:r>
      <w:r w:rsidR="00AE2344" w:rsidRPr="00E07681">
        <w:rPr>
          <w:rFonts w:eastAsiaTheme="minorEastAsia"/>
          <w:sz w:val="28"/>
          <w:szCs w:val="28"/>
        </w:rPr>
        <w:t>собиралась нестимулированная ротовая жидкость по общеприн</w:t>
      </w:r>
      <w:r w:rsidR="00FA0497" w:rsidRPr="00E07681">
        <w:rPr>
          <w:rFonts w:eastAsiaTheme="minorEastAsia"/>
          <w:sz w:val="28"/>
          <w:szCs w:val="28"/>
        </w:rPr>
        <w:t>ятои</w:t>
      </w:r>
      <w:r w:rsidR="00FA0497"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="00FA0497" w:rsidRPr="00E07681">
        <w:rPr>
          <w:rFonts w:eastAsiaTheme="minorEastAsia"/>
          <w:sz w:val="28"/>
          <w:szCs w:val="28"/>
        </w:rPr>
        <w:t xml:space="preserve"> методике [</w:t>
      </w:r>
      <w:r w:rsidR="00A8166C">
        <w:rPr>
          <w:rFonts w:eastAsiaTheme="minorEastAsia"/>
          <w:sz w:val="28"/>
          <w:szCs w:val="28"/>
        </w:rPr>
        <w:t>8</w:t>
      </w:r>
      <w:r w:rsidR="00FA0497" w:rsidRPr="00E07681">
        <w:rPr>
          <w:rFonts w:eastAsiaTheme="minorEastAsia"/>
          <w:sz w:val="28"/>
          <w:szCs w:val="28"/>
        </w:rPr>
        <w:t>]. Получен</w:t>
      </w:r>
      <w:r w:rsidR="00AE2344" w:rsidRPr="00E07681">
        <w:rPr>
          <w:rFonts w:eastAsiaTheme="minorEastAsia"/>
          <w:sz w:val="28"/>
          <w:szCs w:val="28"/>
        </w:rPr>
        <w:t>ную ротовую жидкость центрифугировали при 3000 оборотов/минуту в те</w:t>
      </w:r>
      <w:r w:rsidR="00743759" w:rsidRPr="00E07681">
        <w:rPr>
          <w:rFonts w:eastAsiaTheme="minorEastAsia"/>
          <w:sz w:val="28"/>
          <w:szCs w:val="28"/>
        </w:rPr>
        <w:t>чение 15 минут. Для дальнеи</w:t>
      </w:r>
      <w:r w:rsidR="00743759"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="00743759" w:rsidRPr="00E07681">
        <w:rPr>
          <w:rFonts w:eastAsiaTheme="minorEastAsia"/>
          <w:sz w:val="28"/>
          <w:szCs w:val="28"/>
        </w:rPr>
        <w:t>ше</w:t>
      </w:r>
      <w:r w:rsidR="00AE2344" w:rsidRPr="00E07681">
        <w:rPr>
          <w:rFonts w:eastAsiaTheme="minorEastAsia"/>
          <w:sz w:val="28"/>
          <w:szCs w:val="28"/>
        </w:rPr>
        <w:t xml:space="preserve">го исследования использовали как супернатант, так и осадок. </w:t>
      </w:r>
    </w:p>
    <w:p w:rsidR="00B83F16" w:rsidRPr="00E07681" w:rsidRDefault="00B83F16" w:rsidP="00E07681">
      <w:pPr>
        <w:spacing w:before="100" w:beforeAutospacing="1" w:after="100" w:afterAutospacing="1" w:line="360" w:lineRule="auto"/>
        <w:ind w:left="-284" w:right="566" w:firstLine="567"/>
        <w:jc w:val="both"/>
        <w:rPr>
          <w:sz w:val="28"/>
          <w:szCs w:val="28"/>
        </w:rPr>
      </w:pPr>
      <w:r w:rsidRPr="00E07681">
        <w:rPr>
          <w:sz w:val="28"/>
          <w:szCs w:val="28"/>
        </w:rPr>
        <w:t>Поскольку ДК (в качестве промежуточных продуктов ПОЛ) и МДА (как один из конечных продуктов ПОЛ) появляется на стадии образования свободных радикалов, то их наличие в избыточном количестве будет свидетельствовать о накоплении в тканях организма перекисей, гидроперекисей, соединений, которые оказывают по</w:t>
      </w:r>
      <w:r w:rsidR="0086532E">
        <w:rPr>
          <w:sz w:val="28"/>
          <w:szCs w:val="28"/>
        </w:rPr>
        <w:t>вреждающее действие на клетку [</w:t>
      </w:r>
      <w:r w:rsidR="00273805">
        <w:rPr>
          <w:sz w:val="28"/>
          <w:szCs w:val="28"/>
        </w:rPr>
        <w:t>18</w:t>
      </w:r>
      <w:r w:rsidRPr="00E07681">
        <w:rPr>
          <w:sz w:val="28"/>
          <w:szCs w:val="28"/>
        </w:rPr>
        <w:t>]. Уровни ДК и МДА определялись по общеп</w:t>
      </w:r>
      <w:r w:rsidR="0086532E">
        <w:rPr>
          <w:sz w:val="28"/>
          <w:szCs w:val="28"/>
        </w:rPr>
        <w:t>ринятым биохимическим методам [</w:t>
      </w:r>
      <w:r w:rsidR="00273805">
        <w:rPr>
          <w:sz w:val="28"/>
          <w:szCs w:val="28"/>
        </w:rPr>
        <w:t>4</w:t>
      </w:r>
      <w:r w:rsidR="00A355ED">
        <w:rPr>
          <w:sz w:val="28"/>
          <w:szCs w:val="28"/>
        </w:rPr>
        <w:t xml:space="preserve">, </w:t>
      </w:r>
      <w:r w:rsidR="00273805">
        <w:rPr>
          <w:sz w:val="28"/>
          <w:szCs w:val="28"/>
        </w:rPr>
        <w:t>6</w:t>
      </w:r>
      <w:r w:rsidR="0086532E">
        <w:rPr>
          <w:sz w:val="28"/>
          <w:szCs w:val="28"/>
        </w:rPr>
        <w:t xml:space="preserve">]. </w:t>
      </w:r>
    </w:p>
    <w:p w:rsidR="00B83F16" w:rsidRPr="00E07681" w:rsidRDefault="00B83F16" w:rsidP="00E07681">
      <w:pPr>
        <w:spacing w:before="100" w:beforeAutospacing="1" w:after="100" w:afterAutospacing="1" w:line="360" w:lineRule="auto"/>
        <w:ind w:left="-284" w:right="566" w:firstLine="567"/>
        <w:jc w:val="both"/>
        <w:rPr>
          <w:sz w:val="28"/>
          <w:szCs w:val="28"/>
        </w:rPr>
      </w:pPr>
      <w:r w:rsidRPr="00E07681">
        <w:rPr>
          <w:sz w:val="28"/>
          <w:szCs w:val="28"/>
        </w:rPr>
        <w:t>Известно, что равновесие окислительно-восстановительных процессов, оксидантной и антиоксидатной систем поддерживается в организме соотношением сульфгидрильных (-</w:t>
      </w:r>
      <w:r w:rsidRPr="00E07681">
        <w:rPr>
          <w:sz w:val="28"/>
          <w:szCs w:val="28"/>
          <w:lang w:val="en-US"/>
        </w:rPr>
        <w:t>SH</w:t>
      </w:r>
      <w:r w:rsidRPr="00E07681">
        <w:rPr>
          <w:sz w:val="28"/>
          <w:szCs w:val="28"/>
        </w:rPr>
        <w:t>-) и дисульфгидрильных (-</w:t>
      </w:r>
      <w:r w:rsidRPr="00E07681">
        <w:rPr>
          <w:sz w:val="28"/>
          <w:szCs w:val="28"/>
          <w:lang w:val="en-US"/>
        </w:rPr>
        <w:t>S</w:t>
      </w:r>
      <w:r w:rsidRPr="00E07681">
        <w:rPr>
          <w:sz w:val="28"/>
          <w:szCs w:val="28"/>
        </w:rPr>
        <w:t>-</w:t>
      </w:r>
      <w:r w:rsidRPr="00E07681">
        <w:rPr>
          <w:sz w:val="28"/>
          <w:szCs w:val="28"/>
          <w:lang w:val="en-US"/>
        </w:rPr>
        <w:t>S</w:t>
      </w:r>
      <w:r w:rsidRPr="00E07681">
        <w:rPr>
          <w:sz w:val="28"/>
          <w:szCs w:val="28"/>
        </w:rPr>
        <w:t>-) групп в белках и особенно белках – ферментах. Определение содержания сульфгидрильных групп белков и других серосодержащих соединений очень важно для выяснения вредных влияний на организм. С</w:t>
      </w:r>
      <w:r w:rsidR="0086532E">
        <w:rPr>
          <w:sz w:val="28"/>
          <w:szCs w:val="28"/>
        </w:rPr>
        <w:t>одержание сульфгидрильных групп</w:t>
      </w:r>
      <w:r w:rsidRPr="00E07681">
        <w:rPr>
          <w:sz w:val="28"/>
          <w:szCs w:val="28"/>
        </w:rPr>
        <w:t xml:space="preserve"> в крови определялось методом ам</w:t>
      </w:r>
      <w:r w:rsidR="00273805">
        <w:rPr>
          <w:sz w:val="28"/>
          <w:szCs w:val="28"/>
        </w:rPr>
        <w:t>перометрического титрования [6</w:t>
      </w:r>
      <w:r w:rsidRPr="00E07681">
        <w:rPr>
          <w:sz w:val="28"/>
          <w:szCs w:val="28"/>
        </w:rPr>
        <w:t xml:space="preserve">]. </w:t>
      </w:r>
    </w:p>
    <w:p w:rsidR="00AE2344" w:rsidRPr="00E07681" w:rsidRDefault="00AE2344" w:rsidP="0086532E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567"/>
        <w:jc w:val="both"/>
        <w:rPr>
          <w:rFonts w:eastAsiaTheme="minorEastAsia"/>
          <w:sz w:val="28"/>
          <w:szCs w:val="28"/>
        </w:rPr>
      </w:pPr>
      <w:r w:rsidRPr="00E07681">
        <w:rPr>
          <w:rFonts w:eastAsiaTheme="minorEastAsia"/>
          <w:sz w:val="28"/>
          <w:szCs w:val="28"/>
        </w:rPr>
        <w:t xml:space="preserve">Для оценки интенсивности процессов </w:t>
      </w:r>
      <w:r w:rsidR="00A8166C">
        <w:rPr>
          <w:rFonts w:eastAsiaTheme="minorEastAsia"/>
          <w:sz w:val="28"/>
          <w:szCs w:val="28"/>
        </w:rPr>
        <w:t>ПОЛ</w:t>
      </w:r>
      <w:r w:rsidRPr="00E07681">
        <w:rPr>
          <w:rFonts w:eastAsiaTheme="minorEastAsia"/>
          <w:sz w:val="28"/>
          <w:szCs w:val="28"/>
        </w:rPr>
        <w:t>, протекающих в полости рта, использовали определение содержания вторичных продуктов липопероксидации по реакции с 2-тиобарбитуровои</w:t>
      </w:r>
      <w:r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Pr="00E07681">
        <w:rPr>
          <w:rFonts w:eastAsiaTheme="minorEastAsia"/>
          <w:sz w:val="28"/>
          <w:szCs w:val="28"/>
        </w:rPr>
        <w:t xml:space="preserve"> кислотои</w:t>
      </w:r>
      <w:r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Pr="00E07681">
        <w:rPr>
          <w:rFonts w:eastAsiaTheme="minorEastAsia"/>
          <w:sz w:val="28"/>
          <w:szCs w:val="28"/>
        </w:rPr>
        <w:t xml:space="preserve"> (ТБК). Принцип метода основан на образовании окрашенного комплекса при взаимодеи</w:t>
      </w:r>
      <w:r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Pr="00E07681">
        <w:rPr>
          <w:rFonts w:eastAsiaTheme="minorEastAsia"/>
          <w:sz w:val="28"/>
          <w:szCs w:val="28"/>
        </w:rPr>
        <w:t>ствии в</w:t>
      </w:r>
      <w:r w:rsidR="00743759" w:rsidRPr="00E07681">
        <w:rPr>
          <w:rFonts w:eastAsiaTheme="minorEastAsia"/>
          <w:sz w:val="28"/>
          <w:szCs w:val="28"/>
        </w:rPr>
        <w:t>торичных продуктов липоперокси</w:t>
      </w:r>
      <w:r w:rsidRPr="00E07681">
        <w:rPr>
          <w:rFonts w:eastAsiaTheme="minorEastAsia"/>
          <w:sz w:val="28"/>
          <w:szCs w:val="28"/>
        </w:rPr>
        <w:t>дации (преимущественно малонового диальдегида), содержащихся в ротовои</w:t>
      </w:r>
      <w:r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Pr="00E07681">
        <w:rPr>
          <w:rFonts w:eastAsiaTheme="minorEastAsia"/>
          <w:sz w:val="28"/>
          <w:szCs w:val="28"/>
        </w:rPr>
        <w:t xml:space="preserve"> жидкости, с ТБК. Полученные результ</w:t>
      </w:r>
      <w:r w:rsidR="00743759" w:rsidRPr="00E07681">
        <w:rPr>
          <w:rFonts w:eastAsiaTheme="minorEastAsia"/>
          <w:sz w:val="28"/>
          <w:szCs w:val="28"/>
        </w:rPr>
        <w:t>аты выражали в микромолях мало</w:t>
      </w:r>
      <w:r w:rsidRPr="00E07681">
        <w:rPr>
          <w:rFonts w:eastAsiaTheme="minorEastAsia"/>
          <w:sz w:val="28"/>
          <w:szCs w:val="28"/>
        </w:rPr>
        <w:t>нового диальдегида на 1 л ротовои</w:t>
      </w:r>
      <w:r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="00A355ED">
        <w:rPr>
          <w:rFonts w:eastAsiaTheme="minorEastAsia"/>
          <w:sz w:val="28"/>
          <w:szCs w:val="28"/>
        </w:rPr>
        <w:t xml:space="preserve"> жидкости [</w:t>
      </w:r>
      <w:r w:rsidR="00273805">
        <w:rPr>
          <w:rFonts w:eastAsiaTheme="minorEastAsia"/>
          <w:sz w:val="28"/>
          <w:szCs w:val="28"/>
        </w:rPr>
        <w:t>6</w:t>
      </w:r>
      <w:r w:rsidRPr="00E07681">
        <w:rPr>
          <w:rFonts w:eastAsiaTheme="minorEastAsia"/>
          <w:sz w:val="28"/>
          <w:szCs w:val="28"/>
        </w:rPr>
        <w:t xml:space="preserve">]. </w:t>
      </w:r>
    </w:p>
    <w:p w:rsidR="00AE2344" w:rsidRPr="00E07681" w:rsidRDefault="00AE2344" w:rsidP="00A355ED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567"/>
        <w:jc w:val="both"/>
        <w:rPr>
          <w:rFonts w:eastAsiaTheme="minorEastAsia"/>
          <w:sz w:val="28"/>
          <w:szCs w:val="28"/>
        </w:rPr>
      </w:pPr>
      <w:r w:rsidRPr="00E07681">
        <w:rPr>
          <w:rFonts w:eastAsiaTheme="minorEastAsia"/>
          <w:sz w:val="28"/>
          <w:szCs w:val="28"/>
        </w:rPr>
        <w:t>Для оценки раб</w:t>
      </w:r>
      <w:r w:rsidR="00743759" w:rsidRPr="00E07681">
        <w:rPr>
          <w:rFonts w:eastAsiaTheme="minorEastAsia"/>
          <w:sz w:val="28"/>
          <w:szCs w:val="28"/>
        </w:rPr>
        <w:t>оты ферментативного звена АОС ротовои</w:t>
      </w:r>
      <w:r w:rsidR="00743759"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="00743759" w:rsidRPr="00E07681">
        <w:rPr>
          <w:rFonts w:eastAsiaTheme="minorEastAsia"/>
          <w:sz w:val="28"/>
          <w:szCs w:val="28"/>
        </w:rPr>
        <w:t xml:space="preserve"> жидкости про</w:t>
      </w:r>
      <w:r w:rsidRPr="00E07681">
        <w:rPr>
          <w:rFonts w:eastAsiaTheme="minorEastAsia"/>
          <w:sz w:val="28"/>
          <w:szCs w:val="28"/>
        </w:rPr>
        <w:t>водили определение активности ферментов первои</w:t>
      </w:r>
      <w:r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Pr="00E07681">
        <w:rPr>
          <w:rFonts w:eastAsiaTheme="minorEastAsia"/>
          <w:sz w:val="28"/>
          <w:szCs w:val="28"/>
        </w:rPr>
        <w:t xml:space="preserve"> (супероксиддисмутаза – СОД) и второи</w:t>
      </w:r>
      <w:r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Pr="00E07681">
        <w:rPr>
          <w:rFonts w:eastAsiaTheme="minorEastAsia"/>
          <w:sz w:val="28"/>
          <w:szCs w:val="28"/>
        </w:rPr>
        <w:t xml:space="preserve"> (каталаза) линии</w:t>
      </w:r>
      <w:r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Pr="00E07681">
        <w:rPr>
          <w:rFonts w:eastAsiaTheme="minorEastAsia"/>
          <w:sz w:val="28"/>
          <w:szCs w:val="28"/>
        </w:rPr>
        <w:t xml:space="preserve"> антирадикаль</w:t>
      </w:r>
      <w:r w:rsidR="00B02AAF" w:rsidRPr="00E07681">
        <w:rPr>
          <w:rFonts w:eastAsiaTheme="minorEastAsia"/>
          <w:sz w:val="28"/>
          <w:szCs w:val="28"/>
        </w:rPr>
        <w:t>нои</w:t>
      </w:r>
      <w:r w:rsidR="00B02AAF"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="00B02AAF" w:rsidRPr="00E07681">
        <w:rPr>
          <w:rFonts w:eastAsiaTheme="minorEastAsia"/>
          <w:sz w:val="28"/>
          <w:szCs w:val="28"/>
        </w:rPr>
        <w:t xml:space="preserve"> защиты. Активность катала</w:t>
      </w:r>
      <w:r w:rsidRPr="00E07681">
        <w:rPr>
          <w:rFonts w:eastAsiaTheme="minorEastAsia"/>
          <w:sz w:val="28"/>
          <w:szCs w:val="28"/>
        </w:rPr>
        <w:t>зы определяли колориметричес</w:t>
      </w:r>
      <w:r w:rsidR="00A355ED">
        <w:rPr>
          <w:rFonts w:eastAsiaTheme="minorEastAsia"/>
          <w:sz w:val="28"/>
          <w:szCs w:val="28"/>
        </w:rPr>
        <w:t>ким методом [</w:t>
      </w:r>
      <w:r w:rsidR="00273805">
        <w:rPr>
          <w:rFonts w:eastAsiaTheme="minorEastAsia"/>
          <w:sz w:val="28"/>
          <w:szCs w:val="28"/>
        </w:rPr>
        <w:t>6</w:t>
      </w:r>
      <w:r w:rsidRPr="00E07681">
        <w:rPr>
          <w:rFonts w:eastAsiaTheme="minorEastAsia"/>
          <w:sz w:val="28"/>
          <w:szCs w:val="28"/>
        </w:rPr>
        <w:t xml:space="preserve">]. </w:t>
      </w:r>
      <w:r w:rsidR="00743759" w:rsidRPr="00E07681">
        <w:rPr>
          <w:rFonts w:eastAsiaTheme="minorEastAsia"/>
          <w:sz w:val="28"/>
          <w:szCs w:val="28"/>
        </w:rPr>
        <w:t>Об активности каталазы суди</w:t>
      </w:r>
      <w:r w:rsidRPr="00E07681">
        <w:rPr>
          <w:rFonts w:eastAsiaTheme="minorEastAsia"/>
          <w:sz w:val="28"/>
          <w:szCs w:val="28"/>
        </w:rPr>
        <w:t xml:space="preserve">ли по количеству </w:t>
      </w:r>
      <w:r w:rsidR="00743759" w:rsidRPr="00E07681">
        <w:rPr>
          <w:rFonts w:eastAsiaTheme="minorEastAsia"/>
          <w:sz w:val="28"/>
          <w:szCs w:val="28"/>
        </w:rPr>
        <w:t>перекиси водорода, не разрушен</w:t>
      </w:r>
      <w:r w:rsidRPr="00E07681">
        <w:rPr>
          <w:rFonts w:eastAsiaTheme="minorEastAsia"/>
          <w:sz w:val="28"/>
          <w:szCs w:val="28"/>
        </w:rPr>
        <w:t>нои</w:t>
      </w:r>
      <w:r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Pr="00E07681">
        <w:rPr>
          <w:rFonts w:eastAsiaTheme="minorEastAsia"/>
          <w:sz w:val="28"/>
          <w:szCs w:val="28"/>
        </w:rPr>
        <w:t xml:space="preserve"> ферментом. А</w:t>
      </w:r>
      <w:r w:rsidR="004A7C2C" w:rsidRPr="00E07681">
        <w:rPr>
          <w:rFonts w:eastAsiaTheme="minorEastAsia"/>
          <w:sz w:val="28"/>
          <w:szCs w:val="28"/>
        </w:rPr>
        <w:t>ктивность фермента выражали в ммоль/ (с</w:t>
      </w:r>
      <w:r w:rsidRPr="00E07681">
        <w:rPr>
          <w:rFonts w:eastAsiaTheme="minorEastAsia"/>
          <w:sz w:val="28"/>
          <w:szCs w:val="28"/>
        </w:rPr>
        <w:t xml:space="preserve"> • г белка). </w:t>
      </w:r>
    </w:p>
    <w:p w:rsidR="00E365D9" w:rsidRPr="00E07681" w:rsidRDefault="00AE2344" w:rsidP="00A355ED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567"/>
        <w:jc w:val="both"/>
        <w:rPr>
          <w:rFonts w:eastAsiaTheme="minorEastAsia"/>
          <w:sz w:val="28"/>
          <w:szCs w:val="28"/>
        </w:rPr>
      </w:pPr>
      <w:r w:rsidRPr="00E07681">
        <w:rPr>
          <w:rFonts w:eastAsiaTheme="minorEastAsia"/>
          <w:sz w:val="28"/>
          <w:szCs w:val="28"/>
        </w:rPr>
        <w:t xml:space="preserve">Активность СОД </w:t>
      </w:r>
      <w:r w:rsidR="00743759" w:rsidRPr="00E07681">
        <w:rPr>
          <w:rFonts w:eastAsiaTheme="minorEastAsia"/>
          <w:sz w:val="28"/>
          <w:szCs w:val="28"/>
        </w:rPr>
        <w:t>определяли по методу В. А. Кос</w:t>
      </w:r>
      <w:r w:rsidR="00273805">
        <w:rPr>
          <w:rFonts w:eastAsiaTheme="minorEastAsia"/>
          <w:sz w:val="28"/>
          <w:szCs w:val="28"/>
        </w:rPr>
        <w:t>тюка и соавт. [9</w:t>
      </w:r>
      <w:r w:rsidR="00743759" w:rsidRPr="00E07681">
        <w:rPr>
          <w:rFonts w:eastAsiaTheme="minorEastAsia"/>
          <w:sz w:val="28"/>
          <w:szCs w:val="28"/>
        </w:rPr>
        <w:t>].</w:t>
      </w:r>
      <w:r w:rsidR="00E365D9" w:rsidRPr="00E07681">
        <w:rPr>
          <w:rFonts w:eastAsiaTheme="minorEastAsia"/>
          <w:sz w:val="28"/>
          <w:szCs w:val="28"/>
        </w:rPr>
        <w:t xml:space="preserve"> Метод основан на способности СОД ингибировать и</w:t>
      </w:r>
      <w:r w:rsidR="00D65D9B" w:rsidRPr="00E07681">
        <w:rPr>
          <w:rFonts w:eastAsiaTheme="minorEastAsia"/>
          <w:sz w:val="28"/>
          <w:szCs w:val="28"/>
        </w:rPr>
        <w:t>ндуцированную реакцию аутоокис</w:t>
      </w:r>
      <w:r w:rsidR="00E365D9" w:rsidRPr="00E07681">
        <w:rPr>
          <w:rFonts w:eastAsiaTheme="minorEastAsia"/>
          <w:sz w:val="28"/>
          <w:szCs w:val="28"/>
        </w:rPr>
        <w:t>ления кверцетина, так как одним из промежуточных продуктов этои</w:t>
      </w:r>
      <w:r w:rsidR="00E365D9"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="00E365D9" w:rsidRPr="00E07681">
        <w:rPr>
          <w:rFonts w:eastAsiaTheme="minorEastAsia"/>
          <w:sz w:val="28"/>
          <w:szCs w:val="28"/>
        </w:rPr>
        <w:t xml:space="preserve"> реакц</w:t>
      </w:r>
      <w:r w:rsidR="00D65D9B" w:rsidRPr="00E07681">
        <w:rPr>
          <w:rFonts w:eastAsiaTheme="minorEastAsia"/>
          <w:sz w:val="28"/>
          <w:szCs w:val="28"/>
        </w:rPr>
        <w:t>ии является супероксидныи</w:t>
      </w:r>
      <w:r w:rsidR="00D65D9B"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="00D65D9B" w:rsidRPr="00E07681">
        <w:rPr>
          <w:rFonts w:eastAsiaTheme="minorEastAsia"/>
          <w:sz w:val="28"/>
          <w:szCs w:val="28"/>
        </w:rPr>
        <w:t xml:space="preserve"> ани</w:t>
      </w:r>
      <w:r w:rsidR="00E365D9" w:rsidRPr="00E07681">
        <w:rPr>
          <w:rFonts w:eastAsiaTheme="minorEastAsia"/>
          <w:sz w:val="28"/>
          <w:szCs w:val="28"/>
        </w:rPr>
        <w:t>он-радикал. Активность ферментов антирадикальнои</w:t>
      </w:r>
      <w:r w:rsidR="00E365D9"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="00E365D9" w:rsidRPr="00E07681">
        <w:rPr>
          <w:rFonts w:eastAsiaTheme="minorEastAsia"/>
          <w:sz w:val="28"/>
          <w:szCs w:val="28"/>
        </w:rPr>
        <w:t xml:space="preserve"> защиты выражали в соответствующих единицах на 1 г белка. Концентрацию общего белка в осадке ротовои</w:t>
      </w:r>
      <w:r w:rsidR="00E365D9"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="00E365D9" w:rsidRPr="00E07681">
        <w:rPr>
          <w:rFonts w:eastAsiaTheme="minorEastAsia"/>
          <w:sz w:val="28"/>
          <w:szCs w:val="28"/>
        </w:rPr>
        <w:t xml:space="preserve"> жидкости определя</w:t>
      </w:r>
      <w:r w:rsidR="00D65D9B" w:rsidRPr="00E07681">
        <w:rPr>
          <w:rFonts w:eastAsiaTheme="minorEastAsia"/>
          <w:sz w:val="28"/>
          <w:szCs w:val="28"/>
        </w:rPr>
        <w:t>ли с помощью высокочувствитель</w:t>
      </w:r>
      <w:r w:rsidR="00E365D9" w:rsidRPr="00E07681">
        <w:rPr>
          <w:rFonts w:eastAsiaTheme="minorEastAsia"/>
          <w:sz w:val="28"/>
          <w:szCs w:val="28"/>
        </w:rPr>
        <w:t>ного</w:t>
      </w:r>
      <w:r w:rsidR="00A355ED">
        <w:rPr>
          <w:rFonts w:eastAsiaTheme="minorEastAsia"/>
          <w:sz w:val="28"/>
          <w:szCs w:val="28"/>
        </w:rPr>
        <w:t xml:space="preserve"> метода</w:t>
      </w:r>
      <w:r w:rsidR="00A8166C">
        <w:rPr>
          <w:rFonts w:eastAsiaTheme="minorEastAsia"/>
          <w:sz w:val="28"/>
          <w:szCs w:val="28"/>
        </w:rPr>
        <w:t xml:space="preserve"> по</w:t>
      </w:r>
      <w:r w:rsidR="00A355ED">
        <w:rPr>
          <w:rFonts w:eastAsiaTheme="minorEastAsia"/>
          <w:sz w:val="28"/>
          <w:szCs w:val="28"/>
        </w:rPr>
        <w:t xml:space="preserve"> М. Брэдфорд</w:t>
      </w:r>
      <w:r w:rsidR="00A8166C">
        <w:rPr>
          <w:rFonts w:eastAsiaTheme="minorEastAsia"/>
          <w:sz w:val="28"/>
          <w:szCs w:val="28"/>
        </w:rPr>
        <w:t>у</w:t>
      </w:r>
      <w:r w:rsidR="00A355ED">
        <w:rPr>
          <w:rFonts w:eastAsiaTheme="minorEastAsia"/>
          <w:sz w:val="28"/>
          <w:szCs w:val="28"/>
        </w:rPr>
        <w:t xml:space="preserve"> [</w:t>
      </w:r>
      <w:r w:rsidR="00273805">
        <w:rPr>
          <w:rFonts w:eastAsiaTheme="minorEastAsia"/>
          <w:sz w:val="28"/>
          <w:szCs w:val="28"/>
        </w:rPr>
        <w:t>3</w:t>
      </w:r>
      <w:r w:rsidR="00E365D9" w:rsidRPr="00E07681">
        <w:rPr>
          <w:rFonts w:eastAsiaTheme="minorEastAsia"/>
          <w:sz w:val="28"/>
          <w:szCs w:val="28"/>
        </w:rPr>
        <w:t xml:space="preserve">]. </w:t>
      </w:r>
    </w:p>
    <w:p w:rsidR="00B83F16" w:rsidRPr="00E07681" w:rsidRDefault="00A8166C" w:rsidP="00A355ED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Полученные</w:t>
      </w:r>
      <w:r w:rsidR="00D36E99" w:rsidRPr="00E07681">
        <w:rPr>
          <w:rFonts w:eastAsiaTheme="minorEastAsia"/>
          <w:sz w:val="28"/>
          <w:szCs w:val="28"/>
        </w:rPr>
        <w:t xml:space="preserve"> данные были об</w:t>
      </w:r>
      <w:r w:rsidR="00AE2344" w:rsidRPr="00E07681">
        <w:rPr>
          <w:rFonts w:eastAsiaTheme="minorEastAsia"/>
          <w:sz w:val="28"/>
          <w:szCs w:val="28"/>
        </w:rPr>
        <w:t>работаны методами вар</w:t>
      </w:r>
      <w:r w:rsidR="00D36E99" w:rsidRPr="00E07681">
        <w:rPr>
          <w:rFonts w:eastAsiaTheme="minorEastAsia"/>
          <w:sz w:val="28"/>
          <w:szCs w:val="28"/>
        </w:rPr>
        <w:t>иационнои</w:t>
      </w:r>
      <w:r w:rsidR="00D36E99"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="00D36E99" w:rsidRPr="00E07681">
        <w:rPr>
          <w:rFonts w:eastAsiaTheme="minorEastAsia"/>
          <w:sz w:val="28"/>
          <w:szCs w:val="28"/>
        </w:rPr>
        <w:t xml:space="preserve"> статистики с исполь</w:t>
      </w:r>
      <w:r w:rsidR="00AE2344" w:rsidRPr="00E07681">
        <w:rPr>
          <w:rFonts w:eastAsiaTheme="minorEastAsia"/>
          <w:sz w:val="28"/>
          <w:szCs w:val="28"/>
        </w:rPr>
        <w:t xml:space="preserve">зованием пакета прикладных программ </w:t>
      </w:r>
      <w:r w:rsidR="00AE2344" w:rsidRPr="00E07681">
        <w:rPr>
          <w:rFonts w:eastAsiaTheme="minorEastAsia"/>
          <w:sz w:val="28"/>
          <w:szCs w:val="28"/>
          <w:lang w:val="en-US"/>
        </w:rPr>
        <w:t>STATiSTiCA</w:t>
      </w:r>
      <w:r w:rsidR="00A355ED">
        <w:rPr>
          <w:rFonts w:eastAsiaTheme="minorEastAsia"/>
          <w:sz w:val="28"/>
          <w:szCs w:val="28"/>
        </w:rPr>
        <w:t xml:space="preserve"> 6.0 [</w:t>
      </w:r>
      <w:r w:rsidR="00273805">
        <w:rPr>
          <w:rFonts w:eastAsiaTheme="minorEastAsia"/>
          <w:sz w:val="28"/>
          <w:szCs w:val="28"/>
        </w:rPr>
        <w:t>5</w:t>
      </w:r>
      <w:r w:rsidR="00A355ED">
        <w:rPr>
          <w:rFonts w:eastAsiaTheme="minorEastAsia"/>
          <w:sz w:val="28"/>
          <w:szCs w:val="28"/>
        </w:rPr>
        <w:t xml:space="preserve">].  </w:t>
      </w:r>
    </w:p>
    <w:p w:rsidR="00E31F38" w:rsidRPr="00E31F38" w:rsidRDefault="00E31F38" w:rsidP="00E31F38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567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Результаты и обсуждение. </w:t>
      </w:r>
      <w:r w:rsidRPr="00E07681">
        <w:rPr>
          <w:sz w:val="28"/>
          <w:szCs w:val="28"/>
        </w:rPr>
        <w:t>Исследовав активность ПОЛ и АОС у пациентов, мы выяснили, что в сыворотке крови исследуемых из 1-ой клинической группы</w:t>
      </w:r>
      <w:r w:rsidR="00A8166C">
        <w:rPr>
          <w:sz w:val="28"/>
          <w:szCs w:val="28"/>
        </w:rPr>
        <w:t xml:space="preserve"> отмечено увеличение содержания</w:t>
      </w:r>
      <w:r w:rsidRPr="00E07681">
        <w:rPr>
          <w:sz w:val="28"/>
          <w:szCs w:val="28"/>
        </w:rPr>
        <w:t xml:space="preserve"> ДК на 2</w:t>
      </w:r>
      <w:r w:rsidR="00A8166C">
        <w:rPr>
          <w:sz w:val="28"/>
          <w:szCs w:val="28"/>
        </w:rPr>
        <w:t>9,8%, МДА – на 20,7% и уменьшение концентрации</w:t>
      </w:r>
      <w:r w:rsidRPr="00E07681">
        <w:rPr>
          <w:sz w:val="28"/>
          <w:szCs w:val="28"/>
        </w:rPr>
        <w:t xml:space="preserve"> </w:t>
      </w:r>
      <w:r w:rsidRPr="00E07681">
        <w:rPr>
          <w:sz w:val="28"/>
          <w:szCs w:val="28"/>
          <w:lang w:val="en-US"/>
        </w:rPr>
        <w:t>SH</w:t>
      </w:r>
      <w:r w:rsidRPr="00E07681">
        <w:rPr>
          <w:sz w:val="28"/>
          <w:szCs w:val="28"/>
        </w:rPr>
        <w:t xml:space="preserve">-групп на 31,5% </w:t>
      </w:r>
      <w:r w:rsidRPr="00E07681">
        <w:rPr>
          <w:rFonts w:eastAsiaTheme="minorEastAsia"/>
          <w:sz w:val="28"/>
          <w:szCs w:val="28"/>
        </w:rPr>
        <w:t>(р&lt;0,05</w:t>
      </w:r>
      <w:r w:rsidRPr="00E07681">
        <w:rPr>
          <w:sz w:val="28"/>
          <w:szCs w:val="28"/>
        </w:rPr>
        <w:t xml:space="preserve">) по отношению к группе сравнения (таблица 1). Включение в рацион пациентов с </w:t>
      </w:r>
      <w:r w:rsidR="00D003D4">
        <w:rPr>
          <w:sz w:val="28"/>
          <w:szCs w:val="28"/>
        </w:rPr>
        <w:t>непереносимостью к несъёмным ортопедическим конструкциям</w:t>
      </w:r>
      <w:r w:rsidRPr="00E07681">
        <w:rPr>
          <w:sz w:val="28"/>
          <w:szCs w:val="28"/>
        </w:rPr>
        <w:t xml:space="preserve"> </w:t>
      </w:r>
      <w:r w:rsidRPr="00E07681">
        <w:rPr>
          <w:color w:val="000000"/>
          <w:sz w:val="28"/>
          <w:szCs w:val="28"/>
        </w:rPr>
        <w:t xml:space="preserve">комплекса активных биофлавоноидов </w:t>
      </w:r>
      <w:r w:rsidR="00D003D4">
        <w:rPr>
          <w:sz w:val="28"/>
          <w:szCs w:val="28"/>
        </w:rPr>
        <w:t xml:space="preserve">нормализует </w:t>
      </w:r>
      <w:r w:rsidR="00DC3053">
        <w:rPr>
          <w:sz w:val="28"/>
          <w:szCs w:val="28"/>
        </w:rPr>
        <w:t>равновесие</w:t>
      </w:r>
      <w:r w:rsidRPr="00E07681">
        <w:rPr>
          <w:sz w:val="28"/>
          <w:szCs w:val="28"/>
        </w:rPr>
        <w:t xml:space="preserve"> </w:t>
      </w:r>
      <w:r w:rsidR="00D003D4">
        <w:rPr>
          <w:sz w:val="28"/>
          <w:szCs w:val="28"/>
        </w:rPr>
        <w:t>про-/антиоксидантной системы</w:t>
      </w:r>
      <w:r w:rsidRPr="00E07681">
        <w:rPr>
          <w:sz w:val="28"/>
          <w:szCs w:val="28"/>
        </w:rPr>
        <w:t>.</w:t>
      </w:r>
    </w:p>
    <w:p w:rsidR="00E31F38" w:rsidRPr="00E07681" w:rsidRDefault="00E31F38" w:rsidP="00E07681">
      <w:pPr>
        <w:widowControl w:val="0"/>
        <w:autoSpaceDE w:val="0"/>
        <w:autoSpaceDN w:val="0"/>
        <w:adjustRightInd w:val="0"/>
        <w:spacing w:after="240" w:line="360" w:lineRule="auto"/>
        <w:ind w:left="-284" w:right="566"/>
        <w:jc w:val="both"/>
        <w:rPr>
          <w:rFonts w:eastAsiaTheme="minorEastAsia"/>
          <w:b/>
          <w:bCs/>
          <w:sz w:val="28"/>
          <w:szCs w:val="28"/>
        </w:rPr>
      </w:pPr>
    </w:p>
    <w:p w:rsidR="00A10752" w:rsidRPr="00E07681" w:rsidRDefault="008002D7" w:rsidP="00504C9F">
      <w:pPr>
        <w:spacing w:beforeLines="20" w:line="360" w:lineRule="auto"/>
        <w:ind w:left="-284" w:right="566" w:firstLine="567"/>
        <w:jc w:val="center"/>
        <w:rPr>
          <w:b/>
          <w:sz w:val="28"/>
          <w:szCs w:val="28"/>
        </w:rPr>
      </w:pPr>
      <w:r w:rsidRPr="00E07681">
        <w:rPr>
          <w:b/>
          <w:sz w:val="28"/>
          <w:szCs w:val="28"/>
        </w:rPr>
        <w:t xml:space="preserve">Таблица 1. </w:t>
      </w:r>
      <w:r w:rsidR="00A10752" w:rsidRPr="00E07681">
        <w:rPr>
          <w:b/>
          <w:sz w:val="28"/>
          <w:szCs w:val="28"/>
        </w:rPr>
        <w:t xml:space="preserve">Влияние  парафармацевтика «Вин-Вита» на состояние </w:t>
      </w:r>
      <w:r w:rsidR="00724649" w:rsidRPr="00E07681">
        <w:rPr>
          <w:b/>
          <w:sz w:val="28"/>
          <w:szCs w:val="28"/>
        </w:rPr>
        <w:t>ПОЛ и АОС в сыворотке крови</w:t>
      </w:r>
      <w:r w:rsidR="00A10752" w:rsidRPr="00E07681">
        <w:rPr>
          <w:b/>
          <w:sz w:val="28"/>
          <w:szCs w:val="28"/>
        </w:rPr>
        <w:t xml:space="preserve"> (</w:t>
      </w:r>
      <w:r w:rsidR="00A10752" w:rsidRPr="00E07681">
        <w:rPr>
          <w:b/>
          <w:sz w:val="28"/>
          <w:szCs w:val="28"/>
          <w:lang w:val="en-US"/>
        </w:rPr>
        <w:t>M</w:t>
      </w:r>
      <w:r w:rsidR="00A10752" w:rsidRPr="00E07681">
        <w:rPr>
          <w:b/>
          <w:sz w:val="28"/>
          <w:szCs w:val="28"/>
        </w:rPr>
        <w:t>±</w:t>
      </w:r>
      <w:r w:rsidR="00A10752" w:rsidRPr="00E07681">
        <w:rPr>
          <w:b/>
          <w:sz w:val="28"/>
          <w:szCs w:val="28"/>
          <w:lang w:val="en-US"/>
        </w:rPr>
        <w:t>m</w:t>
      </w:r>
      <w:r w:rsidR="00A10752" w:rsidRPr="00E07681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10"/>
        <w:gridCol w:w="2126"/>
        <w:gridCol w:w="2517"/>
      </w:tblGrid>
      <w:tr w:rsidR="00A10752" w:rsidRPr="00E07681" w:rsidTr="00921246">
        <w:trPr>
          <w:trHeight w:val="810"/>
        </w:trPr>
        <w:tc>
          <w:tcPr>
            <w:tcW w:w="2518" w:type="dxa"/>
            <w:vMerge w:val="restart"/>
            <w:shd w:val="clear" w:color="auto" w:fill="auto"/>
          </w:tcPr>
          <w:p w:rsidR="00A10752" w:rsidRPr="00921246" w:rsidRDefault="00D42860" w:rsidP="00504C9F">
            <w:pPr>
              <w:spacing w:beforeLines="20" w:line="360" w:lineRule="auto"/>
              <w:ind w:left="-284" w:right="566" w:firstLine="567"/>
              <w:jc w:val="center"/>
              <w:rPr>
                <w:sz w:val="28"/>
                <w:szCs w:val="28"/>
              </w:rPr>
            </w:pPr>
            <w:r w:rsidRPr="00D42860">
              <w:rPr>
                <w:noProof/>
                <w:sz w:val="28"/>
                <w:szCs w:val="28"/>
                <w:lang w:val="en-US"/>
              </w:rPr>
              <w:pict>
                <v:line id="Line 2" o:spid="_x0000_s1026" style="position:absolute;left:0;text-align:left;z-index:251664384;visibility:visible" from="-9.15pt,11.15pt" to="119.3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zdFw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"/>
              </w:pict>
            </w:r>
            <w:r w:rsidR="00D003D4" w:rsidRPr="00921246">
              <w:rPr>
                <w:sz w:val="28"/>
                <w:szCs w:val="28"/>
              </w:rPr>
              <w:t>Показатели</w:t>
            </w:r>
          </w:p>
          <w:p w:rsidR="00A10752" w:rsidRPr="00921246" w:rsidRDefault="00A10752" w:rsidP="00504C9F">
            <w:pPr>
              <w:spacing w:beforeLines="20" w:line="360" w:lineRule="auto"/>
              <w:ind w:left="-284" w:right="566" w:firstLine="567"/>
              <w:jc w:val="center"/>
              <w:rPr>
                <w:sz w:val="28"/>
                <w:szCs w:val="28"/>
              </w:rPr>
            </w:pPr>
          </w:p>
          <w:p w:rsidR="00A10752" w:rsidRPr="00921246" w:rsidRDefault="00A10752" w:rsidP="00504C9F">
            <w:pPr>
              <w:spacing w:beforeLines="20" w:line="360" w:lineRule="auto"/>
              <w:ind w:right="566" w:firstLine="567"/>
              <w:jc w:val="center"/>
              <w:rPr>
                <w:sz w:val="22"/>
                <w:szCs w:val="22"/>
              </w:rPr>
            </w:pPr>
            <w:r w:rsidRPr="00921246">
              <w:rPr>
                <w:sz w:val="28"/>
                <w:szCs w:val="28"/>
              </w:rPr>
              <w:t>Группы</w:t>
            </w:r>
          </w:p>
        </w:tc>
        <w:tc>
          <w:tcPr>
            <w:tcW w:w="7053" w:type="dxa"/>
            <w:gridSpan w:val="3"/>
            <w:shd w:val="clear" w:color="auto" w:fill="auto"/>
          </w:tcPr>
          <w:p w:rsidR="00A10752" w:rsidRPr="00E07681" w:rsidRDefault="00A10752" w:rsidP="00504C9F">
            <w:pPr>
              <w:spacing w:beforeLines="20" w:line="360" w:lineRule="auto"/>
              <w:ind w:left="-284" w:right="566" w:firstLine="567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Сыворотка крови</w:t>
            </w:r>
          </w:p>
        </w:tc>
      </w:tr>
      <w:tr w:rsidR="00412FD6" w:rsidRPr="00E07681" w:rsidTr="00921246">
        <w:trPr>
          <w:trHeight w:val="640"/>
        </w:trPr>
        <w:tc>
          <w:tcPr>
            <w:tcW w:w="2518" w:type="dxa"/>
            <w:vMerge/>
            <w:shd w:val="clear" w:color="auto" w:fill="auto"/>
          </w:tcPr>
          <w:p w:rsidR="00A10752" w:rsidRPr="00E07681" w:rsidRDefault="00A10752" w:rsidP="00504C9F">
            <w:pPr>
              <w:spacing w:beforeLines="20" w:line="360" w:lineRule="auto"/>
              <w:ind w:left="-284" w:right="566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0752" w:rsidRPr="00E07681" w:rsidRDefault="000B75D0" w:rsidP="00504C9F">
            <w:pPr>
              <w:spacing w:beforeLines="20" w:line="360" w:lineRule="auto"/>
              <w:ind w:left="-284" w:right="566" w:firstLine="567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ДК, мкмоль/л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752" w:rsidRPr="00E07681" w:rsidRDefault="00A10752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МДА, нмоль/мг</w:t>
            </w:r>
          </w:p>
        </w:tc>
        <w:tc>
          <w:tcPr>
            <w:tcW w:w="2517" w:type="dxa"/>
            <w:shd w:val="clear" w:color="auto" w:fill="auto"/>
          </w:tcPr>
          <w:p w:rsidR="00A10752" w:rsidRPr="00E07681" w:rsidRDefault="00A10752" w:rsidP="00504C9F">
            <w:pPr>
              <w:spacing w:beforeLines="20" w:line="360" w:lineRule="auto"/>
              <w:ind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  <w:lang w:val="en-US"/>
              </w:rPr>
              <w:t>SH-</w:t>
            </w:r>
            <w:r w:rsidR="000B75D0" w:rsidRPr="00E07681">
              <w:rPr>
                <w:sz w:val="28"/>
                <w:szCs w:val="28"/>
              </w:rPr>
              <w:t>группы, м</w:t>
            </w:r>
            <w:r w:rsidRPr="00E07681">
              <w:rPr>
                <w:sz w:val="28"/>
                <w:szCs w:val="28"/>
              </w:rPr>
              <w:t>моль/л</w:t>
            </w:r>
          </w:p>
        </w:tc>
      </w:tr>
      <w:tr w:rsidR="00412FD6" w:rsidRPr="00E07681" w:rsidTr="00921246">
        <w:tc>
          <w:tcPr>
            <w:tcW w:w="2518" w:type="dxa"/>
            <w:shd w:val="clear" w:color="auto" w:fill="auto"/>
          </w:tcPr>
          <w:p w:rsidR="00A10752" w:rsidRPr="00E07681" w:rsidRDefault="00A10752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Группа сравнения</w:t>
            </w:r>
          </w:p>
        </w:tc>
        <w:tc>
          <w:tcPr>
            <w:tcW w:w="2410" w:type="dxa"/>
            <w:shd w:val="clear" w:color="auto" w:fill="auto"/>
          </w:tcPr>
          <w:p w:rsidR="00A10752" w:rsidRPr="00E07681" w:rsidRDefault="000B75D0" w:rsidP="00504C9F">
            <w:pPr>
              <w:spacing w:beforeLines="20" w:line="360" w:lineRule="auto"/>
              <w:ind w:right="566" w:hanging="108"/>
              <w:jc w:val="center"/>
              <w:rPr>
                <w:sz w:val="28"/>
                <w:szCs w:val="28"/>
              </w:rPr>
            </w:pPr>
            <w:r w:rsidRPr="00E07681">
              <w:rPr>
                <w:rFonts w:eastAsiaTheme="minorEastAsia"/>
                <w:sz w:val="28"/>
                <w:szCs w:val="28"/>
                <w:lang w:val="en-US"/>
              </w:rPr>
              <w:t>150</w:t>
            </w:r>
            <w:r w:rsidR="0094749F" w:rsidRPr="00E07681">
              <w:rPr>
                <w:rFonts w:eastAsiaTheme="minorEastAsia"/>
                <w:sz w:val="28"/>
                <w:szCs w:val="28"/>
                <w:lang w:val="en-US"/>
              </w:rPr>
              <w:t>,0</w:t>
            </w:r>
            <w:r w:rsidRPr="00E07681">
              <w:rPr>
                <w:sz w:val="28"/>
                <w:szCs w:val="28"/>
              </w:rPr>
              <w:t>±</w:t>
            </w:r>
            <w:r w:rsidRPr="00E07681">
              <w:rPr>
                <w:rFonts w:eastAsiaTheme="minorEastAsia"/>
                <w:sz w:val="28"/>
                <w:szCs w:val="28"/>
                <w:lang w:val="en-US"/>
              </w:rPr>
              <w:t>13,0</w:t>
            </w:r>
          </w:p>
        </w:tc>
        <w:tc>
          <w:tcPr>
            <w:tcW w:w="2126" w:type="dxa"/>
            <w:shd w:val="clear" w:color="auto" w:fill="auto"/>
          </w:tcPr>
          <w:p w:rsidR="00A10752" w:rsidRPr="00E07681" w:rsidRDefault="000B75D0" w:rsidP="00504C9F">
            <w:pPr>
              <w:spacing w:beforeLines="20" w:line="360" w:lineRule="auto"/>
              <w:ind w:left="-108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1,45</w:t>
            </w:r>
            <w:r w:rsidR="00064DB3" w:rsidRPr="00E07681">
              <w:rPr>
                <w:sz w:val="28"/>
                <w:szCs w:val="28"/>
              </w:rPr>
              <w:t>±0,13</w:t>
            </w:r>
          </w:p>
        </w:tc>
        <w:tc>
          <w:tcPr>
            <w:tcW w:w="2517" w:type="dxa"/>
            <w:shd w:val="clear" w:color="auto" w:fill="auto"/>
          </w:tcPr>
          <w:p w:rsidR="00A10752" w:rsidRPr="00E07681" w:rsidRDefault="009C7101" w:rsidP="00504C9F">
            <w:pPr>
              <w:spacing w:beforeLines="20" w:line="360" w:lineRule="auto"/>
              <w:ind w:left="-108" w:right="566"/>
              <w:jc w:val="center"/>
              <w:rPr>
                <w:sz w:val="28"/>
                <w:szCs w:val="28"/>
              </w:rPr>
            </w:pPr>
            <w:r w:rsidRPr="00E07681">
              <w:rPr>
                <w:color w:val="262626"/>
                <w:sz w:val="28"/>
                <w:szCs w:val="28"/>
                <w:lang w:val="en-US"/>
              </w:rPr>
              <w:t>9</w:t>
            </w:r>
            <w:r w:rsidRPr="00E07681">
              <w:rPr>
                <w:color w:val="262626"/>
                <w:sz w:val="28"/>
                <w:szCs w:val="28"/>
              </w:rPr>
              <w:t>7</w:t>
            </w:r>
            <w:r w:rsidR="000B75D0" w:rsidRPr="00E07681">
              <w:rPr>
                <w:color w:val="262626"/>
                <w:sz w:val="28"/>
                <w:szCs w:val="28"/>
                <w:lang w:val="en-US"/>
              </w:rPr>
              <w:t>,01 ± 2,78</w:t>
            </w:r>
          </w:p>
        </w:tc>
      </w:tr>
      <w:tr w:rsidR="00412FD6" w:rsidRPr="00E07681" w:rsidTr="00921246">
        <w:trPr>
          <w:trHeight w:val="433"/>
        </w:trPr>
        <w:tc>
          <w:tcPr>
            <w:tcW w:w="2518" w:type="dxa"/>
            <w:shd w:val="clear" w:color="auto" w:fill="auto"/>
          </w:tcPr>
          <w:p w:rsidR="00A10752" w:rsidRPr="00E07681" w:rsidRDefault="00A10752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1-я группа</w:t>
            </w:r>
          </w:p>
        </w:tc>
        <w:tc>
          <w:tcPr>
            <w:tcW w:w="2410" w:type="dxa"/>
            <w:shd w:val="clear" w:color="auto" w:fill="auto"/>
          </w:tcPr>
          <w:p w:rsidR="00A10752" w:rsidRPr="00E07681" w:rsidRDefault="00D003D4" w:rsidP="00504C9F">
            <w:pPr>
              <w:spacing w:beforeLines="20" w:line="360" w:lineRule="auto"/>
              <w:ind w:right="566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044" w:rsidRPr="00E07681">
              <w:rPr>
                <w:sz w:val="28"/>
                <w:szCs w:val="28"/>
              </w:rPr>
              <w:t>94,7±17,1</w:t>
            </w:r>
            <w:r w:rsidR="00A10752" w:rsidRPr="00E07681">
              <w:rPr>
                <w:sz w:val="28"/>
                <w:szCs w:val="28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A10752" w:rsidRPr="00E07681" w:rsidRDefault="00F34044" w:rsidP="00504C9F">
            <w:pPr>
              <w:spacing w:beforeLines="20" w:line="360" w:lineRule="auto"/>
              <w:ind w:left="-108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1,7</w:t>
            </w:r>
            <w:r w:rsidR="000B75D0" w:rsidRPr="00E07681">
              <w:rPr>
                <w:sz w:val="28"/>
                <w:szCs w:val="28"/>
              </w:rPr>
              <w:t>5</w:t>
            </w:r>
            <w:r w:rsidR="00064DB3" w:rsidRPr="00E07681">
              <w:rPr>
                <w:sz w:val="28"/>
                <w:szCs w:val="28"/>
              </w:rPr>
              <w:t>±0,15</w:t>
            </w:r>
            <w:r w:rsidR="00A10752" w:rsidRPr="00E07681">
              <w:rPr>
                <w:sz w:val="28"/>
                <w:szCs w:val="28"/>
              </w:rPr>
              <w:t>*</w:t>
            </w:r>
          </w:p>
        </w:tc>
        <w:tc>
          <w:tcPr>
            <w:tcW w:w="2517" w:type="dxa"/>
            <w:shd w:val="clear" w:color="auto" w:fill="auto"/>
          </w:tcPr>
          <w:p w:rsidR="00A10752" w:rsidRPr="00E07681" w:rsidRDefault="009C7101" w:rsidP="00504C9F">
            <w:pPr>
              <w:spacing w:beforeLines="20" w:line="360" w:lineRule="auto"/>
              <w:ind w:left="-108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67,7</w:t>
            </w:r>
            <w:r w:rsidR="00F34044" w:rsidRPr="00E07681">
              <w:rPr>
                <w:sz w:val="28"/>
                <w:szCs w:val="28"/>
              </w:rPr>
              <w:t>5</w:t>
            </w:r>
            <w:r w:rsidR="00F34044" w:rsidRPr="00E07681">
              <w:rPr>
                <w:color w:val="262626"/>
                <w:sz w:val="28"/>
                <w:szCs w:val="28"/>
                <w:lang w:val="en-US"/>
              </w:rPr>
              <w:t xml:space="preserve">± </w:t>
            </w:r>
            <w:r w:rsidR="00412FD6" w:rsidRPr="00E07681">
              <w:rPr>
                <w:color w:val="262626"/>
                <w:sz w:val="28"/>
                <w:szCs w:val="28"/>
                <w:lang w:val="en-US"/>
              </w:rPr>
              <w:t>3,02</w:t>
            </w:r>
            <w:r w:rsidR="00A10752" w:rsidRPr="00E07681">
              <w:rPr>
                <w:sz w:val="28"/>
                <w:szCs w:val="28"/>
              </w:rPr>
              <w:t>*</w:t>
            </w:r>
          </w:p>
        </w:tc>
      </w:tr>
      <w:tr w:rsidR="00412FD6" w:rsidRPr="00E07681" w:rsidTr="00921246">
        <w:trPr>
          <w:trHeight w:val="412"/>
        </w:trPr>
        <w:tc>
          <w:tcPr>
            <w:tcW w:w="2518" w:type="dxa"/>
            <w:shd w:val="clear" w:color="auto" w:fill="auto"/>
          </w:tcPr>
          <w:p w:rsidR="00A10752" w:rsidRPr="00E07681" w:rsidRDefault="00A10752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2-я группа</w:t>
            </w:r>
          </w:p>
        </w:tc>
        <w:tc>
          <w:tcPr>
            <w:tcW w:w="2410" w:type="dxa"/>
            <w:shd w:val="clear" w:color="auto" w:fill="auto"/>
          </w:tcPr>
          <w:p w:rsidR="00A10752" w:rsidRPr="00E07681" w:rsidRDefault="0094749F" w:rsidP="00504C9F">
            <w:pPr>
              <w:spacing w:beforeLines="20" w:line="360" w:lineRule="auto"/>
              <w:ind w:right="566" w:hanging="108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152</w:t>
            </w:r>
            <w:r w:rsidR="00412FD6" w:rsidRPr="00E07681">
              <w:rPr>
                <w:sz w:val="28"/>
                <w:szCs w:val="28"/>
              </w:rPr>
              <w:t>,</w:t>
            </w:r>
            <w:r w:rsidRPr="00E07681">
              <w:rPr>
                <w:sz w:val="28"/>
                <w:szCs w:val="28"/>
              </w:rPr>
              <w:t>3</w:t>
            </w:r>
            <w:r w:rsidR="00412FD6" w:rsidRPr="00E07681">
              <w:rPr>
                <w:color w:val="262626"/>
                <w:sz w:val="28"/>
                <w:szCs w:val="28"/>
                <w:lang w:val="en-US"/>
              </w:rPr>
              <w:t>± 15,3</w:t>
            </w:r>
            <w:r w:rsidR="00A10752" w:rsidRPr="00E07681">
              <w:rPr>
                <w:sz w:val="28"/>
                <w:szCs w:val="28"/>
              </w:rPr>
              <w:t>**</w:t>
            </w:r>
          </w:p>
        </w:tc>
        <w:tc>
          <w:tcPr>
            <w:tcW w:w="2126" w:type="dxa"/>
            <w:shd w:val="clear" w:color="auto" w:fill="auto"/>
          </w:tcPr>
          <w:p w:rsidR="00A10752" w:rsidRPr="00E07681" w:rsidRDefault="00412FD6" w:rsidP="00504C9F">
            <w:pPr>
              <w:spacing w:beforeLines="20" w:line="360" w:lineRule="auto"/>
              <w:ind w:left="-108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1,55</w:t>
            </w:r>
            <w:r w:rsidR="00064DB3" w:rsidRPr="00E07681">
              <w:rPr>
                <w:sz w:val="28"/>
                <w:szCs w:val="28"/>
              </w:rPr>
              <w:t>±0,18</w:t>
            </w:r>
            <w:r w:rsidR="00A10752" w:rsidRPr="00E07681">
              <w:rPr>
                <w:sz w:val="28"/>
                <w:szCs w:val="28"/>
              </w:rPr>
              <w:t>**</w:t>
            </w:r>
          </w:p>
        </w:tc>
        <w:tc>
          <w:tcPr>
            <w:tcW w:w="2517" w:type="dxa"/>
            <w:shd w:val="clear" w:color="auto" w:fill="auto"/>
          </w:tcPr>
          <w:p w:rsidR="00A10752" w:rsidRPr="00E07681" w:rsidRDefault="009C7101" w:rsidP="00504C9F">
            <w:pPr>
              <w:spacing w:beforeLines="20" w:line="360" w:lineRule="auto"/>
              <w:ind w:left="-108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81,03</w:t>
            </w:r>
            <w:r w:rsidR="00412FD6" w:rsidRPr="00E07681">
              <w:rPr>
                <w:color w:val="262626"/>
                <w:sz w:val="28"/>
                <w:szCs w:val="28"/>
                <w:lang w:val="en-US"/>
              </w:rPr>
              <w:t>± 2,86</w:t>
            </w:r>
            <w:r w:rsidR="00A10752" w:rsidRPr="00E07681">
              <w:rPr>
                <w:sz w:val="28"/>
                <w:szCs w:val="28"/>
              </w:rPr>
              <w:t>*</w:t>
            </w:r>
            <w:r w:rsidR="00412FD6" w:rsidRPr="00E07681">
              <w:rPr>
                <w:sz w:val="28"/>
                <w:szCs w:val="28"/>
                <w:lang w:val="en-US"/>
              </w:rPr>
              <w:t>*</w:t>
            </w:r>
          </w:p>
        </w:tc>
      </w:tr>
    </w:tbl>
    <w:p w:rsidR="00A10752" w:rsidRPr="00E07681" w:rsidRDefault="00A10752" w:rsidP="00504C9F">
      <w:pPr>
        <w:spacing w:beforeLines="20" w:line="360" w:lineRule="auto"/>
        <w:ind w:left="-284" w:right="566" w:firstLine="567"/>
        <w:jc w:val="both"/>
        <w:rPr>
          <w:sz w:val="28"/>
          <w:szCs w:val="28"/>
        </w:rPr>
      </w:pPr>
    </w:p>
    <w:p w:rsidR="00A10752" w:rsidRPr="00E07681" w:rsidRDefault="00A10752" w:rsidP="00504C9F">
      <w:pPr>
        <w:spacing w:beforeLines="20" w:line="360" w:lineRule="auto"/>
        <w:ind w:left="-284" w:right="566"/>
        <w:jc w:val="both"/>
        <w:rPr>
          <w:sz w:val="28"/>
          <w:szCs w:val="28"/>
        </w:rPr>
      </w:pPr>
      <w:r w:rsidRPr="00E07681">
        <w:rPr>
          <w:b/>
          <w:sz w:val="28"/>
          <w:szCs w:val="28"/>
        </w:rPr>
        <w:t>Примечание:</w:t>
      </w:r>
      <w:r w:rsidRPr="00E07681">
        <w:rPr>
          <w:sz w:val="28"/>
          <w:szCs w:val="28"/>
        </w:rPr>
        <w:t xml:space="preserve"> *достоверность различий  – р&lt;0,05 по отношению к группе сравнения;</w:t>
      </w:r>
    </w:p>
    <w:p w:rsidR="00A10752" w:rsidRPr="00E07681" w:rsidRDefault="00A10752" w:rsidP="00504C9F">
      <w:pPr>
        <w:spacing w:beforeLines="20" w:line="360" w:lineRule="auto"/>
        <w:ind w:left="-284" w:right="566" w:firstLine="425"/>
        <w:jc w:val="both"/>
        <w:rPr>
          <w:sz w:val="28"/>
          <w:szCs w:val="28"/>
        </w:rPr>
      </w:pPr>
      <w:r w:rsidRPr="00E07681">
        <w:rPr>
          <w:sz w:val="28"/>
          <w:szCs w:val="28"/>
        </w:rPr>
        <w:t xml:space="preserve">             **достоверность различий – р&lt;0,05 по отношению к 1-ой </w:t>
      </w:r>
      <w:r w:rsidR="00D813F1" w:rsidRPr="00E07681">
        <w:rPr>
          <w:sz w:val="28"/>
          <w:szCs w:val="28"/>
        </w:rPr>
        <w:t>клинической</w:t>
      </w:r>
      <w:r w:rsidRPr="00E07681">
        <w:rPr>
          <w:sz w:val="28"/>
          <w:szCs w:val="28"/>
        </w:rPr>
        <w:t xml:space="preserve"> группе.</w:t>
      </w:r>
    </w:p>
    <w:p w:rsidR="00A00A0C" w:rsidRPr="00BE6F4F" w:rsidRDefault="00A00A0C" w:rsidP="00E31F38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sz w:val="28"/>
          <w:szCs w:val="28"/>
        </w:rPr>
      </w:pPr>
      <w:r w:rsidRPr="00E07681">
        <w:rPr>
          <w:rFonts w:eastAsiaTheme="minorEastAsia"/>
          <w:sz w:val="28"/>
          <w:szCs w:val="28"/>
        </w:rPr>
        <w:t>Действие</w:t>
      </w:r>
      <w:r w:rsidR="00E70EC2" w:rsidRPr="00E07681">
        <w:rPr>
          <w:rFonts w:eastAsiaTheme="minorEastAsia"/>
          <w:sz w:val="28"/>
          <w:szCs w:val="28"/>
        </w:rPr>
        <w:t xml:space="preserve"> “Вин-Вита” на состояние показателей</w:t>
      </w:r>
      <w:r w:rsidRPr="00E07681">
        <w:rPr>
          <w:rFonts w:eastAsiaTheme="minorEastAsia"/>
          <w:sz w:val="28"/>
          <w:szCs w:val="28"/>
        </w:rPr>
        <w:t xml:space="preserve"> ПОЛ</w:t>
      </w:r>
      <w:r w:rsidR="00303A91" w:rsidRPr="00E07681">
        <w:rPr>
          <w:rFonts w:eastAsiaTheme="minorEastAsia"/>
          <w:sz w:val="28"/>
          <w:szCs w:val="28"/>
        </w:rPr>
        <w:t xml:space="preserve"> и АОС</w:t>
      </w:r>
      <w:r w:rsidRPr="00E07681">
        <w:rPr>
          <w:rFonts w:eastAsiaTheme="minorEastAsia"/>
          <w:sz w:val="28"/>
          <w:szCs w:val="28"/>
        </w:rPr>
        <w:t xml:space="preserve"> свидетельствует</w:t>
      </w:r>
      <w:r w:rsidR="00303A91" w:rsidRPr="00E07681">
        <w:rPr>
          <w:rFonts w:eastAsiaTheme="minorEastAsia"/>
          <w:sz w:val="28"/>
          <w:szCs w:val="28"/>
        </w:rPr>
        <w:t xml:space="preserve"> о выраженных антиоксидантных свойствах парафармацевтика, заключающихся в ингибировании свободнорадикаль</w:t>
      </w:r>
      <w:r w:rsidR="00E70EC2" w:rsidRPr="00E07681">
        <w:rPr>
          <w:rFonts w:eastAsiaTheme="minorEastAsia"/>
          <w:sz w:val="28"/>
          <w:szCs w:val="28"/>
        </w:rPr>
        <w:t xml:space="preserve">ных процессов АОЗ. Результаты исследования показали </w:t>
      </w:r>
      <w:r w:rsidR="00303A91" w:rsidRPr="00E07681">
        <w:rPr>
          <w:rFonts w:eastAsiaTheme="minorEastAsia"/>
          <w:sz w:val="28"/>
          <w:szCs w:val="28"/>
        </w:rPr>
        <w:t>уменьшение концентрации продуктов пероксидации липидов в кров</w:t>
      </w:r>
      <w:r w:rsidR="00E70EC2" w:rsidRPr="00E07681">
        <w:rPr>
          <w:rFonts w:eastAsiaTheme="minorEastAsia"/>
          <w:sz w:val="28"/>
          <w:szCs w:val="28"/>
        </w:rPr>
        <w:t>и пациентов. В сравнении с результатами, полученными в 1-ой клинической группе, назначенная доза парафармацевтика</w:t>
      </w:r>
      <w:r w:rsidR="00303A91" w:rsidRPr="00E07681">
        <w:rPr>
          <w:rFonts w:eastAsiaTheme="minorEastAsia"/>
          <w:sz w:val="28"/>
          <w:szCs w:val="28"/>
        </w:rPr>
        <w:t xml:space="preserve"> снижает содержание в крови </w:t>
      </w:r>
      <w:r w:rsidR="00303A91" w:rsidRPr="00E07681">
        <w:rPr>
          <w:sz w:val="28"/>
          <w:szCs w:val="28"/>
        </w:rPr>
        <w:t xml:space="preserve">ДК, МДА </w:t>
      </w:r>
      <w:r w:rsidR="00303A91" w:rsidRPr="00E07681">
        <w:rPr>
          <w:sz w:val="28"/>
          <w:szCs w:val="28"/>
          <w:lang w:val="uk-UA"/>
        </w:rPr>
        <w:t>на</w:t>
      </w:r>
      <w:r w:rsidR="00303A91" w:rsidRPr="00E07681">
        <w:rPr>
          <w:sz w:val="28"/>
          <w:szCs w:val="28"/>
        </w:rPr>
        <w:t xml:space="preserve"> 2</w:t>
      </w:r>
      <w:r w:rsidR="0094749F" w:rsidRPr="00E07681">
        <w:rPr>
          <w:sz w:val="28"/>
          <w:szCs w:val="28"/>
        </w:rPr>
        <w:t>1</w:t>
      </w:r>
      <w:r w:rsidR="00303A91" w:rsidRPr="00E07681">
        <w:rPr>
          <w:sz w:val="28"/>
          <w:szCs w:val="28"/>
          <w:lang w:val="uk-UA"/>
        </w:rPr>
        <w:t>,</w:t>
      </w:r>
      <w:r w:rsidR="00303A91" w:rsidRPr="00E07681">
        <w:rPr>
          <w:sz w:val="28"/>
          <w:szCs w:val="28"/>
        </w:rPr>
        <w:t>8</w:t>
      </w:r>
      <w:r w:rsidR="00303A91" w:rsidRPr="00E07681">
        <w:rPr>
          <w:sz w:val="28"/>
          <w:szCs w:val="28"/>
          <w:lang w:val="uk-UA"/>
        </w:rPr>
        <w:t xml:space="preserve"> % и 11,4%</w:t>
      </w:r>
      <w:r w:rsidR="00495F3E" w:rsidRPr="00E07681">
        <w:rPr>
          <w:sz w:val="28"/>
          <w:szCs w:val="28"/>
          <w:lang w:val="uk-UA"/>
        </w:rPr>
        <w:t xml:space="preserve"> </w:t>
      </w:r>
      <w:r w:rsidR="00495F3E" w:rsidRPr="00E07681">
        <w:rPr>
          <w:rFonts w:eastAsiaTheme="minorEastAsia"/>
          <w:sz w:val="28"/>
          <w:szCs w:val="28"/>
        </w:rPr>
        <w:t>(р&lt;0,05)</w:t>
      </w:r>
      <w:r w:rsidR="00303A91" w:rsidRPr="00E07681">
        <w:rPr>
          <w:sz w:val="28"/>
          <w:szCs w:val="28"/>
          <w:lang w:val="uk-UA"/>
        </w:rPr>
        <w:t xml:space="preserve"> соответственно </w:t>
      </w:r>
      <w:r w:rsidR="00303A91" w:rsidRPr="00E07681">
        <w:rPr>
          <w:sz w:val="28"/>
          <w:szCs w:val="28"/>
        </w:rPr>
        <w:t xml:space="preserve"> и увеличивает концентрацию </w:t>
      </w:r>
      <w:r w:rsidR="00303A91" w:rsidRPr="00E07681">
        <w:rPr>
          <w:sz w:val="28"/>
          <w:szCs w:val="28"/>
          <w:lang w:val="en-US"/>
        </w:rPr>
        <w:t>SH</w:t>
      </w:r>
      <w:r w:rsidR="00303A91" w:rsidRPr="00E07681">
        <w:rPr>
          <w:sz w:val="28"/>
          <w:szCs w:val="28"/>
        </w:rPr>
        <w:t>-групп</w:t>
      </w:r>
      <w:r w:rsidR="0094749F" w:rsidRPr="00E07681">
        <w:rPr>
          <w:sz w:val="28"/>
          <w:szCs w:val="28"/>
          <w:lang w:val="uk-UA"/>
        </w:rPr>
        <w:t xml:space="preserve"> на 19</w:t>
      </w:r>
      <w:r w:rsidR="00303A91" w:rsidRPr="00E07681">
        <w:rPr>
          <w:sz w:val="28"/>
          <w:szCs w:val="28"/>
          <w:lang w:val="uk-UA"/>
        </w:rPr>
        <w:t>,6%</w:t>
      </w:r>
      <w:r w:rsidR="00E70EC2" w:rsidRPr="00E07681">
        <w:rPr>
          <w:sz w:val="28"/>
          <w:szCs w:val="28"/>
        </w:rPr>
        <w:t xml:space="preserve">. </w:t>
      </w:r>
      <w:r w:rsidR="00921246">
        <w:rPr>
          <w:sz w:val="28"/>
          <w:szCs w:val="28"/>
        </w:rPr>
        <w:t xml:space="preserve">Изучаемый парафармацевтик </w:t>
      </w:r>
      <w:r w:rsidR="00E70EC2" w:rsidRPr="00E07681">
        <w:rPr>
          <w:sz w:val="28"/>
          <w:szCs w:val="28"/>
        </w:rPr>
        <w:t>оказывает</w:t>
      </w:r>
      <w:r w:rsidR="0094749F" w:rsidRPr="00E07681">
        <w:rPr>
          <w:sz w:val="28"/>
          <w:szCs w:val="28"/>
        </w:rPr>
        <w:t xml:space="preserve"> найболее выраженное коррегирующее действие на содержание ДК, что свидетельствует об ингибировании этим </w:t>
      </w:r>
      <w:r w:rsidR="00921246">
        <w:rPr>
          <w:sz w:val="28"/>
          <w:szCs w:val="28"/>
        </w:rPr>
        <w:t xml:space="preserve">комплексом </w:t>
      </w:r>
      <w:r w:rsidR="0094749F" w:rsidRPr="00E07681">
        <w:rPr>
          <w:sz w:val="28"/>
          <w:szCs w:val="28"/>
        </w:rPr>
        <w:t>стадии образования первичных продуктов ПОЛ, так как</w:t>
      </w:r>
      <w:r w:rsidR="00DC3053">
        <w:rPr>
          <w:sz w:val="28"/>
          <w:szCs w:val="28"/>
        </w:rPr>
        <w:t xml:space="preserve"> обнаружение диеновых конъюгатов</w:t>
      </w:r>
      <w:r w:rsidR="0094749F" w:rsidRPr="00E07681">
        <w:rPr>
          <w:sz w:val="28"/>
          <w:szCs w:val="28"/>
        </w:rPr>
        <w:t xml:space="preserve"> является чувствительным тестом на поя</w:t>
      </w:r>
      <w:r w:rsidR="00273805">
        <w:rPr>
          <w:sz w:val="28"/>
          <w:szCs w:val="28"/>
        </w:rPr>
        <w:t>вление гидроперекисей липидов [6</w:t>
      </w:r>
      <w:r w:rsidR="0094749F" w:rsidRPr="00E07681">
        <w:rPr>
          <w:sz w:val="28"/>
          <w:szCs w:val="28"/>
        </w:rPr>
        <w:t>]. Этот факт позволяет предположить</w:t>
      </w:r>
      <w:r w:rsidR="00E31F38">
        <w:rPr>
          <w:sz w:val="28"/>
          <w:szCs w:val="28"/>
        </w:rPr>
        <w:t xml:space="preserve">, что </w:t>
      </w:r>
      <w:r w:rsidR="0094749F" w:rsidRPr="00E07681">
        <w:rPr>
          <w:sz w:val="28"/>
          <w:szCs w:val="28"/>
        </w:rPr>
        <w:t xml:space="preserve"> «Вин-Вита» </w:t>
      </w:r>
      <w:r w:rsidR="00E31F38">
        <w:rPr>
          <w:sz w:val="28"/>
          <w:szCs w:val="28"/>
        </w:rPr>
        <w:t xml:space="preserve">обладает </w:t>
      </w:r>
      <w:r w:rsidR="00E70EC2" w:rsidRPr="00E07681">
        <w:rPr>
          <w:sz w:val="28"/>
          <w:szCs w:val="28"/>
        </w:rPr>
        <w:t>антиоксидантным действием, которое заключается в связывании свободных радикалов и предотвращении развития новых цепей окисления липидов.</w:t>
      </w:r>
      <w:r w:rsidR="005E2B30" w:rsidRPr="00E07681">
        <w:rPr>
          <w:sz w:val="28"/>
          <w:szCs w:val="28"/>
        </w:rPr>
        <w:t xml:space="preserve"> </w:t>
      </w:r>
    </w:p>
    <w:p w:rsidR="00B83F16" w:rsidRDefault="00B83F16" w:rsidP="00E31F38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rFonts w:eastAsiaTheme="minorEastAsia"/>
          <w:sz w:val="28"/>
          <w:szCs w:val="28"/>
        </w:rPr>
      </w:pPr>
      <w:r w:rsidRPr="00E07681">
        <w:rPr>
          <w:rFonts w:eastAsiaTheme="minorEastAsia"/>
          <w:sz w:val="28"/>
          <w:szCs w:val="28"/>
        </w:rPr>
        <w:t>Согласно рез</w:t>
      </w:r>
      <w:r w:rsidR="00D65D9B" w:rsidRPr="00E07681">
        <w:rPr>
          <w:rFonts w:eastAsiaTheme="minorEastAsia"/>
          <w:sz w:val="28"/>
          <w:szCs w:val="28"/>
        </w:rPr>
        <w:t>ультатам проведенных исследова</w:t>
      </w:r>
      <w:r w:rsidR="00921246">
        <w:rPr>
          <w:rFonts w:eastAsiaTheme="minorEastAsia"/>
          <w:sz w:val="28"/>
          <w:szCs w:val="28"/>
        </w:rPr>
        <w:t>ний в ротовой</w:t>
      </w:r>
      <w:r w:rsidRPr="00E07681">
        <w:rPr>
          <w:rFonts w:eastAsiaTheme="minorEastAsia"/>
          <w:sz w:val="28"/>
          <w:szCs w:val="28"/>
        </w:rPr>
        <w:t xml:space="preserve"> жидкости </w:t>
      </w:r>
      <w:r w:rsidR="003116A1" w:rsidRPr="00E07681">
        <w:rPr>
          <w:rFonts w:eastAsiaTheme="minorEastAsia"/>
          <w:sz w:val="28"/>
          <w:szCs w:val="28"/>
        </w:rPr>
        <w:t xml:space="preserve">пациентов, у которых имеются </w:t>
      </w:r>
      <w:r w:rsidR="00921246">
        <w:rPr>
          <w:rFonts w:eastAsiaTheme="minorEastAsia"/>
          <w:sz w:val="28"/>
          <w:szCs w:val="28"/>
        </w:rPr>
        <w:t xml:space="preserve">металлические ортопедические конструкции </w:t>
      </w:r>
      <w:r w:rsidR="003116A1" w:rsidRPr="00E07681">
        <w:rPr>
          <w:rFonts w:eastAsiaTheme="minorEastAsia"/>
          <w:sz w:val="28"/>
          <w:szCs w:val="28"/>
        </w:rPr>
        <w:t xml:space="preserve">в полости рта, наблюдаются признаки активации ПОЛ ротовой жидкости </w:t>
      </w:r>
      <w:r w:rsidR="008002D7" w:rsidRPr="00E07681">
        <w:rPr>
          <w:rFonts w:eastAsiaTheme="minorEastAsia"/>
          <w:sz w:val="28"/>
          <w:szCs w:val="28"/>
        </w:rPr>
        <w:t>(т</w:t>
      </w:r>
      <w:r w:rsidRPr="00E07681">
        <w:rPr>
          <w:rFonts w:eastAsiaTheme="minorEastAsia"/>
          <w:sz w:val="28"/>
          <w:szCs w:val="28"/>
        </w:rPr>
        <w:t>аблица</w:t>
      </w:r>
      <w:r w:rsidR="008002D7" w:rsidRPr="00E07681">
        <w:rPr>
          <w:rFonts w:eastAsiaTheme="minorEastAsia"/>
          <w:sz w:val="28"/>
          <w:szCs w:val="28"/>
        </w:rPr>
        <w:t xml:space="preserve"> 2</w:t>
      </w:r>
      <w:r w:rsidRPr="00E07681">
        <w:rPr>
          <w:rFonts w:eastAsiaTheme="minorEastAsia"/>
          <w:sz w:val="28"/>
          <w:szCs w:val="28"/>
        </w:rPr>
        <w:t xml:space="preserve">). </w:t>
      </w:r>
    </w:p>
    <w:p w:rsidR="00E31F38" w:rsidRPr="00E07681" w:rsidRDefault="00E31F38" w:rsidP="00E31F38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rFonts w:eastAsiaTheme="minorEastAsia"/>
          <w:sz w:val="28"/>
          <w:szCs w:val="28"/>
        </w:rPr>
      </w:pPr>
    </w:p>
    <w:p w:rsidR="00724649" w:rsidRPr="00E07681" w:rsidRDefault="00724649" w:rsidP="00E07681">
      <w:pPr>
        <w:widowControl w:val="0"/>
        <w:autoSpaceDE w:val="0"/>
        <w:autoSpaceDN w:val="0"/>
        <w:adjustRightInd w:val="0"/>
        <w:spacing w:after="240"/>
        <w:ind w:left="-284" w:right="566"/>
        <w:jc w:val="center"/>
        <w:rPr>
          <w:rFonts w:eastAsiaTheme="minorEastAsia"/>
          <w:sz w:val="28"/>
          <w:szCs w:val="28"/>
        </w:rPr>
      </w:pPr>
      <w:r w:rsidRPr="00E07681">
        <w:rPr>
          <w:rFonts w:eastAsiaTheme="minorEastAsia"/>
          <w:b/>
          <w:bCs/>
          <w:sz w:val="28"/>
          <w:szCs w:val="28"/>
        </w:rPr>
        <w:t>Таблица 2. Влияние парафармацевтика “Вин-Вита” на содержание ТБК в ротовои</w:t>
      </w:r>
      <w:r w:rsidRPr="00E07681">
        <w:rPr>
          <w:rFonts w:ascii="Cambria Math" w:eastAsiaTheme="minorEastAsia" w:hAnsi="Cambria Math" w:cs="Cambria Math"/>
          <w:b/>
          <w:bCs/>
          <w:sz w:val="28"/>
          <w:szCs w:val="28"/>
        </w:rPr>
        <w:t>̆</w:t>
      </w:r>
      <w:r w:rsidRPr="00E07681">
        <w:rPr>
          <w:rFonts w:eastAsiaTheme="minorEastAsia"/>
          <w:b/>
          <w:bCs/>
          <w:sz w:val="28"/>
          <w:szCs w:val="28"/>
        </w:rPr>
        <w:t xml:space="preserve"> жидкости (М±</w:t>
      </w:r>
      <w:r w:rsidRPr="00E07681">
        <w:rPr>
          <w:rFonts w:eastAsiaTheme="minorEastAsia"/>
          <w:b/>
          <w:bCs/>
          <w:sz w:val="28"/>
          <w:szCs w:val="28"/>
          <w:lang w:val="en-US"/>
        </w:rPr>
        <w:t>m</w:t>
      </w:r>
      <w:r w:rsidRPr="00E07681">
        <w:rPr>
          <w:rFonts w:eastAsiaTheme="minorEastAsia"/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394"/>
      </w:tblGrid>
      <w:tr w:rsidR="00724649" w:rsidRPr="00E07681" w:rsidTr="00724649">
        <w:trPr>
          <w:trHeight w:val="640"/>
        </w:trPr>
        <w:tc>
          <w:tcPr>
            <w:tcW w:w="4786" w:type="dxa"/>
            <w:shd w:val="clear" w:color="auto" w:fill="auto"/>
          </w:tcPr>
          <w:p w:rsidR="00724649" w:rsidRPr="00E07681" w:rsidRDefault="00724649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Исследуемые группы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4649" w:rsidRPr="00E07681" w:rsidRDefault="00724649" w:rsidP="00504C9F">
            <w:pPr>
              <w:spacing w:beforeLines="20" w:line="360" w:lineRule="auto"/>
              <w:ind w:left="-284" w:right="566" w:firstLine="567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ТБК ротовой жидкости, мкмоль/л</w:t>
            </w:r>
          </w:p>
        </w:tc>
      </w:tr>
      <w:tr w:rsidR="00724649" w:rsidRPr="00E07681" w:rsidTr="00724649">
        <w:tc>
          <w:tcPr>
            <w:tcW w:w="4786" w:type="dxa"/>
            <w:shd w:val="clear" w:color="auto" w:fill="auto"/>
          </w:tcPr>
          <w:p w:rsidR="00724649" w:rsidRPr="00E07681" w:rsidRDefault="00724649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Группа сравнения</w:t>
            </w:r>
          </w:p>
        </w:tc>
        <w:tc>
          <w:tcPr>
            <w:tcW w:w="4394" w:type="dxa"/>
            <w:shd w:val="clear" w:color="auto" w:fill="auto"/>
          </w:tcPr>
          <w:p w:rsidR="00724649" w:rsidRPr="00E07681" w:rsidRDefault="00287BFD" w:rsidP="00A355ED">
            <w:pPr>
              <w:widowControl w:val="0"/>
              <w:autoSpaceDE w:val="0"/>
              <w:autoSpaceDN w:val="0"/>
              <w:adjustRightInd w:val="0"/>
              <w:spacing w:after="240"/>
              <w:ind w:left="-284" w:right="566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E07681">
              <w:rPr>
                <w:rFonts w:eastAsiaTheme="minorEastAsia"/>
                <w:sz w:val="28"/>
                <w:szCs w:val="28"/>
                <w:lang w:val="en-US"/>
              </w:rPr>
              <w:t>0,56±0,1</w:t>
            </w:r>
            <w:r w:rsidR="00724649" w:rsidRPr="00E07681">
              <w:rPr>
                <w:rFonts w:eastAsiaTheme="minorEastAsia"/>
                <w:sz w:val="28"/>
                <w:szCs w:val="28"/>
                <w:lang w:val="en-US"/>
              </w:rPr>
              <w:t>3</w:t>
            </w:r>
          </w:p>
        </w:tc>
      </w:tr>
      <w:tr w:rsidR="00724649" w:rsidRPr="00E07681" w:rsidTr="00724649">
        <w:trPr>
          <w:trHeight w:val="433"/>
        </w:trPr>
        <w:tc>
          <w:tcPr>
            <w:tcW w:w="4786" w:type="dxa"/>
            <w:shd w:val="clear" w:color="auto" w:fill="auto"/>
          </w:tcPr>
          <w:p w:rsidR="00724649" w:rsidRPr="00E07681" w:rsidRDefault="00724649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1-я группа</w:t>
            </w:r>
          </w:p>
        </w:tc>
        <w:tc>
          <w:tcPr>
            <w:tcW w:w="4394" w:type="dxa"/>
            <w:shd w:val="clear" w:color="auto" w:fill="auto"/>
          </w:tcPr>
          <w:p w:rsidR="00724649" w:rsidRPr="00E07681" w:rsidRDefault="00287BFD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1,81</w:t>
            </w:r>
            <w:r w:rsidRPr="00E07681">
              <w:rPr>
                <w:rFonts w:eastAsiaTheme="minorEastAsia"/>
                <w:sz w:val="28"/>
                <w:szCs w:val="28"/>
                <w:lang w:val="en-US"/>
              </w:rPr>
              <w:t>±0,14</w:t>
            </w:r>
            <w:r w:rsidR="00724649" w:rsidRPr="00E07681">
              <w:rPr>
                <w:sz w:val="28"/>
                <w:szCs w:val="28"/>
              </w:rPr>
              <w:t>*</w:t>
            </w:r>
          </w:p>
        </w:tc>
      </w:tr>
      <w:tr w:rsidR="00724649" w:rsidRPr="00E07681" w:rsidTr="00724649">
        <w:trPr>
          <w:trHeight w:val="412"/>
        </w:trPr>
        <w:tc>
          <w:tcPr>
            <w:tcW w:w="4786" w:type="dxa"/>
            <w:shd w:val="clear" w:color="auto" w:fill="auto"/>
          </w:tcPr>
          <w:p w:rsidR="00724649" w:rsidRPr="00E07681" w:rsidRDefault="00724649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2-я группа</w:t>
            </w:r>
          </w:p>
        </w:tc>
        <w:tc>
          <w:tcPr>
            <w:tcW w:w="4394" w:type="dxa"/>
            <w:shd w:val="clear" w:color="auto" w:fill="auto"/>
          </w:tcPr>
          <w:p w:rsidR="00724649" w:rsidRPr="00E07681" w:rsidRDefault="00287BFD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0,96</w:t>
            </w:r>
            <w:r w:rsidRPr="00E07681">
              <w:rPr>
                <w:rFonts w:eastAsiaTheme="minorEastAsia"/>
                <w:sz w:val="28"/>
                <w:szCs w:val="28"/>
                <w:lang w:val="en-US"/>
              </w:rPr>
              <w:t>±0,11</w:t>
            </w:r>
            <w:r w:rsidR="00724649" w:rsidRPr="00E07681">
              <w:rPr>
                <w:sz w:val="28"/>
                <w:szCs w:val="28"/>
              </w:rPr>
              <w:t>**</w:t>
            </w:r>
          </w:p>
        </w:tc>
      </w:tr>
    </w:tbl>
    <w:p w:rsidR="00287BFD" w:rsidRPr="00E07681" w:rsidRDefault="00287BFD" w:rsidP="00504C9F">
      <w:pPr>
        <w:spacing w:beforeLines="20" w:line="360" w:lineRule="auto"/>
        <w:ind w:left="-284" w:right="566"/>
        <w:jc w:val="both"/>
        <w:rPr>
          <w:sz w:val="28"/>
          <w:szCs w:val="28"/>
        </w:rPr>
      </w:pPr>
      <w:r w:rsidRPr="00E07681">
        <w:rPr>
          <w:b/>
          <w:sz w:val="28"/>
          <w:szCs w:val="28"/>
        </w:rPr>
        <w:t>Примечание:</w:t>
      </w:r>
      <w:r w:rsidRPr="00E07681">
        <w:rPr>
          <w:sz w:val="28"/>
          <w:szCs w:val="28"/>
        </w:rPr>
        <w:t xml:space="preserve"> *достоверность различий  – р&lt;0,05 по отношению к группе сравнения;</w:t>
      </w:r>
    </w:p>
    <w:p w:rsidR="00287BFD" w:rsidRPr="00E07681" w:rsidRDefault="00287BFD" w:rsidP="00504C9F">
      <w:pPr>
        <w:spacing w:beforeLines="20" w:line="360" w:lineRule="auto"/>
        <w:ind w:left="-284" w:right="566" w:firstLine="425"/>
        <w:jc w:val="both"/>
        <w:rPr>
          <w:sz w:val="28"/>
          <w:szCs w:val="28"/>
        </w:rPr>
      </w:pPr>
      <w:r w:rsidRPr="00E07681">
        <w:rPr>
          <w:sz w:val="28"/>
          <w:szCs w:val="28"/>
        </w:rPr>
        <w:t xml:space="preserve">             **достоверность различий – р&lt;0,05 по отношению к 1-ой клинической группе.</w:t>
      </w:r>
    </w:p>
    <w:p w:rsidR="00287BFD" w:rsidRPr="00E07681" w:rsidRDefault="00287BFD" w:rsidP="00E07681">
      <w:pPr>
        <w:widowControl w:val="0"/>
        <w:autoSpaceDE w:val="0"/>
        <w:autoSpaceDN w:val="0"/>
        <w:adjustRightInd w:val="0"/>
        <w:spacing w:after="240" w:line="360" w:lineRule="auto"/>
        <w:ind w:left="-284" w:right="566"/>
        <w:jc w:val="both"/>
        <w:rPr>
          <w:rFonts w:eastAsiaTheme="minorEastAsia"/>
          <w:sz w:val="28"/>
          <w:szCs w:val="28"/>
        </w:rPr>
      </w:pPr>
    </w:p>
    <w:p w:rsidR="003116A1" w:rsidRPr="00E07681" w:rsidRDefault="002807AA" w:rsidP="00E31F38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rFonts w:eastAsiaTheme="minorEastAsia"/>
          <w:sz w:val="28"/>
          <w:szCs w:val="28"/>
        </w:rPr>
      </w:pPr>
      <w:r w:rsidRPr="00E07681">
        <w:rPr>
          <w:rFonts w:eastAsiaTheme="minorEastAsia"/>
          <w:sz w:val="28"/>
          <w:szCs w:val="28"/>
        </w:rPr>
        <w:t>С</w:t>
      </w:r>
      <w:r w:rsidR="00601BDA" w:rsidRPr="00E07681">
        <w:rPr>
          <w:rFonts w:eastAsiaTheme="minorEastAsia"/>
          <w:sz w:val="28"/>
          <w:szCs w:val="28"/>
        </w:rPr>
        <w:t>одержание ТБК</w:t>
      </w:r>
      <w:r w:rsidR="00921246">
        <w:rPr>
          <w:rFonts w:eastAsiaTheme="minorEastAsia"/>
          <w:sz w:val="28"/>
          <w:szCs w:val="28"/>
        </w:rPr>
        <w:t xml:space="preserve"> в ротовой</w:t>
      </w:r>
      <w:r w:rsidR="00B83F16" w:rsidRPr="00E07681">
        <w:rPr>
          <w:rFonts w:eastAsiaTheme="minorEastAsia"/>
          <w:sz w:val="28"/>
          <w:szCs w:val="28"/>
        </w:rPr>
        <w:t xml:space="preserve"> </w:t>
      </w:r>
      <w:r w:rsidR="00D65D9B" w:rsidRPr="00E07681">
        <w:rPr>
          <w:rFonts w:eastAsiaTheme="minorEastAsia"/>
          <w:sz w:val="28"/>
          <w:szCs w:val="28"/>
        </w:rPr>
        <w:t>жидкости увели</w:t>
      </w:r>
      <w:r w:rsidR="003116A1" w:rsidRPr="00E07681">
        <w:rPr>
          <w:rFonts w:eastAsiaTheme="minorEastAsia"/>
          <w:sz w:val="28"/>
          <w:szCs w:val="28"/>
        </w:rPr>
        <w:t xml:space="preserve">чилось </w:t>
      </w:r>
      <w:r w:rsidRPr="00E07681">
        <w:rPr>
          <w:rFonts w:eastAsiaTheme="minorEastAsia"/>
          <w:sz w:val="28"/>
          <w:szCs w:val="28"/>
        </w:rPr>
        <w:t>на 223,4</w:t>
      </w:r>
      <w:r w:rsidR="00495F3E" w:rsidRPr="00E07681">
        <w:rPr>
          <w:rFonts w:eastAsiaTheme="minorEastAsia"/>
          <w:sz w:val="28"/>
          <w:szCs w:val="28"/>
        </w:rPr>
        <w:t>% (р&lt;0,05</w:t>
      </w:r>
      <w:r w:rsidR="00B83F16" w:rsidRPr="00E07681">
        <w:rPr>
          <w:rFonts w:eastAsiaTheme="minorEastAsia"/>
          <w:sz w:val="28"/>
          <w:szCs w:val="28"/>
        </w:rPr>
        <w:t>)</w:t>
      </w:r>
      <w:r w:rsidR="003116A1" w:rsidRPr="00E07681">
        <w:rPr>
          <w:rFonts w:eastAsiaTheme="minorEastAsia"/>
          <w:sz w:val="28"/>
          <w:szCs w:val="28"/>
        </w:rPr>
        <w:t xml:space="preserve"> у пациентов из 1-ой </w:t>
      </w:r>
      <w:r w:rsidR="00D813F1" w:rsidRPr="00E07681">
        <w:rPr>
          <w:rFonts w:eastAsiaTheme="minorEastAsia"/>
          <w:sz w:val="28"/>
          <w:szCs w:val="28"/>
        </w:rPr>
        <w:t>клинической</w:t>
      </w:r>
      <w:r w:rsidR="003116A1" w:rsidRPr="00E07681">
        <w:rPr>
          <w:rFonts w:eastAsiaTheme="minorEastAsia"/>
          <w:sz w:val="28"/>
          <w:szCs w:val="28"/>
        </w:rPr>
        <w:t xml:space="preserve"> группы с</w:t>
      </w:r>
      <w:r w:rsidR="00921246">
        <w:rPr>
          <w:rFonts w:eastAsiaTheme="minorEastAsia"/>
          <w:sz w:val="28"/>
          <w:szCs w:val="28"/>
        </w:rPr>
        <w:t xml:space="preserve"> непереносимостью к несъёмным ортопедическим конструкциям</w:t>
      </w:r>
      <w:r w:rsidR="003116A1" w:rsidRPr="00E07681">
        <w:rPr>
          <w:rFonts w:eastAsiaTheme="minorEastAsia"/>
          <w:sz w:val="28"/>
          <w:szCs w:val="28"/>
        </w:rPr>
        <w:t xml:space="preserve"> по отношению к группе сравнения. </w:t>
      </w:r>
      <w:r w:rsidR="00254D3A" w:rsidRPr="00E07681">
        <w:rPr>
          <w:rFonts w:eastAsiaTheme="minorEastAsia"/>
          <w:sz w:val="28"/>
          <w:szCs w:val="28"/>
        </w:rPr>
        <w:t xml:space="preserve">Во 2-ой </w:t>
      </w:r>
      <w:r w:rsidR="00D813F1" w:rsidRPr="00E07681">
        <w:rPr>
          <w:rFonts w:eastAsiaTheme="minorEastAsia"/>
          <w:sz w:val="28"/>
          <w:szCs w:val="28"/>
        </w:rPr>
        <w:t>клинической</w:t>
      </w:r>
      <w:r w:rsidR="00254D3A" w:rsidRPr="00E07681">
        <w:rPr>
          <w:rFonts w:eastAsiaTheme="minorEastAsia"/>
          <w:sz w:val="28"/>
          <w:szCs w:val="28"/>
        </w:rPr>
        <w:t xml:space="preserve"> группе на фоне приёма </w:t>
      </w:r>
      <w:r w:rsidR="00921246">
        <w:rPr>
          <w:rFonts w:eastAsiaTheme="minorEastAsia"/>
          <w:sz w:val="28"/>
          <w:szCs w:val="28"/>
        </w:rPr>
        <w:t xml:space="preserve">парафармацевтика «Вин-Вита» </w:t>
      </w:r>
      <w:r w:rsidR="00254D3A" w:rsidRPr="00E07681">
        <w:rPr>
          <w:rFonts w:eastAsiaTheme="minorEastAsia"/>
          <w:sz w:val="28"/>
          <w:szCs w:val="28"/>
        </w:rPr>
        <w:t>действия наблюдается значительно</w:t>
      </w:r>
      <w:r w:rsidR="00287BFD" w:rsidRPr="00E07681">
        <w:rPr>
          <w:rFonts w:eastAsiaTheme="minorEastAsia"/>
          <w:sz w:val="28"/>
          <w:szCs w:val="28"/>
        </w:rPr>
        <w:t xml:space="preserve">е улучшение показателей ТБК на </w:t>
      </w:r>
      <w:r w:rsidR="00254D3A" w:rsidRPr="00E07681">
        <w:rPr>
          <w:rFonts w:eastAsiaTheme="minorEastAsia"/>
          <w:sz w:val="28"/>
          <w:szCs w:val="28"/>
        </w:rPr>
        <w:t>46,5% (</w:t>
      </w:r>
      <w:r w:rsidR="00495F3E" w:rsidRPr="00E07681">
        <w:rPr>
          <w:rFonts w:eastAsiaTheme="minorEastAsia"/>
          <w:sz w:val="28"/>
          <w:szCs w:val="28"/>
        </w:rPr>
        <w:t>р&lt;0,05</w:t>
      </w:r>
      <w:r w:rsidR="00254D3A" w:rsidRPr="00E07681">
        <w:rPr>
          <w:rFonts w:eastAsiaTheme="minorEastAsia"/>
          <w:sz w:val="28"/>
          <w:szCs w:val="28"/>
        </w:rPr>
        <w:t xml:space="preserve">) по отношению к </w:t>
      </w:r>
      <w:r w:rsidR="00BE4498" w:rsidRPr="00E07681">
        <w:rPr>
          <w:rFonts w:eastAsiaTheme="minorEastAsia"/>
          <w:sz w:val="28"/>
          <w:szCs w:val="28"/>
        </w:rPr>
        <w:t xml:space="preserve"> 1-ой </w:t>
      </w:r>
      <w:r w:rsidR="00254D3A" w:rsidRPr="00E07681">
        <w:rPr>
          <w:rFonts w:eastAsiaTheme="minorEastAsia"/>
          <w:sz w:val="28"/>
          <w:szCs w:val="28"/>
        </w:rPr>
        <w:t>группе</w:t>
      </w:r>
      <w:r w:rsidR="00BE4498" w:rsidRPr="00E07681">
        <w:rPr>
          <w:rFonts w:eastAsiaTheme="minorEastAsia"/>
          <w:sz w:val="28"/>
          <w:szCs w:val="28"/>
        </w:rPr>
        <w:t>.</w:t>
      </w:r>
      <w:r w:rsidR="00254D3A" w:rsidRPr="00E07681">
        <w:rPr>
          <w:rFonts w:eastAsiaTheme="minorEastAsia"/>
          <w:sz w:val="28"/>
          <w:szCs w:val="28"/>
        </w:rPr>
        <w:t xml:space="preserve"> </w:t>
      </w:r>
    </w:p>
    <w:p w:rsidR="00B83F16" w:rsidRDefault="00FD5177" w:rsidP="00E31F38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sz w:val="28"/>
          <w:szCs w:val="28"/>
        </w:rPr>
      </w:pPr>
      <w:r w:rsidRPr="00E07681">
        <w:rPr>
          <w:rFonts w:eastAsiaTheme="minorEastAsia"/>
          <w:sz w:val="28"/>
          <w:szCs w:val="28"/>
        </w:rPr>
        <w:t xml:space="preserve">Таким образом, у пациентов с </w:t>
      </w:r>
      <w:r w:rsidR="00921246">
        <w:rPr>
          <w:rFonts w:eastAsiaTheme="minorEastAsia"/>
          <w:sz w:val="28"/>
          <w:szCs w:val="28"/>
        </w:rPr>
        <w:t>непереносимостью к металлическим ортопедическим конструкциям</w:t>
      </w:r>
      <w:r w:rsidRPr="00E07681">
        <w:rPr>
          <w:rFonts w:eastAsiaTheme="minorEastAsia"/>
          <w:sz w:val="28"/>
          <w:szCs w:val="28"/>
        </w:rPr>
        <w:t xml:space="preserve"> наблюдается а</w:t>
      </w:r>
      <w:r w:rsidR="00B83F16" w:rsidRPr="00E07681">
        <w:rPr>
          <w:rFonts w:eastAsiaTheme="minorEastAsia"/>
          <w:sz w:val="28"/>
          <w:szCs w:val="28"/>
        </w:rPr>
        <w:t>ктивация СРО</w:t>
      </w:r>
      <w:r w:rsidR="00D75683" w:rsidRPr="00E07681">
        <w:rPr>
          <w:rFonts w:eastAsiaTheme="minorEastAsia"/>
          <w:sz w:val="28"/>
          <w:szCs w:val="28"/>
        </w:rPr>
        <w:t xml:space="preserve"> и накопление</w:t>
      </w:r>
      <w:r w:rsidR="00B83F16" w:rsidRPr="00E07681">
        <w:rPr>
          <w:rFonts w:eastAsiaTheme="minorEastAsia"/>
          <w:sz w:val="28"/>
          <w:szCs w:val="28"/>
        </w:rPr>
        <w:t xml:space="preserve"> продуктов ПОЛ в полости рта. </w:t>
      </w:r>
      <w:r w:rsidRPr="00E07681">
        <w:rPr>
          <w:rFonts w:eastAsiaTheme="minorEastAsia"/>
          <w:sz w:val="28"/>
          <w:szCs w:val="28"/>
        </w:rPr>
        <w:t>Такие изменения в ротовой жидкости</w:t>
      </w:r>
      <w:r w:rsidR="00921246">
        <w:rPr>
          <w:rFonts w:eastAsiaTheme="minorEastAsia"/>
          <w:sz w:val="28"/>
          <w:szCs w:val="28"/>
        </w:rPr>
        <w:t xml:space="preserve"> могут способствовать</w:t>
      </w:r>
      <w:r w:rsidRPr="00E07681">
        <w:rPr>
          <w:rFonts w:eastAsiaTheme="minorEastAsia"/>
          <w:sz w:val="28"/>
          <w:szCs w:val="28"/>
        </w:rPr>
        <w:t xml:space="preserve"> повреждению основных</w:t>
      </w:r>
      <w:r w:rsidR="00601BDA" w:rsidRPr="00E07681">
        <w:rPr>
          <w:rFonts w:eastAsiaTheme="minorEastAsia"/>
          <w:sz w:val="28"/>
          <w:szCs w:val="28"/>
        </w:rPr>
        <w:t xml:space="preserve"> компо</w:t>
      </w:r>
      <w:r w:rsidRPr="00E07681">
        <w:rPr>
          <w:rFonts w:eastAsiaTheme="minorEastAsia"/>
          <w:sz w:val="28"/>
          <w:szCs w:val="28"/>
        </w:rPr>
        <w:t>нентов</w:t>
      </w:r>
      <w:r w:rsidR="00273805">
        <w:rPr>
          <w:rFonts w:eastAsiaTheme="minorEastAsia"/>
          <w:sz w:val="28"/>
          <w:szCs w:val="28"/>
        </w:rPr>
        <w:t xml:space="preserve"> соединительно</w:t>
      </w:r>
      <w:r w:rsidR="00921246">
        <w:rPr>
          <w:rFonts w:ascii="Cambria Math" w:eastAsiaTheme="minorEastAsia" w:hAnsi="Cambria Math" w:cs="Cambria Math"/>
          <w:sz w:val="28"/>
          <w:szCs w:val="28"/>
        </w:rPr>
        <w:t xml:space="preserve">й </w:t>
      </w:r>
      <w:r w:rsidR="00921246">
        <w:rPr>
          <w:rFonts w:eastAsiaTheme="minorEastAsia"/>
          <w:sz w:val="28"/>
          <w:szCs w:val="28"/>
        </w:rPr>
        <w:t>ткани.</w:t>
      </w:r>
      <w:r w:rsidR="00B83F16" w:rsidRPr="00E07681">
        <w:rPr>
          <w:rFonts w:eastAsiaTheme="minorEastAsia"/>
          <w:sz w:val="28"/>
          <w:szCs w:val="28"/>
        </w:rPr>
        <w:t xml:space="preserve"> </w:t>
      </w:r>
      <w:r w:rsidR="00273805">
        <w:rPr>
          <w:rFonts w:eastAsiaTheme="minorEastAsia"/>
          <w:sz w:val="28"/>
          <w:szCs w:val="28"/>
        </w:rPr>
        <w:t>Воздей</w:t>
      </w:r>
      <w:r w:rsidRPr="00E07681">
        <w:rPr>
          <w:rFonts w:eastAsiaTheme="minorEastAsia"/>
          <w:sz w:val="28"/>
          <w:szCs w:val="28"/>
        </w:rPr>
        <w:t>ствуя на</w:t>
      </w:r>
      <w:r w:rsidR="00273805">
        <w:rPr>
          <w:rFonts w:eastAsiaTheme="minorEastAsia"/>
          <w:sz w:val="28"/>
          <w:szCs w:val="28"/>
        </w:rPr>
        <w:t xml:space="preserve"> </w:t>
      </w:r>
      <w:r w:rsidR="00921246">
        <w:rPr>
          <w:rFonts w:eastAsiaTheme="minorEastAsia"/>
          <w:sz w:val="28"/>
          <w:szCs w:val="28"/>
        </w:rPr>
        <w:t>соединительно-тканные структуры</w:t>
      </w:r>
      <w:r w:rsidRPr="00E07681">
        <w:rPr>
          <w:rFonts w:eastAsiaTheme="minorEastAsia"/>
          <w:sz w:val="28"/>
          <w:szCs w:val="28"/>
        </w:rPr>
        <w:t>, свободные радикалы</w:t>
      </w:r>
      <w:r w:rsidR="00B83F16" w:rsidRPr="00E07681">
        <w:rPr>
          <w:rFonts w:eastAsiaTheme="minorEastAsia"/>
          <w:sz w:val="28"/>
          <w:szCs w:val="28"/>
        </w:rPr>
        <w:t xml:space="preserve"> </w:t>
      </w:r>
      <w:r w:rsidRPr="00E07681">
        <w:rPr>
          <w:rFonts w:eastAsiaTheme="minorEastAsia"/>
          <w:sz w:val="28"/>
          <w:szCs w:val="28"/>
        </w:rPr>
        <w:t>снижают их</w:t>
      </w:r>
      <w:r w:rsidR="00B83F16" w:rsidRPr="00E07681">
        <w:rPr>
          <w:rFonts w:eastAsiaTheme="minorEastAsia"/>
          <w:sz w:val="28"/>
          <w:szCs w:val="28"/>
        </w:rPr>
        <w:t xml:space="preserve"> эластичность, </w:t>
      </w:r>
      <w:r w:rsidR="00921246">
        <w:rPr>
          <w:rFonts w:eastAsiaTheme="minorEastAsia"/>
          <w:sz w:val="28"/>
          <w:szCs w:val="28"/>
        </w:rPr>
        <w:t xml:space="preserve">замедляют процесс их обновления. </w:t>
      </w:r>
      <w:r w:rsidR="00B83F16" w:rsidRPr="00E07681">
        <w:rPr>
          <w:rFonts w:eastAsiaTheme="minorEastAsia"/>
          <w:sz w:val="28"/>
          <w:szCs w:val="28"/>
        </w:rPr>
        <w:t xml:space="preserve">Это </w:t>
      </w:r>
      <w:r w:rsidR="00921246">
        <w:rPr>
          <w:rFonts w:eastAsiaTheme="minorEastAsia"/>
          <w:sz w:val="28"/>
          <w:szCs w:val="28"/>
        </w:rPr>
        <w:t>может вызыва</w:t>
      </w:r>
      <w:r w:rsidRPr="00E07681">
        <w:rPr>
          <w:rFonts w:eastAsiaTheme="minorEastAsia"/>
          <w:sz w:val="28"/>
          <w:szCs w:val="28"/>
        </w:rPr>
        <w:t>т</w:t>
      </w:r>
      <w:r w:rsidR="00921246">
        <w:rPr>
          <w:rFonts w:eastAsiaTheme="minorEastAsia"/>
          <w:sz w:val="28"/>
          <w:szCs w:val="28"/>
        </w:rPr>
        <w:t>ь</w:t>
      </w:r>
      <w:r w:rsidRPr="00E07681">
        <w:rPr>
          <w:rFonts w:eastAsiaTheme="minorEastAsia"/>
          <w:sz w:val="28"/>
          <w:szCs w:val="28"/>
        </w:rPr>
        <w:t xml:space="preserve"> деструкцию тканей пародонта.</w:t>
      </w:r>
      <w:r w:rsidR="00D75683" w:rsidRPr="00E07681">
        <w:rPr>
          <w:rFonts w:eastAsiaTheme="minorEastAsia"/>
          <w:sz w:val="28"/>
          <w:szCs w:val="28"/>
        </w:rPr>
        <w:t xml:space="preserve"> Применение парафармацевтика “Вин-Вита” при</w:t>
      </w:r>
      <w:r w:rsidR="003D1D36" w:rsidRPr="00E07681">
        <w:rPr>
          <w:rFonts w:eastAsiaTheme="minorEastAsia"/>
          <w:sz w:val="28"/>
          <w:szCs w:val="28"/>
        </w:rPr>
        <w:t>водит к снижению показателей ТБК</w:t>
      </w:r>
      <w:r w:rsidR="00D75683" w:rsidRPr="00E07681">
        <w:rPr>
          <w:rFonts w:eastAsiaTheme="minorEastAsia"/>
          <w:sz w:val="28"/>
          <w:szCs w:val="28"/>
        </w:rPr>
        <w:t xml:space="preserve"> ротовой жидкости в условиях несъёмного протезирования</w:t>
      </w:r>
      <w:r w:rsidR="003D1D36" w:rsidRPr="00E07681">
        <w:rPr>
          <w:rFonts w:eastAsiaTheme="minorEastAsia"/>
          <w:sz w:val="28"/>
          <w:szCs w:val="28"/>
        </w:rPr>
        <w:t xml:space="preserve">, что свидетельствует о </w:t>
      </w:r>
      <w:r w:rsidR="003D1D36" w:rsidRPr="00E07681">
        <w:rPr>
          <w:sz w:val="28"/>
          <w:szCs w:val="28"/>
        </w:rPr>
        <w:t>снижении токсического действия металлов, нормализации ПОЛ, сдвигу про-/антиоксидантного равновесия в сторону антиоксидантного, что позволяет подключить резервные возможности</w:t>
      </w:r>
      <w:r w:rsidR="00921246">
        <w:rPr>
          <w:sz w:val="28"/>
          <w:szCs w:val="28"/>
        </w:rPr>
        <w:t xml:space="preserve"> организма</w:t>
      </w:r>
      <w:r w:rsidR="003D1D36" w:rsidRPr="00E07681">
        <w:rPr>
          <w:sz w:val="28"/>
          <w:szCs w:val="28"/>
        </w:rPr>
        <w:t xml:space="preserve">. </w:t>
      </w:r>
    </w:p>
    <w:p w:rsidR="00E31F38" w:rsidRPr="00E07681" w:rsidRDefault="00E31F38" w:rsidP="00E31F38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rFonts w:eastAsiaTheme="minorEastAsia"/>
          <w:sz w:val="28"/>
          <w:szCs w:val="28"/>
        </w:rPr>
      </w:pPr>
    </w:p>
    <w:p w:rsidR="00287BFD" w:rsidRPr="00E07681" w:rsidRDefault="00287BFD" w:rsidP="00E07681">
      <w:pPr>
        <w:widowControl w:val="0"/>
        <w:autoSpaceDE w:val="0"/>
        <w:autoSpaceDN w:val="0"/>
        <w:adjustRightInd w:val="0"/>
        <w:spacing w:after="240"/>
        <w:ind w:left="-284" w:right="566"/>
        <w:jc w:val="center"/>
        <w:rPr>
          <w:rFonts w:eastAsiaTheme="minorEastAsia"/>
          <w:b/>
          <w:bCs/>
          <w:sz w:val="28"/>
          <w:szCs w:val="28"/>
        </w:rPr>
      </w:pPr>
      <w:r w:rsidRPr="00E07681">
        <w:rPr>
          <w:rFonts w:eastAsiaTheme="minorEastAsia"/>
          <w:b/>
          <w:bCs/>
          <w:sz w:val="28"/>
          <w:szCs w:val="28"/>
        </w:rPr>
        <w:t>Таблица 3. Влияние парафармацевтика “Вин-Вита” на активность ферментативных звеньев АОС в ротовои</w:t>
      </w:r>
      <w:r w:rsidRPr="00E07681">
        <w:rPr>
          <w:rFonts w:ascii="Cambria Math" w:eastAsiaTheme="minorEastAsia" w:hAnsi="Cambria Math" w:cs="Cambria Math"/>
          <w:b/>
          <w:bCs/>
          <w:sz w:val="28"/>
          <w:szCs w:val="28"/>
        </w:rPr>
        <w:t>̆</w:t>
      </w:r>
      <w:r w:rsidRPr="00E07681">
        <w:rPr>
          <w:rFonts w:eastAsiaTheme="minorEastAsia"/>
          <w:b/>
          <w:bCs/>
          <w:sz w:val="28"/>
          <w:szCs w:val="28"/>
        </w:rPr>
        <w:t xml:space="preserve"> жидкости (М±</w:t>
      </w:r>
      <w:r w:rsidRPr="00E07681">
        <w:rPr>
          <w:rFonts w:eastAsiaTheme="minorEastAsia"/>
          <w:b/>
          <w:bCs/>
          <w:sz w:val="28"/>
          <w:szCs w:val="28"/>
          <w:lang w:val="en-US"/>
        </w:rPr>
        <w:t>m</w:t>
      </w:r>
      <w:r w:rsidRPr="00E07681">
        <w:rPr>
          <w:rFonts w:eastAsiaTheme="minorEastAsia"/>
          <w:b/>
          <w:bCs/>
          <w:sz w:val="28"/>
          <w:szCs w:val="28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119"/>
        <w:gridCol w:w="3260"/>
      </w:tblGrid>
      <w:tr w:rsidR="00287BFD" w:rsidRPr="00E07681" w:rsidTr="00287BFD">
        <w:tc>
          <w:tcPr>
            <w:tcW w:w="3085" w:type="dxa"/>
            <w:vMerge w:val="restart"/>
            <w:shd w:val="clear" w:color="auto" w:fill="auto"/>
          </w:tcPr>
          <w:p w:rsidR="00287BFD" w:rsidRPr="00E07681" w:rsidRDefault="00D42860" w:rsidP="00504C9F">
            <w:pPr>
              <w:spacing w:beforeLines="20" w:line="360" w:lineRule="auto"/>
              <w:ind w:left="-284" w:right="566" w:firstLine="567"/>
              <w:jc w:val="center"/>
              <w:rPr>
                <w:sz w:val="28"/>
                <w:szCs w:val="28"/>
              </w:rPr>
            </w:pPr>
            <w:r w:rsidRPr="00D42860">
              <w:rPr>
                <w:noProof/>
                <w:sz w:val="28"/>
                <w:szCs w:val="28"/>
                <w:lang w:val="en-US"/>
              </w:rPr>
              <w:pict>
                <v:line id="_x0000_s1027" style="position:absolute;left:0;text-align:left;z-index:251666432;visibility:visible" from="-9.15pt,1.85pt" to="143.8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O3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"/>
              </w:pict>
            </w:r>
            <w:r w:rsidR="00287BFD" w:rsidRPr="00E07681">
              <w:rPr>
                <w:sz w:val="28"/>
                <w:szCs w:val="28"/>
              </w:rPr>
              <w:t>Показатели</w:t>
            </w:r>
          </w:p>
          <w:p w:rsidR="00287BFD" w:rsidRPr="00E07681" w:rsidRDefault="00287BFD" w:rsidP="00504C9F">
            <w:pPr>
              <w:spacing w:beforeLines="20" w:line="360" w:lineRule="auto"/>
              <w:ind w:left="-284" w:right="566" w:firstLine="567"/>
              <w:jc w:val="center"/>
              <w:rPr>
                <w:sz w:val="28"/>
                <w:szCs w:val="28"/>
              </w:rPr>
            </w:pPr>
          </w:p>
          <w:p w:rsidR="00287BFD" w:rsidRPr="00E07681" w:rsidRDefault="00287BFD" w:rsidP="00504C9F">
            <w:pPr>
              <w:spacing w:beforeLines="20" w:line="360" w:lineRule="auto"/>
              <w:ind w:left="-284" w:right="566" w:firstLine="567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Группы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87BFD" w:rsidRPr="00E07681" w:rsidRDefault="00287BFD" w:rsidP="00504C9F">
            <w:pPr>
              <w:spacing w:beforeLines="20" w:line="360" w:lineRule="auto"/>
              <w:ind w:left="-284" w:right="566" w:firstLine="567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Ротовая жидкость</w:t>
            </w:r>
          </w:p>
        </w:tc>
      </w:tr>
      <w:tr w:rsidR="00287BFD" w:rsidRPr="00E07681" w:rsidTr="00E31F38">
        <w:trPr>
          <w:trHeight w:val="640"/>
        </w:trPr>
        <w:tc>
          <w:tcPr>
            <w:tcW w:w="3085" w:type="dxa"/>
            <w:vMerge/>
            <w:shd w:val="clear" w:color="auto" w:fill="auto"/>
          </w:tcPr>
          <w:p w:rsidR="00287BFD" w:rsidRPr="00E07681" w:rsidRDefault="00287BFD" w:rsidP="00504C9F">
            <w:pPr>
              <w:spacing w:beforeLines="20" w:line="360" w:lineRule="auto"/>
              <w:ind w:left="-284" w:right="566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87BFD" w:rsidRPr="00E07681" w:rsidRDefault="00287BFD" w:rsidP="00504C9F">
            <w:pPr>
              <w:spacing w:beforeLines="20" w:line="360" w:lineRule="auto"/>
              <w:ind w:left="-284" w:right="566" w:firstLine="567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СОД, ед/г</w:t>
            </w:r>
            <w:r w:rsidR="004A7C2C" w:rsidRPr="00E07681">
              <w:rPr>
                <w:sz w:val="28"/>
                <w:szCs w:val="28"/>
              </w:rPr>
              <w:t xml:space="preserve"> белка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7C2C" w:rsidRPr="00E07681" w:rsidRDefault="00287BFD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Каталаза</w:t>
            </w:r>
            <w:r w:rsidR="004A7C2C" w:rsidRPr="00E07681">
              <w:rPr>
                <w:sz w:val="28"/>
                <w:szCs w:val="28"/>
              </w:rPr>
              <w:t>,</w:t>
            </w:r>
          </w:p>
          <w:p w:rsidR="00287BFD" w:rsidRPr="00E07681" w:rsidRDefault="004A7C2C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rFonts w:eastAsiaTheme="minorEastAsia"/>
                <w:sz w:val="28"/>
                <w:szCs w:val="28"/>
              </w:rPr>
              <w:t>ммоль/ (с • г белка)</w:t>
            </w:r>
          </w:p>
        </w:tc>
      </w:tr>
      <w:tr w:rsidR="00287BFD" w:rsidRPr="00E07681" w:rsidTr="00E31F38">
        <w:tc>
          <w:tcPr>
            <w:tcW w:w="3085" w:type="dxa"/>
            <w:shd w:val="clear" w:color="auto" w:fill="auto"/>
          </w:tcPr>
          <w:p w:rsidR="00287BFD" w:rsidRPr="00E07681" w:rsidRDefault="00287BFD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Группа сравнения</w:t>
            </w:r>
          </w:p>
        </w:tc>
        <w:tc>
          <w:tcPr>
            <w:tcW w:w="3119" w:type="dxa"/>
            <w:shd w:val="clear" w:color="auto" w:fill="auto"/>
          </w:tcPr>
          <w:p w:rsidR="00287BFD" w:rsidRPr="00E07681" w:rsidRDefault="00287BFD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rFonts w:eastAsiaTheme="minorEastAsia"/>
                <w:sz w:val="28"/>
                <w:szCs w:val="28"/>
                <w:lang w:val="en-US"/>
              </w:rPr>
              <w:t>1,9</w:t>
            </w:r>
            <w:r w:rsidRPr="00E07681">
              <w:rPr>
                <w:sz w:val="28"/>
                <w:szCs w:val="28"/>
              </w:rPr>
              <w:t>±</w:t>
            </w:r>
            <w:r w:rsidRPr="00E07681">
              <w:rPr>
                <w:rFonts w:eastAsiaTheme="minorEastAsia"/>
                <w:sz w:val="28"/>
                <w:szCs w:val="28"/>
                <w:lang w:val="en-US"/>
              </w:rPr>
              <w:t>0,</w:t>
            </w:r>
            <w:r w:rsidR="004A7C2C" w:rsidRPr="00E07681">
              <w:rPr>
                <w:rFonts w:eastAsiaTheme="minorEastAsia"/>
                <w:sz w:val="28"/>
                <w:szCs w:val="28"/>
                <w:lang w:val="en-US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287BFD" w:rsidRPr="00E07681" w:rsidRDefault="00287BFD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1</w:t>
            </w:r>
            <w:r w:rsidR="004A7C2C" w:rsidRPr="00E07681">
              <w:rPr>
                <w:sz w:val="28"/>
                <w:szCs w:val="28"/>
              </w:rPr>
              <w:t>3,25±2,12</w:t>
            </w:r>
          </w:p>
        </w:tc>
      </w:tr>
      <w:tr w:rsidR="00287BFD" w:rsidRPr="00E07681" w:rsidTr="00E31F38">
        <w:trPr>
          <w:trHeight w:val="433"/>
        </w:trPr>
        <w:tc>
          <w:tcPr>
            <w:tcW w:w="3085" w:type="dxa"/>
            <w:shd w:val="clear" w:color="auto" w:fill="auto"/>
          </w:tcPr>
          <w:p w:rsidR="00287BFD" w:rsidRPr="00E07681" w:rsidRDefault="00287BFD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1-я группа</w:t>
            </w:r>
          </w:p>
        </w:tc>
        <w:tc>
          <w:tcPr>
            <w:tcW w:w="3119" w:type="dxa"/>
            <w:shd w:val="clear" w:color="auto" w:fill="auto"/>
          </w:tcPr>
          <w:p w:rsidR="00287BFD" w:rsidRPr="00E07681" w:rsidRDefault="004A7C2C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2</w:t>
            </w:r>
            <w:r w:rsidR="00287BFD" w:rsidRPr="00E07681">
              <w:rPr>
                <w:sz w:val="28"/>
                <w:szCs w:val="28"/>
              </w:rPr>
              <w:t>,</w:t>
            </w:r>
            <w:r w:rsidRPr="00E07681">
              <w:rPr>
                <w:sz w:val="28"/>
                <w:szCs w:val="28"/>
              </w:rPr>
              <w:t>37±0</w:t>
            </w:r>
            <w:r w:rsidR="00287BFD" w:rsidRPr="00E07681">
              <w:rPr>
                <w:sz w:val="28"/>
                <w:szCs w:val="28"/>
              </w:rPr>
              <w:t>,1</w:t>
            </w:r>
            <w:r w:rsidRPr="00E07681">
              <w:rPr>
                <w:sz w:val="28"/>
                <w:szCs w:val="28"/>
              </w:rPr>
              <w:t>8</w:t>
            </w:r>
            <w:r w:rsidR="00287BFD" w:rsidRPr="00E07681">
              <w:rPr>
                <w:sz w:val="28"/>
                <w:szCs w:val="28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287BFD" w:rsidRPr="00E07681" w:rsidRDefault="004A7C2C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15,36±1,9</w:t>
            </w:r>
            <w:r w:rsidR="00287BFD" w:rsidRPr="00E07681">
              <w:rPr>
                <w:sz w:val="28"/>
                <w:szCs w:val="28"/>
              </w:rPr>
              <w:t>5*</w:t>
            </w:r>
          </w:p>
        </w:tc>
      </w:tr>
      <w:tr w:rsidR="00287BFD" w:rsidRPr="00E07681" w:rsidTr="00E31F38">
        <w:trPr>
          <w:trHeight w:val="412"/>
        </w:trPr>
        <w:tc>
          <w:tcPr>
            <w:tcW w:w="3085" w:type="dxa"/>
            <w:shd w:val="clear" w:color="auto" w:fill="auto"/>
          </w:tcPr>
          <w:p w:rsidR="00287BFD" w:rsidRPr="00E07681" w:rsidRDefault="00287BFD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2-я группа</w:t>
            </w:r>
          </w:p>
        </w:tc>
        <w:tc>
          <w:tcPr>
            <w:tcW w:w="3119" w:type="dxa"/>
            <w:shd w:val="clear" w:color="auto" w:fill="auto"/>
          </w:tcPr>
          <w:p w:rsidR="00287BFD" w:rsidRPr="00E07681" w:rsidRDefault="004A7C2C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2</w:t>
            </w:r>
            <w:r w:rsidR="00287BFD" w:rsidRPr="00E07681">
              <w:rPr>
                <w:sz w:val="28"/>
                <w:szCs w:val="28"/>
              </w:rPr>
              <w:t>,</w:t>
            </w:r>
            <w:r w:rsidRPr="00E07681">
              <w:rPr>
                <w:sz w:val="28"/>
                <w:szCs w:val="28"/>
              </w:rPr>
              <w:t>01</w:t>
            </w:r>
            <w:r w:rsidRPr="00E07681">
              <w:rPr>
                <w:color w:val="262626"/>
                <w:sz w:val="28"/>
                <w:szCs w:val="28"/>
                <w:lang w:val="en-US"/>
              </w:rPr>
              <w:t>± 0</w:t>
            </w:r>
            <w:r w:rsidR="00287BFD" w:rsidRPr="00E07681">
              <w:rPr>
                <w:color w:val="262626"/>
                <w:sz w:val="28"/>
                <w:szCs w:val="28"/>
                <w:lang w:val="en-US"/>
              </w:rPr>
              <w:t>,</w:t>
            </w:r>
            <w:r w:rsidRPr="00E07681">
              <w:rPr>
                <w:color w:val="262626"/>
                <w:sz w:val="28"/>
                <w:szCs w:val="28"/>
                <w:lang w:val="en-US"/>
              </w:rPr>
              <w:t>21</w:t>
            </w:r>
            <w:r w:rsidR="00287BFD" w:rsidRPr="00E07681">
              <w:rPr>
                <w:sz w:val="28"/>
                <w:szCs w:val="28"/>
              </w:rPr>
              <w:t>**</w:t>
            </w:r>
          </w:p>
        </w:tc>
        <w:tc>
          <w:tcPr>
            <w:tcW w:w="3260" w:type="dxa"/>
            <w:shd w:val="clear" w:color="auto" w:fill="auto"/>
          </w:tcPr>
          <w:p w:rsidR="00287BFD" w:rsidRPr="00E07681" w:rsidRDefault="004A7C2C" w:rsidP="00504C9F">
            <w:pPr>
              <w:spacing w:beforeLines="20" w:line="360" w:lineRule="auto"/>
              <w:ind w:left="-284" w:right="566"/>
              <w:jc w:val="center"/>
              <w:rPr>
                <w:sz w:val="28"/>
                <w:szCs w:val="28"/>
              </w:rPr>
            </w:pPr>
            <w:r w:rsidRPr="00E07681">
              <w:rPr>
                <w:sz w:val="28"/>
                <w:szCs w:val="28"/>
              </w:rPr>
              <w:t>13,58±2,0</w:t>
            </w:r>
            <w:r w:rsidR="00287BFD" w:rsidRPr="00E07681">
              <w:rPr>
                <w:sz w:val="28"/>
                <w:szCs w:val="28"/>
              </w:rPr>
              <w:t>8**</w:t>
            </w:r>
          </w:p>
        </w:tc>
      </w:tr>
    </w:tbl>
    <w:p w:rsidR="004A7C2C" w:rsidRPr="00E07681" w:rsidRDefault="004A7C2C" w:rsidP="00504C9F">
      <w:pPr>
        <w:spacing w:beforeLines="20" w:line="360" w:lineRule="auto"/>
        <w:ind w:left="-284" w:right="566"/>
        <w:jc w:val="both"/>
        <w:rPr>
          <w:sz w:val="28"/>
          <w:szCs w:val="28"/>
        </w:rPr>
      </w:pPr>
      <w:r w:rsidRPr="00E07681">
        <w:rPr>
          <w:b/>
          <w:sz w:val="28"/>
          <w:szCs w:val="28"/>
        </w:rPr>
        <w:t>Примечание:</w:t>
      </w:r>
      <w:r w:rsidRPr="00E07681">
        <w:rPr>
          <w:sz w:val="28"/>
          <w:szCs w:val="28"/>
        </w:rPr>
        <w:t xml:space="preserve"> *достоверность различий  – р&lt;0,05 по отношению к группе сравнения;</w:t>
      </w:r>
    </w:p>
    <w:p w:rsidR="004A7C2C" w:rsidRPr="00E07681" w:rsidRDefault="004A7C2C" w:rsidP="00504C9F">
      <w:pPr>
        <w:spacing w:beforeLines="20" w:line="360" w:lineRule="auto"/>
        <w:ind w:left="-284" w:right="566" w:firstLine="425"/>
        <w:jc w:val="both"/>
        <w:rPr>
          <w:sz w:val="28"/>
          <w:szCs w:val="28"/>
        </w:rPr>
      </w:pPr>
      <w:r w:rsidRPr="00E07681">
        <w:rPr>
          <w:sz w:val="28"/>
          <w:szCs w:val="28"/>
        </w:rPr>
        <w:t xml:space="preserve">             **достоверность различий – р&lt;0,05 по отношению к 1-ой клинической группе.</w:t>
      </w:r>
    </w:p>
    <w:p w:rsidR="004A7C2C" w:rsidRPr="00E07681" w:rsidRDefault="004A7C2C" w:rsidP="00E07681">
      <w:pPr>
        <w:widowControl w:val="0"/>
        <w:autoSpaceDE w:val="0"/>
        <w:autoSpaceDN w:val="0"/>
        <w:adjustRightInd w:val="0"/>
        <w:spacing w:after="240" w:line="360" w:lineRule="auto"/>
        <w:ind w:left="-284" w:right="566"/>
        <w:jc w:val="both"/>
        <w:rPr>
          <w:rFonts w:eastAsiaTheme="minorEastAsia"/>
          <w:sz w:val="28"/>
          <w:szCs w:val="28"/>
        </w:rPr>
      </w:pPr>
    </w:p>
    <w:p w:rsidR="005B3481" w:rsidRPr="00E07681" w:rsidRDefault="005D2BBD" w:rsidP="00E31F38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rFonts w:eastAsiaTheme="minorEastAsia"/>
          <w:sz w:val="28"/>
          <w:szCs w:val="28"/>
        </w:rPr>
      </w:pPr>
      <w:r w:rsidRPr="00E07681">
        <w:rPr>
          <w:rFonts w:eastAsiaTheme="minorEastAsia"/>
          <w:sz w:val="28"/>
          <w:szCs w:val="28"/>
        </w:rPr>
        <w:t>Результаты исследова</w:t>
      </w:r>
      <w:r w:rsidR="008B4848" w:rsidRPr="00E07681">
        <w:rPr>
          <w:rFonts w:eastAsiaTheme="minorEastAsia"/>
          <w:sz w:val="28"/>
          <w:szCs w:val="28"/>
        </w:rPr>
        <w:t>н</w:t>
      </w:r>
      <w:r w:rsidRPr="00E07681">
        <w:rPr>
          <w:rFonts w:eastAsiaTheme="minorEastAsia"/>
          <w:sz w:val="28"/>
          <w:szCs w:val="28"/>
        </w:rPr>
        <w:t>ий показали функциональную недостаточность ферментативных звеньев АОС у пациентов с</w:t>
      </w:r>
      <w:r w:rsidR="00921246">
        <w:rPr>
          <w:rFonts w:eastAsiaTheme="minorEastAsia"/>
          <w:sz w:val="28"/>
          <w:szCs w:val="28"/>
        </w:rPr>
        <w:t xml:space="preserve"> металлическими ортопедическими конструкциями</w:t>
      </w:r>
      <w:r w:rsidR="00273805">
        <w:rPr>
          <w:rFonts w:eastAsiaTheme="minorEastAsia"/>
          <w:sz w:val="28"/>
          <w:szCs w:val="28"/>
        </w:rPr>
        <w:t xml:space="preserve"> (таблица 3)</w:t>
      </w:r>
      <w:r w:rsidRPr="00E07681">
        <w:rPr>
          <w:rFonts w:eastAsiaTheme="minorEastAsia"/>
          <w:sz w:val="28"/>
          <w:szCs w:val="28"/>
        </w:rPr>
        <w:t xml:space="preserve">. </w:t>
      </w:r>
      <w:r w:rsidR="008B4848" w:rsidRPr="00E07681">
        <w:rPr>
          <w:rFonts w:eastAsiaTheme="minorEastAsia"/>
          <w:sz w:val="28"/>
          <w:szCs w:val="28"/>
        </w:rPr>
        <w:t xml:space="preserve">У пациентов из 1-ой группы исследуемых с </w:t>
      </w:r>
      <w:r w:rsidR="00921246">
        <w:rPr>
          <w:rFonts w:eastAsiaTheme="minorEastAsia"/>
          <w:sz w:val="28"/>
          <w:szCs w:val="28"/>
        </w:rPr>
        <w:t xml:space="preserve">металлическими </w:t>
      </w:r>
      <w:r w:rsidR="008B4848" w:rsidRPr="00E07681">
        <w:rPr>
          <w:rFonts w:eastAsiaTheme="minorEastAsia"/>
          <w:sz w:val="28"/>
          <w:szCs w:val="28"/>
        </w:rPr>
        <w:t>несъёмными конструкциями а</w:t>
      </w:r>
      <w:r w:rsidR="00921246">
        <w:rPr>
          <w:rFonts w:eastAsiaTheme="minorEastAsia"/>
          <w:sz w:val="28"/>
          <w:szCs w:val="28"/>
        </w:rPr>
        <w:t>ктивность фермента СОД в ротовой</w:t>
      </w:r>
      <w:r w:rsidR="008B4848" w:rsidRPr="00E07681">
        <w:rPr>
          <w:rFonts w:eastAsiaTheme="minorEastAsia"/>
          <w:sz w:val="28"/>
          <w:szCs w:val="28"/>
        </w:rPr>
        <w:t xml:space="preserve"> жидкости  оказалась ниже по</w:t>
      </w:r>
      <w:r w:rsidR="00D65D9B" w:rsidRPr="00E07681">
        <w:rPr>
          <w:rFonts w:eastAsiaTheme="minorEastAsia"/>
          <w:sz w:val="28"/>
          <w:szCs w:val="28"/>
        </w:rPr>
        <w:t xml:space="preserve"> сравнению с </w:t>
      </w:r>
      <w:r w:rsidR="008B4848" w:rsidRPr="00E07681">
        <w:rPr>
          <w:rFonts w:eastAsiaTheme="minorEastAsia"/>
          <w:sz w:val="28"/>
          <w:szCs w:val="28"/>
        </w:rPr>
        <w:t xml:space="preserve">результатами </w:t>
      </w:r>
      <w:r w:rsidR="00D65D9B" w:rsidRPr="00E07681">
        <w:rPr>
          <w:rFonts w:eastAsiaTheme="minorEastAsia"/>
          <w:sz w:val="28"/>
          <w:szCs w:val="28"/>
        </w:rPr>
        <w:t xml:space="preserve">в </w:t>
      </w:r>
      <w:r w:rsidR="00601BDA" w:rsidRPr="00E07681">
        <w:rPr>
          <w:rFonts w:eastAsiaTheme="minorEastAsia"/>
          <w:sz w:val="28"/>
          <w:szCs w:val="28"/>
        </w:rPr>
        <w:t>группе</w:t>
      </w:r>
      <w:r w:rsidR="008B4848" w:rsidRPr="00E07681">
        <w:rPr>
          <w:rFonts w:eastAsiaTheme="minorEastAsia"/>
          <w:sz w:val="28"/>
          <w:szCs w:val="28"/>
        </w:rPr>
        <w:t xml:space="preserve"> сравнения на 24,6</w:t>
      </w:r>
      <w:r w:rsidR="00495F3E" w:rsidRPr="00E07681">
        <w:rPr>
          <w:rFonts w:eastAsiaTheme="minorEastAsia"/>
          <w:sz w:val="28"/>
          <w:szCs w:val="28"/>
        </w:rPr>
        <w:t>% (р&lt;0,05</w:t>
      </w:r>
      <w:r w:rsidR="00D65D9B" w:rsidRPr="00E07681">
        <w:rPr>
          <w:rFonts w:eastAsiaTheme="minorEastAsia"/>
          <w:sz w:val="28"/>
          <w:szCs w:val="28"/>
        </w:rPr>
        <w:t>)</w:t>
      </w:r>
      <w:r w:rsidR="008B4848" w:rsidRPr="00E07681">
        <w:rPr>
          <w:rFonts w:eastAsiaTheme="minorEastAsia"/>
          <w:sz w:val="28"/>
          <w:szCs w:val="28"/>
        </w:rPr>
        <w:t xml:space="preserve">. Во 2-ой </w:t>
      </w:r>
      <w:r w:rsidR="00D813F1" w:rsidRPr="00E07681">
        <w:rPr>
          <w:rFonts w:eastAsiaTheme="minorEastAsia"/>
          <w:sz w:val="28"/>
          <w:szCs w:val="28"/>
        </w:rPr>
        <w:t>клинической</w:t>
      </w:r>
      <w:r w:rsidR="008B4848" w:rsidRPr="00E07681">
        <w:rPr>
          <w:rFonts w:eastAsiaTheme="minorEastAsia"/>
          <w:sz w:val="28"/>
          <w:szCs w:val="28"/>
        </w:rPr>
        <w:t xml:space="preserve"> группе</w:t>
      </w:r>
      <w:r w:rsidR="00DA3C17" w:rsidRPr="00E07681">
        <w:rPr>
          <w:rFonts w:eastAsiaTheme="minorEastAsia"/>
          <w:sz w:val="28"/>
          <w:szCs w:val="28"/>
        </w:rPr>
        <w:t xml:space="preserve"> наблюдается достоверное увеличение активности СОД</w:t>
      </w:r>
      <w:r w:rsidR="00495F3E" w:rsidRPr="00E07681">
        <w:rPr>
          <w:rFonts w:eastAsiaTheme="minorEastAsia"/>
          <w:sz w:val="28"/>
          <w:szCs w:val="28"/>
        </w:rPr>
        <w:t xml:space="preserve"> на 15,4% (р&lt;0,05</w:t>
      </w:r>
      <w:r w:rsidR="008B4848" w:rsidRPr="00E07681">
        <w:rPr>
          <w:rFonts w:eastAsiaTheme="minorEastAsia"/>
          <w:sz w:val="28"/>
          <w:szCs w:val="28"/>
        </w:rPr>
        <w:t>) по отношению к группе пациентов, которым не был назначен парафармацевтик “Вин-Вита”.</w:t>
      </w:r>
      <w:r w:rsidR="00DA3C17" w:rsidRPr="00E07681">
        <w:rPr>
          <w:rFonts w:eastAsiaTheme="minorEastAsia"/>
          <w:sz w:val="28"/>
          <w:szCs w:val="28"/>
        </w:rPr>
        <w:t xml:space="preserve">  </w:t>
      </w:r>
    </w:p>
    <w:p w:rsidR="00D65D9B" w:rsidRPr="00E07681" w:rsidRDefault="00155AB2" w:rsidP="00E31F38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rFonts w:eastAsiaTheme="minorEastAsia"/>
          <w:sz w:val="28"/>
          <w:szCs w:val="28"/>
        </w:rPr>
      </w:pPr>
      <w:r w:rsidRPr="00E07681">
        <w:rPr>
          <w:rFonts w:eastAsiaTheme="minorEastAsia"/>
          <w:sz w:val="28"/>
          <w:szCs w:val="28"/>
        </w:rPr>
        <w:t>Д</w:t>
      </w:r>
      <w:r w:rsidR="00D65D9B" w:rsidRPr="00E07681">
        <w:rPr>
          <w:rFonts w:eastAsiaTheme="minorEastAsia"/>
          <w:sz w:val="28"/>
          <w:szCs w:val="28"/>
        </w:rPr>
        <w:t>ля ф</w:t>
      </w:r>
      <w:r w:rsidR="00921246">
        <w:rPr>
          <w:rFonts w:eastAsiaTheme="minorEastAsia"/>
          <w:sz w:val="28"/>
          <w:szCs w:val="28"/>
        </w:rPr>
        <w:t>ермента второй</w:t>
      </w:r>
      <w:r w:rsidR="00601BDA" w:rsidRPr="00E07681">
        <w:rPr>
          <w:rFonts w:eastAsiaTheme="minorEastAsia"/>
          <w:sz w:val="28"/>
          <w:szCs w:val="28"/>
        </w:rPr>
        <w:t xml:space="preserve"> линии антиради</w:t>
      </w:r>
      <w:r w:rsidR="00921246">
        <w:rPr>
          <w:rFonts w:eastAsiaTheme="minorEastAsia"/>
          <w:sz w:val="28"/>
          <w:szCs w:val="28"/>
        </w:rPr>
        <w:t>кальной</w:t>
      </w:r>
      <w:r w:rsidRPr="00E07681">
        <w:rPr>
          <w:rFonts w:eastAsiaTheme="minorEastAsia"/>
          <w:sz w:val="28"/>
          <w:szCs w:val="28"/>
        </w:rPr>
        <w:t xml:space="preserve"> защиты, </w:t>
      </w:r>
      <w:r w:rsidR="00D65D9B" w:rsidRPr="00E07681">
        <w:rPr>
          <w:rFonts w:eastAsiaTheme="minorEastAsia"/>
          <w:sz w:val="28"/>
          <w:szCs w:val="28"/>
        </w:rPr>
        <w:t>каталазы</w:t>
      </w:r>
      <w:r w:rsidRPr="00E07681">
        <w:rPr>
          <w:rFonts w:eastAsiaTheme="minorEastAsia"/>
          <w:sz w:val="28"/>
          <w:szCs w:val="28"/>
        </w:rPr>
        <w:t>, были обнаружены другие изменения. В 1-ой</w:t>
      </w:r>
      <w:r w:rsidR="00D65D9B" w:rsidRPr="00E07681">
        <w:rPr>
          <w:rFonts w:eastAsiaTheme="minorEastAsia"/>
          <w:sz w:val="28"/>
          <w:szCs w:val="28"/>
        </w:rPr>
        <w:t xml:space="preserve"> клиническои</w:t>
      </w:r>
      <w:r w:rsidR="00D65D9B"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="00D65D9B" w:rsidRPr="00E07681">
        <w:rPr>
          <w:rFonts w:eastAsiaTheme="minorEastAsia"/>
          <w:sz w:val="28"/>
          <w:szCs w:val="28"/>
        </w:rPr>
        <w:t xml:space="preserve"> группе </w:t>
      </w:r>
      <w:r w:rsidRPr="00E07681">
        <w:rPr>
          <w:rFonts w:eastAsiaTheme="minorEastAsia"/>
          <w:sz w:val="28"/>
          <w:szCs w:val="28"/>
        </w:rPr>
        <w:t>ферментативная активность установлена выше на 15,9</w:t>
      </w:r>
      <w:r w:rsidR="00495F3E" w:rsidRPr="00E07681">
        <w:rPr>
          <w:rFonts w:eastAsiaTheme="minorEastAsia"/>
          <w:sz w:val="28"/>
          <w:szCs w:val="28"/>
        </w:rPr>
        <w:t>% (р&lt;0,05</w:t>
      </w:r>
      <w:r w:rsidR="00D65D9B" w:rsidRPr="00E07681">
        <w:rPr>
          <w:rFonts w:eastAsiaTheme="minorEastAsia"/>
          <w:sz w:val="28"/>
          <w:szCs w:val="28"/>
        </w:rPr>
        <w:t>) по сравнению с активностью каталазы в группе</w:t>
      </w:r>
      <w:r w:rsidRPr="00E07681">
        <w:rPr>
          <w:rFonts w:eastAsiaTheme="minorEastAsia"/>
          <w:sz w:val="28"/>
          <w:szCs w:val="28"/>
        </w:rPr>
        <w:t xml:space="preserve"> сравнения.</w:t>
      </w:r>
      <w:r w:rsidR="00D65D9B" w:rsidRPr="00E07681">
        <w:rPr>
          <w:rFonts w:eastAsiaTheme="minorEastAsia"/>
          <w:sz w:val="28"/>
          <w:szCs w:val="28"/>
        </w:rPr>
        <w:t xml:space="preserve"> </w:t>
      </w:r>
      <w:r w:rsidR="004808D3" w:rsidRPr="00E07681">
        <w:rPr>
          <w:rFonts w:eastAsiaTheme="minorEastAsia"/>
          <w:sz w:val="28"/>
          <w:szCs w:val="28"/>
        </w:rPr>
        <w:t>Во 2-ой клинической группе</w:t>
      </w:r>
      <w:r w:rsidR="00DE491C" w:rsidRPr="00E07681">
        <w:rPr>
          <w:rFonts w:eastAsiaTheme="minorEastAsia"/>
          <w:sz w:val="28"/>
          <w:szCs w:val="28"/>
        </w:rPr>
        <w:t xml:space="preserve"> активность уменьшена на 11,6% </w:t>
      </w:r>
      <w:r w:rsidR="00495F3E" w:rsidRPr="00E07681">
        <w:rPr>
          <w:rFonts w:eastAsiaTheme="minorEastAsia"/>
          <w:sz w:val="28"/>
          <w:szCs w:val="28"/>
        </w:rPr>
        <w:t>(р&lt;0,05</w:t>
      </w:r>
      <w:r w:rsidR="00DE491C" w:rsidRPr="00E07681">
        <w:rPr>
          <w:rFonts w:eastAsiaTheme="minorEastAsia"/>
          <w:sz w:val="28"/>
          <w:szCs w:val="28"/>
        </w:rPr>
        <w:t xml:space="preserve">) относительно </w:t>
      </w:r>
      <w:r w:rsidR="00A10752" w:rsidRPr="00E07681">
        <w:rPr>
          <w:rFonts w:eastAsiaTheme="minorEastAsia"/>
          <w:sz w:val="28"/>
          <w:szCs w:val="28"/>
        </w:rPr>
        <w:t>1-ой группы.</w:t>
      </w:r>
    </w:p>
    <w:p w:rsidR="00FC6BBC" w:rsidRPr="00E07681" w:rsidRDefault="00AD3358" w:rsidP="00E31F38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rFonts w:eastAsiaTheme="minorEastAsia"/>
          <w:sz w:val="28"/>
          <w:szCs w:val="28"/>
        </w:rPr>
      </w:pPr>
      <w:r w:rsidRPr="00E07681">
        <w:rPr>
          <w:rFonts w:eastAsiaTheme="minorEastAsia"/>
          <w:sz w:val="28"/>
          <w:szCs w:val="28"/>
        </w:rPr>
        <w:t xml:space="preserve">Разнонаправленность изменений </w:t>
      </w:r>
      <w:r w:rsidR="00601BDA" w:rsidRPr="00E07681">
        <w:rPr>
          <w:rFonts w:eastAsiaTheme="minorEastAsia"/>
          <w:sz w:val="28"/>
          <w:szCs w:val="28"/>
        </w:rPr>
        <w:t>между</w:t>
      </w:r>
      <w:r w:rsidR="001F7770">
        <w:rPr>
          <w:rFonts w:eastAsiaTheme="minorEastAsia"/>
          <w:sz w:val="28"/>
          <w:szCs w:val="28"/>
        </w:rPr>
        <w:t xml:space="preserve"> показателями фермента</w:t>
      </w:r>
      <w:r w:rsidRPr="00E07681">
        <w:rPr>
          <w:rFonts w:eastAsiaTheme="minorEastAsia"/>
          <w:sz w:val="28"/>
          <w:szCs w:val="28"/>
        </w:rPr>
        <w:t>т</w:t>
      </w:r>
      <w:r w:rsidR="001F7770">
        <w:rPr>
          <w:rFonts w:eastAsiaTheme="minorEastAsia"/>
          <w:sz w:val="28"/>
          <w:szCs w:val="28"/>
        </w:rPr>
        <w:t>и</w:t>
      </w:r>
      <w:r w:rsidRPr="00E07681">
        <w:rPr>
          <w:rFonts w:eastAsiaTheme="minorEastAsia"/>
          <w:sz w:val="28"/>
          <w:szCs w:val="28"/>
        </w:rPr>
        <w:t>вных</w:t>
      </w:r>
      <w:r w:rsidR="00601BDA" w:rsidRPr="00E07681">
        <w:rPr>
          <w:rFonts w:eastAsiaTheme="minorEastAsia"/>
          <w:sz w:val="28"/>
          <w:szCs w:val="28"/>
        </w:rPr>
        <w:t xml:space="preserve"> актив</w:t>
      </w:r>
      <w:r w:rsidRPr="00E07681">
        <w:rPr>
          <w:rFonts w:eastAsiaTheme="minorEastAsia"/>
          <w:sz w:val="28"/>
          <w:szCs w:val="28"/>
        </w:rPr>
        <w:t>ностей</w:t>
      </w:r>
      <w:r w:rsidR="00D65D9B" w:rsidRPr="00E07681">
        <w:rPr>
          <w:rFonts w:eastAsiaTheme="minorEastAsia"/>
          <w:sz w:val="28"/>
          <w:szCs w:val="28"/>
        </w:rPr>
        <w:t xml:space="preserve"> </w:t>
      </w:r>
      <w:r w:rsidRPr="00E07681">
        <w:rPr>
          <w:rFonts w:eastAsiaTheme="minorEastAsia"/>
          <w:sz w:val="28"/>
          <w:szCs w:val="28"/>
        </w:rPr>
        <w:t xml:space="preserve">двух </w:t>
      </w:r>
      <w:r w:rsidR="00601BDA" w:rsidRPr="00E07681">
        <w:rPr>
          <w:rFonts w:eastAsiaTheme="minorEastAsia"/>
          <w:sz w:val="28"/>
          <w:szCs w:val="28"/>
        </w:rPr>
        <w:t>линии</w:t>
      </w:r>
      <w:r w:rsidR="00601BDA"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="00601BDA" w:rsidRPr="00E07681">
        <w:rPr>
          <w:rFonts w:eastAsiaTheme="minorEastAsia"/>
          <w:sz w:val="28"/>
          <w:szCs w:val="28"/>
        </w:rPr>
        <w:t xml:space="preserve"> антиради</w:t>
      </w:r>
      <w:r w:rsidR="00D65D9B" w:rsidRPr="00E07681">
        <w:rPr>
          <w:rFonts w:eastAsiaTheme="minorEastAsia"/>
          <w:sz w:val="28"/>
          <w:szCs w:val="28"/>
        </w:rPr>
        <w:t>кальнои</w:t>
      </w:r>
      <w:r w:rsidR="00D65D9B" w:rsidRPr="00E07681">
        <w:rPr>
          <w:rFonts w:ascii="Cambria Math" w:eastAsiaTheme="minorEastAsia" w:hAnsi="Cambria Math" w:cs="Cambria Math"/>
          <w:sz w:val="28"/>
          <w:szCs w:val="28"/>
        </w:rPr>
        <w:t>̆</w:t>
      </w:r>
      <w:r w:rsidR="00D65D9B" w:rsidRPr="00E07681">
        <w:rPr>
          <w:rFonts w:eastAsiaTheme="minorEastAsia"/>
          <w:sz w:val="28"/>
          <w:szCs w:val="28"/>
        </w:rPr>
        <w:t xml:space="preserve"> защиты </w:t>
      </w:r>
      <w:r w:rsidRPr="00E07681">
        <w:rPr>
          <w:rFonts w:eastAsiaTheme="minorEastAsia"/>
          <w:sz w:val="28"/>
          <w:szCs w:val="28"/>
        </w:rPr>
        <w:t xml:space="preserve">говорит </w:t>
      </w:r>
      <w:r w:rsidR="00601BDA" w:rsidRPr="00E07681">
        <w:rPr>
          <w:rFonts w:eastAsiaTheme="minorEastAsia"/>
          <w:sz w:val="28"/>
          <w:szCs w:val="28"/>
        </w:rPr>
        <w:t xml:space="preserve">о дисбалансе </w:t>
      </w:r>
      <w:r w:rsidRPr="00E07681">
        <w:rPr>
          <w:rFonts w:eastAsiaTheme="minorEastAsia"/>
          <w:sz w:val="28"/>
          <w:szCs w:val="28"/>
        </w:rPr>
        <w:t>в ферментативном звене</w:t>
      </w:r>
      <w:r w:rsidR="00FC6BBC" w:rsidRPr="00E07681">
        <w:rPr>
          <w:rFonts w:eastAsiaTheme="minorEastAsia"/>
          <w:sz w:val="28"/>
          <w:szCs w:val="28"/>
        </w:rPr>
        <w:t xml:space="preserve"> АОС</w:t>
      </w:r>
      <w:r w:rsidR="00D64E35" w:rsidRPr="00E07681">
        <w:rPr>
          <w:rFonts w:eastAsiaTheme="minorEastAsia"/>
          <w:sz w:val="28"/>
          <w:szCs w:val="28"/>
        </w:rPr>
        <w:t xml:space="preserve"> у пациентов с </w:t>
      </w:r>
      <w:r w:rsidR="001F7770">
        <w:rPr>
          <w:rFonts w:eastAsiaTheme="minorEastAsia"/>
          <w:sz w:val="28"/>
          <w:szCs w:val="28"/>
        </w:rPr>
        <w:t xml:space="preserve">непереносимостью к несъёмным ортопедическим конструкциям. </w:t>
      </w:r>
      <w:r w:rsidR="00D64E35" w:rsidRPr="00E07681">
        <w:rPr>
          <w:rFonts w:eastAsiaTheme="minorEastAsia"/>
          <w:sz w:val="28"/>
          <w:szCs w:val="28"/>
        </w:rPr>
        <w:t>Под действием парафармацевтика “Вин-Вита” происходит увеличение</w:t>
      </w:r>
      <w:r w:rsidR="00FC6BBC" w:rsidRPr="00E07681">
        <w:rPr>
          <w:rFonts w:eastAsiaTheme="minorEastAsia"/>
          <w:sz w:val="28"/>
          <w:szCs w:val="28"/>
        </w:rPr>
        <w:t xml:space="preserve"> активности</w:t>
      </w:r>
      <w:r w:rsidRPr="00E07681">
        <w:rPr>
          <w:rFonts w:eastAsiaTheme="minorEastAsia"/>
          <w:sz w:val="28"/>
          <w:szCs w:val="28"/>
        </w:rPr>
        <w:t xml:space="preserve"> </w:t>
      </w:r>
      <w:r w:rsidR="00D64E35" w:rsidRPr="00E07681">
        <w:rPr>
          <w:rFonts w:eastAsiaTheme="minorEastAsia"/>
          <w:sz w:val="28"/>
          <w:szCs w:val="28"/>
        </w:rPr>
        <w:t>СОД в ротовой жидкости пациентов, что ликвидирует накопленные</w:t>
      </w:r>
      <w:r w:rsidR="00D65D9B" w:rsidRPr="00E07681">
        <w:rPr>
          <w:rFonts w:eastAsiaTheme="minorEastAsia"/>
          <w:sz w:val="28"/>
          <w:szCs w:val="28"/>
        </w:rPr>
        <w:t xml:space="preserve"> </w:t>
      </w:r>
      <w:r w:rsidR="00D64E35" w:rsidRPr="00E07681">
        <w:rPr>
          <w:rFonts w:eastAsiaTheme="minorEastAsia"/>
          <w:sz w:val="28"/>
          <w:szCs w:val="28"/>
        </w:rPr>
        <w:t>активные фор</w:t>
      </w:r>
      <w:r w:rsidR="00A64D3B" w:rsidRPr="00E07681">
        <w:rPr>
          <w:rFonts w:eastAsiaTheme="minorEastAsia"/>
          <w:sz w:val="28"/>
          <w:szCs w:val="28"/>
        </w:rPr>
        <w:t>м</w:t>
      </w:r>
      <w:r w:rsidR="00D64E35" w:rsidRPr="00E07681">
        <w:rPr>
          <w:rFonts w:eastAsiaTheme="minorEastAsia"/>
          <w:sz w:val="28"/>
          <w:szCs w:val="28"/>
        </w:rPr>
        <w:t>ы</w:t>
      </w:r>
      <w:r w:rsidRPr="00E07681">
        <w:rPr>
          <w:rFonts w:eastAsiaTheme="minorEastAsia"/>
          <w:sz w:val="28"/>
          <w:szCs w:val="28"/>
        </w:rPr>
        <w:t xml:space="preserve"> кислоро</w:t>
      </w:r>
      <w:r w:rsidR="001F7770">
        <w:rPr>
          <w:rFonts w:eastAsiaTheme="minorEastAsia"/>
          <w:sz w:val="28"/>
          <w:szCs w:val="28"/>
        </w:rPr>
        <w:t>да</w:t>
      </w:r>
      <w:r w:rsidR="00D65D9B" w:rsidRPr="00E07681">
        <w:rPr>
          <w:rFonts w:eastAsiaTheme="minorEastAsia"/>
          <w:sz w:val="28"/>
          <w:szCs w:val="28"/>
        </w:rPr>
        <w:t>.</w:t>
      </w:r>
      <w:r w:rsidR="00D64E35" w:rsidRPr="00E07681">
        <w:rPr>
          <w:rFonts w:eastAsiaTheme="minorEastAsia"/>
          <w:sz w:val="28"/>
          <w:szCs w:val="28"/>
        </w:rPr>
        <w:t xml:space="preserve"> </w:t>
      </w:r>
    </w:p>
    <w:p w:rsidR="00B83F16" w:rsidRPr="00E07681" w:rsidRDefault="00517D90" w:rsidP="00E31F38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rFonts w:eastAsiaTheme="minorEastAsia"/>
          <w:sz w:val="28"/>
          <w:szCs w:val="28"/>
        </w:rPr>
      </w:pPr>
      <w:r w:rsidRPr="00E07681">
        <w:rPr>
          <w:rFonts w:eastAsiaTheme="minorEastAsia"/>
          <w:sz w:val="28"/>
          <w:szCs w:val="28"/>
        </w:rPr>
        <w:t>Показатели, свидетельствующие об увеличении</w:t>
      </w:r>
      <w:r w:rsidR="001F7770">
        <w:rPr>
          <w:rFonts w:eastAsiaTheme="minorEastAsia"/>
          <w:sz w:val="28"/>
          <w:szCs w:val="28"/>
        </w:rPr>
        <w:t xml:space="preserve"> активности каталазы в ротовой</w:t>
      </w:r>
      <w:r w:rsidR="00D65D9B" w:rsidRPr="00E07681">
        <w:rPr>
          <w:rFonts w:eastAsiaTheme="minorEastAsia"/>
          <w:sz w:val="28"/>
          <w:szCs w:val="28"/>
        </w:rPr>
        <w:t xml:space="preserve"> жидкости</w:t>
      </w:r>
      <w:r w:rsidRPr="00E07681">
        <w:rPr>
          <w:rFonts w:eastAsiaTheme="minorEastAsia"/>
          <w:sz w:val="28"/>
          <w:szCs w:val="28"/>
        </w:rPr>
        <w:t>,</w:t>
      </w:r>
      <w:r w:rsidR="00D65D9B" w:rsidRPr="00E07681">
        <w:rPr>
          <w:rFonts w:eastAsiaTheme="minorEastAsia"/>
          <w:sz w:val="28"/>
          <w:szCs w:val="28"/>
        </w:rPr>
        <w:t xml:space="preserve"> </w:t>
      </w:r>
      <w:r w:rsidRPr="00E07681">
        <w:rPr>
          <w:rFonts w:eastAsiaTheme="minorEastAsia"/>
          <w:sz w:val="28"/>
          <w:szCs w:val="28"/>
        </w:rPr>
        <w:t xml:space="preserve">можно объяснить усилением синтеза фермента </w:t>
      </w:r>
      <w:r w:rsidR="001F7770">
        <w:rPr>
          <w:rFonts w:eastAsiaTheme="minorEastAsia"/>
          <w:sz w:val="28"/>
          <w:szCs w:val="28"/>
        </w:rPr>
        <w:t>и его рекрецией</w:t>
      </w:r>
      <w:r w:rsidR="00D65D9B" w:rsidRPr="00E07681">
        <w:rPr>
          <w:rFonts w:eastAsiaTheme="minorEastAsia"/>
          <w:sz w:val="28"/>
          <w:szCs w:val="28"/>
        </w:rPr>
        <w:t xml:space="preserve"> слюнными железами из крови. </w:t>
      </w:r>
      <w:r w:rsidR="00A64D3B" w:rsidRPr="00E07681">
        <w:rPr>
          <w:rFonts w:eastAsiaTheme="minorEastAsia"/>
          <w:sz w:val="28"/>
          <w:szCs w:val="28"/>
        </w:rPr>
        <w:t xml:space="preserve">Восстановление равновесия в системе антиоксидантной защиты ротовой жидкости за счет активизации </w:t>
      </w:r>
      <w:r w:rsidR="004808D3" w:rsidRPr="00E07681">
        <w:rPr>
          <w:rFonts w:eastAsiaTheme="minorEastAsia"/>
          <w:sz w:val="28"/>
          <w:szCs w:val="28"/>
        </w:rPr>
        <w:t xml:space="preserve">СОД способствует уменьшению потребности АОС в каталазе, что отражается в уменьшении её </w:t>
      </w:r>
      <w:r w:rsidR="00DE491C" w:rsidRPr="00E07681">
        <w:rPr>
          <w:rFonts w:eastAsiaTheme="minorEastAsia"/>
          <w:sz w:val="28"/>
          <w:szCs w:val="28"/>
        </w:rPr>
        <w:t xml:space="preserve">активности </w:t>
      </w:r>
      <w:r w:rsidR="004808D3" w:rsidRPr="00E07681">
        <w:rPr>
          <w:rFonts w:eastAsiaTheme="minorEastAsia"/>
          <w:sz w:val="28"/>
          <w:szCs w:val="28"/>
        </w:rPr>
        <w:t>в ротовой жидкости.</w:t>
      </w:r>
    </w:p>
    <w:p w:rsidR="00AD4AD5" w:rsidRPr="00E07681" w:rsidRDefault="00AD4AD5" w:rsidP="00E31F38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rFonts w:eastAsiaTheme="minorEastAsia"/>
          <w:sz w:val="28"/>
          <w:szCs w:val="28"/>
        </w:rPr>
      </w:pPr>
      <w:r w:rsidRPr="00E07681">
        <w:rPr>
          <w:rFonts w:eastAsiaTheme="minorEastAsia"/>
          <w:b/>
          <w:sz w:val="28"/>
          <w:szCs w:val="28"/>
        </w:rPr>
        <w:t xml:space="preserve">Выводы. </w:t>
      </w:r>
      <w:r w:rsidRPr="00E07681">
        <w:rPr>
          <w:rFonts w:eastAsiaTheme="minorEastAsia"/>
          <w:sz w:val="28"/>
          <w:szCs w:val="28"/>
        </w:rPr>
        <w:t xml:space="preserve">Таким образом, применение парафармацевтика «Вин-Вита» способствует </w:t>
      </w:r>
      <w:r w:rsidR="006B614E" w:rsidRPr="00E07681">
        <w:rPr>
          <w:rFonts w:eastAsiaTheme="minorEastAsia"/>
          <w:sz w:val="28"/>
          <w:szCs w:val="28"/>
        </w:rPr>
        <w:t>устранению сдвига</w:t>
      </w:r>
      <w:r w:rsidR="009C7101" w:rsidRPr="00E07681">
        <w:rPr>
          <w:rFonts w:eastAsiaTheme="minorEastAsia"/>
          <w:sz w:val="28"/>
          <w:szCs w:val="28"/>
        </w:rPr>
        <w:t xml:space="preserve"> про-/антиоксидантного равновесия как в полости рта, так и в организме в целом. Об этом свидетельствует уменьшение ДК, МДА, увеличение концентрации </w:t>
      </w:r>
      <w:r w:rsidR="009C7101" w:rsidRPr="00E07681">
        <w:rPr>
          <w:rFonts w:eastAsiaTheme="minorEastAsia"/>
          <w:sz w:val="28"/>
          <w:szCs w:val="28"/>
          <w:lang w:val="en-US"/>
        </w:rPr>
        <w:t>SH</w:t>
      </w:r>
      <w:r w:rsidR="001F7770">
        <w:rPr>
          <w:rFonts w:eastAsiaTheme="minorEastAsia"/>
          <w:sz w:val="28"/>
          <w:szCs w:val="28"/>
        </w:rPr>
        <w:t>-групп в сыворотке крови, а также</w:t>
      </w:r>
      <w:r w:rsidR="009C7101" w:rsidRPr="00E07681">
        <w:rPr>
          <w:rFonts w:eastAsiaTheme="minorEastAsia"/>
          <w:sz w:val="28"/>
          <w:szCs w:val="28"/>
        </w:rPr>
        <w:t xml:space="preserve"> уменьшение ТБК и активности ферментативных звеньев АОС в ротовой жидкости пациентов, у которых наблюдалось увеличение свободнорадикальных процессов</w:t>
      </w:r>
      <w:r w:rsidR="006B614E" w:rsidRPr="00E07681">
        <w:rPr>
          <w:rFonts w:eastAsiaTheme="minorEastAsia"/>
          <w:sz w:val="28"/>
          <w:szCs w:val="28"/>
        </w:rPr>
        <w:t xml:space="preserve"> в условиях несъёмного протезирования. Мы считаем, что нормализация парафармацевтиком «Вин-Вита» метаболических процессов </w:t>
      </w:r>
      <w:r w:rsidR="00495F3E" w:rsidRPr="00E07681">
        <w:rPr>
          <w:rFonts w:eastAsiaTheme="minorEastAsia"/>
          <w:sz w:val="28"/>
          <w:szCs w:val="28"/>
        </w:rPr>
        <w:t xml:space="preserve">может способствовать профилактике </w:t>
      </w:r>
      <w:r w:rsidR="006B614E" w:rsidRPr="00E07681">
        <w:rPr>
          <w:rFonts w:eastAsiaTheme="minorEastAsia"/>
          <w:sz w:val="28"/>
          <w:szCs w:val="28"/>
        </w:rPr>
        <w:t xml:space="preserve">заболеваний </w:t>
      </w:r>
      <w:r w:rsidR="00495F3E" w:rsidRPr="00E07681">
        <w:rPr>
          <w:rFonts w:eastAsiaTheme="minorEastAsia"/>
          <w:sz w:val="28"/>
          <w:szCs w:val="28"/>
        </w:rPr>
        <w:t>как</w:t>
      </w:r>
      <w:r w:rsidR="001F7770">
        <w:rPr>
          <w:rFonts w:eastAsiaTheme="minorEastAsia"/>
          <w:sz w:val="28"/>
          <w:szCs w:val="28"/>
        </w:rPr>
        <w:t xml:space="preserve"> в</w:t>
      </w:r>
      <w:r w:rsidR="00495F3E" w:rsidRPr="00E07681">
        <w:rPr>
          <w:rFonts w:eastAsiaTheme="minorEastAsia"/>
          <w:sz w:val="28"/>
          <w:szCs w:val="28"/>
        </w:rPr>
        <w:t xml:space="preserve"> </w:t>
      </w:r>
      <w:r w:rsidR="006B614E" w:rsidRPr="00E07681">
        <w:rPr>
          <w:rFonts w:eastAsiaTheme="minorEastAsia"/>
          <w:sz w:val="28"/>
          <w:szCs w:val="28"/>
        </w:rPr>
        <w:t>зубочелюстной системы</w:t>
      </w:r>
      <w:r w:rsidR="00495F3E" w:rsidRPr="00E07681">
        <w:rPr>
          <w:rFonts w:eastAsiaTheme="minorEastAsia"/>
          <w:sz w:val="28"/>
          <w:szCs w:val="28"/>
        </w:rPr>
        <w:t>, так</w:t>
      </w:r>
      <w:r w:rsidR="006B614E" w:rsidRPr="00E07681">
        <w:rPr>
          <w:rFonts w:eastAsiaTheme="minorEastAsia"/>
          <w:sz w:val="28"/>
          <w:szCs w:val="28"/>
        </w:rPr>
        <w:t xml:space="preserve"> и </w:t>
      </w:r>
      <w:r w:rsidR="001F7770">
        <w:rPr>
          <w:rFonts w:eastAsiaTheme="minorEastAsia"/>
          <w:sz w:val="28"/>
          <w:szCs w:val="28"/>
        </w:rPr>
        <w:t xml:space="preserve">в </w:t>
      </w:r>
      <w:r w:rsidR="006B614E" w:rsidRPr="00E07681">
        <w:rPr>
          <w:rFonts w:eastAsiaTheme="minorEastAsia"/>
          <w:sz w:val="28"/>
          <w:szCs w:val="28"/>
        </w:rPr>
        <w:t>других систем</w:t>
      </w:r>
      <w:r w:rsidR="001F7770">
        <w:rPr>
          <w:rFonts w:eastAsiaTheme="minorEastAsia"/>
          <w:sz w:val="28"/>
          <w:szCs w:val="28"/>
        </w:rPr>
        <w:t>ах</w:t>
      </w:r>
      <w:r w:rsidR="006B614E" w:rsidRPr="00E07681">
        <w:rPr>
          <w:rFonts w:eastAsiaTheme="minorEastAsia"/>
          <w:sz w:val="28"/>
          <w:szCs w:val="28"/>
        </w:rPr>
        <w:t xml:space="preserve"> организма.</w:t>
      </w:r>
    </w:p>
    <w:p w:rsidR="00581618" w:rsidRPr="00E07681" w:rsidRDefault="00AD4AD5" w:rsidP="00E31F38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rFonts w:eastAsiaTheme="minorEastAsia"/>
          <w:sz w:val="28"/>
          <w:szCs w:val="28"/>
        </w:rPr>
      </w:pPr>
      <w:r w:rsidRPr="00E07681">
        <w:rPr>
          <w:rFonts w:eastAsiaTheme="minorEastAsia"/>
          <w:b/>
          <w:sz w:val="28"/>
          <w:szCs w:val="28"/>
        </w:rPr>
        <w:t>Перспективы дальнейших исследований.</w:t>
      </w:r>
      <w:r w:rsidRPr="00E07681">
        <w:rPr>
          <w:rFonts w:eastAsiaTheme="minorEastAsia"/>
          <w:sz w:val="28"/>
          <w:szCs w:val="28"/>
        </w:rPr>
        <w:t xml:space="preserve"> Предполагается исследовать антиоксидантный эффект парафармацевтика «Вин-Вита» у пациентов с проявлениями непереносимости конструкционных сплавов металлов с помощью измерения микроэлементного состава волос атомно-адсорбционным методом.</w:t>
      </w:r>
    </w:p>
    <w:p w:rsidR="00273805" w:rsidRDefault="00273805" w:rsidP="00273805">
      <w:pPr>
        <w:widowControl w:val="0"/>
        <w:autoSpaceDE w:val="0"/>
        <w:autoSpaceDN w:val="0"/>
        <w:adjustRightInd w:val="0"/>
        <w:spacing w:after="240" w:line="360" w:lineRule="auto"/>
        <w:ind w:left="-284" w:right="566"/>
        <w:jc w:val="center"/>
        <w:rPr>
          <w:b/>
          <w:caps/>
          <w:sz w:val="28"/>
          <w:szCs w:val="28"/>
        </w:rPr>
      </w:pPr>
      <w:r w:rsidRPr="00FB30D1">
        <w:rPr>
          <w:b/>
          <w:caps/>
          <w:sz w:val="28"/>
          <w:szCs w:val="28"/>
        </w:rPr>
        <w:t>Список Литературы</w:t>
      </w:r>
    </w:p>
    <w:p w:rsidR="00273805" w:rsidRDefault="00273805" w:rsidP="0027380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right="566"/>
        <w:jc w:val="both"/>
        <w:rPr>
          <w:rFonts w:eastAsia="ArialMT"/>
          <w:sz w:val="28"/>
          <w:szCs w:val="28"/>
        </w:rPr>
      </w:pPr>
      <w:r w:rsidRPr="00E07681">
        <w:rPr>
          <w:rFonts w:eastAsia="ArialMT"/>
          <w:sz w:val="28"/>
          <w:szCs w:val="28"/>
        </w:rPr>
        <w:t>Аболмасов Д. В., Пожарицкая М. М., Старосельцева Л. К., Афанасьев В. В. Изучение свободнорадикальных процессов и антиоксидантной защиты у лиц с заболеваниями слюнных желез, получающих гирудотерапию // Стоматология. 2004. № 1. С. 27—29.</w:t>
      </w:r>
    </w:p>
    <w:p w:rsidR="00273805" w:rsidRDefault="00273805" w:rsidP="0027380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right="566"/>
        <w:jc w:val="both"/>
        <w:rPr>
          <w:rFonts w:eastAsia="ArialMT"/>
          <w:sz w:val="28"/>
          <w:szCs w:val="28"/>
        </w:rPr>
      </w:pPr>
      <w:r w:rsidRPr="00E07681">
        <w:rPr>
          <w:rFonts w:eastAsia="ArialMT"/>
          <w:sz w:val="28"/>
          <w:szCs w:val="28"/>
        </w:rPr>
        <w:t>Бородулин В. Б., Булкина Н. В., Крючина Ю. Г., Ивлев В. А. Биохимические критерии оценки влияния тяжелых металлов на ферментативную активность ротовой жидкости больных пародонтитом // Современные наукоемкие технологии. М., 2004. № 3. С. 76.</w:t>
      </w:r>
    </w:p>
    <w:p w:rsidR="00273805" w:rsidRPr="00FB30D1" w:rsidRDefault="00273805" w:rsidP="00504C9F">
      <w:pPr>
        <w:numPr>
          <w:ilvl w:val="0"/>
          <w:numId w:val="4"/>
        </w:numPr>
        <w:spacing w:beforeLines="20" w:line="360" w:lineRule="auto"/>
        <w:ind w:left="-284" w:right="566"/>
        <w:jc w:val="both"/>
        <w:rPr>
          <w:rFonts w:eastAsia="Calibri"/>
          <w:sz w:val="28"/>
          <w:szCs w:val="28"/>
        </w:rPr>
      </w:pPr>
      <w:r w:rsidRPr="00A355ED">
        <w:rPr>
          <w:rFonts w:eastAsia="Arial-ItalicMT"/>
          <w:iCs/>
          <w:sz w:val="28"/>
          <w:szCs w:val="28"/>
        </w:rPr>
        <w:t xml:space="preserve">Вавилова Т. П. </w:t>
      </w:r>
      <w:r w:rsidRPr="00A355ED">
        <w:rPr>
          <w:rFonts w:eastAsia="ArialMT"/>
          <w:sz w:val="28"/>
          <w:szCs w:val="28"/>
        </w:rPr>
        <w:t>Биохимия тканей и жидкостей полости рта. – М.: ГЭОТАР-Медиа, 2008. – 208 с.</w:t>
      </w:r>
    </w:p>
    <w:p w:rsidR="00273805" w:rsidRPr="00FB30D1" w:rsidRDefault="00273805" w:rsidP="00504C9F">
      <w:pPr>
        <w:numPr>
          <w:ilvl w:val="0"/>
          <w:numId w:val="4"/>
        </w:numPr>
        <w:spacing w:beforeLines="20" w:line="360" w:lineRule="auto"/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Владимиров Ю. А. Перекисное окисление липидов в биологических мембранах / Ю. А. Владимиров, А. И. Арчаков – М. : Наука, 1972. – 320 с.</w:t>
      </w:r>
    </w:p>
    <w:p w:rsidR="00273805" w:rsidRPr="00FB30D1" w:rsidRDefault="00273805" w:rsidP="00504C9F">
      <w:pPr>
        <w:numPr>
          <w:ilvl w:val="0"/>
          <w:numId w:val="4"/>
        </w:numPr>
        <w:spacing w:beforeLines="20" w:line="360" w:lineRule="auto"/>
        <w:ind w:left="-284" w:right="566"/>
        <w:jc w:val="both"/>
        <w:rPr>
          <w:sz w:val="28"/>
          <w:szCs w:val="28"/>
        </w:rPr>
      </w:pPr>
      <w:r w:rsidRPr="00A355ED">
        <w:rPr>
          <w:rFonts w:eastAsia="Arial-ItalicMT"/>
          <w:iCs/>
          <w:sz w:val="28"/>
          <w:szCs w:val="28"/>
        </w:rPr>
        <w:t xml:space="preserve">Герасимов А. Н. </w:t>
      </w:r>
      <w:r w:rsidRPr="00A355ED">
        <w:rPr>
          <w:rFonts w:eastAsia="ArialMT"/>
          <w:sz w:val="28"/>
          <w:szCs w:val="28"/>
        </w:rPr>
        <w:t>Медицинская статистика: Учебное пособие. – М.: Медицинское информационное агентство, 2007. – 480 с.</w:t>
      </w:r>
    </w:p>
    <w:p w:rsidR="00273805" w:rsidRPr="00FB30D1" w:rsidRDefault="00273805" w:rsidP="00504C9F">
      <w:pPr>
        <w:numPr>
          <w:ilvl w:val="0"/>
          <w:numId w:val="4"/>
        </w:numPr>
        <w:spacing w:beforeLines="20" w:line="360" w:lineRule="auto"/>
        <w:ind w:left="-284" w:right="566"/>
        <w:jc w:val="both"/>
        <w:rPr>
          <w:sz w:val="28"/>
          <w:szCs w:val="28"/>
        </w:rPr>
      </w:pPr>
      <w:r w:rsidRPr="0086532E">
        <w:rPr>
          <w:rFonts w:eastAsia="Arial-ItalicMT"/>
          <w:iCs/>
          <w:sz w:val="28"/>
          <w:szCs w:val="28"/>
        </w:rPr>
        <w:t xml:space="preserve">Камышников В. С. </w:t>
      </w:r>
      <w:r w:rsidRPr="0086532E">
        <w:rPr>
          <w:rFonts w:eastAsia="ArialMT"/>
          <w:sz w:val="28"/>
          <w:szCs w:val="28"/>
        </w:rPr>
        <w:t>Справочник по клинико-биохимическим исследованиям и лабораторной диагностике. – М.: МЕД</w:t>
      </w:r>
      <w:r>
        <w:rPr>
          <w:rFonts w:eastAsia="ArialMT"/>
          <w:sz w:val="28"/>
          <w:szCs w:val="28"/>
        </w:rPr>
        <w:t xml:space="preserve"> </w:t>
      </w:r>
      <w:r w:rsidRPr="0086532E">
        <w:rPr>
          <w:rFonts w:eastAsia="ArialMT"/>
          <w:sz w:val="28"/>
          <w:szCs w:val="28"/>
        </w:rPr>
        <w:t>пресс-информ, 2004. – 920 с.</w:t>
      </w:r>
    </w:p>
    <w:p w:rsidR="00273805" w:rsidRPr="00FB30D1" w:rsidRDefault="00273805" w:rsidP="0027380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right="566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  <w:lang w:val="uk-UA"/>
        </w:rPr>
        <w:t xml:space="preserve">Кордіяк А.Ю. Клінічні особливості, лікування та запобігання розладів місцевого і загального характеру при застосуванні зубних протезів на основі сплавів металів :  автореф. дис.. на здобуття наук. ступеня док. мед. наук : спец. 14.01.22 «Стоматологія» / А.Ю. Кордіяк. – К., 2008. – 38 с. </w:t>
      </w:r>
    </w:p>
    <w:p w:rsidR="00273805" w:rsidRDefault="00273805" w:rsidP="0027380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right="566"/>
        <w:jc w:val="both"/>
        <w:rPr>
          <w:rFonts w:eastAsia="ArialMT"/>
          <w:sz w:val="28"/>
          <w:szCs w:val="28"/>
        </w:rPr>
      </w:pPr>
      <w:r w:rsidRPr="00E07681">
        <w:rPr>
          <w:rFonts w:eastAsia="ArialMT"/>
          <w:sz w:val="28"/>
          <w:szCs w:val="28"/>
        </w:rPr>
        <w:t xml:space="preserve">Коротько Г. Ф. Секреция слюнных желез и элементы саливадиагностики. М.: издательский Дом </w:t>
      </w:r>
      <w:r w:rsidRPr="00E07681">
        <w:rPr>
          <w:rFonts w:ascii="Cambria Math" w:eastAsia="ArialMT" w:hAnsi="Cambria Math" w:cs="Cambria Math"/>
          <w:sz w:val="28"/>
          <w:szCs w:val="28"/>
        </w:rPr>
        <w:t>≪</w:t>
      </w:r>
      <w:r w:rsidRPr="00E07681">
        <w:rPr>
          <w:rFonts w:eastAsia="ArialMT"/>
          <w:sz w:val="28"/>
          <w:szCs w:val="28"/>
        </w:rPr>
        <w:t>Академия естествознания</w:t>
      </w:r>
      <w:r w:rsidRPr="00E07681">
        <w:rPr>
          <w:rFonts w:ascii="Cambria Math" w:eastAsia="ArialMT" w:hAnsi="Cambria Math" w:cs="Cambria Math"/>
          <w:sz w:val="28"/>
          <w:szCs w:val="28"/>
        </w:rPr>
        <w:t>≫</w:t>
      </w:r>
      <w:r w:rsidRPr="00E07681">
        <w:rPr>
          <w:rFonts w:eastAsia="ArialMT"/>
          <w:sz w:val="28"/>
          <w:szCs w:val="28"/>
        </w:rPr>
        <w:t>, 2006. 192 с.</w:t>
      </w:r>
    </w:p>
    <w:p w:rsidR="00273805" w:rsidRPr="00FB30D1" w:rsidRDefault="00273805" w:rsidP="00504C9F">
      <w:pPr>
        <w:numPr>
          <w:ilvl w:val="0"/>
          <w:numId w:val="4"/>
        </w:numPr>
        <w:spacing w:beforeLines="20" w:line="360" w:lineRule="auto"/>
        <w:ind w:left="-284" w:right="566"/>
        <w:jc w:val="both"/>
        <w:rPr>
          <w:rFonts w:eastAsia="Calibri"/>
          <w:sz w:val="28"/>
          <w:szCs w:val="28"/>
        </w:rPr>
      </w:pPr>
      <w:r w:rsidRPr="00A355ED">
        <w:rPr>
          <w:rFonts w:eastAsia="Arial-ItalicMT"/>
          <w:iCs/>
          <w:sz w:val="28"/>
          <w:szCs w:val="28"/>
        </w:rPr>
        <w:t xml:space="preserve">Костюк В. А., Потапович А. И., Ковалева Ж. И. </w:t>
      </w:r>
      <w:r w:rsidRPr="00A355ED">
        <w:rPr>
          <w:rFonts w:eastAsia="ArialMT"/>
          <w:sz w:val="28"/>
          <w:szCs w:val="28"/>
        </w:rPr>
        <w:t>Простой и чувствительный метод определения супероксиддисмутазы, основанный на реакции окисления кверцитина // Вопросы медицинской химии. – 1990. – № 2. – С. 88–91.</w:t>
      </w:r>
    </w:p>
    <w:p w:rsidR="00273805" w:rsidRPr="00FB30D1" w:rsidRDefault="00273805" w:rsidP="0027380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right="566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 </w:t>
      </w:r>
      <w:r w:rsidRPr="00E07681">
        <w:rPr>
          <w:rFonts w:eastAsia="ArialMT"/>
          <w:sz w:val="28"/>
          <w:szCs w:val="28"/>
        </w:rPr>
        <w:t>Ларенцова Л. И., Воронина Т. А., Хубиев Х., Котова М. А., Духина И. А., Тевторадзе Г. Д. Антистрессорные эффекты антиоксиданта мексидола в экспериментальных и клинических условиях // Российский стоматологический журнал. 2005. № 2. С. 48—51.</w:t>
      </w:r>
    </w:p>
    <w:p w:rsidR="00273805" w:rsidRPr="00FB30D1" w:rsidRDefault="00273805" w:rsidP="00504C9F">
      <w:pPr>
        <w:numPr>
          <w:ilvl w:val="0"/>
          <w:numId w:val="4"/>
        </w:numPr>
        <w:spacing w:beforeLines="20" w:line="360" w:lineRule="auto"/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7681">
        <w:rPr>
          <w:sz w:val="28"/>
          <w:szCs w:val="28"/>
        </w:rPr>
        <w:t xml:space="preserve">Никонов А.Ю. Нарушение прооксидантно – антиоксидантного гомеостаза при введении никеля и нитрида титана /А.Ю. Никонов// Проблеми </w:t>
      </w:r>
      <w:r w:rsidRPr="00E07681">
        <w:rPr>
          <w:sz w:val="28"/>
          <w:szCs w:val="28"/>
          <w:lang w:val="uk-UA"/>
        </w:rPr>
        <w:t xml:space="preserve">медичної науки та освіти. </w:t>
      </w:r>
      <w:r w:rsidRPr="00E07681">
        <w:rPr>
          <w:sz w:val="28"/>
          <w:szCs w:val="28"/>
        </w:rPr>
        <w:t>– 2005.-№2.-С.49-59.</w:t>
      </w:r>
    </w:p>
    <w:p w:rsidR="00273805" w:rsidRPr="00FB30D1" w:rsidRDefault="00273805" w:rsidP="00504C9F">
      <w:pPr>
        <w:numPr>
          <w:ilvl w:val="0"/>
          <w:numId w:val="4"/>
        </w:numPr>
        <w:spacing w:beforeLines="20" w:line="360" w:lineRule="auto"/>
        <w:ind w:left="-284" w:right="56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7681">
        <w:rPr>
          <w:sz w:val="28"/>
          <w:szCs w:val="28"/>
        </w:rPr>
        <w:t>Орлова Е.А.  Активность цитозольной супероксиддисмутазы в тканях крыс разного возраста на фоне применения парафармацевтика «Вин-Вита»</w:t>
      </w:r>
      <w:r w:rsidRPr="00E07681">
        <w:rPr>
          <w:sz w:val="28"/>
          <w:szCs w:val="28"/>
          <w:lang w:val="uk-UA"/>
        </w:rPr>
        <w:t xml:space="preserve"> </w:t>
      </w:r>
      <w:r w:rsidRPr="00E07681">
        <w:rPr>
          <w:sz w:val="28"/>
          <w:szCs w:val="28"/>
        </w:rPr>
        <w:t>/ Е.А.Орлова, О.А.Лазарчук // Український журнал клiнiчної та лабораторної медицини. – 2010. – Т. 5, №3. – С 87-90</w:t>
      </w:r>
    </w:p>
    <w:p w:rsidR="00273805" w:rsidRPr="00FB30D1" w:rsidRDefault="00273805" w:rsidP="0027380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right="566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 </w:t>
      </w:r>
      <w:r>
        <w:rPr>
          <w:rFonts w:eastAsia="ArialMT"/>
          <w:sz w:val="28"/>
          <w:szCs w:val="28"/>
          <w:lang w:val="uk-UA"/>
        </w:rPr>
        <w:t xml:space="preserve">Особливості лікування хворих з різними клінічними формами непереносимості сплавів металів зубних протезів ; збірник наукових праць / </w:t>
      </w:r>
      <w:r w:rsidRPr="00FB30D1">
        <w:rPr>
          <w:rFonts w:eastAsia="ArialMT"/>
          <w:sz w:val="28"/>
          <w:szCs w:val="28"/>
          <w:lang w:val="uk-UA"/>
        </w:rPr>
        <w:t>[</w:t>
      </w:r>
      <w:r>
        <w:rPr>
          <w:rFonts w:eastAsia="ArialMT"/>
          <w:sz w:val="28"/>
          <w:szCs w:val="28"/>
          <w:lang w:val="uk-UA"/>
        </w:rPr>
        <w:t xml:space="preserve">Онищенко В.С., Біда В.І., Леоненко П.В. та ін. </w:t>
      </w:r>
      <w:r w:rsidRPr="00FB30D1">
        <w:rPr>
          <w:rFonts w:eastAsia="ArialMT"/>
          <w:sz w:val="28"/>
          <w:szCs w:val="28"/>
          <w:lang w:val="uk-UA"/>
        </w:rPr>
        <w:t>]</w:t>
      </w:r>
      <w:r>
        <w:rPr>
          <w:rFonts w:eastAsia="ArialMT"/>
          <w:sz w:val="28"/>
          <w:szCs w:val="28"/>
          <w:lang w:val="uk-UA"/>
        </w:rPr>
        <w:t>. – Нац. мед. акад.. після диплом. освіти ім. П.Л. Щупіка. – К., 2007. – Вип. 16, кн.. 2. – С. 680-687.</w:t>
      </w:r>
    </w:p>
    <w:p w:rsidR="00273805" w:rsidRPr="00FB30D1" w:rsidRDefault="00273805" w:rsidP="0027380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right="566"/>
        <w:jc w:val="both"/>
        <w:rPr>
          <w:rFonts w:eastAsia="PetersburgC"/>
          <w:sz w:val="28"/>
          <w:szCs w:val="28"/>
        </w:rPr>
      </w:pPr>
      <w:r>
        <w:rPr>
          <w:rFonts w:eastAsia="PetersburgC"/>
          <w:sz w:val="28"/>
          <w:szCs w:val="28"/>
        </w:rPr>
        <w:t xml:space="preserve"> </w:t>
      </w:r>
      <w:r w:rsidRPr="00E07681">
        <w:rPr>
          <w:rFonts w:eastAsia="PetersburgC"/>
          <w:sz w:val="28"/>
          <w:szCs w:val="28"/>
        </w:rPr>
        <w:t>Пеклина Г.П. Исследование действия «Вин-Вита» на перекисное окисление липидов и антиоксидантную систему организма у ликвидаторов последствий Чернобыльской аварии / Г.П.Пеклина, К.Д.Бабов [и др.] // Медична реабiлiтацiя. Курортологiя. Фiзiотерапiя. — 2000. — №2. — С. 24-32.</w:t>
      </w:r>
    </w:p>
    <w:p w:rsidR="00273805" w:rsidRDefault="00273805" w:rsidP="0027380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right="566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 </w:t>
      </w:r>
      <w:r w:rsidRPr="00E07681">
        <w:rPr>
          <w:rFonts w:eastAsia="ArialMT"/>
          <w:sz w:val="28"/>
          <w:szCs w:val="28"/>
        </w:rPr>
        <w:t>Пожарицкая М. М., Вавилова Т. П., Симакова Т. Г., Краснова В. В. Показатели перекисного окисления липидов и антиоксидантной защиты в смешанной слюне у летчиков сверхзвуковой авиации при пародонтите // Российский стоматологический журнал. 2005. № 2. С. 39—42.</w:t>
      </w:r>
    </w:p>
    <w:p w:rsidR="00273805" w:rsidRPr="00FB30D1" w:rsidRDefault="00273805" w:rsidP="00504C9F">
      <w:pPr>
        <w:numPr>
          <w:ilvl w:val="0"/>
          <w:numId w:val="4"/>
        </w:numPr>
        <w:spacing w:beforeLines="20" w:line="360" w:lineRule="auto"/>
        <w:ind w:left="-284" w:right="566"/>
        <w:jc w:val="both"/>
        <w:rPr>
          <w:rFonts w:eastAsia="Calibri"/>
          <w:sz w:val="28"/>
          <w:szCs w:val="28"/>
          <w:lang w:val="en-US"/>
        </w:rPr>
      </w:pPr>
      <w:r w:rsidRPr="00273805">
        <w:rPr>
          <w:sz w:val="28"/>
          <w:szCs w:val="28"/>
          <w:lang w:val="en-US"/>
        </w:rPr>
        <w:t xml:space="preserve"> </w:t>
      </w:r>
      <w:r w:rsidRPr="00E07681">
        <w:rPr>
          <w:sz w:val="28"/>
          <w:szCs w:val="28"/>
          <w:lang w:val="en-US"/>
        </w:rPr>
        <w:t>Auger C. Red wine phenolic compounds reduce plasma lipids and apolipoprotein B and prevent early aortic atherosclerosis in hypercholesterolemic golden Syrian hamsters / C. Auger, B. Caporiccio, N. Landrault et al. // Journal of nutrition. – 2002. - № 132.- P. 1207-1213.</w:t>
      </w:r>
    </w:p>
    <w:p w:rsidR="00273805" w:rsidRPr="00E07681" w:rsidRDefault="00273805" w:rsidP="00504C9F">
      <w:pPr>
        <w:numPr>
          <w:ilvl w:val="0"/>
          <w:numId w:val="4"/>
        </w:numPr>
        <w:spacing w:beforeLines="20" w:line="360" w:lineRule="auto"/>
        <w:ind w:left="-284" w:right="566"/>
        <w:jc w:val="both"/>
        <w:rPr>
          <w:sz w:val="28"/>
          <w:szCs w:val="28"/>
          <w:lang w:val="en-US"/>
        </w:rPr>
      </w:pPr>
      <w:r w:rsidRPr="00273805">
        <w:rPr>
          <w:sz w:val="28"/>
          <w:szCs w:val="28"/>
          <w:lang w:val="en-US"/>
        </w:rPr>
        <w:t xml:space="preserve"> </w:t>
      </w:r>
      <w:r w:rsidRPr="00E07681">
        <w:rPr>
          <w:sz w:val="28"/>
          <w:szCs w:val="28"/>
          <w:lang w:val="en-US"/>
        </w:rPr>
        <w:t>Di Giampaolo L. “In Vitro” comparative immune effects of different titanium compounds / L.Di Giampaolo, M.Di Gioaccino, J. Ponti // Int. J. Immunopathol. Pharmacol. – 2004.-№ 17(2).-</w:t>
      </w:r>
      <w:r w:rsidRPr="00E07681">
        <w:rPr>
          <w:sz w:val="28"/>
          <w:szCs w:val="28"/>
        </w:rPr>
        <w:t>Р</w:t>
      </w:r>
      <w:r w:rsidRPr="00E07681">
        <w:rPr>
          <w:sz w:val="28"/>
          <w:szCs w:val="28"/>
          <w:lang w:val="en-US"/>
        </w:rPr>
        <w:t>.115-122.</w:t>
      </w:r>
    </w:p>
    <w:p w:rsidR="00A355ED" w:rsidRDefault="00273805" w:rsidP="00504C9F">
      <w:pPr>
        <w:numPr>
          <w:ilvl w:val="0"/>
          <w:numId w:val="4"/>
        </w:numPr>
        <w:spacing w:beforeLines="20" w:line="360" w:lineRule="auto"/>
        <w:ind w:left="-284" w:right="566"/>
        <w:jc w:val="both"/>
        <w:rPr>
          <w:sz w:val="28"/>
          <w:szCs w:val="28"/>
          <w:lang w:val="en-US"/>
        </w:rPr>
      </w:pPr>
      <w:r w:rsidRPr="00273805">
        <w:rPr>
          <w:sz w:val="28"/>
          <w:szCs w:val="28"/>
          <w:lang w:val="en-US"/>
        </w:rPr>
        <w:t xml:space="preserve"> </w:t>
      </w:r>
      <w:r w:rsidRPr="00E07681">
        <w:rPr>
          <w:sz w:val="28"/>
          <w:szCs w:val="28"/>
          <w:lang w:val="en-US"/>
        </w:rPr>
        <w:t>Ermoli M. Nickel, cobalt and chromium – inducted cytotoxity and intracellular accumulation in human hacat keratinocites/ M. Ermoli, C. Menne, G. Pozzi // Toxicol.- 2001.-№ 15.-</w:t>
      </w:r>
      <w:r w:rsidRPr="00E07681">
        <w:rPr>
          <w:sz w:val="28"/>
          <w:szCs w:val="28"/>
        </w:rPr>
        <w:t>Р</w:t>
      </w:r>
      <w:r w:rsidRPr="00E07681">
        <w:rPr>
          <w:sz w:val="28"/>
          <w:szCs w:val="28"/>
          <w:lang w:val="en-US"/>
        </w:rPr>
        <w:t>.348-353</w:t>
      </w:r>
      <w:r w:rsidRPr="00FB30D1">
        <w:rPr>
          <w:sz w:val="28"/>
          <w:szCs w:val="28"/>
          <w:lang w:val="en-US"/>
        </w:rPr>
        <w:t>.</w:t>
      </w:r>
    </w:p>
    <w:p w:rsidR="00DC3053" w:rsidRDefault="00DC3053" w:rsidP="00504C9F">
      <w:pPr>
        <w:spacing w:beforeLines="20" w:line="360" w:lineRule="auto"/>
        <w:ind w:left="-284" w:right="566" w:firstLine="425"/>
        <w:jc w:val="both"/>
        <w:rPr>
          <w:b/>
          <w:sz w:val="28"/>
          <w:szCs w:val="28"/>
          <w:lang w:val="en-US"/>
        </w:rPr>
      </w:pPr>
    </w:p>
    <w:p w:rsidR="00DC3053" w:rsidRDefault="00DC3053" w:rsidP="00504C9F">
      <w:pPr>
        <w:spacing w:beforeLines="20" w:line="360" w:lineRule="auto"/>
        <w:ind w:left="-284" w:right="566" w:firstLine="425"/>
        <w:jc w:val="both"/>
        <w:rPr>
          <w:b/>
          <w:sz w:val="28"/>
          <w:szCs w:val="28"/>
          <w:lang w:val="en-US"/>
        </w:rPr>
      </w:pPr>
    </w:p>
    <w:p w:rsidR="00DC3053" w:rsidRDefault="00DC3053" w:rsidP="00504C9F">
      <w:pPr>
        <w:spacing w:beforeLines="20" w:line="360" w:lineRule="auto"/>
        <w:ind w:left="-284" w:right="566" w:firstLine="425"/>
        <w:jc w:val="both"/>
        <w:rPr>
          <w:b/>
          <w:sz w:val="28"/>
          <w:szCs w:val="28"/>
          <w:lang w:val="en-US"/>
        </w:rPr>
      </w:pPr>
    </w:p>
    <w:p w:rsidR="00DC3053" w:rsidRDefault="00DC3053" w:rsidP="00504C9F">
      <w:pPr>
        <w:spacing w:beforeLines="20" w:line="360" w:lineRule="auto"/>
        <w:ind w:left="-284" w:right="566" w:firstLine="425"/>
        <w:jc w:val="both"/>
        <w:rPr>
          <w:b/>
          <w:sz w:val="28"/>
          <w:szCs w:val="28"/>
          <w:lang w:val="en-US"/>
        </w:rPr>
      </w:pPr>
    </w:p>
    <w:p w:rsidR="00B15977" w:rsidRPr="00504C9F" w:rsidRDefault="000740BB" w:rsidP="00504C9F">
      <w:pPr>
        <w:spacing w:beforeLines="20" w:line="360" w:lineRule="auto"/>
        <w:ind w:left="-284" w:right="566" w:firstLine="425"/>
        <w:jc w:val="both"/>
        <w:rPr>
          <w:b/>
          <w:sz w:val="28"/>
          <w:szCs w:val="28"/>
        </w:rPr>
      </w:pPr>
      <w:r w:rsidRPr="00504C9F">
        <w:rPr>
          <w:b/>
          <w:sz w:val="28"/>
          <w:szCs w:val="28"/>
        </w:rPr>
        <w:t>Резюме</w:t>
      </w:r>
    </w:p>
    <w:p w:rsidR="00B15977" w:rsidRDefault="00B15977" w:rsidP="000410DA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rFonts w:eastAsiaTheme="minorEastAsia"/>
          <w:sz w:val="28"/>
          <w:szCs w:val="28"/>
        </w:rPr>
      </w:pPr>
      <w:r w:rsidRPr="00504C9F">
        <w:rPr>
          <w:sz w:val="28"/>
          <w:szCs w:val="28"/>
        </w:rPr>
        <w:t xml:space="preserve">В работе представлены результаты </w:t>
      </w:r>
      <w:r>
        <w:rPr>
          <w:sz w:val="28"/>
          <w:szCs w:val="28"/>
        </w:rPr>
        <w:t>по исследованию</w:t>
      </w:r>
      <w:r w:rsidRPr="00E07681">
        <w:rPr>
          <w:sz w:val="28"/>
          <w:szCs w:val="28"/>
        </w:rPr>
        <w:t xml:space="preserve"> показателей антиоксидантной системы и перекисного окисления липидов в ротовой жидкости и сыворотке крови</w:t>
      </w:r>
      <w:r w:rsidR="000410DA">
        <w:rPr>
          <w:sz w:val="28"/>
          <w:szCs w:val="28"/>
        </w:rPr>
        <w:t xml:space="preserve"> пациентов</w:t>
      </w:r>
      <w:r w:rsidRPr="00E07681">
        <w:rPr>
          <w:sz w:val="28"/>
          <w:szCs w:val="28"/>
        </w:rPr>
        <w:t xml:space="preserve"> </w:t>
      </w:r>
      <w:r w:rsidR="000410DA">
        <w:rPr>
          <w:sz w:val="28"/>
          <w:szCs w:val="28"/>
        </w:rPr>
        <w:t>с металлическими несъёмными</w:t>
      </w:r>
      <w:r w:rsidRPr="00E07681">
        <w:rPr>
          <w:sz w:val="28"/>
          <w:szCs w:val="28"/>
        </w:rPr>
        <w:t xml:space="preserve"> </w:t>
      </w:r>
      <w:r w:rsidR="000410DA">
        <w:rPr>
          <w:sz w:val="28"/>
          <w:szCs w:val="28"/>
        </w:rPr>
        <w:t>конструкциями в полости рта на фоне</w:t>
      </w:r>
      <w:r w:rsidRPr="00E07681">
        <w:rPr>
          <w:sz w:val="28"/>
          <w:szCs w:val="28"/>
        </w:rPr>
        <w:t xml:space="preserve"> применения парафармацевтика «Вин-Вита».</w:t>
      </w:r>
      <w:r>
        <w:rPr>
          <w:sz w:val="28"/>
          <w:szCs w:val="28"/>
        </w:rPr>
        <w:t xml:space="preserve"> </w:t>
      </w:r>
      <w:r w:rsidR="000410DA">
        <w:rPr>
          <w:rFonts w:eastAsiaTheme="minorEastAsia"/>
          <w:sz w:val="28"/>
          <w:szCs w:val="28"/>
        </w:rPr>
        <w:t>Изучаемый препарат способствовал</w:t>
      </w:r>
      <w:r w:rsidR="000410DA" w:rsidRPr="00E07681">
        <w:rPr>
          <w:rFonts w:eastAsiaTheme="minorEastAsia"/>
          <w:sz w:val="28"/>
          <w:szCs w:val="28"/>
        </w:rPr>
        <w:t xml:space="preserve"> устранению сдвига про-/антиоксидантного равновесия как в полости рта, так и в организме в целом. Об эт</w:t>
      </w:r>
      <w:r w:rsidR="000410DA">
        <w:rPr>
          <w:rFonts w:eastAsiaTheme="minorEastAsia"/>
          <w:sz w:val="28"/>
          <w:szCs w:val="28"/>
        </w:rPr>
        <w:t>ом свидетельствует уменьшение диеновых конъюгатов, малонового диальдегида</w:t>
      </w:r>
      <w:r w:rsidR="000410DA" w:rsidRPr="00E07681">
        <w:rPr>
          <w:rFonts w:eastAsiaTheme="minorEastAsia"/>
          <w:sz w:val="28"/>
          <w:szCs w:val="28"/>
        </w:rPr>
        <w:t>, увеличение концентрации</w:t>
      </w:r>
      <w:r w:rsidR="000410DA">
        <w:rPr>
          <w:rFonts w:eastAsiaTheme="minorEastAsia"/>
          <w:sz w:val="28"/>
          <w:szCs w:val="28"/>
        </w:rPr>
        <w:t xml:space="preserve"> сульфгидрильных</w:t>
      </w:r>
      <w:r w:rsidR="000410DA" w:rsidRPr="00E07681">
        <w:rPr>
          <w:rFonts w:eastAsiaTheme="minorEastAsia"/>
          <w:sz w:val="28"/>
          <w:szCs w:val="28"/>
        </w:rPr>
        <w:t xml:space="preserve"> </w:t>
      </w:r>
      <w:r w:rsidR="000410DA">
        <w:rPr>
          <w:rFonts w:eastAsiaTheme="minorEastAsia"/>
          <w:sz w:val="28"/>
          <w:szCs w:val="28"/>
        </w:rPr>
        <w:t>групп в сыворотке крови, а также</w:t>
      </w:r>
      <w:r w:rsidR="000410DA" w:rsidRPr="00E07681">
        <w:rPr>
          <w:rFonts w:eastAsiaTheme="minorEastAsia"/>
          <w:sz w:val="28"/>
          <w:szCs w:val="28"/>
        </w:rPr>
        <w:t xml:space="preserve"> уменьшение 2-тиобарбитуровои</w:t>
      </w:r>
      <w:r w:rsidR="000410DA">
        <w:rPr>
          <w:rFonts w:ascii="Cambria Math" w:eastAsiaTheme="minorEastAsia" w:hAnsi="Cambria Math" w:cs="Cambria Math"/>
          <w:sz w:val="28"/>
          <w:szCs w:val="28"/>
        </w:rPr>
        <w:t xml:space="preserve">й </w:t>
      </w:r>
      <w:r w:rsidR="000410DA">
        <w:rPr>
          <w:rFonts w:eastAsiaTheme="minorEastAsia"/>
          <w:sz w:val="28"/>
          <w:szCs w:val="28"/>
        </w:rPr>
        <w:t>кислоты</w:t>
      </w:r>
      <w:r w:rsidR="000410DA" w:rsidRPr="00E07681">
        <w:rPr>
          <w:rFonts w:eastAsiaTheme="minorEastAsia"/>
          <w:sz w:val="28"/>
          <w:szCs w:val="28"/>
        </w:rPr>
        <w:t xml:space="preserve"> и акти</w:t>
      </w:r>
      <w:r w:rsidR="000410DA">
        <w:rPr>
          <w:rFonts w:eastAsiaTheme="minorEastAsia"/>
          <w:sz w:val="28"/>
          <w:szCs w:val="28"/>
        </w:rPr>
        <w:t>вности ферментативных звеньев антиоксидантной системы в ротовой жидкости пациентов.</w:t>
      </w:r>
    </w:p>
    <w:p w:rsidR="000740BB" w:rsidRPr="000740BB" w:rsidRDefault="000740BB" w:rsidP="000410DA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rFonts w:eastAsiaTheme="minorEastAsia"/>
          <w:sz w:val="28"/>
          <w:szCs w:val="28"/>
        </w:rPr>
      </w:pPr>
      <w:r w:rsidRPr="000740BB">
        <w:rPr>
          <w:b/>
          <w:sz w:val="28"/>
          <w:szCs w:val="28"/>
        </w:rPr>
        <w:t>Ключевые слова:</w:t>
      </w:r>
      <w:r>
        <w:rPr>
          <w:rFonts w:eastAsiaTheme="minorEastAsia"/>
          <w:sz w:val="28"/>
          <w:szCs w:val="28"/>
        </w:rPr>
        <w:t xml:space="preserve">  антиоксидантная система, перекисное окисление липидов, ротовая жидкость, диеновые конъюгаты, малоновый диальдегид, сульфгидрильные группы, тиобарбитуровая кислота, супероксиддисмутаза, каталаза, несъёмные металлические ортопедические конструкции, парафармацевтик</w:t>
      </w:r>
    </w:p>
    <w:p w:rsidR="000740BB" w:rsidRPr="000740BB" w:rsidRDefault="000740BB" w:rsidP="000740BB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</w:t>
      </w:r>
      <w:r w:rsidRPr="000740BB">
        <w:rPr>
          <w:rFonts w:eastAsiaTheme="minorEastAsia"/>
          <w:b/>
          <w:sz w:val="28"/>
          <w:szCs w:val="28"/>
        </w:rPr>
        <w:t>езюме</w:t>
      </w:r>
    </w:p>
    <w:p w:rsidR="000740BB" w:rsidRDefault="000740BB" w:rsidP="000740BB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rFonts w:eastAsiaTheme="minorEastAsia"/>
          <w:sz w:val="28"/>
          <w:szCs w:val="28"/>
        </w:rPr>
      </w:pPr>
      <w:r w:rsidRPr="000740BB">
        <w:rPr>
          <w:rFonts w:eastAsiaTheme="minorEastAsia"/>
          <w:sz w:val="28"/>
          <w:szCs w:val="28"/>
        </w:rPr>
        <w:t>У роботі представлені результати по дослідженню показників антиоксидантної системи і перекисного окислення ліпідів у ротовій рідині і сироватці крові пацієнтів з металевими незнімними конст</w:t>
      </w:r>
      <w:r>
        <w:rPr>
          <w:rFonts w:eastAsiaTheme="minorEastAsia"/>
          <w:sz w:val="28"/>
          <w:szCs w:val="28"/>
        </w:rPr>
        <w:t xml:space="preserve">рукціями в порожнині рота на </w:t>
      </w:r>
      <w:r>
        <w:rPr>
          <w:rFonts w:eastAsiaTheme="minorEastAsia"/>
          <w:sz w:val="28"/>
          <w:szCs w:val="28"/>
          <w:lang w:val="uk-UA"/>
        </w:rPr>
        <w:t>фоні</w:t>
      </w:r>
      <w:r w:rsidRPr="000740BB">
        <w:rPr>
          <w:rFonts w:eastAsiaTheme="minorEastAsia"/>
          <w:sz w:val="28"/>
          <w:szCs w:val="28"/>
        </w:rPr>
        <w:t xml:space="preserve"> з</w:t>
      </w:r>
      <w:r>
        <w:rPr>
          <w:rFonts w:eastAsiaTheme="minorEastAsia"/>
          <w:sz w:val="28"/>
          <w:szCs w:val="28"/>
        </w:rPr>
        <w:t>астосування парафармацевтика «Ві</w:t>
      </w:r>
      <w:r w:rsidRPr="000740BB">
        <w:rPr>
          <w:rFonts w:eastAsiaTheme="minorEastAsia"/>
          <w:sz w:val="28"/>
          <w:szCs w:val="28"/>
        </w:rPr>
        <w:t>н-Віта». Досліджуваний препарат сприяв усуненню зсуву про- / антиоксидантної рівноваги як в порожнині рота, так і в організмі в цілому. Про це свідчить зменшення дієнових кон'югатів, малонового діальдегіду, збільшення концентрації сульфгідрильних груп в сироватці крові, а також зменшення 2-тіобарбітурової кислоти і активності ферментативних ланок антиоксидантної системи в ротовій рідині пацієнтів.</w:t>
      </w:r>
    </w:p>
    <w:p w:rsidR="000740BB" w:rsidRPr="00FF698E" w:rsidRDefault="000740BB" w:rsidP="00FF698E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rFonts w:eastAsiaTheme="minorEastAsia"/>
          <w:sz w:val="28"/>
          <w:szCs w:val="28"/>
        </w:rPr>
      </w:pPr>
      <w:r w:rsidRPr="000740BB">
        <w:rPr>
          <w:rFonts w:eastAsiaTheme="minorEastAsia"/>
          <w:b/>
          <w:sz w:val="28"/>
          <w:szCs w:val="28"/>
        </w:rPr>
        <w:t>Ключові слова:</w:t>
      </w:r>
      <w:r w:rsidRPr="000740BB">
        <w:rPr>
          <w:rFonts w:eastAsiaTheme="minorEastAsia"/>
          <w:sz w:val="28"/>
          <w:szCs w:val="28"/>
        </w:rPr>
        <w:t xml:space="preserve"> антиоксидантна система, перекисне окислення </w:t>
      </w:r>
      <w:r>
        <w:rPr>
          <w:rFonts w:eastAsiaTheme="minorEastAsia"/>
          <w:sz w:val="28"/>
          <w:szCs w:val="28"/>
        </w:rPr>
        <w:t>ліпідів, ротова рідина, дієнов</w:t>
      </w:r>
      <w:r>
        <w:rPr>
          <w:rFonts w:eastAsiaTheme="minorEastAsia"/>
          <w:sz w:val="28"/>
          <w:szCs w:val="28"/>
          <w:lang w:val="uk-UA"/>
        </w:rPr>
        <w:t>і</w:t>
      </w:r>
      <w:r w:rsidRPr="000740BB">
        <w:rPr>
          <w:rFonts w:eastAsiaTheme="minorEastAsia"/>
          <w:sz w:val="28"/>
          <w:szCs w:val="28"/>
        </w:rPr>
        <w:t xml:space="preserve"> кон'югати, малоновий діальдегід, сульф</w:t>
      </w:r>
      <w:r>
        <w:rPr>
          <w:rFonts w:eastAsiaTheme="minorEastAsia"/>
          <w:sz w:val="28"/>
          <w:szCs w:val="28"/>
        </w:rPr>
        <w:t>гідрильні групи, тіобарбітурова</w:t>
      </w:r>
      <w:r w:rsidRPr="000740BB">
        <w:rPr>
          <w:rFonts w:eastAsiaTheme="minorEastAsia"/>
          <w:sz w:val="28"/>
          <w:szCs w:val="28"/>
        </w:rPr>
        <w:t xml:space="preserve"> кислота, супероксиддисмутаза, каталаза, незнімні металеві ортопедичні конструкції, парафармацевтик</w:t>
      </w:r>
    </w:p>
    <w:p w:rsidR="00521EE6" w:rsidRPr="00504C9F" w:rsidRDefault="000740BB" w:rsidP="000410DA">
      <w:pPr>
        <w:widowControl w:val="0"/>
        <w:autoSpaceDE w:val="0"/>
        <w:autoSpaceDN w:val="0"/>
        <w:adjustRightInd w:val="0"/>
        <w:spacing w:after="240" w:line="360" w:lineRule="auto"/>
        <w:ind w:left="-284" w:right="566" w:firstLine="425"/>
        <w:jc w:val="both"/>
        <w:rPr>
          <w:b/>
          <w:sz w:val="28"/>
          <w:szCs w:val="28"/>
          <w:lang w:val="en-US"/>
        </w:rPr>
      </w:pPr>
      <w:r w:rsidRPr="00504C9F">
        <w:rPr>
          <w:b/>
          <w:sz w:val="28"/>
          <w:szCs w:val="28"/>
          <w:lang w:val="en-US"/>
        </w:rPr>
        <w:t>Summary</w:t>
      </w:r>
      <w:bookmarkStart w:id="0" w:name="_GoBack"/>
      <w:bookmarkEnd w:id="0"/>
    </w:p>
    <w:p w:rsidR="00D41C7E" w:rsidRPr="00504C9F" w:rsidRDefault="00D41C7E" w:rsidP="00504C9F">
      <w:pPr>
        <w:spacing w:beforeLines="20" w:line="360" w:lineRule="auto"/>
        <w:ind w:left="-284" w:right="566" w:firstLine="425"/>
        <w:jc w:val="both"/>
        <w:rPr>
          <w:sz w:val="28"/>
          <w:szCs w:val="28"/>
          <w:lang w:val="en-US"/>
        </w:rPr>
      </w:pPr>
      <w:r w:rsidRPr="00504C9F">
        <w:rPr>
          <w:sz w:val="28"/>
          <w:szCs w:val="28"/>
          <w:lang w:val="en-US"/>
        </w:rPr>
        <w:t>The article presents the results of research indicators of the antioxidant system and lipid peroxidation in the oral fluid and blood serum of patients with non-removable metallic constructions in the oral cavity during reception of the parapharmaceutic "Win-Vita". A studied medication has normalized pro- / antioxidant balance in the oral cavity and in the whole organism. This is evidenced by the decrease of conjugated dienes, malonic dialdehyde, increas</w:t>
      </w:r>
      <w:r>
        <w:rPr>
          <w:sz w:val="28"/>
          <w:szCs w:val="28"/>
          <w:lang w:val="en-US"/>
        </w:rPr>
        <w:t>ing</w:t>
      </w:r>
      <w:r w:rsidRPr="00504C9F">
        <w:rPr>
          <w:sz w:val="28"/>
          <w:szCs w:val="28"/>
          <w:lang w:val="en-US"/>
        </w:rPr>
        <w:t xml:space="preserve"> concentration of sulfhydryl groups in blood serum, as well as decrease of </w:t>
      </w:r>
      <w:r>
        <w:rPr>
          <w:rFonts w:eastAsiaTheme="minorEastAsia" w:cs="Arial"/>
          <w:sz w:val="28"/>
          <w:szCs w:val="28"/>
          <w:lang w:val="en-US"/>
        </w:rPr>
        <w:t>t</w:t>
      </w:r>
      <w:r w:rsidRPr="00D41C7E">
        <w:rPr>
          <w:rFonts w:eastAsiaTheme="minorEastAsia" w:cs="Arial"/>
          <w:sz w:val="28"/>
          <w:szCs w:val="28"/>
          <w:lang w:val="en-US"/>
        </w:rPr>
        <w:t>hiobarbituric acid</w:t>
      </w:r>
      <w:r w:rsidRPr="00504C9F">
        <w:rPr>
          <w:sz w:val="28"/>
          <w:szCs w:val="28"/>
          <w:lang w:val="en-US"/>
        </w:rPr>
        <w:t xml:space="preserve"> and enzymatic activity of the antioxidant system in the oral fluid of  the patients.</w:t>
      </w:r>
    </w:p>
    <w:p w:rsidR="00FF698E" w:rsidRPr="00504C9F" w:rsidRDefault="00FF698E" w:rsidP="00504C9F">
      <w:pPr>
        <w:spacing w:beforeLines="20" w:line="360" w:lineRule="auto"/>
        <w:ind w:left="-284" w:right="566"/>
        <w:jc w:val="both"/>
        <w:rPr>
          <w:sz w:val="28"/>
          <w:szCs w:val="28"/>
          <w:lang w:val="en-US"/>
        </w:rPr>
      </w:pPr>
    </w:p>
    <w:p w:rsidR="00FF698E" w:rsidRPr="00B15977" w:rsidRDefault="00FF698E" w:rsidP="00504C9F">
      <w:pPr>
        <w:spacing w:beforeLines="20" w:line="360" w:lineRule="auto"/>
        <w:ind w:left="-284" w:right="566" w:firstLine="426"/>
        <w:jc w:val="both"/>
        <w:rPr>
          <w:sz w:val="28"/>
          <w:szCs w:val="28"/>
          <w:lang w:val="en-US"/>
        </w:rPr>
      </w:pPr>
      <w:r w:rsidRPr="00FF698E">
        <w:rPr>
          <w:b/>
          <w:sz w:val="28"/>
          <w:szCs w:val="28"/>
          <w:lang w:val="en-US"/>
        </w:rPr>
        <w:t>Keywords</w:t>
      </w:r>
      <w:r w:rsidRPr="00FF698E">
        <w:rPr>
          <w:sz w:val="28"/>
          <w:szCs w:val="28"/>
          <w:lang w:val="en-US"/>
        </w:rPr>
        <w:t>: antioxidant system, lipid peroxidation, oral fluid, conjugated dienes, malonic dialdehyde, sulphydryl groups, thiobarbituric acid, superoxide dismutase, catalase, non-removable metal orthopedic construction</w:t>
      </w:r>
      <w:r>
        <w:rPr>
          <w:sz w:val="28"/>
          <w:szCs w:val="28"/>
          <w:lang w:val="en-US"/>
        </w:rPr>
        <w:t>s, parapharmaceutics</w:t>
      </w:r>
    </w:p>
    <w:p w:rsidR="00B15977" w:rsidRPr="00B15977" w:rsidRDefault="00B15977" w:rsidP="00D42860">
      <w:pPr>
        <w:spacing w:beforeLines="20" w:line="360" w:lineRule="auto"/>
        <w:ind w:left="-284" w:right="566"/>
        <w:jc w:val="both"/>
        <w:rPr>
          <w:sz w:val="28"/>
          <w:szCs w:val="28"/>
          <w:lang w:val="en-US"/>
        </w:rPr>
      </w:pPr>
    </w:p>
    <w:sectPr w:rsidR="00B15977" w:rsidRPr="00B15977" w:rsidSect="00E07681">
      <w:footerReference w:type="even" r:id="rId7"/>
      <w:footerReference w:type="default" r:id="rId8"/>
      <w:pgSz w:w="11906" w:h="16838"/>
      <w:pgMar w:top="1702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62" w:rsidRDefault="00152D62">
      <w:r>
        <w:separator/>
      </w:r>
    </w:p>
  </w:endnote>
  <w:endnote w:type="continuationSeparator" w:id="0">
    <w:p w:rsidR="00152D62" w:rsidRDefault="0015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C-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6C" w:rsidRDefault="00D42860" w:rsidP="004952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6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66C">
      <w:rPr>
        <w:rStyle w:val="a5"/>
        <w:noProof/>
      </w:rPr>
      <w:t>3</w:t>
    </w:r>
    <w:r>
      <w:rPr>
        <w:rStyle w:val="a5"/>
      </w:rPr>
      <w:fldChar w:fldCharType="end"/>
    </w:r>
  </w:p>
  <w:p w:rsidR="00A8166C" w:rsidRDefault="00A8166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6C" w:rsidRDefault="00D42860" w:rsidP="004952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6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2D62">
      <w:rPr>
        <w:rStyle w:val="a5"/>
        <w:noProof/>
      </w:rPr>
      <w:t>1</w:t>
    </w:r>
    <w:r>
      <w:rPr>
        <w:rStyle w:val="a5"/>
      </w:rPr>
      <w:fldChar w:fldCharType="end"/>
    </w:r>
  </w:p>
  <w:p w:rsidR="00A8166C" w:rsidRDefault="00A816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62" w:rsidRDefault="00152D62">
      <w:r>
        <w:separator/>
      </w:r>
    </w:p>
  </w:footnote>
  <w:footnote w:type="continuationSeparator" w:id="0">
    <w:p w:rsidR="00152D62" w:rsidRDefault="00152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B067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537788"/>
    <w:multiLevelType w:val="hybridMultilevel"/>
    <w:tmpl w:val="5BCC0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A4240"/>
    <w:multiLevelType w:val="hybridMultilevel"/>
    <w:tmpl w:val="8DE4D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D3D27"/>
    <w:multiLevelType w:val="multilevel"/>
    <w:tmpl w:val="8DE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952DE"/>
    <w:rsid w:val="000410DA"/>
    <w:rsid w:val="000458A9"/>
    <w:rsid w:val="00052FB0"/>
    <w:rsid w:val="00064DB3"/>
    <w:rsid w:val="000740BB"/>
    <w:rsid w:val="000B75D0"/>
    <w:rsid w:val="0013035C"/>
    <w:rsid w:val="00152D62"/>
    <w:rsid w:val="00155AB2"/>
    <w:rsid w:val="001E208D"/>
    <w:rsid w:val="001F7770"/>
    <w:rsid w:val="002404C5"/>
    <w:rsid w:val="00254D3A"/>
    <w:rsid w:val="00273805"/>
    <w:rsid w:val="002807AA"/>
    <w:rsid w:val="00287BFD"/>
    <w:rsid w:val="0029261C"/>
    <w:rsid w:val="00303A91"/>
    <w:rsid w:val="003116A1"/>
    <w:rsid w:val="00357FFC"/>
    <w:rsid w:val="003D1D36"/>
    <w:rsid w:val="004018A2"/>
    <w:rsid w:val="00412FD6"/>
    <w:rsid w:val="00474C52"/>
    <w:rsid w:val="004808D3"/>
    <w:rsid w:val="004952DE"/>
    <w:rsid w:val="00495F3E"/>
    <w:rsid w:val="004A7C2C"/>
    <w:rsid w:val="00504C9F"/>
    <w:rsid w:val="00517D90"/>
    <w:rsid w:val="00521EE6"/>
    <w:rsid w:val="00581618"/>
    <w:rsid w:val="00582A6E"/>
    <w:rsid w:val="00591D48"/>
    <w:rsid w:val="00596FD4"/>
    <w:rsid w:val="005B3481"/>
    <w:rsid w:val="005C04E4"/>
    <w:rsid w:val="005D2BBD"/>
    <w:rsid w:val="005E2B30"/>
    <w:rsid w:val="00601667"/>
    <w:rsid w:val="00601BDA"/>
    <w:rsid w:val="006B614E"/>
    <w:rsid w:val="006C142E"/>
    <w:rsid w:val="00711FB9"/>
    <w:rsid w:val="00724649"/>
    <w:rsid w:val="00743759"/>
    <w:rsid w:val="007A6A1A"/>
    <w:rsid w:val="008002D7"/>
    <w:rsid w:val="0086532E"/>
    <w:rsid w:val="008B4848"/>
    <w:rsid w:val="00921246"/>
    <w:rsid w:val="0094749F"/>
    <w:rsid w:val="00955C85"/>
    <w:rsid w:val="009567DE"/>
    <w:rsid w:val="009C53FB"/>
    <w:rsid w:val="009C7101"/>
    <w:rsid w:val="00A00A0C"/>
    <w:rsid w:val="00A10752"/>
    <w:rsid w:val="00A355ED"/>
    <w:rsid w:val="00A407AA"/>
    <w:rsid w:val="00A415B8"/>
    <w:rsid w:val="00A64D3B"/>
    <w:rsid w:val="00A8166C"/>
    <w:rsid w:val="00AD3358"/>
    <w:rsid w:val="00AD4AD5"/>
    <w:rsid w:val="00AE2344"/>
    <w:rsid w:val="00B02AAF"/>
    <w:rsid w:val="00B15977"/>
    <w:rsid w:val="00B3615E"/>
    <w:rsid w:val="00B83F16"/>
    <w:rsid w:val="00BE4498"/>
    <w:rsid w:val="00BE5A79"/>
    <w:rsid w:val="00BE6F4F"/>
    <w:rsid w:val="00C147C8"/>
    <w:rsid w:val="00C46158"/>
    <w:rsid w:val="00C47727"/>
    <w:rsid w:val="00C871F3"/>
    <w:rsid w:val="00CD7671"/>
    <w:rsid w:val="00D003D4"/>
    <w:rsid w:val="00D36E99"/>
    <w:rsid w:val="00D41C7E"/>
    <w:rsid w:val="00D42860"/>
    <w:rsid w:val="00D64E35"/>
    <w:rsid w:val="00D65D9B"/>
    <w:rsid w:val="00D73AB2"/>
    <w:rsid w:val="00D75683"/>
    <w:rsid w:val="00D813F1"/>
    <w:rsid w:val="00D91F9A"/>
    <w:rsid w:val="00DA3C17"/>
    <w:rsid w:val="00DB0D5E"/>
    <w:rsid w:val="00DC3053"/>
    <w:rsid w:val="00DE491C"/>
    <w:rsid w:val="00DE70C6"/>
    <w:rsid w:val="00E07681"/>
    <w:rsid w:val="00E31F38"/>
    <w:rsid w:val="00E365D9"/>
    <w:rsid w:val="00E70EC2"/>
    <w:rsid w:val="00EA4D13"/>
    <w:rsid w:val="00EC6C77"/>
    <w:rsid w:val="00F048D2"/>
    <w:rsid w:val="00F2148E"/>
    <w:rsid w:val="00F34044"/>
    <w:rsid w:val="00F4681D"/>
    <w:rsid w:val="00F81312"/>
    <w:rsid w:val="00F81ECE"/>
    <w:rsid w:val="00FA0497"/>
    <w:rsid w:val="00FC6BBC"/>
    <w:rsid w:val="00FD5177"/>
    <w:rsid w:val="00FD78DC"/>
    <w:rsid w:val="00FF63AA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D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52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52DE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4952DE"/>
  </w:style>
  <w:style w:type="paragraph" w:styleId="a6">
    <w:name w:val="header"/>
    <w:basedOn w:val="a"/>
    <w:link w:val="a7"/>
    <w:uiPriority w:val="99"/>
    <w:unhideWhenUsed/>
    <w:rsid w:val="00C871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71F3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6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6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D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52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52DE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4952DE"/>
  </w:style>
  <w:style w:type="paragraph" w:styleId="a6">
    <w:name w:val="header"/>
    <w:basedOn w:val="a"/>
    <w:link w:val="a7"/>
    <w:uiPriority w:val="99"/>
    <w:unhideWhenUsed/>
    <w:rsid w:val="00C871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71F3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6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6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Сергиенко</dc:creator>
  <cp:keywords/>
  <dc:description/>
  <cp:lastModifiedBy>Admin</cp:lastModifiedBy>
  <cp:revision>3</cp:revision>
  <cp:lastPrinted>2016-03-22T11:19:00Z</cp:lastPrinted>
  <dcterms:created xsi:type="dcterms:W3CDTF">2016-03-23T13:49:00Z</dcterms:created>
  <dcterms:modified xsi:type="dcterms:W3CDTF">2016-12-09T08:20:00Z</dcterms:modified>
</cp:coreProperties>
</file>