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6C19" w14:textId="77777777" w:rsidR="003663CA" w:rsidRPr="005C0CF0" w:rsidRDefault="003663CA" w:rsidP="00551A03">
      <w:pPr>
        <w:spacing w:line="360" w:lineRule="auto"/>
        <w:ind w:firstLine="425"/>
        <w:jc w:val="both"/>
        <w:rPr>
          <w:bCs/>
        </w:rPr>
      </w:pPr>
      <w:r w:rsidRPr="005C0CF0">
        <w:rPr>
          <w:bCs/>
        </w:rPr>
        <w:t>УДК</w:t>
      </w:r>
      <w:r w:rsidR="00BF1FC6" w:rsidRPr="005C0CF0">
        <w:rPr>
          <w:bCs/>
        </w:rPr>
        <w:t xml:space="preserve"> 616.24-007.272-036.12:616.37-002-036.12</w:t>
      </w:r>
    </w:p>
    <w:p w14:paraId="52F8A784" w14:textId="36CD13E0" w:rsidR="004B5CEC" w:rsidRPr="00551A03" w:rsidRDefault="0006302E" w:rsidP="00551A03">
      <w:pPr>
        <w:spacing w:line="360" w:lineRule="auto"/>
        <w:ind w:firstLine="425"/>
        <w:jc w:val="center"/>
        <w:rPr>
          <w:b/>
          <w:bCs/>
        </w:rPr>
      </w:pPr>
      <w:r w:rsidRPr="00551A03">
        <w:rPr>
          <w:b/>
          <w:bCs/>
        </w:rPr>
        <w:t xml:space="preserve">ХРОНИЧЕСКИЙ ПАНКРЕАТИТ И </w:t>
      </w:r>
      <w:r w:rsidR="00D05895" w:rsidRPr="00551A03">
        <w:rPr>
          <w:b/>
          <w:bCs/>
        </w:rPr>
        <w:t>ХРОНИЧЕСКАЯ</w:t>
      </w:r>
      <w:r w:rsidR="004B5CEC" w:rsidRPr="00551A03">
        <w:rPr>
          <w:b/>
          <w:bCs/>
        </w:rPr>
        <w:t xml:space="preserve"> ОБСТРУКТИВН</w:t>
      </w:r>
      <w:r w:rsidR="00D05895" w:rsidRPr="00551A03">
        <w:rPr>
          <w:b/>
          <w:bCs/>
        </w:rPr>
        <w:t>АЯ</w:t>
      </w:r>
      <w:r w:rsidR="00E24A2B" w:rsidRPr="00551A03">
        <w:rPr>
          <w:b/>
          <w:bCs/>
        </w:rPr>
        <w:t xml:space="preserve"> БОЛЕЗНЬ</w:t>
      </w:r>
      <w:r w:rsidR="004B5CEC" w:rsidRPr="00551A03">
        <w:rPr>
          <w:b/>
          <w:bCs/>
        </w:rPr>
        <w:t xml:space="preserve"> ЛЕГКИХ</w:t>
      </w:r>
      <w:r w:rsidR="00D05895" w:rsidRPr="00551A03">
        <w:rPr>
          <w:b/>
          <w:bCs/>
        </w:rPr>
        <w:t>:</w:t>
      </w:r>
      <w:r w:rsidR="004B5CEC" w:rsidRPr="00551A03">
        <w:rPr>
          <w:b/>
          <w:bCs/>
        </w:rPr>
        <w:t xml:space="preserve"> </w:t>
      </w:r>
      <w:r w:rsidRPr="00551A03">
        <w:rPr>
          <w:b/>
          <w:bCs/>
        </w:rPr>
        <w:t>КЛИНИЧЕСКИЕ АСПЕКТЫ</w:t>
      </w:r>
      <w:r w:rsidR="00D05895" w:rsidRPr="00551A03">
        <w:rPr>
          <w:b/>
          <w:bCs/>
        </w:rPr>
        <w:t xml:space="preserve"> </w:t>
      </w:r>
      <w:r w:rsidR="0021021A" w:rsidRPr="00551A03">
        <w:rPr>
          <w:b/>
          <w:bCs/>
        </w:rPr>
        <w:t>КОМОРБИДНОСТИ</w:t>
      </w:r>
      <w:r w:rsidR="00D05895" w:rsidRPr="00551A03">
        <w:rPr>
          <w:b/>
          <w:bCs/>
        </w:rPr>
        <w:t xml:space="preserve"> </w:t>
      </w:r>
    </w:p>
    <w:p w14:paraId="34D67A13" w14:textId="283F42C2" w:rsidR="001C6FBC" w:rsidRPr="00C84B82" w:rsidRDefault="001C6FBC" w:rsidP="00551A03">
      <w:pPr>
        <w:spacing w:line="360" w:lineRule="auto"/>
        <w:ind w:firstLine="425"/>
        <w:jc w:val="center"/>
        <w:rPr>
          <w:bCs/>
        </w:rPr>
      </w:pPr>
      <w:r w:rsidRPr="00C84B82">
        <w:rPr>
          <w:bCs/>
        </w:rPr>
        <w:t xml:space="preserve">Н.М. </w:t>
      </w:r>
      <w:proofErr w:type="spellStart"/>
      <w:r w:rsidRPr="00C84B82">
        <w:rPr>
          <w:bCs/>
        </w:rPr>
        <w:t>Железнякова</w:t>
      </w:r>
      <w:proofErr w:type="spellEnd"/>
      <w:r w:rsidRPr="00C84B82">
        <w:rPr>
          <w:bCs/>
        </w:rPr>
        <w:t xml:space="preserve">, Т.М. </w:t>
      </w:r>
      <w:proofErr w:type="spellStart"/>
      <w:r w:rsidRPr="00C84B82">
        <w:rPr>
          <w:bCs/>
        </w:rPr>
        <w:t>Пасиешвили</w:t>
      </w:r>
      <w:proofErr w:type="spellEnd"/>
    </w:p>
    <w:p w14:paraId="231608F0" w14:textId="6DAB7A24" w:rsidR="001C6FBC" w:rsidRPr="00C84B82" w:rsidRDefault="001C6FBC" w:rsidP="00551A03">
      <w:pPr>
        <w:spacing w:line="360" w:lineRule="auto"/>
        <w:ind w:firstLine="425"/>
        <w:jc w:val="center"/>
        <w:rPr>
          <w:bCs/>
        </w:rPr>
      </w:pPr>
      <w:r w:rsidRPr="00C84B82">
        <w:rPr>
          <w:bCs/>
        </w:rPr>
        <w:t>Харьковский национ</w:t>
      </w:r>
      <w:r w:rsidR="002A512C" w:rsidRPr="00C84B82">
        <w:rPr>
          <w:bCs/>
        </w:rPr>
        <w:t xml:space="preserve">альный медицинский университет, </w:t>
      </w:r>
      <w:r w:rsidR="00B04F03" w:rsidRPr="00C84B82">
        <w:rPr>
          <w:bCs/>
        </w:rPr>
        <w:t>М</w:t>
      </w:r>
      <w:r w:rsidR="002A512C" w:rsidRPr="00C84B82">
        <w:rPr>
          <w:bCs/>
        </w:rPr>
        <w:t>инистерство</w:t>
      </w:r>
      <w:r w:rsidR="00B04F03" w:rsidRPr="00C84B82">
        <w:rPr>
          <w:bCs/>
        </w:rPr>
        <w:t xml:space="preserve"> здравоохранения Украины</w:t>
      </w:r>
    </w:p>
    <w:p w14:paraId="77FD544E" w14:textId="72003EA7" w:rsidR="00606E0D" w:rsidRPr="00551A03" w:rsidRDefault="00606E0D" w:rsidP="00551A03">
      <w:pPr>
        <w:spacing w:line="360" w:lineRule="auto"/>
        <w:ind w:firstLine="425"/>
        <w:jc w:val="center"/>
        <w:rPr>
          <w:b/>
          <w:bCs/>
        </w:rPr>
      </w:pPr>
      <w:r w:rsidRPr="00551A03">
        <w:rPr>
          <w:b/>
          <w:bCs/>
        </w:rPr>
        <w:t xml:space="preserve">CHRONIC PANCREATITIS AND CHRONIC OBSTRUCTIVE PULMONARY DISEASE: CLINICAL ASPECTS OF COMORBIDITY </w:t>
      </w:r>
    </w:p>
    <w:p w14:paraId="4C9839A2" w14:textId="18E39B1C" w:rsidR="00606E0D" w:rsidRPr="00C84B82" w:rsidRDefault="00606E0D" w:rsidP="00551A03">
      <w:pPr>
        <w:spacing w:line="360" w:lineRule="auto"/>
        <w:ind w:firstLine="425"/>
        <w:jc w:val="center"/>
        <w:rPr>
          <w:bCs/>
        </w:rPr>
      </w:pPr>
      <w:r w:rsidRPr="00C84B82">
        <w:rPr>
          <w:bCs/>
        </w:rPr>
        <w:t xml:space="preserve">N.M. </w:t>
      </w:r>
      <w:proofErr w:type="spellStart"/>
      <w:r w:rsidRPr="00C84B82">
        <w:rPr>
          <w:bCs/>
        </w:rPr>
        <w:t>Zhelezniakova</w:t>
      </w:r>
      <w:proofErr w:type="spellEnd"/>
      <w:r w:rsidRPr="00C84B82">
        <w:rPr>
          <w:bCs/>
        </w:rPr>
        <w:t xml:space="preserve">, T.M. </w:t>
      </w:r>
      <w:proofErr w:type="spellStart"/>
      <w:r w:rsidRPr="00C84B82">
        <w:rPr>
          <w:bCs/>
          <w:iCs/>
        </w:rPr>
        <w:t>Pasi</w:t>
      </w:r>
      <w:r w:rsidR="00FF6B7E">
        <w:rPr>
          <w:bCs/>
          <w:iCs/>
        </w:rPr>
        <w:t>i</w:t>
      </w:r>
      <w:bookmarkStart w:id="0" w:name="_GoBack"/>
      <w:bookmarkEnd w:id="0"/>
      <w:r w:rsidRPr="00C84B82">
        <w:rPr>
          <w:bCs/>
          <w:iCs/>
        </w:rPr>
        <w:t>yeshvili</w:t>
      </w:r>
      <w:proofErr w:type="spellEnd"/>
    </w:p>
    <w:p w14:paraId="29F4927B" w14:textId="6679A6DE" w:rsidR="00606E0D" w:rsidRPr="00C84B82" w:rsidRDefault="00606E0D" w:rsidP="00551A03">
      <w:pPr>
        <w:spacing w:line="360" w:lineRule="auto"/>
        <w:ind w:firstLine="425"/>
        <w:jc w:val="center"/>
        <w:rPr>
          <w:bCs/>
        </w:rPr>
      </w:pPr>
      <w:proofErr w:type="spellStart"/>
      <w:r w:rsidRPr="00C84B82">
        <w:rPr>
          <w:bCs/>
        </w:rPr>
        <w:t>Kharkiv</w:t>
      </w:r>
      <w:proofErr w:type="spellEnd"/>
      <w:r w:rsidRPr="00C84B82">
        <w:rPr>
          <w:bCs/>
        </w:rPr>
        <w:t xml:space="preserve"> </w:t>
      </w:r>
      <w:proofErr w:type="spellStart"/>
      <w:r w:rsidRPr="00C84B82">
        <w:rPr>
          <w:bCs/>
        </w:rPr>
        <w:t>National</w:t>
      </w:r>
      <w:proofErr w:type="spellEnd"/>
      <w:r w:rsidRPr="00C84B82">
        <w:rPr>
          <w:bCs/>
        </w:rPr>
        <w:t xml:space="preserve"> </w:t>
      </w:r>
      <w:proofErr w:type="spellStart"/>
      <w:r w:rsidRPr="00C84B82">
        <w:rPr>
          <w:bCs/>
        </w:rPr>
        <w:t>Medical</w:t>
      </w:r>
      <w:proofErr w:type="spellEnd"/>
      <w:r w:rsidRPr="00C84B82">
        <w:rPr>
          <w:bCs/>
        </w:rPr>
        <w:t xml:space="preserve"> </w:t>
      </w:r>
      <w:proofErr w:type="spellStart"/>
      <w:r w:rsidRPr="00C84B82">
        <w:rPr>
          <w:bCs/>
        </w:rPr>
        <w:t>University</w:t>
      </w:r>
      <w:proofErr w:type="spellEnd"/>
      <w:r w:rsidR="002A512C" w:rsidRPr="00C84B82">
        <w:rPr>
          <w:bCs/>
        </w:rPr>
        <w:t xml:space="preserve">, </w:t>
      </w:r>
      <w:r w:rsidRPr="00C84B82">
        <w:rPr>
          <w:bCs/>
        </w:rPr>
        <w:t xml:space="preserve"> </w:t>
      </w:r>
      <w:proofErr w:type="spellStart"/>
      <w:r w:rsidRPr="00C84B82">
        <w:rPr>
          <w:bCs/>
        </w:rPr>
        <w:t>Ministry</w:t>
      </w:r>
      <w:proofErr w:type="spellEnd"/>
      <w:r w:rsidRPr="00C84B82">
        <w:rPr>
          <w:bCs/>
        </w:rPr>
        <w:t xml:space="preserve"> </w:t>
      </w:r>
      <w:proofErr w:type="spellStart"/>
      <w:r w:rsidRPr="00C84B82">
        <w:rPr>
          <w:bCs/>
        </w:rPr>
        <w:t>of</w:t>
      </w:r>
      <w:proofErr w:type="spellEnd"/>
      <w:r w:rsidRPr="00C84B82">
        <w:rPr>
          <w:bCs/>
        </w:rPr>
        <w:t xml:space="preserve"> </w:t>
      </w:r>
      <w:proofErr w:type="spellStart"/>
      <w:r w:rsidRPr="00C84B82">
        <w:rPr>
          <w:bCs/>
        </w:rPr>
        <w:t>Health</w:t>
      </w:r>
      <w:proofErr w:type="spellEnd"/>
      <w:r w:rsidRPr="00C84B82">
        <w:rPr>
          <w:bCs/>
        </w:rPr>
        <w:t xml:space="preserve"> </w:t>
      </w:r>
      <w:proofErr w:type="spellStart"/>
      <w:r w:rsidRPr="00C84B82">
        <w:rPr>
          <w:bCs/>
        </w:rPr>
        <w:t>of</w:t>
      </w:r>
      <w:proofErr w:type="spellEnd"/>
      <w:r w:rsidRPr="00C84B82">
        <w:rPr>
          <w:bCs/>
        </w:rPr>
        <w:t xml:space="preserve"> </w:t>
      </w:r>
      <w:proofErr w:type="spellStart"/>
      <w:r w:rsidRPr="00C84B82">
        <w:rPr>
          <w:bCs/>
        </w:rPr>
        <w:t>Ukraine</w:t>
      </w:r>
      <w:proofErr w:type="spellEnd"/>
    </w:p>
    <w:p w14:paraId="280A2F6B" w14:textId="77777777" w:rsidR="002A512C" w:rsidRPr="00551A03" w:rsidRDefault="002A512C" w:rsidP="00551A03">
      <w:pPr>
        <w:spacing w:line="360" w:lineRule="auto"/>
        <w:ind w:firstLine="425"/>
        <w:jc w:val="both"/>
        <w:rPr>
          <w:bCs/>
        </w:rPr>
      </w:pPr>
    </w:p>
    <w:p w14:paraId="48524BCE" w14:textId="374E49B9" w:rsidR="00113847" w:rsidRPr="00551A03" w:rsidRDefault="00113847" w:rsidP="00551A03">
      <w:pPr>
        <w:spacing w:line="360" w:lineRule="auto"/>
        <w:ind w:firstLine="425"/>
        <w:jc w:val="both"/>
        <w:rPr>
          <w:bCs/>
        </w:rPr>
      </w:pPr>
      <w:proofErr w:type="spellStart"/>
      <w:r w:rsidRPr="00551A03">
        <w:rPr>
          <w:bCs/>
        </w:rPr>
        <w:t>Железнякова</w:t>
      </w:r>
      <w:proofErr w:type="spellEnd"/>
      <w:r w:rsidRPr="00551A03">
        <w:rPr>
          <w:bCs/>
        </w:rPr>
        <w:t xml:space="preserve"> Н</w:t>
      </w:r>
      <w:r w:rsidR="00794E91" w:rsidRPr="00551A03">
        <w:rPr>
          <w:bCs/>
        </w:rPr>
        <w:t>.</w:t>
      </w:r>
      <w:r w:rsidR="00960C29" w:rsidRPr="00551A03">
        <w:rPr>
          <w:bCs/>
        </w:rPr>
        <w:t xml:space="preserve"> М.</w:t>
      </w:r>
      <w:r w:rsidRPr="00551A03">
        <w:rPr>
          <w:bCs/>
        </w:rPr>
        <w:t>, Харьковский национ</w:t>
      </w:r>
      <w:r w:rsidR="00960C29" w:rsidRPr="00551A03">
        <w:rPr>
          <w:bCs/>
        </w:rPr>
        <w:t>альный медицинский университет</w:t>
      </w:r>
      <w:r w:rsidR="00794E91" w:rsidRPr="00551A03">
        <w:rPr>
          <w:bCs/>
        </w:rPr>
        <w:t xml:space="preserve"> Министерства</w:t>
      </w:r>
      <w:r w:rsidRPr="00551A03">
        <w:rPr>
          <w:bCs/>
        </w:rPr>
        <w:t xml:space="preserve"> здравоохранения Украины</w:t>
      </w:r>
      <w:r w:rsidR="00794E91" w:rsidRPr="00551A03">
        <w:rPr>
          <w:bCs/>
        </w:rPr>
        <w:t>, кафедра внутренней медицины №1, доцент</w:t>
      </w:r>
      <w:r w:rsidR="00960C29" w:rsidRPr="00551A03">
        <w:rPr>
          <w:bCs/>
        </w:rPr>
        <w:t>,</w:t>
      </w:r>
      <w:r w:rsidR="00794E91" w:rsidRPr="00551A03">
        <w:rPr>
          <w:bCs/>
        </w:rPr>
        <w:t xml:space="preserve"> доктор медицинских наук</w:t>
      </w:r>
      <w:r w:rsidR="00960C29" w:rsidRPr="00551A03">
        <w:rPr>
          <w:bCs/>
        </w:rPr>
        <w:t>;</w:t>
      </w:r>
    </w:p>
    <w:p w14:paraId="4DDB6B94" w14:textId="64E93705" w:rsidR="00960C29" w:rsidRPr="00551A03" w:rsidRDefault="00960C29" w:rsidP="00551A03">
      <w:pPr>
        <w:spacing w:line="360" w:lineRule="auto"/>
        <w:ind w:firstLine="425"/>
        <w:jc w:val="both"/>
        <w:rPr>
          <w:bCs/>
        </w:rPr>
      </w:pPr>
      <w:proofErr w:type="spellStart"/>
      <w:r w:rsidRPr="00551A03">
        <w:rPr>
          <w:bCs/>
        </w:rPr>
        <w:t>Пасиешвили</w:t>
      </w:r>
      <w:proofErr w:type="spellEnd"/>
      <w:r w:rsidRPr="00551A03">
        <w:rPr>
          <w:bCs/>
        </w:rPr>
        <w:t xml:space="preserve"> Т.М., Харьковский национальный медицинский университет Министерства здравоохранения Украины, кафедра общей практики – семейной медицины и внутренних болезней, ассис</w:t>
      </w:r>
      <w:r w:rsidR="001A7568" w:rsidRPr="00551A03">
        <w:rPr>
          <w:bCs/>
        </w:rPr>
        <w:t>тент, кандидат медицинских наук.</w:t>
      </w:r>
    </w:p>
    <w:p w14:paraId="0E436C64" w14:textId="204CF393" w:rsidR="00960C29" w:rsidRPr="00551A03" w:rsidRDefault="00960C29" w:rsidP="00551A03">
      <w:pPr>
        <w:spacing w:line="360" w:lineRule="auto"/>
        <w:ind w:firstLine="425"/>
        <w:jc w:val="both"/>
        <w:rPr>
          <w:bCs/>
        </w:rPr>
      </w:pPr>
    </w:p>
    <w:p w14:paraId="5F18FB10" w14:textId="03657179" w:rsidR="001A7568" w:rsidRPr="00551A03" w:rsidRDefault="001A7568" w:rsidP="00551A03">
      <w:pPr>
        <w:spacing w:line="360" w:lineRule="auto"/>
        <w:ind w:firstLine="425"/>
        <w:jc w:val="both"/>
        <w:rPr>
          <w:bCs/>
        </w:rPr>
      </w:pPr>
      <w:proofErr w:type="spellStart"/>
      <w:r w:rsidRPr="00551A03">
        <w:rPr>
          <w:bCs/>
        </w:rPr>
        <w:t>Zhelezniakova</w:t>
      </w:r>
      <w:proofErr w:type="spellEnd"/>
      <w:r w:rsidRPr="00551A03">
        <w:rPr>
          <w:bCs/>
        </w:rPr>
        <w:t xml:space="preserve"> N.M., </w:t>
      </w:r>
      <w:proofErr w:type="spellStart"/>
      <w:r w:rsidRPr="00551A03">
        <w:rPr>
          <w:bCs/>
        </w:rPr>
        <w:t>Kharkiv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National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Medical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University</w:t>
      </w:r>
      <w:proofErr w:type="spellEnd"/>
      <w:r w:rsidRPr="00551A03">
        <w:rPr>
          <w:bCs/>
        </w:rPr>
        <w:t xml:space="preserve">, </w:t>
      </w:r>
      <w:proofErr w:type="spellStart"/>
      <w:r w:rsidRPr="00551A03">
        <w:rPr>
          <w:bCs/>
        </w:rPr>
        <w:t>Ministry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of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Health</w:t>
      </w:r>
      <w:proofErr w:type="spellEnd"/>
      <w:r w:rsidR="00221A03" w:rsidRPr="00551A03">
        <w:rPr>
          <w:bCs/>
        </w:rPr>
        <w:t xml:space="preserve"> </w:t>
      </w:r>
      <w:proofErr w:type="spellStart"/>
      <w:r w:rsidR="00221A03" w:rsidRPr="00551A03">
        <w:rPr>
          <w:bCs/>
        </w:rPr>
        <w:t>of</w:t>
      </w:r>
      <w:proofErr w:type="spellEnd"/>
      <w:r w:rsidR="00221A03" w:rsidRPr="00551A03">
        <w:rPr>
          <w:bCs/>
        </w:rPr>
        <w:t xml:space="preserve"> </w:t>
      </w:r>
      <w:proofErr w:type="spellStart"/>
      <w:r w:rsidR="00221A03" w:rsidRPr="00551A03">
        <w:rPr>
          <w:bCs/>
        </w:rPr>
        <w:t>Ukraine</w:t>
      </w:r>
      <w:proofErr w:type="spellEnd"/>
      <w:r w:rsidRPr="00551A03">
        <w:rPr>
          <w:bCs/>
        </w:rPr>
        <w:t xml:space="preserve">, </w:t>
      </w:r>
      <w:proofErr w:type="spellStart"/>
      <w:r w:rsidRPr="00551A03">
        <w:rPr>
          <w:bCs/>
        </w:rPr>
        <w:t>Department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of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Internal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Medicine</w:t>
      </w:r>
      <w:proofErr w:type="spellEnd"/>
      <w:r w:rsidRPr="00551A03">
        <w:rPr>
          <w:bCs/>
        </w:rPr>
        <w:t xml:space="preserve"> №1, </w:t>
      </w:r>
      <w:proofErr w:type="spellStart"/>
      <w:r w:rsidRPr="00551A03">
        <w:rPr>
          <w:bCs/>
        </w:rPr>
        <w:t>Associate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Professor</w:t>
      </w:r>
      <w:proofErr w:type="spellEnd"/>
      <w:r w:rsidRPr="00551A03">
        <w:rPr>
          <w:bCs/>
        </w:rPr>
        <w:t xml:space="preserve">, </w:t>
      </w:r>
      <w:r w:rsidR="00221A03" w:rsidRPr="00551A03">
        <w:rPr>
          <w:bCs/>
        </w:rPr>
        <w:t>MD</w:t>
      </w:r>
      <w:r w:rsidRPr="00551A03">
        <w:rPr>
          <w:bCs/>
        </w:rPr>
        <w:t>;</w:t>
      </w:r>
    </w:p>
    <w:p w14:paraId="7040A06B" w14:textId="3DE57D71" w:rsidR="00113847" w:rsidRPr="00551A03" w:rsidRDefault="00221A03" w:rsidP="00551A03">
      <w:pPr>
        <w:spacing w:line="360" w:lineRule="auto"/>
        <w:ind w:firstLine="425"/>
        <w:jc w:val="both"/>
        <w:rPr>
          <w:bCs/>
        </w:rPr>
      </w:pPr>
      <w:proofErr w:type="spellStart"/>
      <w:r w:rsidRPr="00551A03">
        <w:rPr>
          <w:bCs/>
          <w:iCs/>
        </w:rPr>
        <w:t>Pasiyeshvili</w:t>
      </w:r>
      <w:proofErr w:type="spellEnd"/>
      <w:r w:rsidRPr="00551A03">
        <w:rPr>
          <w:bCs/>
        </w:rPr>
        <w:t xml:space="preserve"> T.M.</w:t>
      </w:r>
      <w:r w:rsidR="001A7568" w:rsidRPr="00551A03">
        <w:rPr>
          <w:bCs/>
        </w:rPr>
        <w:t xml:space="preserve">, </w:t>
      </w:r>
      <w:proofErr w:type="spellStart"/>
      <w:r w:rsidR="001A7568" w:rsidRPr="00551A03">
        <w:rPr>
          <w:bCs/>
        </w:rPr>
        <w:t>Kharkov</w:t>
      </w:r>
      <w:proofErr w:type="spellEnd"/>
      <w:r w:rsidR="001A7568" w:rsidRPr="00551A03">
        <w:rPr>
          <w:bCs/>
        </w:rPr>
        <w:t xml:space="preserve"> </w:t>
      </w:r>
      <w:proofErr w:type="spellStart"/>
      <w:r w:rsidR="001A7568" w:rsidRPr="00551A03">
        <w:rPr>
          <w:bCs/>
        </w:rPr>
        <w:t>National</w:t>
      </w:r>
      <w:proofErr w:type="spellEnd"/>
      <w:r w:rsidR="001A7568" w:rsidRPr="00551A03">
        <w:rPr>
          <w:bCs/>
        </w:rPr>
        <w:t xml:space="preserve"> </w:t>
      </w:r>
      <w:proofErr w:type="spellStart"/>
      <w:r w:rsidR="001A7568" w:rsidRPr="00551A03">
        <w:rPr>
          <w:bCs/>
        </w:rPr>
        <w:t>Medical</w:t>
      </w:r>
      <w:proofErr w:type="spellEnd"/>
      <w:r w:rsidR="001A7568" w:rsidRPr="00551A03">
        <w:rPr>
          <w:bCs/>
        </w:rPr>
        <w:t xml:space="preserve"> </w:t>
      </w:r>
      <w:proofErr w:type="spellStart"/>
      <w:r w:rsidR="001A7568" w:rsidRPr="00551A03">
        <w:rPr>
          <w:bCs/>
        </w:rPr>
        <w:t>University</w:t>
      </w:r>
      <w:proofErr w:type="spellEnd"/>
      <w:r w:rsidR="001A7568" w:rsidRPr="00551A03">
        <w:rPr>
          <w:bCs/>
        </w:rPr>
        <w:t xml:space="preserve">, </w:t>
      </w:r>
      <w:proofErr w:type="spellStart"/>
      <w:r w:rsidR="001A7568" w:rsidRPr="00551A03">
        <w:rPr>
          <w:bCs/>
        </w:rPr>
        <w:t>Ministry</w:t>
      </w:r>
      <w:proofErr w:type="spellEnd"/>
      <w:r w:rsidR="001A7568" w:rsidRPr="00551A03">
        <w:rPr>
          <w:bCs/>
        </w:rPr>
        <w:t xml:space="preserve"> </w:t>
      </w:r>
      <w:proofErr w:type="spellStart"/>
      <w:r w:rsidR="001A7568" w:rsidRPr="00551A03">
        <w:rPr>
          <w:bCs/>
        </w:rPr>
        <w:t>of</w:t>
      </w:r>
      <w:proofErr w:type="spellEnd"/>
      <w:r w:rsidR="001A7568" w:rsidRPr="00551A03">
        <w:rPr>
          <w:bCs/>
        </w:rPr>
        <w:t xml:space="preserve"> </w:t>
      </w:r>
      <w:proofErr w:type="spellStart"/>
      <w:r w:rsidR="001A7568" w:rsidRPr="00551A03">
        <w:rPr>
          <w:bCs/>
        </w:rPr>
        <w:t>Health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of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Ukraine</w:t>
      </w:r>
      <w:proofErr w:type="spellEnd"/>
      <w:r w:rsidR="001A7568" w:rsidRPr="00551A03">
        <w:rPr>
          <w:bCs/>
        </w:rPr>
        <w:t xml:space="preserve">, </w:t>
      </w:r>
      <w:proofErr w:type="spellStart"/>
      <w:r w:rsidR="001A7568" w:rsidRPr="00551A03">
        <w:rPr>
          <w:bCs/>
        </w:rPr>
        <w:t>Department</w:t>
      </w:r>
      <w:proofErr w:type="spellEnd"/>
      <w:r w:rsidR="001A7568" w:rsidRPr="00551A03">
        <w:rPr>
          <w:bCs/>
        </w:rPr>
        <w:t xml:space="preserve"> </w:t>
      </w:r>
      <w:proofErr w:type="spellStart"/>
      <w:r w:rsidR="001A7568" w:rsidRPr="00551A03">
        <w:rPr>
          <w:bCs/>
        </w:rPr>
        <w:t>of</w:t>
      </w:r>
      <w:proofErr w:type="spellEnd"/>
      <w:r w:rsidR="001A7568" w:rsidRPr="00551A03">
        <w:rPr>
          <w:bCs/>
        </w:rPr>
        <w:t xml:space="preserve"> </w:t>
      </w:r>
      <w:proofErr w:type="spellStart"/>
      <w:r w:rsidR="001A7568" w:rsidRPr="00551A03">
        <w:rPr>
          <w:bCs/>
        </w:rPr>
        <w:t>General</w:t>
      </w:r>
      <w:proofErr w:type="spellEnd"/>
      <w:r w:rsidR="001A7568" w:rsidRPr="00551A03">
        <w:rPr>
          <w:bCs/>
        </w:rPr>
        <w:t xml:space="preserve"> </w:t>
      </w:r>
      <w:proofErr w:type="spellStart"/>
      <w:r w:rsidRPr="00551A03">
        <w:rPr>
          <w:bCs/>
        </w:rPr>
        <w:t>Practice</w:t>
      </w:r>
      <w:proofErr w:type="spellEnd"/>
      <w:r w:rsidRPr="00551A03">
        <w:rPr>
          <w:bCs/>
        </w:rPr>
        <w:t xml:space="preserve"> - </w:t>
      </w:r>
      <w:proofErr w:type="spellStart"/>
      <w:r w:rsidRPr="00551A03">
        <w:rPr>
          <w:bCs/>
        </w:rPr>
        <w:t>Family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Medicine</w:t>
      </w:r>
      <w:proofErr w:type="spellEnd"/>
      <w:r w:rsidRPr="00551A03">
        <w:rPr>
          <w:bCs/>
        </w:rPr>
        <w:t xml:space="preserve"> </w:t>
      </w:r>
      <w:proofErr w:type="spellStart"/>
      <w:r w:rsidR="001A7568" w:rsidRPr="00551A03">
        <w:rPr>
          <w:bCs/>
        </w:rPr>
        <w:t>and</w:t>
      </w:r>
      <w:proofErr w:type="spellEnd"/>
      <w:r w:rsidR="001A7568" w:rsidRPr="00551A03">
        <w:rPr>
          <w:bCs/>
        </w:rPr>
        <w:t xml:space="preserve"> </w:t>
      </w:r>
      <w:proofErr w:type="spellStart"/>
      <w:r w:rsidRPr="00551A03">
        <w:rPr>
          <w:bCs/>
        </w:rPr>
        <w:t>Internal</w:t>
      </w:r>
      <w:proofErr w:type="spellEnd"/>
      <w:r w:rsidRPr="00551A03">
        <w:rPr>
          <w:bCs/>
        </w:rPr>
        <w:t xml:space="preserve"> </w:t>
      </w:r>
      <w:proofErr w:type="spellStart"/>
      <w:r w:rsidR="002A512C" w:rsidRPr="00551A03">
        <w:rPr>
          <w:bCs/>
        </w:rPr>
        <w:t>Diseases</w:t>
      </w:r>
      <w:proofErr w:type="spellEnd"/>
      <w:r w:rsidR="001A7568" w:rsidRPr="00551A03">
        <w:rPr>
          <w:bCs/>
        </w:rPr>
        <w:t xml:space="preserve">, </w:t>
      </w:r>
      <w:proofErr w:type="spellStart"/>
      <w:r w:rsidR="002A512C" w:rsidRPr="00551A03">
        <w:rPr>
          <w:bCs/>
        </w:rPr>
        <w:t>Assistant</w:t>
      </w:r>
      <w:proofErr w:type="spellEnd"/>
      <w:r w:rsidR="001A7568" w:rsidRPr="00551A03">
        <w:rPr>
          <w:bCs/>
        </w:rPr>
        <w:t xml:space="preserve">, </w:t>
      </w:r>
      <w:proofErr w:type="spellStart"/>
      <w:r w:rsidR="001A7568" w:rsidRPr="00551A03">
        <w:rPr>
          <w:bCs/>
        </w:rPr>
        <w:t>PhD</w:t>
      </w:r>
      <w:proofErr w:type="spellEnd"/>
      <w:r w:rsidR="001A7568" w:rsidRPr="00551A03">
        <w:rPr>
          <w:bCs/>
        </w:rPr>
        <w:t>.</w:t>
      </w:r>
    </w:p>
    <w:p w14:paraId="1F61B775" w14:textId="77777777" w:rsidR="001C6FBC" w:rsidRPr="00551A03" w:rsidRDefault="001C6FBC" w:rsidP="00551A03">
      <w:pPr>
        <w:spacing w:line="360" w:lineRule="auto"/>
        <w:ind w:firstLine="425"/>
        <w:jc w:val="both"/>
        <w:rPr>
          <w:b/>
          <w:bCs/>
        </w:rPr>
      </w:pPr>
    </w:p>
    <w:p w14:paraId="0BCD739B" w14:textId="63D8AABE" w:rsidR="00027830" w:rsidRPr="00551A03" w:rsidRDefault="00027830" w:rsidP="00551A03">
      <w:pPr>
        <w:spacing w:line="360" w:lineRule="auto"/>
        <w:ind w:firstLine="425"/>
        <w:jc w:val="both"/>
        <w:rPr>
          <w:b/>
          <w:bCs/>
        </w:rPr>
      </w:pPr>
      <w:r w:rsidRPr="00551A03">
        <w:rPr>
          <w:b/>
          <w:bCs/>
        </w:rPr>
        <w:t>Резюме</w:t>
      </w:r>
    </w:p>
    <w:p w14:paraId="1360B6F9" w14:textId="77777777" w:rsidR="00CF186D" w:rsidRPr="00CF186D" w:rsidRDefault="00CF186D" w:rsidP="00CF186D">
      <w:pPr>
        <w:spacing w:line="360" w:lineRule="auto"/>
        <w:ind w:firstLine="425"/>
        <w:jc w:val="both"/>
      </w:pPr>
      <w:r w:rsidRPr="00CF186D">
        <w:rPr>
          <w:b/>
        </w:rPr>
        <w:t xml:space="preserve">Цель исследования: </w:t>
      </w:r>
      <w:r w:rsidRPr="00CF186D">
        <w:t xml:space="preserve">выявить особенности клинической манифестации хронической </w:t>
      </w:r>
      <w:proofErr w:type="spellStart"/>
      <w:r w:rsidRPr="00CF186D">
        <w:t>обструктивной</w:t>
      </w:r>
      <w:proofErr w:type="spellEnd"/>
      <w:r w:rsidRPr="00CF186D">
        <w:t xml:space="preserve"> болезни легких (ХОБЛ) у пациентов с хроническим панкреатитом (ХП).</w:t>
      </w:r>
    </w:p>
    <w:p w14:paraId="00582994" w14:textId="77777777" w:rsidR="00CF186D" w:rsidRPr="00CF186D" w:rsidRDefault="00CF186D" w:rsidP="00CF186D">
      <w:pPr>
        <w:spacing w:line="360" w:lineRule="auto"/>
        <w:ind w:firstLine="425"/>
        <w:jc w:val="both"/>
      </w:pPr>
      <w:r w:rsidRPr="00CF186D">
        <w:rPr>
          <w:b/>
        </w:rPr>
        <w:t xml:space="preserve">Материалы и методы. </w:t>
      </w:r>
      <w:r w:rsidRPr="00CF186D">
        <w:t xml:space="preserve">Обследовано 67 больных с сочетанным течением ХП и ХОБЛ (основная группа) и 54 - с изолированным течением ХОБЛ (группа сравнения). Для оценки степени выраженности </w:t>
      </w:r>
      <w:r w:rsidRPr="00CF186D">
        <w:rPr>
          <w:bCs/>
        </w:rPr>
        <w:t xml:space="preserve">клинических симптомов </w:t>
      </w:r>
      <w:r w:rsidRPr="00CF186D">
        <w:t xml:space="preserve">использовали модифицированную шкалу одышки </w:t>
      </w:r>
      <w:proofErr w:type="spellStart"/>
      <w:r w:rsidRPr="00CF186D">
        <w:t>Modified</w:t>
      </w:r>
      <w:proofErr w:type="spellEnd"/>
      <w:r w:rsidRPr="00CF186D">
        <w:t xml:space="preserve"> </w:t>
      </w:r>
      <w:proofErr w:type="spellStart"/>
      <w:r w:rsidRPr="00CF186D">
        <w:t>Medical</w:t>
      </w:r>
      <w:proofErr w:type="spellEnd"/>
      <w:r w:rsidRPr="00CF186D">
        <w:t xml:space="preserve"> </w:t>
      </w:r>
      <w:proofErr w:type="spellStart"/>
      <w:r w:rsidRPr="00CF186D">
        <w:t>Research</w:t>
      </w:r>
      <w:proofErr w:type="spellEnd"/>
      <w:r w:rsidRPr="00CF186D">
        <w:t xml:space="preserve"> </w:t>
      </w:r>
      <w:proofErr w:type="spellStart"/>
      <w:r w:rsidRPr="00CF186D">
        <w:t>Council</w:t>
      </w:r>
      <w:proofErr w:type="spellEnd"/>
      <w:r w:rsidRPr="00CF186D">
        <w:t xml:space="preserve"> (</w:t>
      </w:r>
      <w:proofErr w:type="spellStart"/>
      <w:r w:rsidRPr="00CF186D">
        <w:t>mMRC</w:t>
      </w:r>
      <w:proofErr w:type="spellEnd"/>
      <w:r w:rsidRPr="00CF186D">
        <w:t xml:space="preserve">) </w:t>
      </w:r>
      <w:proofErr w:type="spellStart"/>
      <w:r w:rsidRPr="00CF186D">
        <w:t>Dyspnea</w:t>
      </w:r>
      <w:proofErr w:type="spellEnd"/>
      <w:r w:rsidRPr="00CF186D">
        <w:t xml:space="preserve"> </w:t>
      </w:r>
      <w:proofErr w:type="spellStart"/>
      <w:r w:rsidRPr="00CF186D">
        <w:t>Scale</w:t>
      </w:r>
      <w:proofErr w:type="spellEnd"/>
      <w:r w:rsidRPr="00CF186D">
        <w:t xml:space="preserve"> и </w:t>
      </w:r>
      <w:r w:rsidRPr="00CF186D">
        <w:rPr>
          <w:bCs/>
        </w:rPr>
        <w:t xml:space="preserve">4-х балльную шкалу симптомов пациентов с ХОБЛ (P.L. </w:t>
      </w:r>
      <w:proofErr w:type="spellStart"/>
      <w:r w:rsidRPr="00CF186D">
        <w:rPr>
          <w:bCs/>
        </w:rPr>
        <w:t>Paggiaro</w:t>
      </w:r>
      <w:proofErr w:type="spellEnd"/>
      <w:r w:rsidRPr="00CF186D">
        <w:rPr>
          <w:bCs/>
        </w:rPr>
        <w:t>).</w:t>
      </w:r>
      <w:r w:rsidRPr="00CF186D">
        <w:t xml:space="preserve"> </w:t>
      </w:r>
      <w:r w:rsidRPr="00CF186D">
        <w:rPr>
          <w:bCs/>
        </w:rPr>
        <w:t>Интегральная оценка силы влияния ХОБЛ на пациента проводилась в соответствии с рекомендациями GOLD (2015).</w:t>
      </w:r>
    </w:p>
    <w:p w14:paraId="513FD24E" w14:textId="77777777" w:rsidR="00CF186D" w:rsidRPr="00CF186D" w:rsidRDefault="00CF186D" w:rsidP="00CF186D">
      <w:pPr>
        <w:spacing w:line="360" w:lineRule="auto"/>
        <w:ind w:firstLine="425"/>
        <w:jc w:val="both"/>
        <w:rPr>
          <w:bCs/>
        </w:rPr>
      </w:pPr>
      <w:r w:rsidRPr="00CF186D">
        <w:rPr>
          <w:b/>
          <w:bCs/>
        </w:rPr>
        <w:t xml:space="preserve">Результаты исследования. </w:t>
      </w:r>
      <w:r w:rsidRPr="00CF186D">
        <w:rPr>
          <w:bCs/>
        </w:rPr>
        <w:t xml:space="preserve">Пациенты основной группы достоверно чаще имели инфекционное обострение ХОБЛ, чем в группе сравнения: 67,2% против 48,1% (р=0,03). Сезонный весенне-осенний характер обострения при изолированной ХОБЛ </w:t>
      </w:r>
      <w:r w:rsidRPr="00CF186D">
        <w:rPr>
          <w:bCs/>
        </w:rPr>
        <w:lastRenderedPageBreak/>
        <w:t xml:space="preserve">наблюдался в 88,9% случаев, при сочетанной патологии 73,1% (р=0,03). </w:t>
      </w:r>
      <w:r w:rsidRPr="00CF186D">
        <w:t xml:space="preserve">В группе сравнения регистрировалось 1,4±0,2 обострений в год, а у пациентов основной группы - 2,3±0,4 (p=0,03). Выраженность одышки у больных основной группы составила 2,4±0,5 балла, группы сравнения - 2,1±0,6 балла (р=0,03). Экспрессивность кашля при изолированной ХОБЛ составила 2,3±0,4 балла, а при </w:t>
      </w:r>
      <w:proofErr w:type="spellStart"/>
      <w:r w:rsidRPr="00CF186D">
        <w:t>коморбидной</w:t>
      </w:r>
      <w:proofErr w:type="spellEnd"/>
      <w:r w:rsidRPr="00CF186D">
        <w:t xml:space="preserve"> патологии - 2,6±0,5 балла (р=0,03). Выраженность мокроты у больных основной группы достигала 1,7±0,6 балла, в группе сравнения 1,6±0,7 балла (р=0,66). При проведении интегральной оценки силы влияния ХОБЛ на конкретного пациента (GOLD, 2015), установлено, что распределение пациентов с </w:t>
      </w:r>
      <w:proofErr w:type="spellStart"/>
      <w:r w:rsidRPr="00CF186D">
        <w:t>коморбидной</w:t>
      </w:r>
      <w:proofErr w:type="spellEnd"/>
      <w:r w:rsidRPr="00CF186D">
        <w:t xml:space="preserve"> патологией по группам риска имело достоверные различия от такого в группе сравнения (</w:t>
      </w:r>
      <w:proofErr w:type="spellStart"/>
      <w:r w:rsidRPr="00CF186D">
        <w:t>df</w:t>
      </w:r>
      <w:proofErr w:type="spellEnd"/>
      <w:r w:rsidRPr="00CF186D">
        <w:t>=2, χ2=14,201, р&lt;0,001).</w:t>
      </w:r>
    </w:p>
    <w:p w14:paraId="1873D561" w14:textId="77777777" w:rsidR="00CF186D" w:rsidRPr="00CF186D" w:rsidRDefault="00CF186D" w:rsidP="00CF186D">
      <w:pPr>
        <w:spacing w:line="360" w:lineRule="auto"/>
        <w:ind w:firstLine="425"/>
        <w:jc w:val="both"/>
        <w:rPr>
          <w:bCs/>
        </w:rPr>
      </w:pPr>
      <w:r w:rsidRPr="00CF186D">
        <w:rPr>
          <w:b/>
          <w:bCs/>
        </w:rPr>
        <w:t xml:space="preserve">Выводы. </w:t>
      </w:r>
      <w:r w:rsidRPr="00CF186D">
        <w:rPr>
          <w:bCs/>
        </w:rPr>
        <w:t xml:space="preserve">Наличие сопутствующего хронического панкреатита у больных ХОБЛ вносило определенные девиации в клиническую характеристику заболевания: достоверно чаще в качестве пускового механизма выступали острые респираторно-вирусные инфекции, менее выраженный сезонный характер обострений, достоверно большее количество обострений в год, значительное усиление одышки, кашля и изменение характера мокроты. При проведении интегральной оценки силы влияния ХОБЛ на конкретного пациента в условиях </w:t>
      </w:r>
      <w:proofErr w:type="spellStart"/>
      <w:r w:rsidRPr="00CF186D">
        <w:rPr>
          <w:bCs/>
        </w:rPr>
        <w:t>коморбидной</w:t>
      </w:r>
      <w:proofErr w:type="spellEnd"/>
      <w:r w:rsidRPr="00CF186D">
        <w:rPr>
          <w:bCs/>
        </w:rPr>
        <w:t xml:space="preserve"> патологии наблюдалось перераспределение больных по группам риска в сторону его усугубления.</w:t>
      </w:r>
    </w:p>
    <w:p w14:paraId="54D348F3" w14:textId="468776B1" w:rsidR="008432B9" w:rsidRPr="00551A03" w:rsidRDefault="001C6FBC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/>
          <w:bCs/>
        </w:rPr>
        <w:t xml:space="preserve">Ключевые слова: </w:t>
      </w:r>
      <w:r w:rsidR="003E2C5C" w:rsidRPr="00551A03">
        <w:rPr>
          <w:bCs/>
        </w:rPr>
        <w:t xml:space="preserve">клиническое течение, </w:t>
      </w:r>
      <w:proofErr w:type="spellStart"/>
      <w:r w:rsidR="00B04F03" w:rsidRPr="00551A03">
        <w:rPr>
          <w:bCs/>
        </w:rPr>
        <w:t>коморбидность</w:t>
      </w:r>
      <w:proofErr w:type="spellEnd"/>
      <w:r w:rsidR="00B04F03" w:rsidRPr="00551A03">
        <w:rPr>
          <w:bCs/>
        </w:rPr>
        <w:t xml:space="preserve">, хроническая </w:t>
      </w:r>
      <w:proofErr w:type="spellStart"/>
      <w:r w:rsidR="00B04F03" w:rsidRPr="00551A03">
        <w:rPr>
          <w:bCs/>
        </w:rPr>
        <w:t>обструктивная</w:t>
      </w:r>
      <w:proofErr w:type="spellEnd"/>
      <w:r w:rsidR="00B04F03" w:rsidRPr="00551A03">
        <w:rPr>
          <w:bCs/>
        </w:rPr>
        <w:t xml:space="preserve"> болезнь легких</w:t>
      </w:r>
      <w:r w:rsidRPr="00551A03">
        <w:rPr>
          <w:bCs/>
        </w:rPr>
        <w:t>, хрон</w:t>
      </w:r>
      <w:r w:rsidR="004B5CEC" w:rsidRPr="00551A03">
        <w:rPr>
          <w:bCs/>
        </w:rPr>
        <w:t>ический панкреатит</w:t>
      </w:r>
      <w:r w:rsidRPr="00551A03">
        <w:rPr>
          <w:bCs/>
        </w:rPr>
        <w:t>.</w:t>
      </w:r>
    </w:p>
    <w:p w14:paraId="2A706B2E" w14:textId="77777777" w:rsidR="00027830" w:rsidRPr="00551A03" w:rsidRDefault="00027830" w:rsidP="00551A03">
      <w:pPr>
        <w:spacing w:line="360" w:lineRule="auto"/>
        <w:ind w:firstLine="425"/>
        <w:jc w:val="both"/>
        <w:rPr>
          <w:bCs/>
        </w:rPr>
      </w:pPr>
    </w:p>
    <w:p w14:paraId="35CC8546" w14:textId="08E3F5AA" w:rsidR="00027830" w:rsidRPr="00551A03" w:rsidRDefault="00027830" w:rsidP="00551A03">
      <w:pPr>
        <w:spacing w:line="360" w:lineRule="auto"/>
        <w:ind w:firstLine="425"/>
        <w:jc w:val="both"/>
        <w:rPr>
          <w:b/>
          <w:bCs/>
        </w:rPr>
      </w:pPr>
      <w:proofErr w:type="spellStart"/>
      <w:r w:rsidRPr="00551A03">
        <w:rPr>
          <w:b/>
          <w:bCs/>
        </w:rPr>
        <w:t>Summary</w:t>
      </w:r>
      <w:proofErr w:type="spellEnd"/>
    </w:p>
    <w:p w14:paraId="3E6EC079" w14:textId="77777777" w:rsidR="00CF186D" w:rsidRPr="00CF186D" w:rsidRDefault="00CF186D" w:rsidP="00CF186D">
      <w:pPr>
        <w:spacing w:line="360" w:lineRule="auto"/>
        <w:ind w:firstLine="425"/>
        <w:jc w:val="both"/>
        <w:rPr>
          <w:bCs/>
          <w:lang w:val="en-GB"/>
        </w:rPr>
      </w:pPr>
      <w:r w:rsidRPr="00CF186D">
        <w:rPr>
          <w:b/>
          <w:bCs/>
          <w:lang w:val="en-GB"/>
        </w:rPr>
        <w:t>Objective:</w:t>
      </w:r>
      <w:r w:rsidRPr="00CF186D">
        <w:rPr>
          <w:bCs/>
          <w:lang w:val="en-GB"/>
        </w:rPr>
        <w:t xml:space="preserve"> To identify chronic obstructive pulmonary disease (COPD) features of the clinical manifestations in patients with chronic pancreatitis (CP).</w:t>
      </w:r>
    </w:p>
    <w:p w14:paraId="39DAA8B1" w14:textId="77777777" w:rsidR="00CF186D" w:rsidRPr="00CF186D" w:rsidRDefault="00CF186D" w:rsidP="00CF186D">
      <w:pPr>
        <w:spacing w:line="360" w:lineRule="auto"/>
        <w:ind w:firstLine="425"/>
        <w:jc w:val="both"/>
        <w:rPr>
          <w:bCs/>
          <w:lang w:val="en-GB"/>
        </w:rPr>
      </w:pPr>
      <w:proofErr w:type="gramStart"/>
      <w:r w:rsidRPr="00CF186D">
        <w:rPr>
          <w:b/>
          <w:bCs/>
          <w:lang w:val="en-GB"/>
        </w:rPr>
        <w:t>Materials and methods.</w:t>
      </w:r>
      <w:proofErr w:type="gramEnd"/>
      <w:r w:rsidRPr="00CF186D">
        <w:rPr>
          <w:b/>
          <w:bCs/>
          <w:lang w:val="en-GB"/>
        </w:rPr>
        <w:t xml:space="preserve"> </w:t>
      </w:r>
      <w:r w:rsidRPr="00CF186D">
        <w:rPr>
          <w:bCs/>
          <w:lang w:val="en-GB"/>
        </w:rPr>
        <w:t>67 patients with comorbidity of CP and COPD (main group), 54 - with isolated COPD (</w:t>
      </w:r>
      <w:r w:rsidRPr="00CF186D">
        <w:rPr>
          <w:lang w:val="en-GB"/>
        </w:rPr>
        <w:t xml:space="preserve">compared </w:t>
      </w:r>
      <w:r w:rsidRPr="00CF186D">
        <w:rPr>
          <w:bCs/>
          <w:lang w:val="en-GB"/>
        </w:rPr>
        <w:t>group)</w:t>
      </w:r>
      <w:r w:rsidRPr="00CF186D">
        <w:rPr>
          <w:lang w:val="en-GB"/>
        </w:rPr>
        <w:t xml:space="preserve"> have been examined</w:t>
      </w:r>
      <w:r w:rsidRPr="00CF186D">
        <w:rPr>
          <w:bCs/>
          <w:lang w:val="en-GB"/>
        </w:rPr>
        <w:t xml:space="preserve">. Assessment of clinical symptoms severity was </w:t>
      </w:r>
      <w:proofErr w:type="spellStart"/>
      <w:r w:rsidRPr="00CF186D">
        <w:rPr>
          <w:bCs/>
          <w:lang w:val="en-GB"/>
        </w:rPr>
        <w:t>perfomed</w:t>
      </w:r>
      <w:proofErr w:type="spellEnd"/>
      <w:r w:rsidRPr="00CF186D">
        <w:rPr>
          <w:bCs/>
          <w:lang w:val="en-GB"/>
        </w:rPr>
        <w:t xml:space="preserve"> by Modified Medical Research Council (</w:t>
      </w:r>
      <w:proofErr w:type="spellStart"/>
      <w:r w:rsidRPr="00CF186D">
        <w:rPr>
          <w:bCs/>
          <w:lang w:val="en-GB"/>
        </w:rPr>
        <w:t>mMRC</w:t>
      </w:r>
      <w:proofErr w:type="spellEnd"/>
      <w:r w:rsidRPr="00CF186D">
        <w:rPr>
          <w:bCs/>
          <w:lang w:val="en-GB"/>
        </w:rPr>
        <w:t xml:space="preserve">) </w:t>
      </w:r>
      <w:proofErr w:type="spellStart"/>
      <w:r w:rsidRPr="00CF186D">
        <w:rPr>
          <w:bCs/>
          <w:lang w:val="en-GB"/>
        </w:rPr>
        <w:t>Dyspnea</w:t>
      </w:r>
      <w:proofErr w:type="spellEnd"/>
      <w:r w:rsidRPr="00CF186D">
        <w:rPr>
          <w:bCs/>
          <w:lang w:val="en-GB"/>
        </w:rPr>
        <w:t xml:space="preserve"> Scale and a 4-point scale of COPD </w:t>
      </w:r>
      <w:proofErr w:type="gramStart"/>
      <w:r w:rsidRPr="00CF186D">
        <w:rPr>
          <w:bCs/>
          <w:lang w:val="en-GB"/>
        </w:rPr>
        <w:t>patients</w:t>
      </w:r>
      <w:proofErr w:type="gramEnd"/>
      <w:r w:rsidRPr="00CF186D">
        <w:rPr>
          <w:bCs/>
          <w:lang w:val="en-GB"/>
        </w:rPr>
        <w:t xml:space="preserve"> symptoms (P.L. </w:t>
      </w:r>
      <w:proofErr w:type="spellStart"/>
      <w:r w:rsidRPr="00CF186D">
        <w:rPr>
          <w:bCs/>
          <w:lang w:val="en-GB"/>
        </w:rPr>
        <w:t>Paggiaro</w:t>
      </w:r>
      <w:proofErr w:type="spellEnd"/>
      <w:r w:rsidRPr="00CF186D">
        <w:rPr>
          <w:bCs/>
          <w:lang w:val="en-GB"/>
        </w:rPr>
        <w:t>). Integral assessment of the impact of COPD on patient was conducted in accordance with the GOLD guidelines (2015).</w:t>
      </w:r>
    </w:p>
    <w:p w14:paraId="148653C3" w14:textId="77777777" w:rsidR="00CF186D" w:rsidRPr="00CF186D" w:rsidRDefault="00CF186D" w:rsidP="00CF186D">
      <w:pPr>
        <w:spacing w:line="360" w:lineRule="auto"/>
        <w:ind w:firstLine="425"/>
        <w:jc w:val="both"/>
        <w:rPr>
          <w:bCs/>
          <w:lang w:val="en-GB"/>
        </w:rPr>
      </w:pPr>
      <w:r w:rsidRPr="00CF186D">
        <w:rPr>
          <w:b/>
          <w:bCs/>
          <w:lang w:val="en-GB"/>
        </w:rPr>
        <w:t>Results</w:t>
      </w:r>
      <w:r w:rsidRPr="00CF186D">
        <w:rPr>
          <w:bCs/>
          <w:lang w:val="en-GB"/>
        </w:rPr>
        <w:t xml:space="preserve">. </w:t>
      </w:r>
      <w:r w:rsidRPr="00CF186D">
        <w:rPr>
          <w:lang w:val="en-GB"/>
        </w:rPr>
        <w:t>It has been found out that patients with comorbid pathology are characterized by the significant increase rate of</w:t>
      </w:r>
      <w:r w:rsidRPr="00CF186D">
        <w:rPr>
          <w:bCs/>
          <w:lang w:val="en-GB"/>
        </w:rPr>
        <w:t xml:space="preserve"> infectious exacerbation of COPD than in the </w:t>
      </w:r>
      <w:r w:rsidRPr="00CF186D">
        <w:rPr>
          <w:lang w:val="en-GB"/>
        </w:rPr>
        <w:t xml:space="preserve">compared </w:t>
      </w:r>
      <w:r w:rsidRPr="00CF186D">
        <w:rPr>
          <w:bCs/>
          <w:lang w:val="en-GB"/>
        </w:rPr>
        <w:t xml:space="preserve">group: 67.2% vs. 48.1% (p=0.03). The seasonal nature of COPD exacerbation was observed in isolated COPD in 88.9% of cases, in comorbid pathology - 73.1% (p=0.03). In </w:t>
      </w:r>
      <w:r w:rsidRPr="00CF186D">
        <w:rPr>
          <w:lang w:val="en-GB"/>
        </w:rPr>
        <w:t xml:space="preserve">compared </w:t>
      </w:r>
      <w:r w:rsidRPr="00CF186D">
        <w:rPr>
          <w:bCs/>
          <w:lang w:val="en-GB"/>
        </w:rPr>
        <w:t xml:space="preserve">group 1,4±0,2 exacerbations per year were recorded, in patients of the main group - 2,3±0,4 (p=0.03). Severity of </w:t>
      </w:r>
      <w:proofErr w:type="spellStart"/>
      <w:r w:rsidRPr="00CF186D">
        <w:rPr>
          <w:bCs/>
          <w:lang w:val="en-GB"/>
        </w:rPr>
        <w:t>dyspnea</w:t>
      </w:r>
      <w:proofErr w:type="spellEnd"/>
      <w:r w:rsidRPr="00CF186D">
        <w:rPr>
          <w:bCs/>
          <w:lang w:val="en-GB"/>
        </w:rPr>
        <w:t xml:space="preserve"> in patients of the main group was 2,4±0,5 points, in </w:t>
      </w:r>
      <w:r w:rsidRPr="00CF186D">
        <w:rPr>
          <w:lang w:val="en-GB"/>
        </w:rPr>
        <w:t xml:space="preserve">compared </w:t>
      </w:r>
      <w:r w:rsidRPr="00CF186D">
        <w:rPr>
          <w:bCs/>
          <w:lang w:val="en-GB"/>
        </w:rPr>
        <w:t xml:space="preserve">group - 2,1±0,6 points (p=0.03). The expressiveness of cough in isolated COPD made up to 2,3±0,4 points, while comorbid disease - 2,6±0,5 points (p=0.03). </w:t>
      </w:r>
      <w:r w:rsidRPr="00CF186D">
        <w:rPr>
          <w:bCs/>
          <w:lang w:val="en-GB"/>
        </w:rPr>
        <w:lastRenderedPageBreak/>
        <w:t xml:space="preserve">Intensity of sputum in patients of the main group reached 1,7±0,6 points, in </w:t>
      </w:r>
      <w:r w:rsidRPr="00CF186D">
        <w:rPr>
          <w:lang w:val="en-GB"/>
        </w:rPr>
        <w:t xml:space="preserve">compared </w:t>
      </w:r>
      <w:r w:rsidRPr="00CF186D">
        <w:rPr>
          <w:bCs/>
          <w:lang w:val="en-GB"/>
        </w:rPr>
        <w:t>group 1,6±0,7 points (p=0.66). Integra</w:t>
      </w:r>
      <w:r w:rsidRPr="00CF186D">
        <w:rPr>
          <w:bCs/>
          <w:lang w:val="en-US"/>
        </w:rPr>
        <w:t>l</w:t>
      </w:r>
      <w:r w:rsidRPr="00CF186D">
        <w:rPr>
          <w:bCs/>
          <w:lang w:val="en-GB"/>
        </w:rPr>
        <w:t xml:space="preserve"> assessment of the COPD impact on patient (GOLD, 2015) showed that the distribution of patients with comorbid pathology by groups of risk had a significant difference from the one in the </w:t>
      </w:r>
      <w:r w:rsidRPr="00CF186D">
        <w:rPr>
          <w:lang w:val="en-GB"/>
        </w:rPr>
        <w:t xml:space="preserve">compared </w:t>
      </w:r>
      <w:r w:rsidRPr="00CF186D">
        <w:rPr>
          <w:bCs/>
          <w:lang w:val="en-GB"/>
        </w:rPr>
        <w:t>group (</w:t>
      </w:r>
      <w:proofErr w:type="spellStart"/>
      <w:r w:rsidRPr="00CF186D">
        <w:rPr>
          <w:bCs/>
          <w:lang w:val="en-GB"/>
        </w:rPr>
        <w:t>df</w:t>
      </w:r>
      <w:proofErr w:type="spellEnd"/>
      <w:r w:rsidRPr="00CF186D">
        <w:rPr>
          <w:bCs/>
          <w:lang w:val="en-GB"/>
        </w:rPr>
        <w:t>=2, χ2=14,201, p&lt;0.001).</w:t>
      </w:r>
    </w:p>
    <w:p w14:paraId="004821EE" w14:textId="77777777" w:rsidR="00CF186D" w:rsidRPr="00CF186D" w:rsidRDefault="00CF186D" w:rsidP="00CF186D">
      <w:pPr>
        <w:spacing w:line="360" w:lineRule="auto"/>
        <w:ind w:firstLine="425"/>
        <w:jc w:val="both"/>
        <w:rPr>
          <w:bCs/>
          <w:lang w:val="en-GB"/>
        </w:rPr>
      </w:pPr>
      <w:r w:rsidRPr="00CF186D">
        <w:rPr>
          <w:b/>
          <w:bCs/>
          <w:lang w:val="en-GB"/>
        </w:rPr>
        <w:t>Conclusions.</w:t>
      </w:r>
      <w:r w:rsidRPr="00CF186D">
        <w:rPr>
          <w:bCs/>
          <w:lang w:val="en-GB"/>
        </w:rPr>
        <w:t xml:space="preserve"> The presence of concomitant chronic pancreatitis in patients with COPD brings in a certain deviation in the clinical characteristics of the disease: significantly more often as a trigger were acute respiratory viral infections, less pronounced seasonal nature of exacerbations, significantly increasing the number of exacerbations per year, a significant increase of </w:t>
      </w:r>
      <w:proofErr w:type="spellStart"/>
      <w:r w:rsidRPr="00CF186D">
        <w:rPr>
          <w:bCs/>
          <w:lang w:val="en-GB"/>
        </w:rPr>
        <w:t>dyspnea</w:t>
      </w:r>
      <w:proofErr w:type="spellEnd"/>
      <w:r w:rsidRPr="00CF186D">
        <w:rPr>
          <w:bCs/>
          <w:lang w:val="en-GB"/>
        </w:rPr>
        <w:t>, cough and changes of sputum. Carrying out the integrated assessment of the impact of COPD on patient it has been observed that redistribution of</w:t>
      </w:r>
      <w:r w:rsidRPr="00CF186D">
        <w:rPr>
          <w:bCs/>
          <w:lang w:val="en-US"/>
        </w:rPr>
        <w:t xml:space="preserve"> main group </w:t>
      </w:r>
      <w:r w:rsidRPr="00CF186D">
        <w:rPr>
          <w:bCs/>
          <w:lang w:val="en-GB"/>
        </w:rPr>
        <w:t>patients into risk groups in the side of its aggravation.</w:t>
      </w:r>
    </w:p>
    <w:p w14:paraId="34592727" w14:textId="6150B453" w:rsidR="00027830" w:rsidRPr="00551A03" w:rsidRDefault="00845EFC" w:rsidP="00551A03">
      <w:pPr>
        <w:spacing w:line="360" w:lineRule="auto"/>
        <w:ind w:firstLine="425"/>
        <w:jc w:val="both"/>
      </w:pPr>
      <w:proofErr w:type="spellStart"/>
      <w:r w:rsidRPr="00551A03">
        <w:rPr>
          <w:b/>
        </w:rPr>
        <w:t>Keywords</w:t>
      </w:r>
      <w:proofErr w:type="spellEnd"/>
      <w:r w:rsidRPr="00551A03">
        <w:rPr>
          <w:b/>
        </w:rPr>
        <w:t xml:space="preserve">: </w:t>
      </w:r>
      <w:proofErr w:type="spellStart"/>
      <w:r w:rsidRPr="00551A03">
        <w:t>clinical</w:t>
      </w:r>
      <w:proofErr w:type="spellEnd"/>
      <w:r w:rsidRPr="00551A03">
        <w:t xml:space="preserve"> </w:t>
      </w:r>
      <w:proofErr w:type="spellStart"/>
      <w:r w:rsidRPr="00551A03">
        <w:t>course</w:t>
      </w:r>
      <w:proofErr w:type="spellEnd"/>
      <w:r w:rsidRPr="00551A03">
        <w:t xml:space="preserve">, </w:t>
      </w:r>
      <w:proofErr w:type="spellStart"/>
      <w:r w:rsidRPr="00551A03">
        <w:t>comorbidity</w:t>
      </w:r>
      <w:proofErr w:type="spellEnd"/>
      <w:r w:rsidRPr="00551A03">
        <w:t xml:space="preserve">, </w:t>
      </w:r>
      <w:proofErr w:type="spellStart"/>
      <w:r w:rsidRPr="00551A03">
        <w:t>chronic</w:t>
      </w:r>
      <w:proofErr w:type="spellEnd"/>
      <w:r w:rsidRPr="00551A03">
        <w:t xml:space="preserve"> </w:t>
      </w:r>
      <w:proofErr w:type="spellStart"/>
      <w:r w:rsidRPr="00551A03">
        <w:t>obstructive</w:t>
      </w:r>
      <w:proofErr w:type="spellEnd"/>
      <w:r w:rsidRPr="00551A03">
        <w:t xml:space="preserve"> </w:t>
      </w:r>
      <w:proofErr w:type="spellStart"/>
      <w:r w:rsidRPr="00551A03">
        <w:t>pulmonary</w:t>
      </w:r>
      <w:proofErr w:type="spellEnd"/>
      <w:r w:rsidRPr="00551A03">
        <w:t xml:space="preserve"> </w:t>
      </w:r>
      <w:proofErr w:type="spellStart"/>
      <w:r w:rsidRPr="00551A03">
        <w:t>disease</w:t>
      </w:r>
      <w:proofErr w:type="spellEnd"/>
      <w:r w:rsidRPr="00551A03">
        <w:t xml:space="preserve">, </w:t>
      </w:r>
      <w:proofErr w:type="spellStart"/>
      <w:r w:rsidRPr="00551A03">
        <w:t>chronic</w:t>
      </w:r>
      <w:proofErr w:type="spellEnd"/>
      <w:r w:rsidRPr="00551A03">
        <w:t xml:space="preserve"> </w:t>
      </w:r>
      <w:proofErr w:type="spellStart"/>
      <w:r w:rsidRPr="00551A03">
        <w:t>pancreatitis</w:t>
      </w:r>
      <w:proofErr w:type="spellEnd"/>
      <w:r w:rsidRPr="00551A03">
        <w:t>.</w:t>
      </w:r>
    </w:p>
    <w:p w14:paraId="429B4EAB" w14:textId="77777777" w:rsidR="001C6FBC" w:rsidRPr="00551A03" w:rsidRDefault="001C6FBC" w:rsidP="00551A03">
      <w:pPr>
        <w:spacing w:line="360" w:lineRule="auto"/>
        <w:ind w:firstLine="425"/>
        <w:jc w:val="both"/>
      </w:pPr>
    </w:p>
    <w:p w14:paraId="22F468ED" w14:textId="77777777" w:rsidR="00247E12" w:rsidRPr="00551A03" w:rsidRDefault="001C6FBC" w:rsidP="00551A03">
      <w:pPr>
        <w:spacing w:line="360" w:lineRule="auto"/>
        <w:ind w:firstLine="425"/>
        <w:jc w:val="both"/>
      </w:pPr>
      <w:r w:rsidRPr="00551A03">
        <w:t xml:space="preserve">В настоящее время приобретает особое значение проблема сочетанного течения различных заболеваний внутренних органов. В структуре </w:t>
      </w:r>
      <w:proofErr w:type="spellStart"/>
      <w:r w:rsidRPr="00551A03">
        <w:t>коморбидных</w:t>
      </w:r>
      <w:proofErr w:type="spellEnd"/>
      <w:r w:rsidRPr="00551A03">
        <w:t xml:space="preserve"> состояний лидируют болезни сердечно-сосудистой и дыхательной системы, пищеварительного тракта и ревматологического профиля. Их распространенность настолько велика, что данные заболевания </w:t>
      </w:r>
      <w:r w:rsidR="00E73214" w:rsidRPr="00551A03">
        <w:t>обусловливают</w:t>
      </w:r>
      <w:r w:rsidRPr="00551A03">
        <w:t xml:space="preserve"> наибольшее количество дней нетрудоспособности населения в</w:t>
      </w:r>
      <w:r w:rsidR="00247E12" w:rsidRPr="00551A03">
        <w:t xml:space="preserve"> экономически развитых странах.</w:t>
      </w:r>
    </w:p>
    <w:p w14:paraId="54BF8D8C" w14:textId="7B1725D1" w:rsidR="00815EEF" w:rsidRPr="00551A03" w:rsidRDefault="001C6FBC" w:rsidP="00551A03">
      <w:pPr>
        <w:spacing w:line="360" w:lineRule="auto"/>
        <w:ind w:firstLine="425"/>
        <w:jc w:val="both"/>
      </w:pPr>
      <w:r w:rsidRPr="00551A03">
        <w:t xml:space="preserve">Довольно </w:t>
      </w:r>
      <w:r w:rsidR="00E73214" w:rsidRPr="00551A03">
        <w:t>распрост</w:t>
      </w:r>
      <w:r w:rsidR="00174BB7" w:rsidRPr="00551A03">
        <w:t>р</w:t>
      </w:r>
      <w:r w:rsidR="00E73214" w:rsidRPr="00551A03">
        <w:t xml:space="preserve">аненной </w:t>
      </w:r>
      <w:proofErr w:type="spellStart"/>
      <w:r w:rsidR="00E73214" w:rsidRPr="00551A03">
        <w:t>коморбидностью</w:t>
      </w:r>
      <w:proofErr w:type="spellEnd"/>
      <w:r w:rsidRPr="00551A03">
        <w:t xml:space="preserve"> </w:t>
      </w:r>
      <w:r w:rsidR="00E73214" w:rsidRPr="00551A03">
        <w:t xml:space="preserve">в </w:t>
      </w:r>
      <w:r w:rsidR="00815EEF" w:rsidRPr="00551A03">
        <w:t>структуре</w:t>
      </w:r>
      <w:r w:rsidRPr="00551A03">
        <w:t xml:space="preserve"> неинфекционных заболеваний внутренних органов </w:t>
      </w:r>
      <w:r w:rsidR="000B749B" w:rsidRPr="00551A03">
        <w:t xml:space="preserve">выступает сочетание хронической </w:t>
      </w:r>
      <w:proofErr w:type="spellStart"/>
      <w:r w:rsidR="000B749B" w:rsidRPr="00551A03">
        <w:t>обструктивной</w:t>
      </w:r>
      <w:proofErr w:type="spellEnd"/>
      <w:r w:rsidRPr="00551A03">
        <w:t xml:space="preserve"> </w:t>
      </w:r>
      <w:r w:rsidR="000B749B" w:rsidRPr="00551A03">
        <w:t xml:space="preserve">болезни </w:t>
      </w:r>
      <w:r w:rsidRPr="00551A03">
        <w:t>легких</w:t>
      </w:r>
      <w:r w:rsidR="000B749B" w:rsidRPr="00551A03">
        <w:t xml:space="preserve"> (ХОБЛ)</w:t>
      </w:r>
      <w:r w:rsidRPr="00551A03">
        <w:t xml:space="preserve"> и хронического панкреатита (ХП)</w:t>
      </w:r>
      <w:r w:rsidR="006E40A1" w:rsidRPr="006E40A1">
        <w:t xml:space="preserve"> </w:t>
      </w:r>
      <w:r w:rsidR="00993F14">
        <w:t>[1, 3</w:t>
      </w:r>
      <w:r w:rsidR="006E40A1" w:rsidRPr="00551A03">
        <w:t>]</w:t>
      </w:r>
      <w:r w:rsidRPr="00551A03">
        <w:t xml:space="preserve">. Данный "патологический тандем" является не только закономерным следствием значительной распространенности обеих нозологических единиц, но и результатом наличия ряда </w:t>
      </w:r>
      <w:r w:rsidR="000B749B" w:rsidRPr="00551A03">
        <w:t>общих</w:t>
      </w:r>
      <w:r w:rsidRPr="00551A03">
        <w:t xml:space="preserve"> факторов риска, </w:t>
      </w:r>
      <w:proofErr w:type="spellStart"/>
      <w:r w:rsidRPr="00551A03">
        <w:t>этиопатогенетически</w:t>
      </w:r>
      <w:r w:rsidR="000B749B" w:rsidRPr="00551A03">
        <w:t>х</w:t>
      </w:r>
      <w:proofErr w:type="spellEnd"/>
      <w:r w:rsidRPr="00551A03">
        <w:t xml:space="preserve"> звеньев и конечных точек. </w:t>
      </w:r>
    </w:p>
    <w:p w14:paraId="39B12CC0" w14:textId="1026C0EC" w:rsidR="00CD29B5" w:rsidRPr="00551A03" w:rsidRDefault="00B0778B" w:rsidP="00551A03">
      <w:pPr>
        <w:spacing w:line="360" w:lineRule="auto"/>
        <w:ind w:firstLine="425"/>
        <w:jc w:val="both"/>
      </w:pPr>
      <w:r w:rsidRPr="00551A03">
        <w:t>Достаточно частое сочетание хронических заболеваний пищеварительного тракта, а именно - хронического панкреатита и</w:t>
      </w:r>
      <w:r w:rsidR="00CD29B5" w:rsidRPr="00551A03">
        <w:t xml:space="preserve"> ХОБЛ, связывают не только с негативным влиянием вредных привычек - курение, злоупотребление алкоголем, что часто наблюдаются у данной категории больных, но и</w:t>
      </w:r>
      <w:r w:rsidR="00815EEF" w:rsidRPr="00551A03">
        <w:t xml:space="preserve"> с</w:t>
      </w:r>
      <w:r w:rsidR="00CD29B5" w:rsidRPr="00551A03">
        <w:t xml:space="preserve"> регулярным и длительным использованием различных лекарственных препаратов, хронической персистенцией бактерий, действием вирусов, многие из которых имеют тропизм</w:t>
      </w:r>
      <w:r w:rsidR="00247E12" w:rsidRPr="00551A03">
        <w:t xml:space="preserve"> как к </w:t>
      </w:r>
      <w:r w:rsidR="00DC7597" w:rsidRPr="00551A03">
        <w:t>легочной паренхиме</w:t>
      </w:r>
      <w:r w:rsidR="00247E12" w:rsidRPr="00551A03">
        <w:t>, так и</w:t>
      </w:r>
      <w:r w:rsidR="00CD29B5" w:rsidRPr="00551A03">
        <w:t xml:space="preserve"> к ткани поджелудочной железы [</w:t>
      </w:r>
      <w:r w:rsidR="00993F14">
        <w:t>2</w:t>
      </w:r>
      <w:r w:rsidR="00CD29B5" w:rsidRPr="00551A03">
        <w:t xml:space="preserve">, </w:t>
      </w:r>
      <w:r w:rsidR="00993F14">
        <w:t>3</w:t>
      </w:r>
      <w:r w:rsidR="00CD29B5" w:rsidRPr="00551A03">
        <w:t xml:space="preserve">, </w:t>
      </w:r>
      <w:r w:rsidR="00993F14">
        <w:t>4, 7</w:t>
      </w:r>
      <w:r w:rsidR="00CD29B5" w:rsidRPr="00551A03">
        <w:t xml:space="preserve">]. Кроме того, неоспоримым является тот факт, что любое хроническое заболевание приводит к повышенной нагрузке на иммунную систему, </w:t>
      </w:r>
      <w:r w:rsidR="00815EEF" w:rsidRPr="00551A03">
        <w:t xml:space="preserve">что </w:t>
      </w:r>
      <w:r w:rsidR="00CD29B5" w:rsidRPr="00551A03">
        <w:t>проявляется развитием вторичного иммунодефицита и снижением ре</w:t>
      </w:r>
      <w:r w:rsidR="00993F14">
        <w:t>активности организма</w:t>
      </w:r>
      <w:r w:rsidR="00CD29B5" w:rsidRPr="00551A03">
        <w:t>.</w:t>
      </w:r>
    </w:p>
    <w:p w14:paraId="5BB5DCAA" w14:textId="1657EAF7" w:rsidR="000A5690" w:rsidRPr="00551A03" w:rsidRDefault="000A5690" w:rsidP="00551A03">
      <w:pPr>
        <w:spacing w:line="360" w:lineRule="auto"/>
        <w:ind w:firstLine="425"/>
        <w:jc w:val="both"/>
      </w:pPr>
      <w:r w:rsidRPr="00551A03">
        <w:t xml:space="preserve">Распространенность ХП в общей структуре заболеваний пищеварительного тракта неодинакова в разных странах мира. Так, если среди населения Европы и США она составляет </w:t>
      </w:r>
      <w:r w:rsidRPr="00551A03">
        <w:lastRenderedPageBreak/>
        <w:t xml:space="preserve">26 случаев на 100 тыс. населения, то на юге Индии - 114-200 случаев </w:t>
      </w:r>
      <w:r w:rsidRPr="00993F14">
        <w:t>[</w:t>
      </w:r>
      <w:r w:rsidR="00993F14" w:rsidRPr="00993F14">
        <w:t>2</w:t>
      </w:r>
      <w:r w:rsidRPr="00993F14">
        <w:t>].</w:t>
      </w:r>
      <w:r w:rsidR="002754BE" w:rsidRPr="00551A03">
        <w:t xml:space="preserve"> Возникновение заболевания в </w:t>
      </w:r>
      <w:r w:rsidR="00A42FBE" w:rsidRPr="00551A03">
        <w:t>молодом</w:t>
      </w:r>
      <w:r w:rsidR="002754BE" w:rsidRPr="00551A03">
        <w:t xml:space="preserve"> </w:t>
      </w:r>
      <w:r w:rsidR="00815EEF" w:rsidRPr="00551A03">
        <w:t>и среднем возрасте, прогрессирующи</w:t>
      </w:r>
      <w:r w:rsidR="002754BE" w:rsidRPr="00551A03">
        <w:t xml:space="preserve">й характер течения ХП определяют его медицинскую и социальную значимость. Однако довольно часто в этом возрасте формируется и другая хроническая неинфекционная патология - ХОБЛ, </w:t>
      </w:r>
      <w:r w:rsidR="0075319E" w:rsidRPr="00551A03">
        <w:t xml:space="preserve">что </w:t>
      </w:r>
      <w:r w:rsidR="002754BE" w:rsidRPr="00551A03">
        <w:t>является основанием для изучения патогенетических аспектов взаимодействия данных нозологий</w:t>
      </w:r>
      <w:r w:rsidR="00A42FBE" w:rsidRPr="00551A03">
        <w:t xml:space="preserve"> и особенностей клинической манифестации</w:t>
      </w:r>
      <w:r w:rsidR="002754BE" w:rsidRPr="00551A03">
        <w:t xml:space="preserve">. </w:t>
      </w:r>
    </w:p>
    <w:p w14:paraId="71C80FFF" w14:textId="68D1787F" w:rsidR="0075319E" w:rsidRPr="00551A03" w:rsidRDefault="001C6FBC" w:rsidP="00551A03">
      <w:pPr>
        <w:spacing w:line="360" w:lineRule="auto"/>
        <w:ind w:firstLine="425"/>
        <w:jc w:val="both"/>
      </w:pPr>
      <w:r w:rsidRPr="00551A03">
        <w:t>Согласно последней редакции Глобальной Инициативы по ХОБЛ</w:t>
      </w:r>
      <w:r w:rsidRPr="00551A03">
        <w:rPr>
          <w:color w:val="FF0000"/>
        </w:rPr>
        <w:t xml:space="preserve"> </w:t>
      </w:r>
      <w:r w:rsidRPr="00551A03">
        <w:t xml:space="preserve">(GOLD, 2015), ХОБЛ определяется как «заболевание, </w:t>
      </w:r>
      <w:r w:rsidR="00EB3187" w:rsidRPr="00551A03">
        <w:t xml:space="preserve">которое </w:t>
      </w:r>
      <w:r w:rsidRPr="00551A03">
        <w:t xml:space="preserve">можно </w:t>
      </w:r>
      <w:r w:rsidR="007562F5" w:rsidRPr="00551A03">
        <w:t>предотвратить</w:t>
      </w:r>
      <w:r w:rsidRPr="00551A03">
        <w:t xml:space="preserve"> и </w:t>
      </w:r>
      <w:r w:rsidR="007562F5" w:rsidRPr="00551A03">
        <w:t>лечить</w:t>
      </w:r>
      <w:r w:rsidR="001F191F" w:rsidRPr="00551A03">
        <w:t xml:space="preserve">, </w:t>
      </w:r>
      <w:r w:rsidR="001F191F" w:rsidRPr="00551A03">
        <w:rPr>
          <w:iCs/>
        </w:rPr>
        <w:t xml:space="preserve">характеризующееся </w:t>
      </w:r>
      <w:proofErr w:type="spellStart"/>
      <w:r w:rsidR="001F191F" w:rsidRPr="00551A03">
        <w:rPr>
          <w:iCs/>
        </w:rPr>
        <w:t>персистирующим</w:t>
      </w:r>
      <w:proofErr w:type="spellEnd"/>
      <w:r w:rsidR="001F191F" w:rsidRPr="00551A03">
        <w:rPr>
          <w:iCs/>
        </w:rPr>
        <w:t xml:space="preserve"> ограничением скорости воздушного потока, которое обычно прогрессирует и связано с повышенным хроническим воспалительным ответом легких на </w:t>
      </w:r>
      <w:r w:rsidR="007905E6" w:rsidRPr="00551A03">
        <w:rPr>
          <w:iCs/>
        </w:rPr>
        <w:t>действие</w:t>
      </w:r>
      <w:r w:rsidR="001F191F" w:rsidRPr="00551A03">
        <w:rPr>
          <w:iCs/>
        </w:rPr>
        <w:t xml:space="preserve"> патогенных частиц или газов. У ряда пациентов обострения и сопутствующие заболевания могут влиять на общую тяжесть ХОБЛ</w:t>
      </w:r>
      <w:r w:rsidRPr="00551A03">
        <w:t>»</w:t>
      </w:r>
      <w:r w:rsidR="00715EB0" w:rsidRPr="00551A03">
        <w:t xml:space="preserve"> </w:t>
      </w:r>
      <w:r w:rsidR="00D53F88">
        <w:t>[8</w:t>
      </w:r>
      <w:r w:rsidRPr="00551A03">
        <w:t xml:space="preserve">]. То есть, неотъемлемым признаком ХОБЛ, как и </w:t>
      </w:r>
      <w:r w:rsidR="00012438" w:rsidRPr="00551A03">
        <w:t xml:space="preserve">любой </w:t>
      </w:r>
      <w:r w:rsidRPr="00551A03">
        <w:t xml:space="preserve">другой хронической </w:t>
      </w:r>
      <w:r w:rsidR="00012438" w:rsidRPr="00551A03">
        <w:t>нозологии</w:t>
      </w:r>
      <w:r w:rsidRPr="00551A03">
        <w:t>, является постоянное, с каждым обострением, прогрессирование патологического процесса,</w:t>
      </w:r>
      <w:r w:rsidR="00012438" w:rsidRPr="00551A03">
        <w:t xml:space="preserve"> что</w:t>
      </w:r>
      <w:r w:rsidRPr="00551A03">
        <w:t xml:space="preserve"> неизменно приводит к необратимому </w:t>
      </w:r>
      <w:r w:rsidR="00012438" w:rsidRPr="00551A03">
        <w:t>угасанию</w:t>
      </w:r>
      <w:r w:rsidRPr="00551A03">
        <w:t xml:space="preserve"> легочной функции, а наличие </w:t>
      </w:r>
      <w:proofErr w:type="spellStart"/>
      <w:r w:rsidR="00012438" w:rsidRPr="00551A03">
        <w:t>коморбидного</w:t>
      </w:r>
      <w:proofErr w:type="spellEnd"/>
      <w:r w:rsidR="00012438" w:rsidRPr="00551A03">
        <w:t xml:space="preserve"> состояния</w:t>
      </w:r>
      <w:r w:rsidRPr="00551A03">
        <w:t xml:space="preserve"> может негативно влиять на </w:t>
      </w:r>
      <w:r w:rsidR="00050AB4" w:rsidRPr="00551A03">
        <w:t>течение</w:t>
      </w:r>
      <w:r w:rsidRPr="00551A03">
        <w:t xml:space="preserve"> ХОБЛ и у</w:t>
      </w:r>
      <w:r w:rsidR="00012438" w:rsidRPr="00551A03">
        <w:t>суг</w:t>
      </w:r>
      <w:r w:rsidRPr="00551A03">
        <w:t>убл</w:t>
      </w:r>
      <w:r w:rsidR="00012438" w:rsidRPr="00551A03">
        <w:t>ять патологические изменения у</w:t>
      </w:r>
      <w:r w:rsidRPr="00551A03">
        <w:t xml:space="preserve"> таких больных. </w:t>
      </w:r>
    </w:p>
    <w:p w14:paraId="666B1770" w14:textId="305262E9" w:rsidR="001C6FBC" w:rsidRPr="00551A03" w:rsidRDefault="00A42FBE" w:rsidP="00551A03">
      <w:pPr>
        <w:spacing w:line="360" w:lineRule="auto"/>
        <w:ind w:firstLine="425"/>
        <w:jc w:val="both"/>
      </w:pPr>
      <w:r w:rsidRPr="00551A03">
        <w:t xml:space="preserve">Развитие и прогрессирование </w:t>
      </w:r>
      <w:r w:rsidR="002F1B3E" w:rsidRPr="00551A03">
        <w:t>как ХП, так и ХОБЛ</w:t>
      </w:r>
      <w:r w:rsidRPr="00551A03">
        <w:t xml:space="preserve"> связывают с последовательным запуском целого ряда</w:t>
      </w:r>
      <w:r w:rsidR="002F1B3E" w:rsidRPr="00551A03">
        <w:t xml:space="preserve"> общих</w:t>
      </w:r>
      <w:r w:rsidRPr="00551A03">
        <w:t xml:space="preserve"> патогенетических звеньев, что приводит к нарушениям гормонального и иммунного гомеостаза, которые, в свою очередь, обусловливают развитие эндогенного интоксикационного синдрома</w:t>
      </w:r>
      <w:r w:rsidR="006567E5" w:rsidRPr="00551A03">
        <w:t>, системного воспалени</w:t>
      </w:r>
      <w:r w:rsidR="0075319E" w:rsidRPr="00551A03">
        <w:t>я</w:t>
      </w:r>
      <w:r w:rsidR="006567E5" w:rsidRPr="00551A03">
        <w:t xml:space="preserve">, аутоиммунного </w:t>
      </w:r>
      <w:proofErr w:type="spellStart"/>
      <w:r w:rsidR="006567E5" w:rsidRPr="00551A03">
        <w:t>дистресс</w:t>
      </w:r>
      <w:proofErr w:type="spellEnd"/>
      <w:r w:rsidR="006567E5" w:rsidRPr="00551A03">
        <w:t>-синдрома</w:t>
      </w:r>
      <w:r w:rsidR="00D53F88">
        <w:t xml:space="preserve"> [5, 6, 8, 9</w:t>
      </w:r>
      <w:r w:rsidRPr="00551A03">
        <w:t xml:space="preserve">]. В таком случае можно предположить, что </w:t>
      </w:r>
      <w:r w:rsidR="006567E5" w:rsidRPr="00551A03">
        <w:t xml:space="preserve">наличие </w:t>
      </w:r>
      <w:r w:rsidRPr="00551A03">
        <w:t xml:space="preserve">ХП </w:t>
      </w:r>
      <w:r w:rsidR="006567E5" w:rsidRPr="00551A03">
        <w:t>у пациент</w:t>
      </w:r>
      <w:r w:rsidR="009A7976" w:rsidRPr="00551A03">
        <w:t>ов</w:t>
      </w:r>
      <w:r w:rsidR="006567E5" w:rsidRPr="00551A03">
        <w:t xml:space="preserve"> с</w:t>
      </w:r>
      <w:r w:rsidRPr="00551A03">
        <w:t xml:space="preserve"> ХОБЛ может </w:t>
      </w:r>
      <w:r w:rsidR="006567E5" w:rsidRPr="00551A03">
        <w:t>“окра</w:t>
      </w:r>
      <w:r w:rsidR="009A7976" w:rsidRPr="00551A03">
        <w:t>шивать</w:t>
      </w:r>
      <w:r w:rsidR="006567E5" w:rsidRPr="00551A03">
        <w:t>”</w:t>
      </w:r>
      <w:r w:rsidRPr="00551A03">
        <w:t xml:space="preserve"> клиническую </w:t>
      </w:r>
      <w:r w:rsidR="006567E5" w:rsidRPr="00551A03">
        <w:t>манифестацию</w:t>
      </w:r>
      <w:r w:rsidR="001408E4" w:rsidRPr="00551A03">
        <w:t>, приводить к</w:t>
      </w:r>
      <w:r w:rsidRPr="00551A03">
        <w:t xml:space="preserve"> </w:t>
      </w:r>
      <w:r w:rsidR="001408E4" w:rsidRPr="00551A03">
        <w:t>усугублению</w:t>
      </w:r>
      <w:r w:rsidR="00DA5933" w:rsidRPr="00551A03">
        <w:t xml:space="preserve"> патологических</w:t>
      </w:r>
      <w:r w:rsidRPr="00551A03">
        <w:t xml:space="preserve"> </w:t>
      </w:r>
      <w:r w:rsidR="00DA5933" w:rsidRPr="00551A03">
        <w:t>девиаций</w:t>
      </w:r>
      <w:r w:rsidR="009A7976" w:rsidRPr="00551A03">
        <w:t xml:space="preserve">, формированию осложнений и ранней </w:t>
      </w:r>
      <w:proofErr w:type="spellStart"/>
      <w:r w:rsidR="009A7976" w:rsidRPr="00551A03">
        <w:t>инвалидизации</w:t>
      </w:r>
      <w:proofErr w:type="spellEnd"/>
      <w:r w:rsidRPr="00551A03">
        <w:t>.</w:t>
      </w:r>
      <w:r w:rsidR="001408E4" w:rsidRPr="00551A03">
        <w:t xml:space="preserve"> </w:t>
      </w:r>
      <w:r w:rsidR="001C6FBC" w:rsidRPr="00551A03">
        <w:t>Все вышесказанное обусловило проведение данного исследования.</w:t>
      </w:r>
    </w:p>
    <w:p w14:paraId="020047AE" w14:textId="36B0BF28" w:rsidR="001C6FBC" w:rsidRPr="00551A03" w:rsidRDefault="007905E6" w:rsidP="00551A03">
      <w:pPr>
        <w:spacing w:line="360" w:lineRule="auto"/>
        <w:ind w:firstLine="425"/>
        <w:jc w:val="both"/>
      </w:pPr>
      <w:r w:rsidRPr="00551A03">
        <w:rPr>
          <w:b/>
        </w:rPr>
        <w:t xml:space="preserve">Цель исследования: </w:t>
      </w:r>
      <w:r w:rsidRPr="00551A03">
        <w:t>выяв</w:t>
      </w:r>
      <w:r w:rsidR="00715EB0" w:rsidRPr="00551A03">
        <w:t>ить особенности клиническо</w:t>
      </w:r>
      <w:r w:rsidR="001408E4" w:rsidRPr="00551A03">
        <w:t>й</w:t>
      </w:r>
      <w:r w:rsidR="00715EB0" w:rsidRPr="00551A03">
        <w:t xml:space="preserve"> </w:t>
      </w:r>
      <w:r w:rsidR="001408E4" w:rsidRPr="00551A03">
        <w:t>манифестации</w:t>
      </w:r>
      <w:r w:rsidR="001C6FBC" w:rsidRPr="00551A03">
        <w:t xml:space="preserve"> </w:t>
      </w:r>
      <w:r w:rsidR="00615701" w:rsidRPr="00551A03">
        <w:t xml:space="preserve">хронической </w:t>
      </w:r>
      <w:proofErr w:type="spellStart"/>
      <w:r w:rsidR="00615701" w:rsidRPr="00551A03">
        <w:t>обструктивной</w:t>
      </w:r>
      <w:proofErr w:type="spellEnd"/>
      <w:r w:rsidR="00615701" w:rsidRPr="00551A03">
        <w:t xml:space="preserve"> болезни легких</w:t>
      </w:r>
      <w:r w:rsidR="001C6FBC" w:rsidRPr="00551A03">
        <w:t xml:space="preserve"> у </w:t>
      </w:r>
      <w:r w:rsidR="00715EB0" w:rsidRPr="00551A03">
        <w:t>пациентов с</w:t>
      </w:r>
      <w:r w:rsidR="001C6FBC" w:rsidRPr="00551A03">
        <w:t xml:space="preserve"> хроническим панкреатитом.</w:t>
      </w:r>
    </w:p>
    <w:p w14:paraId="48B6D1C0" w14:textId="11AE4036" w:rsidR="001C6FBC" w:rsidRPr="00551A03" w:rsidRDefault="001C6FBC" w:rsidP="00551A03">
      <w:pPr>
        <w:spacing w:line="360" w:lineRule="auto"/>
        <w:ind w:firstLine="425"/>
        <w:jc w:val="both"/>
      </w:pPr>
      <w:r w:rsidRPr="00551A03">
        <w:rPr>
          <w:b/>
        </w:rPr>
        <w:t xml:space="preserve">Материалы и методы. </w:t>
      </w:r>
      <w:r w:rsidR="00CF186D">
        <w:t>Обследован</w:t>
      </w:r>
      <w:r w:rsidRPr="00551A03">
        <w:t xml:space="preserve"> 121 </w:t>
      </w:r>
      <w:r w:rsidR="00DA5933" w:rsidRPr="00551A03">
        <w:t>пациент</w:t>
      </w:r>
      <w:r w:rsidR="006406E8" w:rsidRPr="00551A03">
        <w:t>,</w:t>
      </w:r>
      <w:r w:rsidRPr="00551A03">
        <w:t xml:space="preserve"> </w:t>
      </w:r>
      <w:r w:rsidR="006406E8" w:rsidRPr="00551A03">
        <w:t xml:space="preserve">среди которых </w:t>
      </w:r>
      <w:r w:rsidRPr="00551A03">
        <w:t xml:space="preserve">67 </w:t>
      </w:r>
      <w:r w:rsidR="00DA5933" w:rsidRPr="00551A03">
        <w:t>больных</w:t>
      </w:r>
      <w:r w:rsidRPr="00551A03">
        <w:t xml:space="preserve"> с сочетанным течением </w:t>
      </w:r>
      <w:r w:rsidR="006406E8" w:rsidRPr="00551A03">
        <w:t xml:space="preserve">ХП </w:t>
      </w:r>
      <w:r w:rsidRPr="00551A03">
        <w:t xml:space="preserve">и </w:t>
      </w:r>
      <w:r w:rsidR="006406E8" w:rsidRPr="00551A03">
        <w:t xml:space="preserve">ХОБЛ </w:t>
      </w:r>
      <w:r w:rsidRPr="00551A03">
        <w:t xml:space="preserve">(основная группа) и 54 </w:t>
      </w:r>
      <w:r w:rsidR="00DA5933" w:rsidRPr="00551A03">
        <w:t>-</w:t>
      </w:r>
      <w:r w:rsidRPr="00551A03">
        <w:t xml:space="preserve"> с изолированным</w:t>
      </w:r>
      <w:r w:rsidR="006406E8" w:rsidRPr="00551A03">
        <w:t xml:space="preserve"> течением</w:t>
      </w:r>
      <w:r w:rsidRPr="00551A03">
        <w:t xml:space="preserve"> ХОБЛ (группа сравнения). В работе принимали участие пациенты с I и II степенью бронхиальной обструкции: 18 (26,9%) лиц с ХОБЛ и ХП имели</w:t>
      </w:r>
      <w:r w:rsidR="00BB79C0" w:rsidRPr="00551A03">
        <w:t xml:space="preserve"> спирометрический класс</w:t>
      </w:r>
      <w:r w:rsidRPr="00551A03">
        <w:t xml:space="preserve"> </w:t>
      </w:r>
      <w:r w:rsidR="00BB79C0" w:rsidRPr="00551A03">
        <w:rPr>
          <w:bCs/>
        </w:rPr>
        <w:t>GOLD 1</w:t>
      </w:r>
      <w:r w:rsidRPr="00551A03">
        <w:t xml:space="preserve">, 49 (73,1%) больных - </w:t>
      </w:r>
      <w:r w:rsidR="00BB79C0" w:rsidRPr="00551A03">
        <w:rPr>
          <w:bCs/>
        </w:rPr>
        <w:t>GOLD 2</w:t>
      </w:r>
      <w:r w:rsidRPr="00551A03">
        <w:t>; в группе сравнения данные значения составили - 13 (24,1%) и 41 (75,9%) человек соответственно.</w:t>
      </w:r>
      <w:r w:rsidR="00D4556A" w:rsidRPr="00551A03">
        <w:t xml:space="preserve"> Возраст больных основной группы колебался от 28 до 65 лет, в среднем - 46,9±5,8 лет,  пациентов с изолированной ХОБЛ</w:t>
      </w:r>
      <w:r w:rsidR="00927D53" w:rsidRPr="00551A03">
        <w:t xml:space="preserve"> -</w:t>
      </w:r>
      <w:r w:rsidR="00D4556A" w:rsidRPr="00551A03">
        <w:t xml:space="preserve"> в пределах от</w:t>
      </w:r>
      <w:r w:rsidR="00927D53" w:rsidRPr="00551A03">
        <w:t xml:space="preserve"> 30 до 68 лет, в среднем  - 48,1±7</w:t>
      </w:r>
      <w:r w:rsidR="00D4556A" w:rsidRPr="00551A03">
        <w:t>,</w:t>
      </w:r>
      <w:r w:rsidR="00927D53" w:rsidRPr="00551A03">
        <w:t>9</w:t>
      </w:r>
      <w:r w:rsidR="00AB33F3" w:rsidRPr="00551A03">
        <w:t xml:space="preserve"> лет. Продолжительность анамнеза </w:t>
      </w:r>
      <w:r w:rsidR="00A12B4A" w:rsidRPr="00551A03">
        <w:t>ХП у больных основной группы составляла 3 - 2</w:t>
      </w:r>
      <w:r w:rsidR="00A37BEC" w:rsidRPr="00551A03">
        <w:t>3 года</w:t>
      </w:r>
      <w:r w:rsidR="00A12B4A" w:rsidRPr="00551A03">
        <w:t>, в среднем 11,</w:t>
      </w:r>
      <w:r w:rsidR="00A37BEC" w:rsidRPr="00551A03">
        <w:t>7</w:t>
      </w:r>
      <w:r w:rsidR="00A12B4A" w:rsidRPr="00551A03">
        <w:t>±4,</w:t>
      </w:r>
      <w:r w:rsidR="00A37BEC" w:rsidRPr="00551A03">
        <w:t>6</w:t>
      </w:r>
      <w:r w:rsidR="00A12B4A" w:rsidRPr="00551A03">
        <w:t xml:space="preserve"> лет, </w:t>
      </w:r>
      <w:r w:rsidR="00AB33F3" w:rsidRPr="00551A03">
        <w:t xml:space="preserve">ХОБЛ </w:t>
      </w:r>
      <w:r w:rsidR="00A12B4A" w:rsidRPr="00551A03">
        <w:t xml:space="preserve"> - </w:t>
      </w:r>
      <w:r w:rsidR="00AB33F3" w:rsidRPr="00551A03">
        <w:t>о</w:t>
      </w:r>
      <w:r w:rsidR="00FF1333" w:rsidRPr="00551A03">
        <w:t xml:space="preserve">т 2 до 22 </w:t>
      </w:r>
      <w:r w:rsidR="00A37BEC" w:rsidRPr="00551A03">
        <w:t>года</w:t>
      </w:r>
      <w:r w:rsidR="00FF1333" w:rsidRPr="00551A03">
        <w:t xml:space="preserve">, </w:t>
      </w:r>
      <w:r w:rsidR="00A12B4A" w:rsidRPr="00551A03">
        <w:t>средняя продолжительность</w:t>
      </w:r>
      <w:r w:rsidR="00FF1333" w:rsidRPr="00551A03">
        <w:t xml:space="preserve"> 13,</w:t>
      </w:r>
      <w:r w:rsidR="00A37BEC" w:rsidRPr="00551A03">
        <w:t>2</w:t>
      </w:r>
      <w:r w:rsidR="00FF1333" w:rsidRPr="00551A03">
        <w:t>±</w:t>
      </w:r>
      <w:r w:rsidR="00AB33F3" w:rsidRPr="00551A03">
        <w:t>4,</w:t>
      </w:r>
      <w:r w:rsidR="00A37BEC" w:rsidRPr="00551A03">
        <w:t>1</w:t>
      </w:r>
      <w:r w:rsidR="00AB33F3" w:rsidRPr="00551A03">
        <w:t xml:space="preserve"> </w:t>
      </w:r>
      <w:r w:rsidR="00AB33F3" w:rsidRPr="00551A03">
        <w:lastRenderedPageBreak/>
        <w:t xml:space="preserve">года. В группе сравнения </w:t>
      </w:r>
      <w:r w:rsidR="00AD24D1" w:rsidRPr="00551A03">
        <w:t>анамнез</w:t>
      </w:r>
      <w:r w:rsidR="00A12B4A" w:rsidRPr="00551A03">
        <w:t xml:space="preserve"> ХОБЛ составил</w:t>
      </w:r>
      <w:r w:rsidR="00A37BEC" w:rsidRPr="00551A03">
        <w:t xml:space="preserve"> 2 - 23 года</w:t>
      </w:r>
      <w:r w:rsidR="00AB33F3" w:rsidRPr="00551A03">
        <w:t xml:space="preserve">, </w:t>
      </w:r>
      <w:r w:rsidR="00A37BEC" w:rsidRPr="00551A03">
        <w:t xml:space="preserve">при </w:t>
      </w:r>
      <w:r w:rsidR="00AB33F3" w:rsidRPr="00551A03">
        <w:t xml:space="preserve">среднем </w:t>
      </w:r>
      <w:r w:rsidR="00A37BEC" w:rsidRPr="00551A03">
        <w:t xml:space="preserve">значении </w:t>
      </w:r>
      <w:r w:rsidR="00AB33F3" w:rsidRPr="00551A03">
        <w:t>12,</w:t>
      </w:r>
      <w:r w:rsidR="00917C37" w:rsidRPr="00551A03">
        <w:t>7</w:t>
      </w:r>
      <w:r w:rsidR="009666B6" w:rsidRPr="00551A03">
        <w:t>±</w:t>
      </w:r>
      <w:r w:rsidR="00AB33F3" w:rsidRPr="00551A03">
        <w:t>4,</w:t>
      </w:r>
      <w:r w:rsidR="00917C37" w:rsidRPr="00551A03">
        <w:t>7</w:t>
      </w:r>
      <w:r w:rsidR="00AB33F3" w:rsidRPr="00551A03">
        <w:t xml:space="preserve"> лет</w:t>
      </w:r>
      <w:r w:rsidR="00890C65" w:rsidRPr="00551A03">
        <w:t>.</w:t>
      </w:r>
    </w:p>
    <w:p w14:paraId="2899A026" w14:textId="29C4CB65" w:rsidR="001C6FBC" w:rsidRPr="00551A03" w:rsidRDefault="001C6FBC" w:rsidP="00551A03">
      <w:pPr>
        <w:spacing w:line="360" w:lineRule="auto"/>
        <w:ind w:firstLine="425"/>
        <w:jc w:val="both"/>
      </w:pPr>
      <w:r w:rsidRPr="00551A03">
        <w:t>Для оце</w:t>
      </w:r>
      <w:r w:rsidR="007D5F31" w:rsidRPr="00551A03">
        <w:t>нки степени выраженности одышки как ведущего симптома</w:t>
      </w:r>
      <w:r w:rsidRPr="00551A03">
        <w:t xml:space="preserve"> ХО</w:t>
      </w:r>
      <w:r w:rsidR="00030470" w:rsidRPr="00551A03">
        <w:t>БЛ использовали модифицированную шкалу</w:t>
      </w:r>
      <w:r w:rsidRPr="00551A03">
        <w:t xml:space="preserve"> одышки </w:t>
      </w:r>
      <w:proofErr w:type="spellStart"/>
      <w:r w:rsidRPr="00551A03">
        <w:t>Modified</w:t>
      </w:r>
      <w:proofErr w:type="spellEnd"/>
      <w:r w:rsidRPr="00551A03">
        <w:t xml:space="preserve"> </w:t>
      </w:r>
      <w:proofErr w:type="spellStart"/>
      <w:r w:rsidRPr="00551A03">
        <w:t>Medical</w:t>
      </w:r>
      <w:proofErr w:type="spellEnd"/>
      <w:r w:rsidRPr="00551A03">
        <w:t xml:space="preserve"> </w:t>
      </w:r>
      <w:proofErr w:type="spellStart"/>
      <w:r w:rsidRPr="00551A03">
        <w:t>Research</w:t>
      </w:r>
      <w:proofErr w:type="spellEnd"/>
      <w:r w:rsidRPr="00551A03">
        <w:t xml:space="preserve"> </w:t>
      </w:r>
      <w:proofErr w:type="spellStart"/>
      <w:r w:rsidRPr="00551A03">
        <w:t>Council</w:t>
      </w:r>
      <w:proofErr w:type="spellEnd"/>
      <w:r w:rsidRPr="00551A03">
        <w:t xml:space="preserve"> (</w:t>
      </w:r>
      <w:proofErr w:type="spellStart"/>
      <w:r w:rsidRPr="00551A03">
        <w:t>mMRC</w:t>
      </w:r>
      <w:proofErr w:type="spellEnd"/>
      <w:r w:rsidRPr="00551A03">
        <w:t xml:space="preserve">) </w:t>
      </w:r>
      <w:proofErr w:type="spellStart"/>
      <w:r w:rsidRPr="00551A03">
        <w:t>Dyspnea</w:t>
      </w:r>
      <w:proofErr w:type="spellEnd"/>
      <w:r w:rsidRPr="00551A03">
        <w:t xml:space="preserve"> </w:t>
      </w:r>
      <w:proofErr w:type="spellStart"/>
      <w:r w:rsidRPr="00551A03">
        <w:t>Scale</w:t>
      </w:r>
      <w:proofErr w:type="spellEnd"/>
      <w:r w:rsidRPr="00551A03">
        <w:t xml:space="preserve"> (табл. 1).</w:t>
      </w:r>
    </w:p>
    <w:p w14:paraId="28A18CC6" w14:textId="77777777" w:rsidR="001C6FBC" w:rsidRPr="00551A03" w:rsidRDefault="001C6FBC" w:rsidP="00551A03">
      <w:pPr>
        <w:spacing w:line="360" w:lineRule="auto"/>
        <w:ind w:firstLine="425"/>
        <w:jc w:val="right"/>
        <w:rPr>
          <w:b/>
        </w:rPr>
      </w:pPr>
      <w:r w:rsidRPr="00551A03">
        <w:rPr>
          <w:b/>
        </w:rPr>
        <w:t>Таблица 1</w:t>
      </w:r>
    </w:p>
    <w:p w14:paraId="31B5FC45" w14:textId="225BCD04" w:rsidR="00547C05" w:rsidRPr="00551A03" w:rsidRDefault="007D5F31" w:rsidP="00551A03">
      <w:pPr>
        <w:spacing w:line="360" w:lineRule="auto"/>
        <w:ind w:firstLine="425"/>
        <w:jc w:val="center"/>
        <w:rPr>
          <w:b/>
          <w:bCs/>
        </w:rPr>
      </w:pPr>
      <w:r w:rsidRPr="00551A03">
        <w:rPr>
          <w:b/>
        </w:rPr>
        <w:t>Модифицированная ш</w:t>
      </w:r>
      <w:r w:rsidR="001C6FBC" w:rsidRPr="00551A03">
        <w:rPr>
          <w:b/>
        </w:rPr>
        <w:t xml:space="preserve">кала одышки </w:t>
      </w:r>
      <w:proofErr w:type="spellStart"/>
      <w:r w:rsidR="001C6FBC" w:rsidRPr="00551A03">
        <w:rPr>
          <w:b/>
        </w:rPr>
        <w:t>Modified</w:t>
      </w:r>
      <w:proofErr w:type="spellEnd"/>
      <w:r w:rsidR="001C6FBC" w:rsidRPr="00551A03">
        <w:rPr>
          <w:b/>
        </w:rPr>
        <w:t xml:space="preserve"> </w:t>
      </w:r>
      <w:proofErr w:type="spellStart"/>
      <w:r w:rsidR="001C6FBC" w:rsidRPr="00551A03">
        <w:rPr>
          <w:b/>
        </w:rPr>
        <w:t>Medical</w:t>
      </w:r>
      <w:proofErr w:type="spellEnd"/>
      <w:r w:rsidR="001C6FBC" w:rsidRPr="00551A03">
        <w:rPr>
          <w:b/>
        </w:rPr>
        <w:t xml:space="preserve"> </w:t>
      </w:r>
      <w:proofErr w:type="spellStart"/>
      <w:r w:rsidR="001C6FBC" w:rsidRPr="00551A03">
        <w:rPr>
          <w:b/>
        </w:rPr>
        <w:t>Research</w:t>
      </w:r>
      <w:proofErr w:type="spellEnd"/>
      <w:r w:rsidR="001C6FBC" w:rsidRPr="00551A03">
        <w:rPr>
          <w:b/>
        </w:rPr>
        <w:t xml:space="preserve"> </w:t>
      </w:r>
      <w:proofErr w:type="spellStart"/>
      <w:r w:rsidR="001C6FBC" w:rsidRPr="00551A03">
        <w:rPr>
          <w:b/>
        </w:rPr>
        <w:t>Council</w:t>
      </w:r>
      <w:proofErr w:type="spellEnd"/>
      <w:r w:rsidR="001C6FBC" w:rsidRPr="00551A03">
        <w:rPr>
          <w:b/>
        </w:rPr>
        <w:t xml:space="preserve"> (</w:t>
      </w:r>
      <w:proofErr w:type="spellStart"/>
      <w:r w:rsidR="001C6FBC" w:rsidRPr="00551A03">
        <w:rPr>
          <w:b/>
        </w:rPr>
        <w:t>mMRC</w:t>
      </w:r>
      <w:proofErr w:type="spellEnd"/>
      <w:r w:rsidR="001C6FBC" w:rsidRPr="00551A03">
        <w:rPr>
          <w:b/>
        </w:rPr>
        <w:t xml:space="preserve">) </w:t>
      </w:r>
      <w:proofErr w:type="spellStart"/>
      <w:r w:rsidR="001C6FBC" w:rsidRPr="00551A03">
        <w:rPr>
          <w:b/>
        </w:rPr>
        <w:t>Dyspnea</w:t>
      </w:r>
      <w:proofErr w:type="spellEnd"/>
      <w:r w:rsidR="001C6FBC" w:rsidRPr="00551A03">
        <w:rPr>
          <w:b/>
        </w:rPr>
        <w:t xml:space="preserve"> </w:t>
      </w:r>
      <w:proofErr w:type="spellStart"/>
      <w:r w:rsidR="001C6FBC" w:rsidRPr="00551A03">
        <w:rPr>
          <w:b/>
        </w:rPr>
        <w:t>Scale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482"/>
        <w:gridCol w:w="7031"/>
      </w:tblGrid>
      <w:tr w:rsidR="00547C05" w:rsidRPr="00551A03" w14:paraId="6B5EEC13" w14:textId="77777777" w:rsidTr="00F340D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B26" w14:textId="03639720" w:rsidR="00547C05" w:rsidRPr="00551A03" w:rsidRDefault="004E7C68" w:rsidP="006E40A1">
            <w:pPr>
              <w:spacing w:line="360" w:lineRule="auto"/>
              <w:jc w:val="center"/>
              <w:rPr>
                <w:rFonts w:eastAsia="MS ??"/>
                <w:bCs/>
              </w:rPr>
            </w:pPr>
            <w:r w:rsidRPr="00551A03">
              <w:rPr>
                <w:bCs/>
              </w:rPr>
              <w:t>Степень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09A" w14:textId="600F7ED8" w:rsidR="00547C05" w:rsidRPr="00551A03" w:rsidRDefault="00547C05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Тя</w:t>
            </w:r>
            <w:r w:rsidR="004E7C68" w:rsidRPr="00551A03">
              <w:rPr>
                <w:bCs/>
              </w:rPr>
              <w:t>же</w:t>
            </w:r>
            <w:r w:rsidRPr="00551A03">
              <w:rPr>
                <w:bCs/>
              </w:rPr>
              <w:t>сть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EF2" w14:textId="0F39AC0C" w:rsidR="00547C05" w:rsidRPr="00551A03" w:rsidRDefault="004E7C68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Признаки</w:t>
            </w:r>
          </w:p>
        </w:tc>
      </w:tr>
      <w:tr w:rsidR="00547C05" w:rsidRPr="00551A03" w14:paraId="1BDAE0D4" w14:textId="77777777" w:rsidTr="00F340D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DA8" w14:textId="77777777" w:rsidR="00547C05" w:rsidRPr="00551A03" w:rsidRDefault="00547C05" w:rsidP="006E40A1">
            <w:pPr>
              <w:spacing w:line="360" w:lineRule="auto"/>
              <w:jc w:val="center"/>
              <w:rPr>
                <w:rFonts w:eastAsia="MS ??"/>
                <w:bCs/>
              </w:rPr>
            </w:pPr>
            <w:r w:rsidRPr="00551A03">
              <w:rPr>
                <w:bCs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5280" w14:textId="72DF8ECA" w:rsidR="00547C05" w:rsidRPr="00551A03" w:rsidRDefault="004E7C68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Отсутствует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261" w14:textId="27052C35" w:rsidR="00547C05" w:rsidRPr="00551A03" w:rsidRDefault="00A90150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Одышка только при очень интенсивной нагрузке</w:t>
            </w:r>
          </w:p>
        </w:tc>
      </w:tr>
      <w:tr w:rsidR="00547C05" w:rsidRPr="00551A03" w14:paraId="44DFE87A" w14:textId="77777777" w:rsidTr="00F340D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379" w14:textId="77777777" w:rsidR="00547C05" w:rsidRPr="00551A03" w:rsidRDefault="00547C05" w:rsidP="006E40A1">
            <w:pPr>
              <w:spacing w:line="360" w:lineRule="auto"/>
              <w:jc w:val="center"/>
              <w:rPr>
                <w:rFonts w:eastAsia="MS ??"/>
                <w:bCs/>
              </w:rPr>
            </w:pPr>
            <w:r w:rsidRPr="00551A03">
              <w:rPr>
                <w:bCs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41D" w14:textId="0C7DC21D" w:rsidR="00547C05" w:rsidRPr="00551A03" w:rsidRDefault="00547C05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Легка</w:t>
            </w:r>
            <w:r w:rsidR="00A90150" w:rsidRPr="00551A03">
              <w:rPr>
                <w:bCs/>
              </w:rPr>
              <w:t>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721" w14:textId="46B65490" w:rsidR="00547C05" w:rsidRPr="00551A03" w:rsidRDefault="00A90150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Одышка при быстрой ходьбе, небольшом подъеме</w:t>
            </w:r>
          </w:p>
        </w:tc>
      </w:tr>
      <w:tr w:rsidR="00547C05" w:rsidRPr="00551A03" w14:paraId="27518FE5" w14:textId="77777777" w:rsidTr="00F340D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1D7" w14:textId="77777777" w:rsidR="00547C05" w:rsidRPr="00551A03" w:rsidRDefault="00547C05" w:rsidP="006E40A1">
            <w:pPr>
              <w:spacing w:line="360" w:lineRule="auto"/>
              <w:jc w:val="center"/>
              <w:rPr>
                <w:rFonts w:eastAsia="MS ??"/>
                <w:bCs/>
              </w:rPr>
            </w:pPr>
            <w:r w:rsidRPr="00551A03">
              <w:rPr>
                <w:bCs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6ED" w14:textId="2BD3A008" w:rsidR="00547C05" w:rsidRPr="00551A03" w:rsidRDefault="00A90150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С</w:t>
            </w:r>
            <w:r w:rsidR="00547C05" w:rsidRPr="00551A03">
              <w:rPr>
                <w:bCs/>
              </w:rPr>
              <w:t>редня</w:t>
            </w:r>
            <w:r w:rsidRPr="00551A03">
              <w:rPr>
                <w:bCs/>
              </w:rPr>
              <w:t>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234" w14:textId="584B7F27" w:rsidR="00547C05" w:rsidRPr="00551A03" w:rsidRDefault="00A90150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Одышка заставляет идти медленнее, чем люди того же возраста</w:t>
            </w:r>
          </w:p>
        </w:tc>
      </w:tr>
      <w:tr w:rsidR="00547C05" w:rsidRPr="00551A03" w14:paraId="2D506F2D" w14:textId="77777777" w:rsidTr="00F340D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735" w14:textId="77777777" w:rsidR="00547C05" w:rsidRPr="00551A03" w:rsidRDefault="00547C05" w:rsidP="006E40A1">
            <w:pPr>
              <w:spacing w:line="360" w:lineRule="auto"/>
              <w:jc w:val="center"/>
              <w:rPr>
                <w:rFonts w:eastAsia="MS ??"/>
                <w:bCs/>
              </w:rPr>
            </w:pPr>
            <w:r w:rsidRPr="00551A03">
              <w:rPr>
                <w:bCs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659" w14:textId="7415A01D" w:rsidR="00547C05" w:rsidRPr="00551A03" w:rsidRDefault="00A90150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Тяжелая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52D" w14:textId="717806E9" w:rsidR="00547C05" w:rsidRPr="00551A03" w:rsidRDefault="00A90150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Одышка заставляет делать остановку при ходьбе примерно каждые 100 метров</w:t>
            </w:r>
          </w:p>
        </w:tc>
      </w:tr>
      <w:tr w:rsidR="00221058" w:rsidRPr="00551A03" w14:paraId="4ADCFDF8" w14:textId="77777777" w:rsidTr="00F340D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68C" w14:textId="77777777" w:rsidR="00221058" w:rsidRPr="00551A03" w:rsidRDefault="00221058" w:rsidP="006E40A1">
            <w:pPr>
              <w:spacing w:line="360" w:lineRule="auto"/>
              <w:jc w:val="center"/>
              <w:rPr>
                <w:rFonts w:eastAsia="MS ??"/>
                <w:bCs/>
              </w:rPr>
            </w:pPr>
            <w:r w:rsidRPr="00551A03">
              <w:rPr>
                <w:bCs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A21" w14:textId="1DD1A382" w:rsidR="00221058" w:rsidRPr="00551A03" w:rsidRDefault="00221058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Очень тяжелая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059" w14:textId="63C5E5A8" w:rsidR="00221058" w:rsidRPr="00551A03" w:rsidRDefault="00F340D1" w:rsidP="006E40A1">
            <w:pPr>
              <w:spacing w:line="360" w:lineRule="auto"/>
              <w:jc w:val="both"/>
              <w:rPr>
                <w:rFonts w:eastAsia="MS ??"/>
                <w:bCs/>
              </w:rPr>
            </w:pPr>
            <w:r w:rsidRPr="00551A03">
              <w:rPr>
                <w:bCs/>
              </w:rPr>
              <w:t>Одышка не позволяет выйти из дома или появляется при переодевании</w:t>
            </w:r>
          </w:p>
        </w:tc>
      </w:tr>
    </w:tbl>
    <w:p w14:paraId="1B07F04F" w14:textId="77777777" w:rsidR="00547C05" w:rsidRPr="00551A03" w:rsidRDefault="00547C05" w:rsidP="00551A03">
      <w:pPr>
        <w:spacing w:line="360" w:lineRule="auto"/>
        <w:ind w:firstLine="425"/>
        <w:jc w:val="both"/>
        <w:rPr>
          <w:rFonts w:eastAsia="MS ??"/>
          <w:bCs/>
        </w:rPr>
      </w:pPr>
    </w:p>
    <w:p w14:paraId="3F87F2A1" w14:textId="1F7FE1AE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Оценка ведущих клиническ</w:t>
      </w:r>
      <w:r w:rsidR="00045F91" w:rsidRPr="00551A03">
        <w:rPr>
          <w:bCs/>
        </w:rPr>
        <w:t>их симптомов, таких как кашель,</w:t>
      </w:r>
      <w:r w:rsidRPr="00551A03">
        <w:rPr>
          <w:bCs/>
        </w:rPr>
        <w:t xml:space="preserve"> количество и цвет мокроты проводилась по 4-х балльной шкале симптомов </w:t>
      </w:r>
      <w:r w:rsidR="007D5F31" w:rsidRPr="00551A03">
        <w:rPr>
          <w:bCs/>
        </w:rPr>
        <w:t>пациентов с</w:t>
      </w:r>
      <w:r w:rsidRPr="00551A03">
        <w:rPr>
          <w:bCs/>
        </w:rPr>
        <w:t xml:space="preserve"> ХОБЛ (P</w:t>
      </w:r>
      <w:r w:rsidR="00AD24D1" w:rsidRPr="00551A03">
        <w:rPr>
          <w:bCs/>
        </w:rPr>
        <w:t>.</w:t>
      </w:r>
      <w:r w:rsidRPr="00551A03">
        <w:rPr>
          <w:bCs/>
        </w:rPr>
        <w:t>L</w:t>
      </w:r>
      <w:r w:rsidR="00AD24D1" w:rsidRPr="00551A03">
        <w:rPr>
          <w:bCs/>
        </w:rPr>
        <w:t>.</w:t>
      </w:r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Paggiaro</w:t>
      </w:r>
      <w:proofErr w:type="spellEnd"/>
      <w:r w:rsidRPr="00551A03">
        <w:rPr>
          <w:bCs/>
        </w:rPr>
        <w:t>, 1998): 0 - нет симптома, 1 - слабая выраженность, 2 - умеренная выраженность, 3 - сильная выраженность симптома.</w:t>
      </w:r>
    </w:p>
    <w:p w14:paraId="5D73D591" w14:textId="06164235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При интегральной оценке силы влияния ХОБЛ на конкретного пациента в соотв</w:t>
      </w:r>
      <w:r w:rsidR="004D43BC" w:rsidRPr="00551A03">
        <w:rPr>
          <w:bCs/>
        </w:rPr>
        <w:t>етствии с рекомендациями GOLD (</w:t>
      </w:r>
      <w:r w:rsidRPr="00551A03">
        <w:rPr>
          <w:bCs/>
        </w:rPr>
        <w:t>2015) выделяли четыре группы больных:</w:t>
      </w:r>
    </w:p>
    <w:p w14:paraId="3FD4F5AA" w14:textId="0103E71A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- Группа А - «низкий риск», «меньше симптомов» - пациенты с</w:t>
      </w:r>
      <w:r w:rsidR="00F673FD" w:rsidRPr="00551A03">
        <w:rPr>
          <w:bCs/>
        </w:rPr>
        <w:t>о</w:t>
      </w:r>
      <w:r w:rsidR="00014249" w:rsidRPr="00551A03">
        <w:rPr>
          <w:bCs/>
        </w:rPr>
        <w:t xml:space="preserve"> спирометрическим</w:t>
      </w:r>
      <w:r w:rsidRPr="00551A03">
        <w:rPr>
          <w:bCs/>
        </w:rPr>
        <w:t xml:space="preserve"> классом GOLD 1 и</w:t>
      </w:r>
      <w:r w:rsidR="00014249" w:rsidRPr="00551A03">
        <w:rPr>
          <w:bCs/>
        </w:rPr>
        <w:t>ли GOLD 2 и / или 0-1 обострение</w:t>
      </w:r>
      <w:r w:rsidRPr="00551A03">
        <w:rPr>
          <w:bCs/>
        </w:rPr>
        <w:t xml:space="preserve"> в год и степень 0-1 по </w:t>
      </w:r>
      <w:proofErr w:type="spellStart"/>
      <w:r w:rsidRPr="00551A03">
        <w:rPr>
          <w:bCs/>
        </w:rPr>
        <w:t>mMRC</w:t>
      </w:r>
      <w:proofErr w:type="spellEnd"/>
      <w:r w:rsidRPr="00551A03">
        <w:rPr>
          <w:bCs/>
        </w:rPr>
        <w:t>;</w:t>
      </w:r>
    </w:p>
    <w:p w14:paraId="67E15A5D" w14:textId="40D7F35A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- Группа В - «низкий риск», «больше симптомов» - пациенты с</w:t>
      </w:r>
      <w:r w:rsidR="00F673FD" w:rsidRPr="00551A03">
        <w:rPr>
          <w:bCs/>
        </w:rPr>
        <w:t>о</w:t>
      </w:r>
      <w:r w:rsidR="00014249" w:rsidRPr="00551A03">
        <w:rPr>
          <w:bCs/>
        </w:rPr>
        <w:t xml:space="preserve"> спирометрическим</w:t>
      </w:r>
      <w:r w:rsidRPr="00551A03">
        <w:rPr>
          <w:bCs/>
        </w:rPr>
        <w:t xml:space="preserve"> классом GOLD 1 и</w:t>
      </w:r>
      <w:r w:rsidR="00014249" w:rsidRPr="00551A03">
        <w:rPr>
          <w:bCs/>
        </w:rPr>
        <w:t>ли GOLD 2 и / или 0-1 обострение</w:t>
      </w:r>
      <w:r w:rsidRPr="00551A03">
        <w:rPr>
          <w:bCs/>
        </w:rPr>
        <w:t xml:space="preserve"> в год и степень ≥ 2 по </w:t>
      </w:r>
      <w:proofErr w:type="spellStart"/>
      <w:r w:rsidRPr="00551A03">
        <w:rPr>
          <w:bCs/>
        </w:rPr>
        <w:t>mMRC</w:t>
      </w:r>
      <w:proofErr w:type="spellEnd"/>
      <w:r w:rsidRPr="00551A03">
        <w:rPr>
          <w:bCs/>
        </w:rPr>
        <w:t>;</w:t>
      </w:r>
    </w:p>
    <w:p w14:paraId="4B54994C" w14:textId="6C8E0FFA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- Группа С - «высокий риск», «меньше симптомов» - пациенты с</w:t>
      </w:r>
      <w:r w:rsidR="00F673FD" w:rsidRPr="00551A03">
        <w:rPr>
          <w:bCs/>
        </w:rPr>
        <w:t>о</w:t>
      </w:r>
      <w:r w:rsidR="00014249" w:rsidRPr="00551A03">
        <w:rPr>
          <w:bCs/>
        </w:rPr>
        <w:t xml:space="preserve"> спирометрическим</w:t>
      </w:r>
      <w:r w:rsidRPr="00551A03">
        <w:rPr>
          <w:bCs/>
        </w:rPr>
        <w:t xml:space="preserve"> классом GOLD 3 или GOLD 4 и / или ≥ 2 обострений в год и степень 0-1 по </w:t>
      </w:r>
      <w:proofErr w:type="spellStart"/>
      <w:r w:rsidRPr="00551A03">
        <w:rPr>
          <w:bCs/>
        </w:rPr>
        <w:t>mMRC</w:t>
      </w:r>
      <w:proofErr w:type="spellEnd"/>
      <w:r w:rsidRPr="00551A03">
        <w:rPr>
          <w:bCs/>
        </w:rPr>
        <w:t>;</w:t>
      </w:r>
    </w:p>
    <w:p w14:paraId="0789C796" w14:textId="43473C77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- Группа D - «высокий риск», «больше симптомов» - пациенты с</w:t>
      </w:r>
      <w:r w:rsidR="00F673FD" w:rsidRPr="00551A03">
        <w:rPr>
          <w:bCs/>
        </w:rPr>
        <w:t>о</w:t>
      </w:r>
      <w:r w:rsidR="00014249" w:rsidRPr="00551A03">
        <w:rPr>
          <w:bCs/>
        </w:rPr>
        <w:t xml:space="preserve"> спирометрическим</w:t>
      </w:r>
      <w:r w:rsidRPr="00551A03">
        <w:rPr>
          <w:bCs/>
        </w:rPr>
        <w:t xml:space="preserve"> классом GOLD 3 или GOLD 4 и / или ≥ 2 обострений в год и степень ≥ 2 по </w:t>
      </w:r>
      <w:proofErr w:type="spellStart"/>
      <w:r w:rsidRPr="00551A03">
        <w:rPr>
          <w:bCs/>
        </w:rPr>
        <w:t>mMRC</w:t>
      </w:r>
      <w:proofErr w:type="spellEnd"/>
      <w:r w:rsidRPr="00551A03">
        <w:rPr>
          <w:bCs/>
        </w:rPr>
        <w:t>.</w:t>
      </w:r>
    </w:p>
    <w:p w14:paraId="4E54B605" w14:textId="77777777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Статистическая обработка полученных результатов проводилась с помощью лицензионных программ «</w:t>
      </w:r>
      <w:proofErr w:type="spellStart"/>
      <w:r w:rsidRPr="00551A03">
        <w:rPr>
          <w:bCs/>
        </w:rPr>
        <w:t>Microsoft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Excel</w:t>
      </w:r>
      <w:proofErr w:type="spellEnd"/>
      <w:r w:rsidRPr="00551A03">
        <w:rPr>
          <w:bCs/>
        </w:rPr>
        <w:t>» и «</w:t>
      </w:r>
      <w:proofErr w:type="spellStart"/>
      <w:r w:rsidRPr="00551A03">
        <w:rPr>
          <w:bCs/>
        </w:rPr>
        <w:t>Statistica</w:t>
      </w:r>
      <w:proofErr w:type="spellEnd"/>
      <w:r w:rsidRPr="00551A03">
        <w:rPr>
          <w:bCs/>
        </w:rPr>
        <w:t xml:space="preserve"> 6.0».</w:t>
      </w:r>
    </w:p>
    <w:p w14:paraId="7C59C62A" w14:textId="1EE78317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/>
          <w:bCs/>
        </w:rPr>
        <w:t xml:space="preserve">Результаты исследования. </w:t>
      </w:r>
      <w:r w:rsidRPr="00551A03">
        <w:rPr>
          <w:bCs/>
        </w:rPr>
        <w:t>Большинство обследованных больных основной группы</w:t>
      </w:r>
      <w:r w:rsidR="00884B73" w:rsidRPr="00551A03">
        <w:rPr>
          <w:bCs/>
        </w:rPr>
        <w:t xml:space="preserve"> (45 человек, 67,2%)</w:t>
      </w:r>
      <w:r w:rsidRPr="00551A03">
        <w:rPr>
          <w:bCs/>
        </w:rPr>
        <w:t xml:space="preserve"> имели инфекционное обострение ХОБЛ. В группе сравнения</w:t>
      </w:r>
      <w:r w:rsidR="00014249" w:rsidRPr="00551A03">
        <w:rPr>
          <w:bCs/>
        </w:rPr>
        <w:t xml:space="preserve"> лишь</w:t>
      </w:r>
      <w:r w:rsidRPr="00551A03">
        <w:rPr>
          <w:bCs/>
        </w:rPr>
        <w:t xml:space="preserve"> 26 (48,1%) </w:t>
      </w:r>
      <w:r w:rsidRPr="00551A03">
        <w:rPr>
          <w:bCs/>
        </w:rPr>
        <w:lastRenderedPageBreak/>
        <w:t>пацие</w:t>
      </w:r>
      <w:r w:rsidR="00884B73" w:rsidRPr="00551A03">
        <w:rPr>
          <w:bCs/>
        </w:rPr>
        <w:t>нтов указывали на предшествующую</w:t>
      </w:r>
      <w:r w:rsidRPr="00551A03">
        <w:rPr>
          <w:bCs/>
        </w:rPr>
        <w:t xml:space="preserve"> обострени</w:t>
      </w:r>
      <w:r w:rsidR="00884B73" w:rsidRPr="00551A03">
        <w:rPr>
          <w:bCs/>
        </w:rPr>
        <w:t>ю</w:t>
      </w:r>
      <w:r w:rsidRPr="00551A03">
        <w:rPr>
          <w:bCs/>
        </w:rPr>
        <w:t xml:space="preserve"> ХОБЛ остр</w:t>
      </w:r>
      <w:r w:rsidR="00884B73" w:rsidRPr="00551A03">
        <w:rPr>
          <w:bCs/>
        </w:rPr>
        <w:t>ую</w:t>
      </w:r>
      <w:r w:rsidRPr="00551A03">
        <w:rPr>
          <w:bCs/>
        </w:rPr>
        <w:t xml:space="preserve"> респи</w:t>
      </w:r>
      <w:r w:rsidR="00884B73" w:rsidRPr="00551A03">
        <w:rPr>
          <w:bCs/>
        </w:rPr>
        <w:t>раторно-вирусную инфекцию</w:t>
      </w:r>
      <w:r w:rsidRPr="00551A03">
        <w:rPr>
          <w:bCs/>
        </w:rPr>
        <w:t>. При сопоставлении да</w:t>
      </w:r>
      <w:r w:rsidR="002A2F3E" w:rsidRPr="00551A03">
        <w:rPr>
          <w:bCs/>
        </w:rPr>
        <w:t>нного показателя по группам были</w:t>
      </w:r>
      <w:r w:rsidRPr="00551A03">
        <w:rPr>
          <w:bCs/>
        </w:rPr>
        <w:t xml:space="preserve"> </w:t>
      </w:r>
      <w:r w:rsidR="002A2F3E" w:rsidRPr="00551A03">
        <w:rPr>
          <w:bCs/>
        </w:rPr>
        <w:t>выявлены</w:t>
      </w:r>
      <w:r w:rsidRPr="00551A03">
        <w:rPr>
          <w:bCs/>
        </w:rPr>
        <w:t xml:space="preserve"> достоверные р</w:t>
      </w:r>
      <w:r w:rsidR="00F673FD" w:rsidRPr="00551A03">
        <w:rPr>
          <w:bCs/>
        </w:rPr>
        <w:t>азличия в его распределении (</w:t>
      </w:r>
      <w:proofErr w:type="spellStart"/>
      <w:r w:rsidR="00F673FD" w:rsidRPr="00551A03">
        <w:rPr>
          <w:bCs/>
        </w:rPr>
        <w:t>df</w:t>
      </w:r>
      <w:proofErr w:type="spellEnd"/>
      <w:r w:rsidR="00F673FD" w:rsidRPr="00551A03">
        <w:rPr>
          <w:bCs/>
        </w:rPr>
        <w:t>=1, χ2=4,459, р=</w:t>
      </w:r>
      <w:r w:rsidRPr="00551A03">
        <w:rPr>
          <w:bCs/>
        </w:rPr>
        <w:t xml:space="preserve">0,03). То есть, </w:t>
      </w:r>
      <w:r w:rsidR="002A2F3E" w:rsidRPr="00551A03">
        <w:rPr>
          <w:bCs/>
        </w:rPr>
        <w:t>наличие сопутствующего ХП делало</w:t>
      </w:r>
      <w:r w:rsidRPr="00551A03">
        <w:rPr>
          <w:bCs/>
        </w:rPr>
        <w:t xml:space="preserve"> больных ХОБЛ более восприимчивыми к инфекционным агентам.</w:t>
      </w:r>
    </w:p>
    <w:p w14:paraId="6F411464" w14:textId="5E4E0AE0" w:rsidR="0044559B" w:rsidRPr="00551A03" w:rsidRDefault="0044559B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 В обеих группах наблюдался сезонный весенне-осенний характер обострения, однако при углубленном анализе данного показателя установлено, что у больных</w:t>
      </w:r>
      <w:r w:rsidR="002A2F3E" w:rsidRPr="00551A03">
        <w:rPr>
          <w:bCs/>
        </w:rPr>
        <w:t xml:space="preserve"> с изолированной</w:t>
      </w:r>
      <w:r w:rsidRPr="00551A03">
        <w:rPr>
          <w:bCs/>
        </w:rPr>
        <w:t xml:space="preserve"> ХОБЛ на данный период приходило</w:t>
      </w:r>
      <w:r w:rsidR="002A2F3E" w:rsidRPr="00551A03">
        <w:rPr>
          <w:bCs/>
        </w:rPr>
        <w:t>сь 88,9% (48 случаев) обострений</w:t>
      </w:r>
      <w:r w:rsidRPr="00551A03">
        <w:rPr>
          <w:bCs/>
        </w:rPr>
        <w:t xml:space="preserve">, в то же время при сочетанной патологии данная тенденция </w:t>
      </w:r>
      <w:r w:rsidR="009C434C" w:rsidRPr="00551A03">
        <w:rPr>
          <w:bCs/>
        </w:rPr>
        <w:t>была</w:t>
      </w:r>
      <w:r w:rsidR="002A2F3E" w:rsidRPr="00551A03">
        <w:rPr>
          <w:bCs/>
        </w:rPr>
        <w:t xml:space="preserve"> несколько менее выраженной</w:t>
      </w:r>
      <w:r w:rsidRPr="00551A03">
        <w:rPr>
          <w:bCs/>
        </w:rPr>
        <w:t xml:space="preserve"> - в весенне-осенний период зарегистрир</w:t>
      </w:r>
      <w:r w:rsidR="00F673FD" w:rsidRPr="00551A03">
        <w:rPr>
          <w:bCs/>
        </w:rPr>
        <w:t>овано 49 обострений (73,1%) (</w:t>
      </w:r>
      <w:proofErr w:type="spellStart"/>
      <w:r w:rsidR="00F673FD" w:rsidRPr="00551A03">
        <w:rPr>
          <w:bCs/>
        </w:rPr>
        <w:t>df</w:t>
      </w:r>
      <w:proofErr w:type="spellEnd"/>
      <w:r w:rsidR="00F673FD" w:rsidRPr="00551A03">
        <w:rPr>
          <w:bCs/>
        </w:rPr>
        <w:t>=1, χ2=4,667, р=</w:t>
      </w:r>
      <w:r w:rsidRPr="00551A03">
        <w:rPr>
          <w:bCs/>
        </w:rPr>
        <w:t>0,03). Данное обстоятельство, вероятно, связано с тем, что ХП может выступать в качестве дополнительного провоцирующего</w:t>
      </w:r>
      <w:r w:rsidR="007670EF" w:rsidRPr="00551A03">
        <w:rPr>
          <w:bCs/>
        </w:rPr>
        <w:t xml:space="preserve"> фактора в развитии обострения ХОБЛ</w:t>
      </w:r>
      <w:r w:rsidRPr="00551A03">
        <w:rPr>
          <w:bCs/>
        </w:rPr>
        <w:t>.</w:t>
      </w:r>
    </w:p>
    <w:p w14:paraId="19B28704" w14:textId="5F8CDAEE" w:rsidR="0044559B" w:rsidRPr="00551A03" w:rsidRDefault="0044559B" w:rsidP="00551A03">
      <w:pPr>
        <w:spacing w:line="360" w:lineRule="auto"/>
        <w:ind w:firstLine="425"/>
        <w:jc w:val="both"/>
      </w:pPr>
      <w:r w:rsidRPr="00551A03">
        <w:t>Также были определены достоверные различия в количестве обострений ХОБЛ в год</w:t>
      </w:r>
      <w:r w:rsidR="007670EF" w:rsidRPr="00551A03">
        <w:t xml:space="preserve"> – определяющего фактора прогрессирования </w:t>
      </w:r>
      <w:r w:rsidR="00D143E6" w:rsidRPr="00551A03">
        <w:t>патологии</w:t>
      </w:r>
      <w:r w:rsidRPr="00551A03">
        <w:t>. Так, в группе сравнения данный пок</w:t>
      </w:r>
      <w:r w:rsidR="007670EF" w:rsidRPr="00551A03">
        <w:t>азатель в среднем составлял 1,4±</w:t>
      </w:r>
      <w:r w:rsidRPr="00551A03">
        <w:t xml:space="preserve">0,2 раза в год, а у </w:t>
      </w:r>
      <w:r w:rsidR="007670EF" w:rsidRPr="00551A03">
        <w:t>пациентов основной группы - 2,3±0,4 раза в год (t=2,227, p=</w:t>
      </w:r>
      <w:r w:rsidRPr="00551A03">
        <w:t>0,03). Обострение 3 и более раз в год в основной группе наблюдались у 27 (40,3%) больных</w:t>
      </w:r>
      <w:r w:rsidR="007670EF" w:rsidRPr="00551A03">
        <w:t>, из которых 20 (74,1%) имели ІІ</w:t>
      </w:r>
      <w:r w:rsidRPr="00551A03">
        <w:t xml:space="preserve"> степень </w:t>
      </w:r>
      <w:r w:rsidR="00D143E6" w:rsidRPr="00551A03">
        <w:t>бронхиальной обструкции</w:t>
      </w:r>
      <w:r w:rsidRPr="00551A03">
        <w:t xml:space="preserve"> и 7 (25,9%) - I степень. В группе сравнения данный показат</w:t>
      </w:r>
      <w:r w:rsidR="009C434C" w:rsidRPr="00551A03">
        <w:t>ель имел достоверные различия по отношению к таковому</w:t>
      </w:r>
      <w:r w:rsidRPr="00551A03">
        <w:t xml:space="preserve"> </w:t>
      </w:r>
      <w:r w:rsidR="009C434C" w:rsidRPr="00551A03">
        <w:t>в основной группе</w:t>
      </w:r>
      <w:r w:rsidRPr="00551A03">
        <w:t xml:space="preserve"> - </w:t>
      </w:r>
      <w:r w:rsidR="009C434C" w:rsidRPr="00551A03">
        <w:t xml:space="preserve">3 и более обострений ХОБЛ в год </w:t>
      </w:r>
      <w:r w:rsidRPr="00551A03">
        <w:t>наблюд</w:t>
      </w:r>
      <w:r w:rsidR="00D143E6" w:rsidRPr="00551A03">
        <w:t>ал</w:t>
      </w:r>
      <w:r w:rsidR="00B67C03" w:rsidRPr="00551A03">
        <w:t>ось</w:t>
      </w:r>
      <w:r w:rsidR="00D143E6" w:rsidRPr="00551A03">
        <w:t xml:space="preserve"> лишь у 7 (12,9%) пациентов имевших II степень</w:t>
      </w:r>
      <w:r w:rsidRPr="00551A03">
        <w:t xml:space="preserve"> </w:t>
      </w:r>
      <w:r w:rsidR="00D143E6" w:rsidRPr="00551A03">
        <w:t>бронхиальной обструкции (t=4,521, p</w:t>
      </w:r>
      <w:r w:rsidRPr="00551A03">
        <w:t>&lt;0,001).</w:t>
      </w:r>
    </w:p>
    <w:p w14:paraId="1B5AE030" w14:textId="499BCFAB" w:rsidR="0044559B" w:rsidRPr="00551A03" w:rsidRDefault="0044559B" w:rsidP="00551A03">
      <w:pPr>
        <w:spacing w:line="360" w:lineRule="auto"/>
        <w:ind w:firstLine="425"/>
        <w:jc w:val="both"/>
      </w:pPr>
      <w:r w:rsidRPr="00551A03">
        <w:t xml:space="preserve">При анализе основных клинических проявлений ХОБЛ были выявлены определенные различия в экспрессивности </w:t>
      </w:r>
      <w:r w:rsidR="005B6761" w:rsidRPr="00551A03">
        <w:t>ведущих</w:t>
      </w:r>
      <w:r w:rsidRPr="00551A03">
        <w:t xml:space="preserve"> симпт</w:t>
      </w:r>
      <w:r w:rsidR="001F32D0" w:rsidRPr="00551A03">
        <w:t>омов, характеризующих обострение</w:t>
      </w:r>
      <w:r w:rsidRPr="00551A03">
        <w:t xml:space="preserve"> ХОБЛ - одышка, кашель и мокрота. Так, при анализе данных по шкале </w:t>
      </w:r>
      <w:proofErr w:type="spellStart"/>
      <w:r w:rsidRPr="00551A03">
        <w:t>mMRC</w:t>
      </w:r>
      <w:proofErr w:type="spellEnd"/>
      <w:r w:rsidRPr="00551A03">
        <w:t>, обнаружено, что выраженность одышки, которая является ведущим показателем бронхиальной обструкции, у больны</w:t>
      </w:r>
      <w:r w:rsidR="007433E8" w:rsidRPr="00551A03">
        <w:t>х основной группы составила 2,4±</w:t>
      </w:r>
      <w:r w:rsidRPr="00551A03">
        <w:t>0,5 балла, в то же время показател</w:t>
      </w:r>
      <w:r w:rsidR="007433E8" w:rsidRPr="00551A03">
        <w:t>ь группы сравнения составил 2,1±0,</w:t>
      </w:r>
      <w:r w:rsidRPr="00551A03">
        <w:t>6 балла. При сравнении распределения экспрессивности одышки обнаружены достоверные различия между группами за счет преобладания более тяжелых степеней у больных с со</w:t>
      </w:r>
      <w:r w:rsidR="007433E8" w:rsidRPr="00551A03">
        <w:t>четанным течением ХОБЛ и ХП (</w:t>
      </w:r>
      <w:proofErr w:type="spellStart"/>
      <w:r w:rsidR="007433E8" w:rsidRPr="00551A03">
        <w:t>df</w:t>
      </w:r>
      <w:proofErr w:type="spellEnd"/>
      <w:r w:rsidR="007433E8" w:rsidRPr="00551A03">
        <w:t>=</w:t>
      </w:r>
      <w:r w:rsidRPr="00551A03">
        <w:t>2, χ2</w:t>
      </w:r>
      <w:r w:rsidR="007433E8" w:rsidRPr="00551A03">
        <w:t>=6,701, р=</w:t>
      </w:r>
      <w:r w:rsidRPr="00551A03">
        <w:t>0,03) (рис. 1).</w:t>
      </w:r>
    </w:p>
    <w:p w14:paraId="51EE1015" w14:textId="08575866" w:rsidR="00763A51" w:rsidRPr="00551A03" w:rsidRDefault="003E298C" w:rsidP="00551A03">
      <w:pPr>
        <w:spacing w:line="360" w:lineRule="auto"/>
        <w:ind w:firstLine="425"/>
        <w:jc w:val="both"/>
      </w:pPr>
      <w:r w:rsidRPr="00551A03">
        <w:rPr>
          <w:noProof/>
          <w:lang w:val="en-US"/>
        </w:rPr>
        <w:lastRenderedPageBreak/>
        <w:drawing>
          <wp:inline distT="0" distB="0" distL="0" distR="0" wp14:anchorId="38995D91" wp14:editId="3EA9BACA">
            <wp:extent cx="5909945" cy="2233930"/>
            <wp:effectExtent l="0" t="0" r="33655" b="2667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8DAB23D" w14:textId="007E5C83" w:rsidR="00FB2248" w:rsidRPr="00551A03" w:rsidRDefault="00FB2248" w:rsidP="00551A03">
      <w:pPr>
        <w:spacing w:line="360" w:lineRule="auto"/>
        <w:ind w:firstLine="425"/>
        <w:jc w:val="both"/>
      </w:pPr>
      <w:r w:rsidRPr="00551A03">
        <w:t>Рис. 1 Распредел</w:t>
      </w:r>
      <w:r w:rsidR="001F32D0" w:rsidRPr="00551A03">
        <w:t>ение больных по экспрессивности одышки в группах</w:t>
      </w:r>
      <w:r w:rsidRPr="00551A03">
        <w:t xml:space="preserve"> по шкале </w:t>
      </w:r>
      <w:proofErr w:type="spellStart"/>
      <w:r w:rsidRPr="00551A03">
        <w:t>mMRC</w:t>
      </w:r>
      <w:proofErr w:type="spellEnd"/>
      <w:r w:rsidRPr="00551A03">
        <w:t>, количество больных.</w:t>
      </w:r>
    </w:p>
    <w:p w14:paraId="48F480A9" w14:textId="77777777" w:rsidR="00FB2248" w:rsidRPr="00551A03" w:rsidRDefault="00FB2248" w:rsidP="00551A03">
      <w:pPr>
        <w:spacing w:line="360" w:lineRule="auto"/>
        <w:ind w:firstLine="425"/>
        <w:jc w:val="both"/>
      </w:pPr>
    </w:p>
    <w:p w14:paraId="66F8BD91" w14:textId="362D348B" w:rsidR="00FB2248" w:rsidRPr="00551A03" w:rsidRDefault="00FB2248" w:rsidP="00551A03">
      <w:pPr>
        <w:spacing w:line="360" w:lineRule="auto"/>
        <w:ind w:firstLine="425"/>
        <w:jc w:val="both"/>
      </w:pPr>
      <w:r w:rsidRPr="00551A03">
        <w:t>При сопоставлен</w:t>
      </w:r>
      <w:r w:rsidR="001F32D0" w:rsidRPr="00551A03">
        <w:t>ии по группам выражен</w:t>
      </w:r>
      <w:r w:rsidRPr="00551A03">
        <w:t>ности кашля,</w:t>
      </w:r>
      <w:r w:rsidR="001C1EC1" w:rsidRPr="00551A03">
        <w:t xml:space="preserve"> который</w:t>
      </w:r>
      <w:r w:rsidRPr="00551A03">
        <w:t xml:space="preserve"> был присущ всем больным, наблюдались закономерности, аналогичные </w:t>
      </w:r>
      <w:r w:rsidR="001C1EC1" w:rsidRPr="00551A03">
        <w:t>выявленным при анализе характера</w:t>
      </w:r>
      <w:r w:rsidRPr="00551A03">
        <w:t xml:space="preserve"> одышки. Так, у пациентов </w:t>
      </w:r>
      <w:r w:rsidR="0064203C" w:rsidRPr="00551A03">
        <w:t>с изолированной</w:t>
      </w:r>
      <w:r w:rsidRPr="00551A03">
        <w:t xml:space="preserve"> ХОБЛ этот показатель составил 2,3</w:t>
      </w:r>
      <w:r w:rsidR="009666B6" w:rsidRPr="00551A03">
        <w:t>±</w:t>
      </w:r>
      <w:r w:rsidR="00DD489E" w:rsidRPr="00551A03">
        <w:t>0,4</w:t>
      </w:r>
      <w:r w:rsidR="0064203C" w:rsidRPr="00551A03">
        <w:t xml:space="preserve"> балла, а при </w:t>
      </w:r>
      <w:proofErr w:type="spellStart"/>
      <w:r w:rsidR="0064203C" w:rsidRPr="00551A03">
        <w:t>коморбидной</w:t>
      </w:r>
      <w:proofErr w:type="spellEnd"/>
      <w:r w:rsidRPr="00551A03">
        <w:t xml:space="preserve"> патологии - 2,6</w:t>
      </w:r>
      <w:r w:rsidR="009666B6" w:rsidRPr="00551A03">
        <w:t>±</w:t>
      </w:r>
      <w:r w:rsidR="00DD489E" w:rsidRPr="00551A03">
        <w:t>0,5</w:t>
      </w:r>
      <w:r w:rsidRPr="00551A03">
        <w:t xml:space="preserve"> балла, </w:t>
      </w:r>
      <w:r w:rsidR="00DD489E" w:rsidRPr="00551A03">
        <w:t xml:space="preserve">однако </w:t>
      </w:r>
      <w:r w:rsidRPr="00551A03">
        <w:t>распределение степеней выраженности кашля также имел</w:t>
      </w:r>
      <w:r w:rsidR="00DD489E" w:rsidRPr="00551A03">
        <w:t>о</w:t>
      </w:r>
      <w:r w:rsidRPr="00551A03">
        <w:t xml:space="preserve"> достоверные различия (</w:t>
      </w:r>
      <w:proofErr w:type="spellStart"/>
      <w:r w:rsidRPr="00551A03">
        <w:t>df</w:t>
      </w:r>
      <w:proofErr w:type="spellEnd"/>
      <w:r w:rsidR="00511D46" w:rsidRPr="00551A03">
        <w:t>=</w:t>
      </w:r>
      <w:r w:rsidRPr="00551A03">
        <w:t>2, χ2</w:t>
      </w:r>
      <w:r w:rsidR="00511D46" w:rsidRPr="00551A03">
        <w:t>=</w:t>
      </w:r>
      <w:r w:rsidRPr="00551A03">
        <w:t>6,876, р</w:t>
      </w:r>
      <w:r w:rsidR="00511D46" w:rsidRPr="00551A03">
        <w:t>=</w:t>
      </w:r>
      <w:r w:rsidR="009666B6" w:rsidRPr="00551A03">
        <w:t>0,03)</w:t>
      </w:r>
      <w:r w:rsidRPr="00551A03">
        <w:t xml:space="preserve"> (рис. 2).</w:t>
      </w:r>
    </w:p>
    <w:p w14:paraId="1AB40926" w14:textId="6F3EC020" w:rsidR="00FB2248" w:rsidRPr="00551A03" w:rsidRDefault="00FB2248" w:rsidP="00551A03">
      <w:pPr>
        <w:spacing w:line="360" w:lineRule="auto"/>
        <w:ind w:firstLine="425"/>
        <w:jc w:val="both"/>
      </w:pPr>
      <w:r w:rsidRPr="00551A03">
        <w:t>При изучении характера кашля, который</w:t>
      </w:r>
      <w:r w:rsidR="00DD489E" w:rsidRPr="00551A03">
        <w:t xml:space="preserve"> в большинстве случаев</w:t>
      </w:r>
      <w:r w:rsidRPr="00551A03">
        <w:t xml:space="preserve"> был первым проявлением </w:t>
      </w:r>
      <w:r w:rsidR="00DD489E" w:rsidRPr="00551A03">
        <w:t>обострения</w:t>
      </w:r>
      <w:r w:rsidRPr="00551A03">
        <w:t xml:space="preserve">, выявлено, что у пациентов имел место как сухой, так и влажный характер кашля. Так 5 пациентам (9,3%) с изолированным ХОБЛ был присущ сухой кашель, в остальных случаях (49 больных - 90,7%) наблюдался влажный кашель с выделением мокроты. У больных с </w:t>
      </w:r>
      <w:proofErr w:type="spellStart"/>
      <w:r w:rsidRPr="00551A03">
        <w:t>коморбидность</w:t>
      </w:r>
      <w:r w:rsidR="001A6F09" w:rsidRPr="00551A03">
        <w:t>ю</w:t>
      </w:r>
      <w:proofErr w:type="spellEnd"/>
      <w:r w:rsidRPr="00551A03">
        <w:t xml:space="preserve"> ХОБЛ и ХП сухой кашель имел место в 3 случаях (4,5%), остальные больные - 64 (95,5%) отмечали кашель с выделением мокроты.</w:t>
      </w:r>
    </w:p>
    <w:p w14:paraId="0D9DDEC0" w14:textId="07CFCA0E" w:rsidR="00763A51" w:rsidRPr="00551A03" w:rsidRDefault="00AF73B2" w:rsidP="00551A03">
      <w:pPr>
        <w:spacing w:line="360" w:lineRule="auto"/>
        <w:ind w:firstLine="425"/>
        <w:jc w:val="both"/>
      </w:pPr>
      <w:r w:rsidRPr="00551A03">
        <w:rPr>
          <w:noProof/>
          <w:lang w:val="en-US"/>
        </w:rPr>
        <w:drawing>
          <wp:inline distT="0" distB="0" distL="0" distR="0" wp14:anchorId="2708D3A0" wp14:editId="17BFED40">
            <wp:extent cx="5842000" cy="2233930"/>
            <wp:effectExtent l="0" t="0" r="25400" b="2667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0D1051" w14:textId="55081F79" w:rsidR="00FF35C5" w:rsidRPr="00551A03" w:rsidRDefault="00FF35C5" w:rsidP="00551A03">
      <w:pPr>
        <w:spacing w:line="360" w:lineRule="auto"/>
        <w:ind w:firstLine="425"/>
        <w:jc w:val="both"/>
      </w:pPr>
      <w:r w:rsidRPr="00551A03">
        <w:t>Рис. 2 Распредел</w:t>
      </w:r>
      <w:r w:rsidR="001A6F09" w:rsidRPr="00551A03">
        <w:t>ение больных по экспрессивности кашля в группах</w:t>
      </w:r>
      <w:r w:rsidRPr="00551A03">
        <w:t xml:space="preserve"> по шкале симптомов больных ХОБЛ (P</w:t>
      </w:r>
      <w:r w:rsidR="001A6F09" w:rsidRPr="00551A03">
        <w:t>.</w:t>
      </w:r>
      <w:r w:rsidRPr="00551A03">
        <w:t>L</w:t>
      </w:r>
      <w:r w:rsidR="001A6F09" w:rsidRPr="00551A03">
        <w:t>.</w:t>
      </w:r>
      <w:r w:rsidRPr="00551A03">
        <w:t xml:space="preserve"> </w:t>
      </w:r>
      <w:proofErr w:type="spellStart"/>
      <w:r w:rsidRPr="00551A03">
        <w:t>Paggiaro</w:t>
      </w:r>
      <w:proofErr w:type="spellEnd"/>
      <w:r w:rsidRPr="00551A03">
        <w:t>, 1998), количество больных.</w:t>
      </w:r>
    </w:p>
    <w:p w14:paraId="1337ED43" w14:textId="77777777" w:rsidR="00FF35C5" w:rsidRPr="00551A03" w:rsidRDefault="00FF35C5" w:rsidP="00551A03">
      <w:pPr>
        <w:spacing w:line="360" w:lineRule="auto"/>
        <w:ind w:firstLine="425"/>
        <w:jc w:val="both"/>
      </w:pPr>
    </w:p>
    <w:p w14:paraId="085E8A95" w14:textId="6F18A1E7" w:rsidR="00FF35C5" w:rsidRPr="00551A03" w:rsidRDefault="00FF35C5" w:rsidP="00551A03">
      <w:pPr>
        <w:spacing w:line="360" w:lineRule="auto"/>
        <w:ind w:firstLine="425"/>
        <w:jc w:val="both"/>
      </w:pPr>
      <w:r w:rsidRPr="00551A03">
        <w:lastRenderedPageBreak/>
        <w:t>При детальном анализе выраженности мокроты по группам установлено, что у больных основной группы данный показатель достигал 1,7</w:t>
      </w:r>
      <w:r w:rsidR="009666B6" w:rsidRPr="00551A03">
        <w:t>±</w:t>
      </w:r>
      <w:r w:rsidRPr="00551A03">
        <w:t>0,6 балла, в группе сравнения 1,6</w:t>
      </w:r>
      <w:r w:rsidR="009666B6" w:rsidRPr="00551A03">
        <w:t>±</w:t>
      </w:r>
      <w:r w:rsidRPr="00551A03">
        <w:t>0,7 балла, достоверных различий по группам не наблюдалось (</w:t>
      </w:r>
      <w:proofErr w:type="spellStart"/>
      <w:r w:rsidRPr="00551A03">
        <w:t>df</w:t>
      </w:r>
      <w:proofErr w:type="spellEnd"/>
      <w:r w:rsidR="00511D46" w:rsidRPr="00551A03">
        <w:t>=</w:t>
      </w:r>
      <w:r w:rsidRPr="00551A03">
        <w:t>3, χ2</w:t>
      </w:r>
      <w:r w:rsidR="00511D46" w:rsidRPr="00551A03">
        <w:t>=</w:t>
      </w:r>
      <w:r w:rsidRPr="00551A03">
        <w:t>1,583, р</w:t>
      </w:r>
      <w:r w:rsidR="00511D46" w:rsidRPr="00551A03">
        <w:t>=</w:t>
      </w:r>
      <w:r w:rsidRPr="00551A03">
        <w:t>0,66) (рис. 3).</w:t>
      </w:r>
    </w:p>
    <w:p w14:paraId="3755EF12" w14:textId="2DF72483" w:rsidR="00763A51" w:rsidRPr="00551A03" w:rsidRDefault="00E74348" w:rsidP="00551A03">
      <w:pPr>
        <w:spacing w:line="360" w:lineRule="auto"/>
        <w:ind w:firstLine="425"/>
        <w:jc w:val="both"/>
      </w:pPr>
      <w:r w:rsidRPr="00551A03">
        <w:rPr>
          <w:noProof/>
          <w:lang w:val="en-US"/>
        </w:rPr>
        <w:drawing>
          <wp:inline distT="0" distB="0" distL="0" distR="0" wp14:anchorId="02E74672" wp14:editId="52BA2646">
            <wp:extent cx="5859145" cy="2409190"/>
            <wp:effectExtent l="0" t="0" r="33655" b="29210"/>
            <wp:docPr id="208" name="Объект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D7CB33" w14:textId="5394D8B9" w:rsidR="00FF35C5" w:rsidRPr="00551A03" w:rsidRDefault="00FF35C5" w:rsidP="00551A03">
      <w:pPr>
        <w:spacing w:line="360" w:lineRule="auto"/>
        <w:ind w:firstLine="425"/>
        <w:jc w:val="both"/>
      </w:pPr>
      <w:r w:rsidRPr="00551A03">
        <w:t>Рис. 3 Распредел</w:t>
      </w:r>
      <w:r w:rsidR="001A6F09" w:rsidRPr="00551A03">
        <w:t>ение больных по экспрессивности мокроты в группах</w:t>
      </w:r>
      <w:r w:rsidRPr="00551A03">
        <w:t xml:space="preserve"> по шкале симптомов больных ХОБЛ (P</w:t>
      </w:r>
      <w:r w:rsidR="001A6F09" w:rsidRPr="00551A03">
        <w:t>.</w:t>
      </w:r>
      <w:r w:rsidRPr="00551A03">
        <w:t>L</w:t>
      </w:r>
      <w:r w:rsidR="001A6F09" w:rsidRPr="00551A03">
        <w:t>.</w:t>
      </w:r>
      <w:r w:rsidRPr="00551A03">
        <w:t xml:space="preserve"> </w:t>
      </w:r>
      <w:proofErr w:type="spellStart"/>
      <w:r w:rsidRPr="00551A03">
        <w:t>Paggiaro</w:t>
      </w:r>
      <w:proofErr w:type="spellEnd"/>
      <w:r w:rsidRPr="00551A03">
        <w:t>, 1998), количество больных.</w:t>
      </w:r>
    </w:p>
    <w:p w14:paraId="799B3040" w14:textId="77777777" w:rsidR="00FF35C5" w:rsidRPr="00551A03" w:rsidRDefault="00FF35C5" w:rsidP="00551A03">
      <w:pPr>
        <w:spacing w:line="360" w:lineRule="auto"/>
        <w:ind w:firstLine="425"/>
        <w:jc w:val="both"/>
      </w:pPr>
    </w:p>
    <w:p w14:paraId="2A05BEE4" w14:textId="2ACADD67" w:rsidR="00FF35C5" w:rsidRPr="00551A03" w:rsidRDefault="00FF35C5" w:rsidP="00551A03">
      <w:pPr>
        <w:spacing w:line="360" w:lineRule="auto"/>
        <w:ind w:firstLine="425"/>
        <w:jc w:val="both"/>
      </w:pPr>
      <w:r w:rsidRPr="00551A03">
        <w:t>В то же время при анализе характера мокроты было установлено, что данный показатель в основной группе составил 1,8</w:t>
      </w:r>
      <w:r w:rsidR="009666B6" w:rsidRPr="00551A03">
        <w:t>±</w:t>
      </w:r>
      <w:r w:rsidRPr="00551A03">
        <w:t>0,6 балла, при этом в группе сопоставления он достигал лишь 1,4</w:t>
      </w:r>
      <w:r w:rsidR="009666B6" w:rsidRPr="00551A03">
        <w:t>±</w:t>
      </w:r>
      <w:r w:rsidRPr="00551A03">
        <w:t>0,7 балла (</w:t>
      </w:r>
      <w:proofErr w:type="spellStart"/>
      <w:r w:rsidRPr="00551A03">
        <w:t>df</w:t>
      </w:r>
      <w:proofErr w:type="spellEnd"/>
      <w:r w:rsidR="00511D46" w:rsidRPr="00551A03">
        <w:t>=</w:t>
      </w:r>
      <w:r w:rsidRPr="00551A03">
        <w:t>3, χ2</w:t>
      </w:r>
      <w:r w:rsidR="00511D46" w:rsidRPr="00551A03">
        <w:t>=</w:t>
      </w:r>
      <w:r w:rsidR="004A2A3E" w:rsidRPr="00551A03">
        <w:t>9,</w:t>
      </w:r>
      <w:r w:rsidRPr="00551A03">
        <w:t>52, р</w:t>
      </w:r>
      <w:r w:rsidR="00511D46" w:rsidRPr="00551A03">
        <w:t>=</w:t>
      </w:r>
      <w:r w:rsidRPr="00551A03">
        <w:t>0,02) (рис. 4). У пациентов с изолированной пат</w:t>
      </w:r>
      <w:r w:rsidR="004A2A3E" w:rsidRPr="00551A03">
        <w:t>ологией доминирующим был белый</w:t>
      </w:r>
      <w:r w:rsidRPr="00551A03">
        <w:t xml:space="preserve">/серый (22 человека - 44,9%) и светло-желтый (21 больной - 42,9%) характер мокроты. Тогда как в группе с </w:t>
      </w:r>
      <w:r w:rsidR="004A2A3E" w:rsidRPr="00551A03">
        <w:t>сочетанным</w:t>
      </w:r>
      <w:r w:rsidRPr="00551A03">
        <w:t xml:space="preserve"> течением ХОБЛ и ХП превалировали пациенты со светло-желтым - 38 человек (59,4%)</w:t>
      </w:r>
      <w:r w:rsidR="004A2A3E" w:rsidRPr="00551A03">
        <w:t xml:space="preserve"> и темно-желтым – 9 больных (</w:t>
      </w:r>
      <w:r w:rsidR="00834F2C" w:rsidRPr="00551A03">
        <w:t>13,4%</w:t>
      </w:r>
      <w:r w:rsidR="004A2A3E" w:rsidRPr="00551A03">
        <w:t>) характером мокроты</w:t>
      </w:r>
      <w:r w:rsidRPr="00551A03">
        <w:t>,</w:t>
      </w:r>
      <w:r w:rsidR="004A2A3E" w:rsidRPr="00551A03">
        <w:t xml:space="preserve"> т.е. наблюдалось </w:t>
      </w:r>
      <w:r w:rsidR="00834F2C" w:rsidRPr="00551A03">
        <w:t>усиление её</w:t>
      </w:r>
      <w:r w:rsidR="004A2A3E" w:rsidRPr="00551A03">
        <w:t xml:space="preserve"> </w:t>
      </w:r>
      <w:proofErr w:type="spellStart"/>
      <w:r w:rsidR="004A2A3E" w:rsidRPr="00551A03">
        <w:t>гно</w:t>
      </w:r>
      <w:r w:rsidRPr="00551A03">
        <w:t>йности</w:t>
      </w:r>
      <w:proofErr w:type="spellEnd"/>
      <w:r w:rsidRPr="00551A03">
        <w:t>.</w:t>
      </w:r>
    </w:p>
    <w:p w14:paraId="7490C8BB" w14:textId="18EE1C31" w:rsidR="00FF35C5" w:rsidRPr="00551A03" w:rsidRDefault="00E74348" w:rsidP="00551A03">
      <w:pPr>
        <w:spacing w:line="360" w:lineRule="auto"/>
        <w:ind w:firstLine="425"/>
        <w:jc w:val="both"/>
      </w:pPr>
      <w:r w:rsidRPr="00551A03">
        <w:rPr>
          <w:noProof/>
          <w:lang w:val="en-US"/>
        </w:rPr>
        <w:drawing>
          <wp:inline distT="0" distB="0" distL="0" distR="0" wp14:anchorId="1FA169C4" wp14:editId="444CE08C">
            <wp:extent cx="5960745" cy="2226945"/>
            <wp:effectExtent l="0" t="0" r="33655" b="33655"/>
            <wp:docPr id="206" name="Объект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F35C5" w:rsidRPr="00551A03">
        <w:t xml:space="preserve"> Рис. 4 Распределение</w:t>
      </w:r>
      <w:r w:rsidR="00834F2C" w:rsidRPr="00551A03">
        <w:t xml:space="preserve"> больных по характеру мокроты в группах</w:t>
      </w:r>
      <w:r w:rsidR="00FF35C5" w:rsidRPr="00551A03">
        <w:t xml:space="preserve"> по шкале симптомов больных ХОБЛ (P</w:t>
      </w:r>
      <w:r w:rsidR="00D36425" w:rsidRPr="00551A03">
        <w:t>.</w:t>
      </w:r>
      <w:r w:rsidR="00FF35C5" w:rsidRPr="00551A03">
        <w:t>L</w:t>
      </w:r>
      <w:r w:rsidR="00D36425" w:rsidRPr="00551A03">
        <w:t>.</w:t>
      </w:r>
      <w:r w:rsidR="00FF35C5" w:rsidRPr="00551A03">
        <w:t xml:space="preserve"> </w:t>
      </w:r>
      <w:proofErr w:type="spellStart"/>
      <w:r w:rsidR="00FF35C5" w:rsidRPr="00551A03">
        <w:t>Paggiaro</w:t>
      </w:r>
      <w:proofErr w:type="spellEnd"/>
      <w:r w:rsidR="00FF35C5" w:rsidRPr="00551A03">
        <w:t>, 1998), количество больных.</w:t>
      </w:r>
    </w:p>
    <w:p w14:paraId="7171A85D" w14:textId="77777777" w:rsidR="00FF35C5" w:rsidRPr="00551A03" w:rsidRDefault="00FF35C5" w:rsidP="00551A03">
      <w:pPr>
        <w:spacing w:line="360" w:lineRule="auto"/>
        <w:ind w:firstLine="425"/>
        <w:jc w:val="both"/>
      </w:pPr>
    </w:p>
    <w:p w14:paraId="3054F07F" w14:textId="10A13148" w:rsidR="00FF35C5" w:rsidRPr="00551A03" w:rsidRDefault="00FF35C5" w:rsidP="00551A03">
      <w:pPr>
        <w:spacing w:line="360" w:lineRule="auto"/>
        <w:ind w:firstLine="425"/>
        <w:jc w:val="both"/>
      </w:pPr>
      <w:r w:rsidRPr="00551A03">
        <w:lastRenderedPageBreak/>
        <w:t>При проведении интегральной оценки силы влияния ХОБЛ на конкретного пациента</w:t>
      </w:r>
      <w:r w:rsidR="00D36425" w:rsidRPr="00551A03">
        <w:t>, согласно рекомендациям Глобальной Инициативы по ХОБЛ</w:t>
      </w:r>
      <w:r w:rsidR="00D36425" w:rsidRPr="00551A03">
        <w:rPr>
          <w:color w:val="FF0000"/>
        </w:rPr>
        <w:t xml:space="preserve"> </w:t>
      </w:r>
      <w:r w:rsidR="00D36425" w:rsidRPr="00551A03">
        <w:t xml:space="preserve">(GOLD, 2015), </w:t>
      </w:r>
      <w:r w:rsidRPr="00551A03">
        <w:t xml:space="preserve"> установлено, что у больных с</w:t>
      </w:r>
      <w:r w:rsidR="008027AA" w:rsidRPr="00551A03">
        <w:t xml:space="preserve">о </w:t>
      </w:r>
      <w:proofErr w:type="spellStart"/>
      <w:r w:rsidR="008027AA" w:rsidRPr="00551A03">
        <w:t>спирографическим</w:t>
      </w:r>
      <w:proofErr w:type="spellEnd"/>
      <w:r w:rsidR="008027AA" w:rsidRPr="00551A03">
        <w:t xml:space="preserve"> классом</w:t>
      </w:r>
      <w:r w:rsidRPr="00551A03">
        <w:t xml:space="preserve"> </w:t>
      </w:r>
      <w:r w:rsidR="008027AA" w:rsidRPr="00551A03">
        <w:t xml:space="preserve">GOLD </w:t>
      </w:r>
      <w:r w:rsidRPr="00551A03">
        <w:t xml:space="preserve">I в группе с изолированным ХОБЛ 11 (84,6%) пациентов попали в группу А и 2 (15, 4%) - в группу В, при этом в группе с </w:t>
      </w:r>
      <w:r w:rsidR="00D36425" w:rsidRPr="00551A03">
        <w:t>сочетанным</w:t>
      </w:r>
      <w:r w:rsidRPr="00551A03">
        <w:t xml:space="preserve"> течением ХОБЛ и хронического панкреатита в группу А вошло 3 (16,7%), в группу В - 13 (72,2%) и 2 (11,1%) больных попали в группу С. При этом распределение пациентов </w:t>
      </w:r>
      <w:r w:rsidR="003F0B14" w:rsidRPr="00551A03">
        <w:t xml:space="preserve">с </w:t>
      </w:r>
      <w:proofErr w:type="spellStart"/>
      <w:r w:rsidR="003F0B14" w:rsidRPr="00551A03">
        <w:t>коморбидной</w:t>
      </w:r>
      <w:proofErr w:type="spellEnd"/>
      <w:r w:rsidR="003F0B14" w:rsidRPr="00551A03">
        <w:t xml:space="preserve"> патологией</w:t>
      </w:r>
      <w:r w:rsidRPr="00551A03">
        <w:t xml:space="preserve"> </w:t>
      </w:r>
      <w:r w:rsidR="003F0B14" w:rsidRPr="00551A03">
        <w:t xml:space="preserve">по группам риска </w:t>
      </w:r>
      <w:r w:rsidRPr="00551A03">
        <w:t>имел</w:t>
      </w:r>
      <w:r w:rsidR="003F0B14" w:rsidRPr="00551A03">
        <w:t>о</w:t>
      </w:r>
      <w:r w:rsidRPr="00551A03">
        <w:t xml:space="preserve"> достоверные различия от такого в группе сравнения (</w:t>
      </w:r>
      <w:proofErr w:type="spellStart"/>
      <w:r w:rsidRPr="00551A03">
        <w:t>df</w:t>
      </w:r>
      <w:proofErr w:type="spellEnd"/>
      <w:r w:rsidR="00511D46" w:rsidRPr="00551A03">
        <w:t>=</w:t>
      </w:r>
      <w:r w:rsidRPr="00551A03">
        <w:t>2, χ2</w:t>
      </w:r>
      <w:r w:rsidR="00511D46" w:rsidRPr="00551A03">
        <w:t>=</w:t>
      </w:r>
      <w:r w:rsidR="008027AA" w:rsidRPr="00551A03">
        <w:t>14,201, р</w:t>
      </w:r>
      <w:r w:rsidRPr="00551A03">
        <w:t>&lt;0,001).</w:t>
      </w:r>
    </w:p>
    <w:p w14:paraId="0F91D129" w14:textId="28DCAAC4" w:rsidR="00FF35C5" w:rsidRPr="00551A03" w:rsidRDefault="007425D2" w:rsidP="00551A03">
      <w:pPr>
        <w:spacing w:line="360" w:lineRule="auto"/>
        <w:ind w:firstLine="425"/>
        <w:jc w:val="both"/>
      </w:pPr>
      <w:r w:rsidRPr="00551A03">
        <w:t xml:space="preserve"> У пациентов </w:t>
      </w:r>
      <w:r w:rsidR="008027AA" w:rsidRPr="00551A03">
        <w:t xml:space="preserve">со </w:t>
      </w:r>
      <w:proofErr w:type="spellStart"/>
      <w:r w:rsidR="008027AA" w:rsidRPr="00551A03">
        <w:t>спирографическим</w:t>
      </w:r>
      <w:proofErr w:type="spellEnd"/>
      <w:r w:rsidR="008027AA" w:rsidRPr="00551A03">
        <w:t xml:space="preserve"> классом GOLD II </w:t>
      </w:r>
      <w:r w:rsidR="00FF35C5" w:rsidRPr="00551A03">
        <w:t>группы сравнения распределение больных по группам риска отвечал</w:t>
      </w:r>
      <w:r w:rsidR="008027AA" w:rsidRPr="00551A03">
        <w:t>о</w:t>
      </w:r>
      <w:r w:rsidR="00FF35C5" w:rsidRPr="00551A03">
        <w:t xml:space="preserve"> следующем</w:t>
      </w:r>
      <w:r w:rsidR="008027AA" w:rsidRPr="00551A03">
        <w:t>у</w:t>
      </w:r>
      <w:r w:rsidR="00FF35C5" w:rsidRPr="00551A03">
        <w:t xml:space="preserve">: группа А - 6 (14,6%), группа В - 17 (41,5%), группа С - 18 (43,9%) человек. В то же время у больных с </w:t>
      </w:r>
      <w:proofErr w:type="spellStart"/>
      <w:r w:rsidR="00FF35C5" w:rsidRPr="00551A03">
        <w:t>коморбидной</w:t>
      </w:r>
      <w:proofErr w:type="spellEnd"/>
      <w:r w:rsidR="00FF35C5" w:rsidRPr="00551A03">
        <w:t xml:space="preserve"> патологией в группу А не вошел ни</w:t>
      </w:r>
      <w:r w:rsidR="00924131" w:rsidRPr="00551A03">
        <w:t xml:space="preserve"> один</w:t>
      </w:r>
      <w:r w:rsidR="00FF35C5" w:rsidRPr="00551A03">
        <w:t xml:space="preserve"> пациенту, в группу В - 14 (28,6%) человек, в группу С - 29 (59,2%) и 6 (</w:t>
      </w:r>
      <w:r w:rsidR="00924131" w:rsidRPr="00551A03">
        <w:t xml:space="preserve">12,2%) больных попало в группу </w:t>
      </w:r>
      <w:r w:rsidR="00924131" w:rsidRPr="00551A03">
        <w:rPr>
          <w:lang w:val="en-US"/>
        </w:rPr>
        <w:t>D</w:t>
      </w:r>
      <w:r w:rsidR="00FF35C5" w:rsidRPr="00551A03">
        <w:t xml:space="preserve">. Такое перераспределение пациентов </w:t>
      </w:r>
      <w:r w:rsidR="00924131" w:rsidRPr="00551A03">
        <w:t>по градациям</w:t>
      </w:r>
      <w:r w:rsidR="00FF35C5" w:rsidRPr="00551A03">
        <w:t xml:space="preserve"> риска </w:t>
      </w:r>
      <w:r w:rsidR="00924131" w:rsidRPr="00551A03">
        <w:t>придавало</w:t>
      </w:r>
      <w:r w:rsidR="00FF35C5" w:rsidRPr="00551A03">
        <w:t xml:space="preserve"> различиям между группами </w:t>
      </w:r>
      <w:r w:rsidR="00924131" w:rsidRPr="00551A03">
        <w:t>достоверный характер</w:t>
      </w:r>
      <w:r w:rsidR="00FF35C5" w:rsidRPr="00551A03">
        <w:t xml:space="preserve"> (</w:t>
      </w:r>
      <w:proofErr w:type="spellStart"/>
      <w:r w:rsidR="00FF35C5" w:rsidRPr="00551A03">
        <w:t>df</w:t>
      </w:r>
      <w:proofErr w:type="spellEnd"/>
      <w:r w:rsidR="00511D46" w:rsidRPr="00551A03">
        <w:t>=</w:t>
      </w:r>
      <w:r w:rsidR="00FF35C5" w:rsidRPr="00551A03">
        <w:t>3, χ2</w:t>
      </w:r>
      <w:r w:rsidR="00511D46" w:rsidRPr="00551A03">
        <w:t>=</w:t>
      </w:r>
      <w:r w:rsidR="00FF35C5" w:rsidRPr="00551A03">
        <w:t>14,266, р</w:t>
      </w:r>
      <w:r w:rsidR="00511D46" w:rsidRPr="00551A03">
        <w:t>=</w:t>
      </w:r>
      <w:r w:rsidR="00FF35C5" w:rsidRPr="00551A03">
        <w:t>0,003). То есть наличие сопутствующего хронического панкреатита значительно повышает риск формирования осложнений и ухудшает прогноз у данной категории больных.</w:t>
      </w:r>
    </w:p>
    <w:p w14:paraId="70F8E75B" w14:textId="624A2F0A" w:rsidR="00C71458" w:rsidRPr="00551A03" w:rsidRDefault="00C71458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/>
          <w:bCs/>
        </w:rPr>
        <w:t xml:space="preserve">Выводы. </w:t>
      </w:r>
      <w:r w:rsidRPr="00551A03">
        <w:rPr>
          <w:bCs/>
        </w:rPr>
        <w:t>На основании полученных данных можно констатировать, что наличие сопутствующего хронического панкреатита у больных ХОБЛ вносил</w:t>
      </w:r>
      <w:r w:rsidR="002F0944" w:rsidRPr="00551A03">
        <w:rPr>
          <w:bCs/>
        </w:rPr>
        <w:t>о</w:t>
      </w:r>
      <w:r w:rsidRPr="00551A03">
        <w:rPr>
          <w:bCs/>
        </w:rPr>
        <w:t xml:space="preserve"> определенные </w:t>
      </w:r>
      <w:r w:rsidR="005668E9" w:rsidRPr="00551A03">
        <w:rPr>
          <w:bCs/>
        </w:rPr>
        <w:t>девиации</w:t>
      </w:r>
      <w:r w:rsidRPr="00551A03">
        <w:rPr>
          <w:bCs/>
        </w:rPr>
        <w:t xml:space="preserve"> в клиническую характеристику заболевания.</w:t>
      </w:r>
    </w:p>
    <w:p w14:paraId="17D09382" w14:textId="64FE5D77" w:rsidR="00C71458" w:rsidRPr="00551A03" w:rsidRDefault="00C71458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 xml:space="preserve">Так, при анализе этиологических факторов установлено, что у пациентов с </w:t>
      </w:r>
      <w:proofErr w:type="spellStart"/>
      <w:r w:rsidRPr="00551A03">
        <w:rPr>
          <w:bCs/>
        </w:rPr>
        <w:t>коморбидной</w:t>
      </w:r>
      <w:proofErr w:type="spellEnd"/>
      <w:r w:rsidRPr="00551A03">
        <w:rPr>
          <w:bCs/>
        </w:rPr>
        <w:t xml:space="preserve"> патологией достоверно чаще в качестве пускового механизма выступали острые респираторно-вирусные инфекции, что, видимо, было следствием угнетения резистентности организма к инфекционным агентам в условиях сочетанной патологии. При э</w:t>
      </w:r>
      <w:r w:rsidR="005668E9" w:rsidRPr="00551A03">
        <w:rPr>
          <w:bCs/>
        </w:rPr>
        <w:t>том сезонный характер обострений</w:t>
      </w:r>
      <w:r w:rsidRPr="00551A03">
        <w:rPr>
          <w:bCs/>
        </w:rPr>
        <w:t xml:space="preserve"> у таких больных был менее выра</w:t>
      </w:r>
      <w:r w:rsidR="002F0944" w:rsidRPr="00551A03">
        <w:rPr>
          <w:bCs/>
        </w:rPr>
        <w:t>жен</w:t>
      </w:r>
      <w:r w:rsidRPr="00551A03">
        <w:rPr>
          <w:bCs/>
        </w:rPr>
        <w:t>ным. Вероятно, данное обстоя</w:t>
      </w:r>
      <w:r w:rsidR="001A09F9" w:rsidRPr="00551A03">
        <w:rPr>
          <w:bCs/>
        </w:rPr>
        <w:t>тельство объясняется тем, что хронический панкреатит</w:t>
      </w:r>
      <w:r w:rsidRPr="00551A03">
        <w:rPr>
          <w:bCs/>
        </w:rPr>
        <w:t xml:space="preserve"> выступал в качестве дополнительного провоцирующего фактора обо</w:t>
      </w:r>
      <w:r w:rsidR="002F0944" w:rsidRPr="00551A03">
        <w:rPr>
          <w:bCs/>
        </w:rPr>
        <w:t>стрения ХОБЛ. Данный тезис имел</w:t>
      </w:r>
      <w:r w:rsidRPr="00551A03">
        <w:rPr>
          <w:bCs/>
        </w:rPr>
        <w:t xml:space="preserve"> подтверждение при анализе количества обострений в год - в группе</w:t>
      </w:r>
      <w:r w:rsidR="005668E9" w:rsidRPr="00551A03">
        <w:rPr>
          <w:bCs/>
        </w:rPr>
        <w:t xml:space="preserve"> </w:t>
      </w:r>
      <w:proofErr w:type="spellStart"/>
      <w:r w:rsidR="005668E9" w:rsidRPr="00551A03">
        <w:rPr>
          <w:bCs/>
        </w:rPr>
        <w:t>коморбидной</w:t>
      </w:r>
      <w:proofErr w:type="spellEnd"/>
      <w:r w:rsidR="005668E9" w:rsidRPr="00551A03">
        <w:rPr>
          <w:bCs/>
        </w:rPr>
        <w:t xml:space="preserve"> патологии</w:t>
      </w:r>
      <w:r w:rsidRPr="00551A03">
        <w:rPr>
          <w:bCs/>
        </w:rPr>
        <w:t xml:space="preserve"> данный показатель </w:t>
      </w:r>
      <w:r w:rsidR="005668E9" w:rsidRPr="00551A03">
        <w:rPr>
          <w:bCs/>
        </w:rPr>
        <w:t>достоверно превышал таковой  группы с изолированной патологией</w:t>
      </w:r>
      <w:r w:rsidRPr="00551A03">
        <w:rPr>
          <w:bCs/>
        </w:rPr>
        <w:t>.</w:t>
      </w:r>
    </w:p>
    <w:p w14:paraId="2B456B04" w14:textId="5C980B22" w:rsidR="001322CA" w:rsidRPr="00551A03" w:rsidRDefault="005400A5" w:rsidP="00551A03">
      <w:pPr>
        <w:spacing w:line="360" w:lineRule="auto"/>
        <w:ind w:firstLine="425"/>
        <w:jc w:val="both"/>
        <w:rPr>
          <w:bCs/>
        </w:rPr>
      </w:pPr>
      <w:r w:rsidRPr="00551A03">
        <w:rPr>
          <w:bCs/>
        </w:rPr>
        <w:t>Наличие хронич</w:t>
      </w:r>
      <w:r w:rsidR="009E1C21" w:rsidRPr="00551A03">
        <w:rPr>
          <w:bCs/>
        </w:rPr>
        <w:t>е</w:t>
      </w:r>
      <w:r w:rsidRPr="00551A03">
        <w:rPr>
          <w:bCs/>
        </w:rPr>
        <w:t>ского панкреатита</w:t>
      </w:r>
      <w:r w:rsidR="00C71458" w:rsidRPr="00551A03">
        <w:rPr>
          <w:bCs/>
        </w:rPr>
        <w:t xml:space="preserve"> </w:t>
      </w:r>
      <w:r w:rsidRPr="00551A03">
        <w:rPr>
          <w:bCs/>
        </w:rPr>
        <w:t xml:space="preserve">также </w:t>
      </w:r>
      <w:r w:rsidR="00C71458" w:rsidRPr="00551A03">
        <w:rPr>
          <w:bCs/>
        </w:rPr>
        <w:t>привносил</w:t>
      </w:r>
      <w:r w:rsidR="002F0944" w:rsidRPr="00551A03">
        <w:rPr>
          <w:bCs/>
        </w:rPr>
        <w:t>о</w:t>
      </w:r>
      <w:r w:rsidR="00C71458" w:rsidRPr="00551A03">
        <w:rPr>
          <w:bCs/>
        </w:rPr>
        <w:t xml:space="preserve"> определенные особенности и в клиническую картину заболевания. Так, при оценке ведущих симптомов ХОБЛ установлено значительное усиление одышки, кашля и изменени</w:t>
      </w:r>
      <w:r w:rsidRPr="00551A03">
        <w:rPr>
          <w:bCs/>
        </w:rPr>
        <w:t>е</w:t>
      </w:r>
      <w:r w:rsidR="00C71458" w:rsidRPr="00551A03">
        <w:rPr>
          <w:bCs/>
        </w:rPr>
        <w:t xml:space="preserve"> характера мокроты при </w:t>
      </w:r>
      <w:proofErr w:type="spellStart"/>
      <w:r w:rsidRPr="00551A03">
        <w:rPr>
          <w:bCs/>
        </w:rPr>
        <w:t>коморбидности</w:t>
      </w:r>
      <w:proofErr w:type="spellEnd"/>
      <w:r w:rsidR="009E1C21" w:rsidRPr="00551A03">
        <w:rPr>
          <w:bCs/>
        </w:rPr>
        <w:t>, что подтверждало</w:t>
      </w:r>
      <w:r w:rsidR="00C71458" w:rsidRPr="00551A03">
        <w:rPr>
          <w:bCs/>
        </w:rPr>
        <w:t xml:space="preserve"> негативное влияние </w:t>
      </w:r>
      <w:r w:rsidRPr="00551A03">
        <w:rPr>
          <w:bCs/>
        </w:rPr>
        <w:t xml:space="preserve">хронического панкреатита </w:t>
      </w:r>
      <w:r w:rsidR="00C71458" w:rsidRPr="00551A03">
        <w:rPr>
          <w:bCs/>
        </w:rPr>
        <w:t xml:space="preserve">на течение </w:t>
      </w:r>
      <w:r w:rsidRPr="00551A03">
        <w:rPr>
          <w:bCs/>
        </w:rPr>
        <w:t>респираторной патологии</w:t>
      </w:r>
      <w:r w:rsidR="00C71458" w:rsidRPr="00551A03">
        <w:rPr>
          <w:bCs/>
        </w:rPr>
        <w:t>.</w:t>
      </w:r>
      <w:r w:rsidR="009E1C21" w:rsidRPr="00551A03">
        <w:rPr>
          <w:bCs/>
        </w:rPr>
        <w:t xml:space="preserve"> </w:t>
      </w:r>
      <w:r w:rsidR="00C71458" w:rsidRPr="00551A03">
        <w:rPr>
          <w:bCs/>
        </w:rPr>
        <w:t xml:space="preserve">При проведении интегральной оценки силы влияния ХОБЛ на конкретного пациента установлено, что наличие </w:t>
      </w:r>
      <w:r w:rsidR="00BB5884" w:rsidRPr="00551A03">
        <w:rPr>
          <w:bCs/>
        </w:rPr>
        <w:t>данного “нозологического тандема”</w:t>
      </w:r>
      <w:r w:rsidR="009E1C21" w:rsidRPr="00551A03">
        <w:rPr>
          <w:bCs/>
        </w:rPr>
        <w:t xml:space="preserve"> приводило</w:t>
      </w:r>
      <w:r w:rsidR="00C71458" w:rsidRPr="00551A03">
        <w:rPr>
          <w:bCs/>
        </w:rPr>
        <w:t xml:space="preserve"> к перераспределению больных по группам риска</w:t>
      </w:r>
      <w:r w:rsidR="00BB5884" w:rsidRPr="00551A03">
        <w:rPr>
          <w:bCs/>
        </w:rPr>
        <w:t xml:space="preserve"> в сторону его усугубления</w:t>
      </w:r>
      <w:r w:rsidR="00C71458" w:rsidRPr="00551A03">
        <w:rPr>
          <w:bCs/>
        </w:rPr>
        <w:t xml:space="preserve"> и,</w:t>
      </w:r>
      <w:r w:rsidR="00BB5884" w:rsidRPr="00551A03">
        <w:rPr>
          <w:bCs/>
        </w:rPr>
        <w:t xml:space="preserve"> тем самым, </w:t>
      </w:r>
      <w:r w:rsidR="00BB5884" w:rsidRPr="00551A03">
        <w:rPr>
          <w:bCs/>
        </w:rPr>
        <w:lastRenderedPageBreak/>
        <w:t>значительно повышало</w:t>
      </w:r>
      <w:r w:rsidR="00C71458" w:rsidRPr="00551A03">
        <w:rPr>
          <w:bCs/>
        </w:rPr>
        <w:t xml:space="preserve"> риск фо</w:t>
      </w:r>
      <w:r w:rsidR="00BB5884" w:rsidRPr="00551A03">
        <w:rPr>
          <w:bCs/>
        </w:rPr>
        <w:t>рмирования осложнений и ухудшало</w:t>
      </w:r>
      <w:r w:rsidR="00C71458" w:rsidRPr="00551A03">
        <w:rPr>
          <w:bCs/>
        </w:rPr>
        <w:t xml:space="preserve"> прогноз у данной категории больных.</w:t>
      </w:r>
    </w:p>
    <w:p w14:paraId="76C1B2FD" w14:textId="77777777" w:rsidR="00C71458" w:rsidRPr="00551A03" w:rsidRDefault="00C71458" w:rsidP="00551A03">
      <w:pPr>
        <w:spacing w:line="360" w:lineRule="auto"/>
        <w:ind w:firstLine="425"/>
        <w:jc w:val="both"/>
      </w:pPr>
    </w:p>
    <w:p w14:paraId="2D8D1BB0" w14:textId="2763A82A" w:rsidR="000858E7" w:rsidRPr="00551A03" w:rsidRDefault="00C71458" w:rsidP="00551A03">
      <w:pPr>
        <w:spacing w:line="360" w:lineRule="auto"/>
        <w:ind w:firstLine="425"/>
        <w:jc w:val="both"/>
        <w:rPr>
          <w:b/>
        </w:rPr>
      </w:pPr>
      <w:r w:rsidRPr="00551A03">
        <w:rPr>
          <w:b/>
        </w:rPr>
        <w:t>Литература</w:t>
      </w:r>
    </w:p>
    <w:p w14:paraId="196BE81C" w14:textId="0FF91186" w:rsidR="00312473" w:rsidRPr="00551A03" w:rsidRDefault="00312473" w:rsidP="00551A03">
      <w:pPr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567"/>
        </w:tabs>
        <w:spacing w:line="360" w:lineRule="auto"/>
        <w:ind w:left="0" w:firstLine="425"/>
        <w:jc w:val="both"/>
      </w:pPr>
      <w:r w:rsidRPr="00551A03">
        <w:t>Кириллов С.М.</w:t>
      </w:r>
      <w:r w:rsidR="00A86FB9">
        <w:t>,</w:t>
      </w:r>
      <w:r w:rsidRPr="00551A03">
        <w:t xml:space="preserve"> </w:t>
      </w:r>
      <w:r w:rsidR="00A86FB9" w:rsidRPr="00551A03">
        <w:t>Кириллов</w:t>
      </w:r>
      <w:r w:rsidR="00A86FB9" w:rsidRPr="00A86FB9">
        <w:t xml:space="preserve"> </w:t>
      </w:r>
      <w:r w:rsidR="00A86FB9" w:rsidRPr="00551A03">
        <w:t>М.М., Минченко</w:t>
      </w:r>
      <w:r w:rsidR="00A86FB9" w:rsidRPr="00A86FB9">
        <w:t xml:space="preserve"> </w:t>
      </w:r>
      <w:r w:rsidR="00A86FB9" w:rsidRPr="00551A03">
        <w:t>И.И., Рябова А.Ю.</w:t>
      </w:r>
      <w:r w:rsidR="00A86FB9">
        <w:t xml:space="preserve"> </w:t>
      </w:r>
      <w:r w:rsidRPr="00551A03">
        <w:t xml:space="preserve">Патология пищеварительной системы у больных бронхиальной астмой и хронической </w:t>
      </w:r>
      <w:proofErr w:type="spellStart"/>
      <w:r w:rsidRPr="00551A03">
        <w:t>обструктивно</w:t>
      </w:r>
      <w:r w:rsidR="00A86FB9">
        <w:t>й</w:t>
      </w:r>
      <w:proofErr w:type="spellEnd"/>
      <w:r w:rsidR="00A86FB9">
        <w:t xml:space="preserve"> болезнью легких. </w:t>
      </w:r>
      <w:r w:rsidRPr="00551A03">
        <w:t>Вестник новых медицинских технологий. - 2007. - Т.XIV, №3. - С.121-123.</w:t>
      </w:r>
    </w:p>
    <w:p w14:paraId="5BB44459" w14:textId="59FBD6E1" w:rsidR="00312473" w:rsidRPr="00551A03" w:rsidRDefault="00312473" w:rsidP="00551A03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425"/>
        <w:jc w:val="both"/>
      </w:pPr>
      <w:proofErr w:type="spellStart"/>
      <w:r w:rsidRPr="00551A03">
        <w:t>Савустьяненко</w:t>
      </w:r>
      <w:proofErr w:type="spellEnd"/>
      <w:r w:rsidRPr="00551A03">
        <w:t xml:space="preserve"> А.В. К во</w:t>
      </w:r>
      <w:r w:rsidR="00C341B5" w:rsidRPr="00551A03">
        <w:t>просу о хроническом панкреатите</w:t>
      </w:r>
      <w:r w:rsidR="00216F08">
        <w:t>.</w:t>
      </w:r>
      <w:r w:rsidR="00C341B5" w:rsidRPr="00551A03">
        <w:t xml:space="preserve"> </w:t>
      </w:r>
      <w:r w:rsidR="00707459" w:rsidRPr="00551A03">
        <w:t>Новости медицины и фармации.</w:t>
      </w:r>
      <w:r w:rsidR="00216F08">
        <w:t xml:space="preserve"> </w:t>
      </w:r>
      <w:r w:rsidR="00707459" w:rsidRPr="00551A03">
        <w:t>–</w:t>
      </w:r>
      <w:r w:rsidR="00216F08">
        <w:t xml:space="preserve"> </w:t>
      </w:r>
      <w:r w:rsidR="00707459" w:rsidRPr="00551A03">
        <w:t>2011.</w:t>
      </w:r>
      <w:r w:rsidR="00216F08">
        <w:t xml:space="preserve"> </w:t>
      </w:r>
      <w:r w:rsidR="00707459" w:rsidRPr="00551A03">
        <w:t>-</w:t>
      </w:r>
      <w:r w:rsidR="00216F08">
        <w:t xml:space="preserve"> </w:t>
      </w:r>
      <w:r w:rsidR="00707459" w:rsidRPr="00551A03">
        <w:t>№18</w:t>
      </w:r>
      <w:r w:rsidR="000A5690" w:rsidRPr="00551A03">
        <w:t xml:space="preserve"> </w:t>
      </w:r>
      <w:r w:rsidRPr="00551A03">
        <w:t>(387</w:t>
      </w:r>
      <w:r w:rsidR="00707459" w:rsidRPr="00551A03">
        <w:t>).</w:t>
      </w:r>
      <w:r w:rsidR="00216F08">
        <w:t xml:space="preserve"> </w:t>
      </w:r>
      <w:r w:rsidR="00707459" w:rsidRPr="00551A03">
        <w:t>–</w:t>
      </w:r>
      <w:r w:rsidR="00216F08">
        <w:t xml:space="preserve"> </w:t>
      </w:r>
      <w:r w:rsidR="00707459" w:rsidRPr="00551A03">
        <w:t>C.</w:t>
      </w:r>
      <w:r w:rsidRPr="00551A03">
        <w:t>14-15</w:t>
      </w:r>
    </w:p>
    <w:p w14:paraId="3380BD48" w14:textId="5E671970" w:rsidR="00312473" w:rsidRPr="00551A03" w:rsidRDefault="00312473" w:rsidP="00551A03">
      <w:pPr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0" w:firstLine="425"/>
        <w:jc w:val="both"/>
      </w:pPr>
      <w:r w:rsidRPr="00551A03">
        <w:t>Христич Т.Н. К вопросу о патогенезе сочетанных заболеваний органов пищев</w:t>
      </w:r>
      <w:r w:rsidR="00216F08">
        <w:t>арения и бронхолегочной системы. Украинский терапевтический</w:t>
      </w:r>
      <w:r w:rsidR="00F15997" w:rsidRPr="00551A03">
        <w:t xml:space="preserve"> журнал</w:t>
      </w:r>
      <w:r w:rsidRPr="00551A03">
        <w:t>. - 2006. - №2. - С. 88-91.</w:t>
      </w:r>
    </w:p>
    <w:p w14:paraId="6CEA4606" w14:textId="7F278D8D" w:rsidR="00312473" w:rsidRPr="00551A03" w:rsidRDefault="00312473" w:rsidP="00551A03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0" w:firstLine="425"/>
        <w:jc w:val="both"/>
      </w:pPr>
      <w:proofErr w:type="spellStart"/>
      <w:r w:rsidRPr="00551A03">
        <w:t>Aryal</w:t>
      </w:r>
      <w:proofErr w:type="spellEnd"/>
      <w:r w:rsidRPr="00551A03">
        <w:t xml:space="preserve"> S.</w:t>
      </w:r>
      <w:r w:rsidR="00216F08">
        <w:t>,</w:t>
      </w:r>
      <w:r w:rsidRPr="00551A03">
        <w:t xml:space="preserve"> </w:t>
      </w:r>
      <w:proofErr w:type="spellStart"/>
      <w:r w:rsidR="00216F08" w:rsidRPr="00551A03">
        <w:t>Diaz-Guzman</w:t>
      </w:r>
      <w:proofErr w:type="spellEnd"/>
      <w:r w:rsidR="001A5130" w:rsidRPr="001A5130">
        <w:t xml:space="preserve"> </w:t>
      </w:r>
      <w:r w:rsidR="001A5130" w:rsidRPr="00551A03">
        <w:t>E.</w:t>
      </w:r>
      <w:r w:rsidR="00216F08" w:rsidRPr="00551A03">
        <w:t xml:space="preserve">, </w:t>
      </w:r>
      <w:proofErr w:type="spellStart"/>
      <w:r w:rsidR="00216F08" w:rsidRPr="00551A03">
        <w:t>Mannino</w:t>
      </w:r>
      <w:proofErr w:type="spellEnd"/>
      <w:r w:rsidR="00216F08" w:rsidRPr="00551A03">
        <w:t xml:space="preserve"> </w:t>
      </w:r>
      <w:r w:rsidR="001A5130" w:rsidRPr="00551A03">
        <w:t xml:space="preserve">D. M. </w:t>
      </w:r>
      <w:proofErr w:type="spellStart"/>
      <w:r w:rsidRPr="00551A03">
        <w:rPr>
          <w:bCs/>
        </w:rPr>
        <w:t>Prevalence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of</w:t>
      </w:r>
      <w:proofErr w:type="spellEnd"/>
      <w:r w:rsidRPr="00551A03">
        <w:rPr>
          <w:bCs/>
        </w:rPr>
        <w:t xml:space="preserve"> COPD </w:t>
      </w:r>
      <w:proofErr w:type="spellStart"/>
      <w:r w:rsidRPr="00551A03">
        <w:rPr>
          <w:bCs/>
        </w:rPr>
        <w:t>and</w:t>
      </w:r>
      <w:proofErr w:type="spellEnd"/>
      <w:r w:rsidRPr="00551A03">
        <w:rPr>
          <w:bCs/>
        </w:rPr>
        <w:t xml:space="preserve"> </w:t>
      </w:r>
      <w:proofErr w:type="spellStart"/>
      <w:r w:rsidRPr="00551A03">
        <w:rPr>
          <w:bCs/>
        </w:rPr>
        <w:t>comorbidity</w:t>
      </w:r>
      <w:proofErr w:type="spellEnd"/>
      <w:r w:rsidR="00216F08">
        <w:t xml:space="preserve">. </w:t>
      </w:r>
      <w:proofErr w:type="spellStart"/>
      <w:r w:rsidRPr="00551A03">
        <w:rPr>
          <w:iCs/>
        </w:rPr>
        <w:t>Eur</w:t>
      </w:r>
      <w:proofErr w:type="spellEnd"/>
      <w:r w:rsidR="00216F08">
        <w:rPr>
          <w:iCs/>
        </w:rPr>
        <w:t>.</w:t>
      </w:r>
      <w:r w:rsidRPr="00551A03">
        <w:rPr>
          <w:iCs/>
        </w:rPr>
        <w:t xml:space="preserve"> </w:t>
      </w:r>
      <w:proofErr w:type="spellStart"/>
      <w:r w:rsidRPr="00551A03">
        <w:rPr>
          <w:iCs/>
        </w:rPr>
        <w:t>Respir</w:t>
      </w:r>
      <w:proofErr w:type="spellEnd"/>
      <w:r w:rsidR="00216F08">
        <w:rPr>
          <w:iCs/>
        </w:rPr>
        <w:t>.</w:t>
      </w:r>
      <w:r w:rsidRPr="00551A03">
        <w:rPr>
          <w:iCs/>
        </w:rPr>
        <w:t xml:space="preserve"> </w:t>
      </w:r>
      <w:proofErr w:type="spellStart"/>
      <w:r w:rsidRPr="00551A03">
        <w:rPr>
          <w:iCs/>
        </w:rPr>
        <w:t>Mon</w:t>
      </w:r>
      <w:proofErr w:type="spellEnd"/>
      <w:r w:rsidRPr="00551A03">
        <w:rPr>
          <w:iCs/>
        </w:rPr>
        <w:t>. –</w:t>
      </w:r>
      <w:r w:rsidRPr="00551A03">
        <w:t xml:space="preserve"> 2013. – 59. – P. 1-12</w:t>
      </w:r>
    </w:p>
    <w:p w14:paraId="728D5055" w14:textId="5077B175" w:rsidR="00312473" w:rsidRPr="00551A03" w:rsidRDefault="00312473" w:rsidP="00551A03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0" w:firstLine="425"/>
        <w:jc w:val="both"/>
      </w:pPr>
      <w:proofErr w:type="spellStart"/>
      <w:r w:rsidRPr="00551A03">
        <w:t>Chatila</w:t>
      </w:r>
      <w:proofErr w:type="spellEnd"/>
      <w:r w:rsidRPr="00551A03">
        <w:t xml:space="preserve"> W.M.</w:t>
      </w:r>
      <w:r w:rsidR="00216F08" w:rsidRPr="00551A03">
        <w:t xml:space="preserve">, </w:t>
      </w:r>
      <w:proofErr w:type="spellStart"/>
      <w:r w:rsidR="00216F08" w:rsidRPr="00551A03">
        <w:t>Thomashow</w:t>
      </w:r>
      <w:proofErr w:type="spellEnd"/>
      <w:r w:rsidR="001A5130" w:rsidRPr="001A5130">
        <w:t xml:space="preserve"> </w:t>
      </w:r>
      <w:r w:rsidR="001A5130" w:rsidRPr="00551A03">
        <w:t>B.M.</w:t>
      </w:r>
      <w:r w:rsidR="00216F08" w:rsidRPr="00551A03">
        <w:t xml:space="preserve">, </w:t>
      </w:r>
      <w:proofErr w:type="spellStart"/>
      <w:r w:rsidR="00216F08" w:rsidRPr="00551A03">
        <w:t>Minai</w:t>
      </w:r>
      <w:proofErr w:type="spellEnd"/>
      <w:r w:rsidRPr="00551A03">
        <w:t xml:space="preserve"> </w:t>
      </w:r>
      <w:r w:rsidR="001A5130" w:rsidRPr="00551A03">
        <w:t xml:space="preserve">O.A. </w:t>
      </w:r>
      <w:proofErr w:type="spellStart"/>
      <w:r w:rsidRPr="00551A03">
        <w:t>Comorbidities</w:t>
      </w:r>
      <w:proofErr w:type="spellEnd"/>
      <w:r w:rsidRPr="00551A03">
        <w:t xml:space="preserve"> </w:t>
      </w:r>
      <w:proofErr w:type="spellStart"/>
      <w:r w:rsidRPr="00551A03">
        <w:t>in</w:t>
      </w:r>
      <w:proofErr w:type="spellEnd"/>
      <w:r w:rsidRPr="00551A03">
        <w:t xml:space="preserve"> </w:t>
      </w:r>
      <w:proofErr w:type="spellStart"/>
      <w:r w:rsidRPr="00551A03">
        <w:t>chroni</w:t>
      </w:r>
      <w:r w:rsidR="00216F08">
        <w:t>c</w:t>
      </w:r>
      <w:proofErr w:type="spellEnd"/>
      <w:r w:rsidR="00216F08">
        <w:t xml:space="preserve"> </w:t>
      </w:r>
      <w:proofErr w:type="spellStart"/>
      <w:r w:rsidR="00216F08">
        <w:t>obstructive</w:t>
      </w:r>
      <w:proofErr w:type="spellEnd"/>
      <w:r w:rsidR="00216F08">
        <w:t xml:space="preserve"> </w:t>
      </w:r>
      <w:proofErr w:type="spellStart"/>
      <w:r w:rsidR="00216F08">
        <w:t>pulmonary</w:t>
      </w:r>
      <w:proofErr w:type="spellEnd"/>
      <w:r w:rsidR="00216F08">
        <w:t xml:space="preserve"> </w:t>
      </w:r>
      <w:proofErr w:type="spellStart"/>
      <w:r w:rsidR="00216F08">
        <w:t>disease</w:t>
      </w:r>
      <w:proofErr w:type="spellEnd"/>
      <w:r w:rsidR="00216F08">
        <w:t xml:space="preserve">. </w:t>
      </w:r>
      <w:proofErr w:type="spellStart"/>
      <w:r w:rsidRPr="00551A03">
        <w:t>Proc</w:t>
      </w:r>
      <w:proofErr w:type="spellEnd"/>
      <w:r w:rsidRPr="00551A03">
        <w:t xml:space="preserve">. </w:t>
      </w:r>
      <w:proofErr w:type="spellStart"/>
      <w:r w:rsidRPr="00551A03">
        <w:t>Am</w:t>
      </w:r>
      <w:proofErr w:type="spellEnd"/>
      <w:r w:rsidRPr="00551A03">
        <w:t>.</w:t>
      </w:r>
      <w:r w:rsidR="00216F08">
        <w:t xml:space="preserve"> </w:t>
      </w:r>
      <w:proofErr w:type="spellStart"/>
      <w:r w:rsidRPr="00551A03">
        <w:t>Thorac</w:t>
      </w:r>
      <w:proofErr w:type="spellEnd"/>
      <w:r w:rsidRPr="00551A03">
        <w:t xml:space="preserve">. </w:t>
      </w:r>
      <w:proofErr w:type="spellStart"/>
      <w:r w:rsidRPr="00551A03">
        <w:t>Soc</w:t>
      </w:r>
      <w:proofErr w:type="spellEnd"/>
      <w:r w:rsidRPr="00551A03">
        <w:t>. - 2008. - Vol.5. - P.549-555.</w:t>
      </w:r>
    </w:p>
    <w:p w14:paraId="324FCC55" w14:textId="0449E9DF" w:rsidR="00312473" w:rsidRPr="00551A03" w:rsidRDefault="00312473" w:rsidP="00551A0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A03">
        <w:rPr>
          <w:rFonts w:ascii="Times New Roman" w:hAnsi="Times New Roman"/>
          <w:sz w:val="24"/>
          <w:szCs w:val="24"/>
        </w:rPr>
        <w:t>Convell</w:t>
      </w:r>
      <w:proofErr w:type="spellEnd"/>
      <w:r w:rsidRPr="00551A03">
        <w:rPr>
          <w:rFonts w:ascii="Times New Roman" w:hAnsi="Times New Roman"/>
          <w:sz w:val="24"/>
          <w:szCs w:val="24"/>
        </w:rPr>
        <w:t xml:space="preserve"> D.</w:t>
      </w:r>
      <w:r w:rsidR="00216F08" w:rsidRPr="00551A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F08" w:rsidRPr="00551A03">
        <w:rPr>
          <w:rFonts w:ascii="Times New Roman" w:hAnsi="Times New Roman"/>
          <w:sz w:val="24"/>
          <w:szCs w:val="24"/>
        </w:rPr>
        <w:t>Banks</w:t>
      </w:r>
      <w:proofErr w:type="spellEnd"/>
      <w:r w:rsidRPr="00551A03">
        <w:rPr>
          <w:rFonts w:ascii="Times New Roman" w:hAnsi="Times New Roman"/>
          <w:sz w:val="24"/>
          <w:szCs w:val="24"/>
        </w:rPr>
        <w:t xml:space="preserve"> </w:t>
      </w:r>
      <w:r w:rsidR="001A5130" w:rsidRPr="00551A03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551A03">
        <w:rPr>
          <w:rFonts w:ascii="Times New Roman" w:hAnsi="Times New Roman"/>
          <w:sz w:val="24"/>
          <w:szCs w:val="24"/>
        </w:rPr>
        <w:t>Chronic</w:t>
      </w:r>
      <w:proofErr w:type="spellEnd"/>
      <w:r w:rsidRPr="0055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A3B" w:rsidRPr="00551A03">
        <w:rPr>
          <w:rFonts w:ascii="Times New Roman" w:hAnsi="Times New Roman"/>
          <w:sz w:val="24"/>
          <w:szCs w:val="24"/>
        </w:rPr>
        <w:t>pancreatitis</w:t>
      </w:r>
      <w:proofErr w:type="spellEnd"/>
      <w:r w:rsidR="001A5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1A03">
        <w:rPr>
          <w:rFonts w:ascii="Times New Roman" w:hAnsi="Times New Roman"/>
          <w:sz w:val="24"/>
          <w:szCs w:val="24"/>
        </w:rPr>
        <w:t>Curr</w:t>
      </w:r>
      <w:proofErr w:type="spellEnd"/>
      <w:r w:rsidRPr="00551A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1A03">
        <w:rPr>
          <w:rFonts w:ascii="Times New Roman" w:hAnsi="Times New Roman"/>
          <w:sz w:val="24"/>
          <w:szCs w:val="24"/>
        </w:rPr>
        <w:t>Opin</w:t>
      </w:r>
      <w:proofErr w:type="spellEnd"/>
      <w:r w:rsidRPr="00551A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1A03">
        <w:rPr>
          <w:rFonts w:ascii="Times New Roman" w:hAnsi="Times New Roman"/>
          <w:sz w:val="24"/>
          <w:szCs w:val="24"/>
        </w:rPr>
        <w:t>Gastrornterol</w:t>
      </w:r>
      <w:proofErr w:type="spellEnd"/>
      <w:r w:rsidRPr="00551A03">
        <w:rPr>
          <w:rFonts w:ascii="Times New Roman" w:hAnsi="Times New Roman"/>
          <w:sz w:val="24"/>
          <w:szCs w:val="24"/>
        </w:rPr>
        <w:t xml:space="preserve">.— 2008.— </w:t>
      </w:r>
      <w:proofErr w:type="spellStart"/>
      <w:r w:rsidRPr="00551A03">
        <w:rPr>
          <w:rFonts w:ascii="Times New Roman" w:hAnsi="Times New Roman"/>
          <w:sz w:val="24"/>
          <w:szCs w:val="24"/>
        </w:rPr>
        <w:t>Vol</w:t>
      </w:r>
      <w:proofErr w:type="spellEnd"/>
      <w:r w:rsidRPr="00551A03">
        <w:rPr>
          <w:rFonts w:ascii="Times New Roman" w:hAnsi="Times New Roman"/>
          <w:sz w:val="24"/>
          <w:szCs w:val="24"/>
        </w:rPr>
        <w:t>. 24 (5).— P. 586—590.</w:t>
      </w:r>
    </w:p>
    <w:p w14:paraId="3A5EB1AB" w14:textId="1A68F758" w:rsidR="00312473" w:rsidRPr="00551A03" w:rsidRDefault="00312473" w:rsidP="00551A03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left="0" w:firstLine="425"/>
        <w:contextualSpacing/>
        <w:jc w:val="both"/>
      </w:pPr>
      <w:proofErr w:type="spellStart"/>
      <w:r w:rsidRPr="00551A03">
        <w:t>Fabbri</w:t>
      </w:r>
      <w:proofErr w:type="spellEnd"/>
      <w:r w:rsidRPr="00551A03">
        <w:t xml:space="preserve"> L.M.</w:t>
      </w:r>
      <w:r w:rsidR="001A5130">
        <w:t>,</w:t>
      </w:r>
      <w:r w:rsidRPr="00551A03">
        <w:t xml:space="preserve"> </w:t>
      </w:r>
      <w:proofErr w:type="spellStart"/>
      <w:r w:rsidR="001A5130" w:rsidRPr="00551A03">
        <w:t>Luppi</w:t>
      </w:r>
      <w:proofErr w:type="spellEnd"/>
      <w:r w:rsidR="001A5130" w:rsidRPr="001A5130">
        <w:t xml:space="preserve"> </w:t>
      </w:r>
      <w:r w:rsidR="001A5130" w:rsidRPr="00551A03">
        <w:t xml:space="preserve">F., </w:t>
      </w:r>
      <w:proofErr w:type="spellStart"/>
      <w:r w:rsidR="001A5130" w:rsidRPr="00551A03">
        <w:t>Beghe</w:t>
      </w:r>
      <w:proofErr w:type="spellEnd"/>
      <w:r w:rsidR="001A5130" w:rsidRPr="00551A03">
        <w:t xml:space="preserve"> B.</w:t>
      </w:r>
      <w:r w:rsidR="001A5130">
        <w:t xml:space="preserve"> </w:t>
      </w:r>
      <w:proofErr w:type="spellStart"/>
      <w:r w:rsidRPr="00551A03">
        <w:t>Complex</w:t>
      </w:r>
      <w:proofErr w:type="spellEnd"/>
      <w:r w:rsidRPr="00551A03">
        <w:t xml:space="preserve"> </w:t>
      </w:r>
      <w:proofErr w:type="spellStart"/>
      <w:r w:rsidRPr="00551A03">
        <w:t>chronic</w:t>
      </w:r>
      <w:proofErr w:type="spellEnd"/>
      <w:r w:rsidRPr="00551A03">
        <w:t xml:space="preserve"> </w:t>
      </w:r>
      <w:proofErr w:type="spellStart"/>
      <w:r w:rsidRPr="00551A03">
        <w:t>como</w:t>
      </w:r>
      <w:r w:rsidR="001A5130">
        <w:t>rbidities</w:t>
      </w:r>
      <w:proofErr w:type="spellEnd"/>
      <w:r w:rsidR="001A5130">
        <w:t xml:space="preserve"> </w:t>
      </w:r>
      <w:proofErr w:type="spellStart"/>
      <w:r w:rsidR="001A5130">
        <w:t>of</w:t>
      </w:r>
      <w:proofErr w:type="spellEnd"/>
      <w:r w:rsidR="001A5130">
        <w:t xml:space="preserve"> COPD. </w:t>
      </w:r>
      <w:proofErr w:type="spellStart"/>
      <w:r w:rsidRPr="00551A03">
        <w:t>Eur</w:t>
      </w:r>
      <w:proofErr w:type="spellEnd"/>
      <w:r w:rsidRPr="00551A03">
        <w:t xml:space="preserve">. </w:t>
      </w:r>
      <w:proofErr w:type="spellStart"/>
      <w:r w:rsidRPr="00551A03">
        <w:t>Respir</w:t>
      </w:r>
      <w:proofErr w:type="spellEnd"/>
      <w:r w:rsidRPr="00551A03">
        <w:t>. J. - 2008.</w:t>
      </w:r>
      <w:r w:rsidR="001A5130">
        <w:t xml:space="preserve"> -</w:t>
      </w:r>
      <w:r w:rsidRPr="00551A03">
        <w:t xml:space="preserve"> Vol.31. - P.204-212.</w:t>
      </w:r>
    </w:p>
    <w:p w14:paraId="5DD2D053" w14:textId="77777777" w:rsidR="00312473" w:rsidRPr="00551A03" w:rsidRDefault="00312473" w:rsidP="00551A03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line="360" w:lineRule="auto"/>
        <w:ind w:left="0" w:firstLine="425"/>
        <w:contextualSpacing/>
        <w:jc w:val="both"/>
      </w:pPr>
      <w:proofErr w:type="spellStart"/>
      <w:r w:rsidRPr="00551A03">
        <w:t>Global</w:t>
      </w:r>
      <w:proofErr w:type="spellEnd"/>
      <w:r w:rsidRPr="00551A03">
        <w:t xml:space="preserve"> </w:t>
      </w:r>
      <w:proofErr w:type="spellStart"/>
      <w:r w:rsidRPr="00551A03">
        <w:t>Initiative</w:t>
      </w:r>
      <w:proofErr w:type="spellEnd"/>
      <w:r w:rsidRPr="00551A03">
        <w:t xml:space="preserve"> </w:t>
      </w:r>
      <w:proofErr w:type="spellStart"/>
      <w:r w:rsidRPr="00551A03">
        <w:t>for</w:t>
      </w:r>
      <w:proofErr w:type="spellEnd"/>
      <w:r w:rsidRPr="00551A03">
        <w:t xml:space="preserve"> </w:t>
      </w:r>
      <w:proofErr w:type="spellStart"/>
      <w:r w:rsidRPr="00551A03">
        <w:t>Chronic</w:t>
      </w:r>
      <w:proofErr w:type="spellEnd"/>
      <w:r w:rsidRPr="00551A03">
        <w:t xml:space="preserve"> </w:t>
      </w:r>
      <w:proofErr w:type="spellStart"/>
      <w:r w:rsidRPr="00551A03">
        <w:t>Obstructive</w:t>
      </w:r>
      <w:proofErr w:type="spellEnd"/>
      <w:r w:rsidRPr="00551A03">
        <w:t xml:space="preserve"> </w:t>
      </w:r>
      <w:proofErr w:type="spellStart"/>
      <w:r w:rsidRPr="00551A03">
        <w:t>Lung</w:t>
      </w:r>
      <w:proofErr w:type="spellEnd"/>
      <w:r w:rsidRPr="00551A03">
        <w:t xml:space="preserve"> </w:t>
      </w:r>
      <w:proofErr w:type="spellStart"/>
      <w:r w:rsidRPr="00551A03">
        <w:t>Disease</w:t>
      </w:r>
      <w:proofErr w:type="spellEnd"/>
      <w:r w:rsidRPr="00551A03">
        <w:t xml:space="preserve"> (GOLD). </w:t>
      </w:r>
      <w:r w:rsidR="00871532" w:rsidRPr="00551A03">
        <w:t>NHLBI/</w:t>
      </w:r>
      <w:r w:rsidRPr="00551A03">
        <w:t>W</w:t>
      </w:r>
      <w:r w:rsidR="000614A6" w:rsidRPr="00551A03">
        <w:t xml:space="preserve">HO </w:t>
      </w:r>
      <w:proofErr w:type="spellStart"/>
      <w:r w:rsidR="000614A6" w:rsidRPr="00551A03">
        <w:t>workshop</w:t>
      </w:r>
      <w:proofErr w:type="spellEnd"/>
      <w:r w:rsidR="000614A6" w:rsidRPr="00551A03">
        <w:t xml:space="preserve"> </w:t>
      </w:r>
      <w:proofErr w:type="spellStart"/>
      <w:r w:rsidR="000614A6" w:rsidRPr="00551A03">
        <w:t>report</w:t>
      </w:r>
      <w:proofErr w:type="spellEnd"/>
      <w:r w:rsidR="000614A6" w:rsidRPr="00551A03">
        <w:t xml:space="preserve">. </w:t>
      </w:r>
      <w:proofErr w:type="spellStart"/>
      <w:r w:rsidR="000614A6" w:rsidRPr="00551A03">
        <w:t>Updated</w:t>
      </w:r>
      <w:proofErr w:type="spellEnd"/>
      <w:r w:rsidR="000614A6" w:rsidRPr="00551A03">
        <w:t xml:space="preserve"> 2015</w:t>
      </w:r>
      <w:r w:rsidRPr="00551A03">
        <w:t>.</w:t>
      </w:r>
      <w:r w:rsidR="004C0C62" w:rsidRPr="00551A03">
        <w:t xml:space="preserve"> -</w:t>
      </w:r>
      <w:r w:rsidRPr="00551A03">
        <w:t xml:space="preserve"> </w:t>
      </w:r>
      <w:hyperlink r:id="rId10" w:history="1">
        <w:r w:rsidRPr="00551A03">
          <w:rPr>
            <w:rStyle w:val="a8"/>
            <w:iCs/>
            <w:color w:val="auto"/>
            <w:u w:val="none"/>
          </w:rPr>
          <w:t>www.goldcopd.org</w:t>
        </w:r>
      </w:hyperlink>
      <w:r w:rsidRPr="00551A03">
        <w:rPr>
          <w:iCs/>
        </w:rPr>
        <w:t>.</w:t>
      </w:r>
    </w:p>
    <w:p w14:paraId="7B8EECDF" w14:textId="50359EFD" w:rsidR="00312473" w:rsidRPr="00551A03" w:rsidRDefault="00312473" w:rsidP="00551A03">
      <w:pPr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567"/>
        </w:tabs>
        <w:spacing w:line="360" w:lineRule="auto"/>
        <w:ind w:left="0" w:firstLine="425"/>
        <w:jc w:val="both"/>
      </w:pPr>
      <w:proofErr w:type="spellStart"/>
      <w:r w:rsidRPr="00551A03">
        <w:t>Molero</w:t>
      </w:r>
      <w:proofErr w:type="spellEnd"/>
      <w:r w:rsidRPr="00551A03">
        <w:t xml:space="preserve"> </w:t>
      </w:r>
      <w:proofErr w:type="spellStart"/>
      <w:r w:rsidRPr="00551A03">
        <w:t>Richard</w:t>
      </w:r>
      <w:proofErr w:type="spellEnd"/>
      <w:r w:rsidRPr="00551A03">
        <w:t xml:space="preserve"> X. </w:t>
      </w:r>
      <w:proofErr w:type="spellStart"/>
      <w:r w:rsidRPr="00551A03">
        <w:t>Chronic</w:t>
      </w:r>
      <w:proofErr w:type="spellEnd"/>
      <w:r w:rsidRPr="00551A03">
        <w:t xml:space="preserve"> </w:t>
      </w:r>
      <w:proofErr w:type="spellStart"/>
      <w:r w:rsidRPr="00551A03">
        <w:t>pancreatitis</w:t>
      </w:r>
      <w:proofErr w:type="spellEnd"/>
      <w:r w:rsidR="001A5130">
        <w:t>.</w:t>
      </w:r>
      <w:r w:rsidRPr="00551A03">
        <w:t xml:space="preserve"> </w:t>
      </w:r>
      <w:proofErr w:type="spellStart"/>
      <w:r w:rsidRPr="00551A03">
        <w:t>Gastroenterol</w:t>
      </w:r>
      <w:proofErr w:type="spellEnd"/>
      <w:r w:rsidRPr="00551A03">
        <w:t xml:space="preserve">. </w:t>
      </w:r>
      <w:proofErr w:type="spellStart"/>
      <w:r w:rsidRPr="00551A03">
        <w:t>Hepatol</w:t>
      </w:r>
      <w:proofErr w:type="spellEnd"/>
      <w:r w:rsidRPr="00551A03">
        <w:t xml:space="preserve">. - 2008. - </w:t>
      </w:r>
      <w:proofErr w:type="spellStart"/>
      <w:r w:rsidRPr="00551A03">
        <w:t>Vol</w:t>
      </w:r>
      <w:proofErr w:type="spellEnd"/>
      <w:r w:rsidRPr="00551A03">
        <w:t xml:space="preserve">. 31, </w:t>
      </w:r>
      <w:proofErr w:type="spellStart"/>
      <w:r w:rsidRPr="00551A03">
        <w:t>Suppl</w:t>
      </w:r>
      <w:proofErr w:type="spellEnd"/>
      <w:r w:rsidRPr="00551A03">
        <w:t>. 4. - P. 76-82.</w:t>
      </w:r>
    </w:p>
    <w:p w14:paraId="1188650D" w14:textId="2F5C8416" w:rsidR="002E7C53" w:rsidRPr="00551A03" w:rsidRDefault="002E7C53" w:rsidP="00551A03">
      <w:pPr>
        <w:spacing w:line="360" w:lineRule="auto"/>
        <w:ind w:firstLine="425"/>
        <w:jc w:val="both"/>
        <w:rPr>
          <w:b/>
        </w:rPr>
      </w:pPr>
    </w:p>
    <w:p w14:paraId="0518216C" w14:textId="001589DB" w:rsidR="00462896" w:rsidRPr="00551A03" w:rsidRDefault="00174BB7" w:rsidP="00551A03">
      <w:pPr>
        <w:spacing w:line="360" w:lineRule="auto"/>
        <w:ind w:firstLine="425"/>
        <w:jc w:val="both"/>
        <w:rPr>
          <w:b/>
        </w:rPr>
      </w:pPr>
      <w:r w:rsidRPr="00551A03">
        <w:rPr>
          <w:b/>
          <w:color w:val="000000"/>
        </w:rPr>
        <w:t>Транслитерация списка литературы</w:t>
      </w:r>
    </w:p>
    <w:p w14:paraId="288D6277" w14:textId="50FE72E7" w:rsidR="000B0C57" w:rsidRPr="000B0C57" w:rsidRDefault="000B0C57" w:rsidP="000B0C57">
      <w:pPr>
        <w:pStyle w:val="a7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C57">
        <w:rPr>
          <w:rFonts w:ascii="Times New Roman" w:hAnsi="Times New Roman"/>
          <w:sz w:val="24"/>
          <w:szCs w:val="24"/>
        </w:rPr>
        <w:t>Kirillov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S.M., </w:t>
      </w:r>
      <w:proofErr w:type="spellStart"/>
      <w:r w:rsidRPr="000B0C57">
        <w:rPr>
          <w:rFonts w:ascii="Times New Roman" w:hAnsi="Times New Roman"/>
          <w:sz w:val="24"/>
          <w:szCs w:val="24"/>
        </w:rPr>
        <w:t>Kirillov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M.M., </w:t>
      </w:r>
      <w:proofErr w:type="spellStart"/>
      <w:r w:rsidRPr="000B0C57">
        <w:rPr>
          <w:rFonts w:ascii="Times New Roman" w:hAnsi="Times New Roman"/>
          <w:sz w:val="24"/>
          <w:szCs w:val="24"/>
        </w:rPr>
        <w:t>Minchenko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I.I., </w:t>
      </w:r>
      <w:proofErr w:type="spellStart"/>
      <w:r w:rsidRPr="000B0C57">
        <w:rPr>
          <w:rFonts w:ascii="Times New Roman" w:hAnsi="Times New Roman"/>
          <w:sz w:val="24"/>
          <w:szCs w:val="24"/>
        </w:rPr>
        <w:t>Rjabova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A.Ju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0C57">
        <w:rPr>
          <w:rFonts w:ascii="Times New Roman" w:hAnsi="Times New Roman"/>
          <w:sz w:val="24"/>
          <w:szCs w:val="24"/>
        </w:rPr>
        <w:t>Patologija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pishhevaritel'noj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sistemy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B0C57">
        <w:rPr>
          <w:rFonts w:ascii="Times New Roman" w:hAnsi="Times New Roman"/>
          <w:sz w:val="24"/>
          <w:szCs w:val="24"/>
        </w:rPr>
        <w:t>bol'nyh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bronhial'noj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astmoj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B0C57">
        <w:rPr>
          <w:rFonts w:ascii="Times New Roman" w:hAnsi="Times New Roman"/>
          <w:sz w:val="24"/>
          <w:szCs w:val="24"/>
        </w:rPr>
        <w:t>hronicheskoj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obstruktivnoj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bolezn'ju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legkih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0C57">
        <w:rPr>
          <w:rFonts w:ascii="Times New Roman" w:hAnsi="Times New Roman"/>
          <w:sz w:val="24"/>
          <w:szCs w:val="24"/>
        </w:rPr>
        <w:t>Vestnik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novyh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medicinskih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tehnologij</w:t>
      </w:r>
      <w:proofErr w:type="spellEnd"/>
      <w:r w:rsidRPr="000B0C57">
        <w:rPr>
          <w:rFonts w:ascii="Times New Roman" w:hAnsi="Times New Roman"/>
          <w:sz w:val="24"/>
          <w:szCs w:val="24"/>
        </w:rPr>
        <w:t>. - 2007. - T.XIV, №3. - S.121-123.</w:t>
      </w:r>
    </w:p>
    <w:p w14:paraId="53074878" w14:textId="4C8AF730" w:rsidR="000B0C57" w:rsidRPr="000B0C57" w:rsidRDefault="000B0C57" w:rsidP="000B0C57">
      <w:pPr>
        <w:pStyle w:val="a7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C57">
        <w:rPr>
          <w:rFonts w:ascii="Times New Roman" w:hAnsi="Times New Roman"/>
          <w:sz w:val="24"/>
          <w:szCs w:val="24"/>
        </w:rPr>
        <w:t>Savust'janenko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A.V. K </w:t>
      </w:r>
      <w:proofErr w:type="spellStart"/>
      <w:r w:rsidRPr="000B0C57">
        <w:rPr>
          <w:rFonts w:ascii="Times New Roman" w:hAnsi="Times New Roman"/>
          <w:sz w:val="24"/>
          <w:szCs w:val="24"/>
        </w:rPr>
        <w:t>voprosu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B0C57">
        <w:rPr>
          <w:rFonts w:ascii="Times New Roman" w:hAnsi="Times New Roman"/>
          <w:sz w:val="24"/>
          <w:szCs w:val="24"/>
        </w:rPr>
        <w:t>hronicheskom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pankreatite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0C57">
        <w:rPr>
          <w:rFonts w:ascii="Times New Roman" w:hAnsi="Times New Roman"/>
          <w:sz w:val="24"/>
          <w:szCs w:val="24"/>
        </w:rPr>
        <w:t>Novosti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mediciny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B0C57">
        <w:rPr>
          <w:rFonts w:ascii="Times New Roman" w:hAnsi="Times New Roman"/>
          <w:sz w:val="24"/>
          <w:szCs w:val="24"/>
        </w:rPr>
        <w:t>farmacii</w:t>
      </w:r>
      <w:proofErr w:type="spellEnd"/>
      <w:r w:rsidRPr="000B0C57">
        <w:rPr>
          <w:rFonts w:ascii="Times New Roman" w:hAnsi="Times New Roman"/>
          <w:sz w:val="24"/>
          <w:szCs w:val="24"/>
        </w:rPr>
        <w:t>. – 2011. - №18 (387). – C.14-15</w:t>
      </w:r>
    </w:p>
    <w:p w14:paraId="09C6DF57" w14:textId="0A39BC2A" w:rsidR="00462896" w:rsidRPr="000B0C57" w:rsidRDefault="000B0C57" w:rsidP="000B0C57">
      <w:pPr>
        <w:pStyle w:val="a7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C57">
        <w:rPr>
          <w:rFonts w:ascii="Times New Roman" w:hAnsi="Times New Roman"/>
          <w:sz w:val="24"/>
          <w:szCs w:val="24"/>
        </w:rPr>
        <w:t>Hristich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T.N. K </w:t>
      </w:r>
      <w:proofErr w:type="spellStart"/>
      <w:r w:rsidRPr="000B0C57">
        <w:rPr>
          <w:rFonts w:ascii="Times New Roman" w:hAnsi="Times New Roman"/>
          <w:sz w:val="24"/>
          <w:szCs w:val="24"/>
        </w:rPr>
        <w:t>voprosu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B0C57">
        <w:rPr>
          <w:rFonts w:ascii="Times New Roman" w:hAnsi="Times New Roman"/>
          <w:sz w:val="24"/>
          <w:szCs w:val="24"/>
        </w:rPr>
        <w:t>patogeneze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sochetannyh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zabolevanij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organov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pishhevarenija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B0C57">
        <w:rPr>
          <w:rFonts w:ascii="Times New Roman" w:hAnsi="Times New Roman"/>
          <w:sz w:val="24"/>
          <w:szCs w:val="24"/>
        </w:rPr>
        <w:t>bronholegochnoj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sistemy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0C57">
        <w:rPr>
          <w:rFonts w:ascii="Times New Roman" w:hAnsi="Times New Roman"/>
          <w:sz w:val="24"/>
          <w:szCs w:val="24"/>
        </w:rPr>
        <w:t>Ukrainskij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terapevticheskij</w:t>
      </w:r>
      <w:proofErr w:type="spellEnd"/>
      <w:r w:rsidRPr="000B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57">
        <w:rPr>
          <w:rFonts w:ascii="Times New Roman" w:hAnsi="Times New Roman"/>
          <w:sz w:val="24"/>
          <w:szCs w:val="24"/>
        </w:rPr>
        <w:t>zhurnal</w:t>
      </w:r>
      <w:proofErr w:type="spellEnd"/>
      <w:r w:rsidRPr="000B0C57">
        <w:rPr>
          <w:rFonts w:ascii="Times New Roman" w:hAnsi="Times New Roman"/>
          <w:sz w:val="24"/>
          <w:szCs w:val="24"/>
        </w:rPr>
        <w:t>. - 2006. - №2. - S. 88-91.</w:t>
      </w:r>
    </w:p>
    <w:sectPr w:rsidR="00462896" w:rsidRPr="000B0C57" w:rsidSect="00551A03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4278E5"/>
    <w:multiLevelType w:val="hybridMultilevel"/>
    <w:tmpl w:val="591852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F3285"/>
    <w:multiLevelType w:val="hybridMultilevel"/>
    <w:tmpl w:val="98905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927737"/>
    <w:multiLevelType w:val="hybridMultilevel"/>
    <w:tmpl w:val="600E5DC0"/>
    <w:lvl w:ilvl="0" w:tplc="0680D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12CFD"/>
    <w:multiLevelType w:val="hybridMultilevel"/>
    <w:tmpl w:val="5822954A"/>
    <w:lvl w:ilvl="0" w:tplc="484E587E">
      <w:start w:val="1"/>
      <w:numFmt w:val="bullet"/>
      <w:lvlText w:val="-"/>
      <w:lvlJc w:val="left"/>
      <w:pPr>
        <w:ind w:left="1709" w:hanging="10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544114"/>
    <w:multiLevelType w:val="hybridMultilevel"/>
    <w:tmpl w:val="9F3AFC1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151605F"/>
    <w:multiLevelType w:val="multilevel"/>
    <w:tmpl w:val="600E5D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454F9"/>
    <w:multiLevelType w:val="hybridMultilevel"/>
    <w:tmpl w:val="4F3AE9D6"/>
    <w:lvl w:ilvl="0" w:tplc="0680D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269C9"/>
    <w:multiLevelType w:val="hybridMultilevel"/>
    <w:tmpl w:val="C88AFFBC"/>
    <w:lvl w:ilvl="0" w:tplc="7B4458FE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51"/>
    <w:rsid w:val="00012438"/>
    <w:rsid w:val="00013737"/>
    <w:rsid w:val="00014249"/>
    <w:rsid w:val="00025C7C"/>
    <w:rsid w:val="00027830"/>
    <w:rsid w:val="00030470"/>
    <w:rsid w:val="00035FC9"/>
    <w:rsid w:val="00045F91"/>
    <w:rsid w:val="00050AB4"/>
    <w:rsid w:val="000614A6"/>
    <w:rsid w:val="0006302E"/>
    <w:rsid w:val="0006548A"/>
    <w:rsid w:val="00070597"/>
    <w:rsid w:val="0007095E"/>
    <w:rsid w:val="00073E50"/>
    <w:rsid w:val="000858E7"/>
    <w:rsid w:val="00096BDD"/>
    <w:rsid w:val="000A5690"/>
    <w:rsid w:val="000B0C57"/>
    <w:rsid w:val="000B749B"/>
    <w:rsid w:val="000E777B"/>
    <w:rsid w:val="00113847"/>
    <w:rsid w:val="00123EFE"/>
    <w:rsid w:val="00131802"/>
    <w:rsid w:val="001322CA"/>
    <w:rsid w:val="001332BA"/>
    <w:rsid w:val="001408E4"/>
    <w:rsid w:val="00153DBF"/>
    <w:rsid w:val="00161CFB"/>
    <w:rsid w:val="0016575D"/>
    <w:rsid w:val="00174BB7"/>
    <w:rsid w:val="00181075"/>
    <w:rsid w:val="00186884"/>
    <w:rsid w:val="00190B40"/>
    <w:rsid w:val="001A09F9"/>
    <w:rsid w:val="001A1D23"/>
    <w:rsid w:val="001A5130"/>
    <w:rsid w:val="001A6F09"/>
    <w:rsid w:val="001A7568"/>
    <w:rsid w:val="001B191B"/>
    <w:rsid w:val="001C1EC1"/>
    <w:rsid w:val="001C6FBC"/>
    <w:rsid w:val="001D1F5B"/>
    <w:rsid w:val="001E4FF6"/>
    <w:rsid w:val="001F191F"/>
    <w:rsid w:val="001F32D0"/>
    <w:rsid w:val="001F5403"/>
    <w:rsid w:val="001F5AE1"/>
    <w:rsid w:val="0021021A"/>
    <w:rsid w:val="00216351"/>
    <w:rsid w:val="00216F08"/>
    <w:rsid w:val="00221058"/>
    <w:rsid w:val="00221451"/>
    <w:rsid w:val="00221A03"/>
    <w:rsid w:val="00227F59"/>
    <w:rsid w:val="0023458C"/>
    <w:rsid w:val="00237DA0"/>
    <w:rsid w:val="002466AE"/>
    <w:rsid w:val="00247E12"/>
    <w:rsid w:val="00255E83"/>
    <w:rsid w:val="002754BE"/>
    <w:rsid w:val="00277B17"/>
    <w:rsid w:val="00282C77"/>
    <w:rsid w:val="00293A77"/>
    <w:rsid w:val="002A1CC1"/>
    <w:rsid w:val="002A2791"/>
    <w:rsid w:val="002A2F3E"/>
    <w:rsid w:val="002A512C"/>
    <w:rsid w:val="002E0655"/>
    <w:rsid w:val="002E1E5C"/>
    <w:rsid w:val="002E7C53"/>
    <w:rsid w:val="002F0944"/>
    <w:rsid w:val="002F1B3E"/>
    <w:rsid w:val="00312473"/>
    <w:rsid w:val="003272D6"/>
    <w:rsid w:val="003360EA"/>
    <w:rsid w:val="0033613E"/>
    <w:rsid w:val="003663CA"/>
    <w:rsid w:val="00366D15"/>
    <w:rsid w:val="00375728"/>
    <w:rsid w:val="003819C0"/>
    <w:rsid w:val="00383B6A"/>
    <w:rsid w:val="00396367"/>
    <w:rsid w:val="003C13CB"/>
    <w:rsid w:val="003D65C3"/>
    <w:rsid w:val="003E298C"/>
    <w:rsid w:val="003E2C5C"/>
    <w:rsid w:val="003E38A7"/>
    <w:rsid w:val="003E5D0B"/>
    <w:rsid w:val="003F0B14"/>
    <w:rsid w:val="00437FCF"/>
    <w:rsid w:val="0044559B"/>
    <w:rsid w:val="00452DC8"/>
    <w:rsid w:val="004608FE"/>
    <w:rsid w:val="00462896"/>
    <w:rsid w:val="00470A3B"/>
    <w:rsid w:val="0047347E"/>
    <w:rsid w:val="004929D0"/>
    <w:rsid w:val="00496D71"/>
    <w:rsid w:val="004A2A3E"/>
    <w:rsid w:val="004A41F0"/>
    <w:rsid w:val="004A6E34"/>
    <w:rsid w:val="004B5CEC"/>
    <w:rsid w:val="004C0C62"/>
    <w:rsid w:val="004C16C2"/>
    <w:rsid w:val="004C7874"/>
    <w:rsid w:val="004D279F"/>
    <w:rsid w:val="004D2B4D"/>
    <w:rsid w:val="004D43BC"/>
    <w:rsid w:val="004E7C68"/>
    <w:rsid w:val="004F6510"/>
    <w:rsid w:val="00511D46"/>
    <w:rsid w:val="00524419"/>
    <w:rsid w:val="00535105"/>
    <w:rsid w:val="005400A5"/>
    <w:rsid w:val="00547C05"/>
    <w:rsid w:val="00551A03"/>
    <w:rsid w:val="005537F3"/>
    <w:rsid w:val="005668E9"/>
    <w:rsid w:val="00573A78"/>
    <w:rsid w:val="00574E66"/>
    <w:rsid w:val="00575259"/>
    <w:rsid w:val="00581FB2"/>
    <w:rsid w:val="005A5466"/>
    <w:rsid w:val="005B5F08"/>
    <w:rsid w:val="005B6761"/>
    <w:rsid w:val="005C0CF0"/>
    <w:rsid w:val="005E03AA"/>
    <w:rsid w:val="005E377A"/>
    <w:rsid w:val="00606E0D"/>
    <w:rsid w:val="00615701"/>
    <w:rsid w:val="00624A1B"/>
    <w:rsid w:val="006406E8"/>
    <w:rsid w:val="0064203C"/>
    <w:rsid w:val="006567E5"/>
    <w:rsid w:val="00660946"/>
    <w:rsid w:val="00664887"/>
    <w:rsid w:val="00665CF0"/>
    <w:rsid w:val="00685DF1"/>
    <w:rsid w:val="0068676E"/>
    <w:rsid w:val="00686F10"/>
    <w:rsid w:val="006A4AC1"/>
    <w:rsid w:val="006B0FE5"/>
    <w:rsid w:val="006B720A"/>
    <w:rsid w:val="006D7065"/>
    <w:rsid w:val="006E40A1"/>
    <w:rsid w:val="006F598E"/>
    <w:rsid w:val="006F6FB8"/>
    <w:rsid w:val="00707459"/>
    <w:rsid w:val="00715EB0"/>
    <w:rsid w:val="0073229A"/>
    <w:rsid w:val="00732345"/>
    <w:rsid w:val="007351AE"/>
    <w:rsid w:val="007425D2"/>
    <w:rsid w:val="007433E8"/>
    <w:rsid w:val="0075319E"/>
    <w:rsid w:val="007562F5"/>
    <w:rsid w:val="00763A51"/>
    <w:rsid w:val="007670EF"/>
    <w:rsid w:val="007736C1"/>
    <w:rsid w:val="007905E6"/>
    <w:rsid w:val="00794E91"/>
    <w:rsid w:val="007A01CC"/>
    <w:rsid w:val="007A4AE9"/>
    <w:rsid w:val="007B4DD3"/>
    <w:rsid w:val="007D5F31"/>
    <w:rsid w:val="007E22B5"/>
    <w:rsid w:val="007E3EAA"/>
    <w:rsid w:val="007F7AA1"/>
    <w:rsid w:val="008027AA"/>
    <w:rsid w:val="00815EEF"/>
    <w:rsid w:val="00826C67"/>
    <w:rsid w:val="00834F2C"/>
    <w:rsid w:val="008432B9"/>
    <w:rsid w:val="00845EFC"/>
    <w:rsid w:val="0085197B"/>
    <w:rsid w:val="00861F57"/>
    <w:rsid w:val="00865421"/>
    <w:rsid w:val="00871532"/>
    <w:rsid w:val="00872DF9"/>
    <w:rsid w:val="00884B73"/>
    <w:rsid w:val="00890C65"/>
    <w:rsid w:val="00897CD4"/>
    <w:rsid w:val="008B1214"/>
    <w:rsid w:val="008B5A70"/>
    <w:rsid w:val="008C0224"/>
    <w:rsid w:val="008E2E8A"/>
    <w:rsid w:val="00915438"/>
    <w:rsid w:val="00917C37"/>
    <w:rsid w:val="00924131"/>
    <w:rsid w:val="00927D53"/>
    <w:rsid w:val="00941439"/>
    <w:rsid w:val="0095558D"/>
    <w:rsid w:val="00960C29"/>
    <w:rsid w:val="009666B6"/>
    <w:rsid w:val="00993F14"/>
    <w:rsid w:val="009A7976"/>
    <w:rsid w:val="009B59A5"/>
    <w:rsid w:val="009C24A6"/>
    <w:rsid w:val="009C3564"/>
    <w:rsid w:val="009C434C"/>
    <w:rsid w:val="009E1C21"/>
    <w:rsid w:val="00A12B4A"/>
    <w:rsid w:val="00A16262"/>
    <w:rsid w:val="00A25EB0"/>
    <w:rsid w:val="00A33254"/>
    <w:rsid w:val="00A370BF"/>
    <w:rsid w:val="00A37BEC"/>
    <w:rsid w:val="00A42FBE"/>
    <w:rsid w:val="00A71E45"/>
    <w:rsid w:val="00A758A8"/>
    <w:rsid w:val="00A86FB9"/>
    <w:rsid w:val="00A90150"/>
    <w:rsid w:val="00AA2DB1"/>
    <w:rsid w:val="00AA414D"/>
    <w:rsid w:val="00AB33F3"/>
    <w:rsid w:val="00AD24D1"/>
    <w:rsid w:val="00AD4CAF"/>
    <w:rsid w:val="00AF73B2"/>
    <w:rsid w:val="00B03430"/>
    <w:rsid w:val="00B04F03"/>
    <w:rsid w:val="00B06C6A"/>
    <w:rsid w:val="00B0778B"/>
    <w:rsid w:val="00B204BF"/>
    <w:rsid w:val="00B2622C"/>
    <w:rsid w:val="00B37482"/>
    <w:rsid w:val="00B41933"/>
    <w:rsid w:val="00B4305F"/>
    <w:rsid w:val="00B57355"/>
    <w:rsid w:val="00B62B38"/>
    <w:rsid w:val="00B67C03"/>
    <w:rsid w:val="00B86B03"/>
    <w:rsid w:val="00B914A7"/>
    <w:rsid w:val="00BB5884"/>
    <w:rsid w:val="00BB79C0"/>
    <w:rsid w:val="00BC26B2"/>
    <w:rsid w:val="00BE35B6"/>
    <w:rsid w:val="00BF1FC6"/>
    <w:rsid w:val="00BF2ED2"/>
    <w:rsid w:val="00C2063D"/>
    <w:rsid w:val="00C31651"/>
    <w:rsid w:val="00C341B5"/>
    <w:rsid w:val="00C51759"/>
    <w:rsid w:val="00C6681E"/>
    <w:rsid w:val="00C71458"/>
    <w:rsid w:val="00C84B82"/>
    <w:rsid w:val="00C85054"/>
    <w:rsid w:val="00CA7D07"/>
    <w:rsid w:val="00CB4B73"/>
    <w:rsid w:val="00CB69E6"/>
    <w:rsid w:val="00CB7798"/>
    <w:rsid w:val="00CC1709"/>
    <w:rsid w:val="00CC1E3D"/>
    <w:rsid w:val="00CC3A40"/>
    <w:rsid w:val="00CC40AB"/>
    <w:rsid w:val="00CD29B5"/>
    <w:rsid w:val="00CF0761"/>
    <w:rsid w:val="00CF186D"/>
    <w:rsid w:val="00D05895"/>
    <w:rsid w:val="00D143E6"/>
    <w:rsid w:val="00D164C5"/>
    <w:rsid w:val="00D2506A"/>
    <w:rsid w:val="00D36425"/>
    <w:rsid w:val="00D4556A"/>
    <w:rsid w:val="00D4754F"/>
    <w:rsid w:val="00D53F88"/>
    <w:rsid w:val="00D55C70"/>
    <w:rsid w:val="00D6194B"/>
    <w:rsid w:val="00D75154"/>
    <w:rsid w:val="00D75192"/>
    <w:rsid w:val="00D96F34"/>
    <w:rsid w:val="00DA5933"/>
    <w:rsid w:val="00DC7597"/>
    <w:rsid w:val="00DD489E"/>
    <w:rsid w:val="00DE451F"/>
    <w:rsid w:val="00DF2F08"/>
    <w:rsid w:val="00E1267B"/>
    <w:rsid w:val="00E225A7"/>
    <w:rsid w:val="00E24A2B"/>
    <w:rsid w:val="00E25617"/>
    <w:rsid w:val="00E42CA8"/>
    <w:rsid w:val="00E44469"/>
    <w:rsid w:val="00E54499"/>
    <w:rsid w:val="00E63C22"/>
    <w:rsid w:val="00E73214"/>
    <w:rsid w:val="00E74348"/>
    <w:rsid w:val="00EA057A"/>
    <w:rsid w:val="00EA6DD8"/>
    <w:rsid w:val="00EB3187"/>
    <w:rsid w:val="00EC1D37"/>
    <w:rsid w:val="00EC3F27"/>
    <w:rsid w:val="00ED6D85"/>
    <w:rsid w:val="00EE3EA0"/>
    <w:rsid w:val="00F14088"/>
    <w:rsid w:val="00F15997"/>
    <w:rsid w:val="00F340D1"/>
    <w:rsid w:val="00F35646"/>
    <w:rsid w:val="00F44F10"/>
    <w:rsid w:val="00F45E12"/>
    <w:rsid w:val="00F5045E"/>
    <w:rsid w:val="00F50E3A"/>
    <w:rsid w:val="00F600DD"/>
    <w:rsid w:val="00F673FD"/>
    <w:rsid w:val="00F718F6"/>
    <w:rsid w:val="00F82480"/>
    <w:rsid w:val="00FB2248"/>
    <w:rsid w:val="00FE2948"/>
    <w:rsid w:val="00FF1333"/>
    <w:rsid w:val="00FF35C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0F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63A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63A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Отступ основного текста Знак"/>
    <w:link w:val="a4"/>
    <w:locked/>
    <w:rsid w:val="00763A51"/>
    <w:rPr>
      <w:sz w:val="28"/>
    </w:rPr>
  </w:style>
  <w:style w:type="paragraph" w:styleId="a4">
    <w:name w:val="Body Text Indent"/>
    <w:basedOn w:val="a"/>
    <w:link w:val="a3"/>
    <w:rsid w:val="00763A51"/>
    <w:pPr>
      <w:spacing w:after="120" w:line="360" w:lineRule="auto"/>
      <w:ind w:left="283" w:firstLine="851"/>
      <w:jc w:val="both"/>
    </w:pPr>
    <w:rPr>
      <w:rFonts w:ascii="Cambria" w:eastAsia="ＭＳ 明朝" w:hAnsi="Cambria"/>
      <w:sz w:val="28"/>
    </w:rPr>
  </w:style>
  <w:style w:type="character" w:customStyle="1" w:styleId="1">
    <w:name w:val="Отступ основного текста Знак1"/>
    <w:uiPriority w:val="99"/>
    <w:semiHidden/>
    <w:rsid w:val="00763A51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3A5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63A51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List Paragraph"/>
    <w:basedOn w:val="a"/>
    <w:uiPriority w:val="99"/>
    <w:qFormat/>
    <w:rsid w:val="00547C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0858E7"/>
    <w:rPr>
      <w:rFonts w:ascii="Times New Roman" w:hAnsi="Times New Roman" w:cs="Times New Roman" w:hint="default"/>
      <w:color w:val="2577D9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F5A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AE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63A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63A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Отступ основного текста Знак"/>
    <w:link w:val="a4"/>
    <w:locked/>
    <w:rsid w:val="00763A51"/>
    <w:rPr>
      <w:sz w:val="28"/>
    </w:rPr>
  </w:style>
  <w:style w:type="paragraph" w:styleId="a4">
    <w:name w:val="Body Text Indent"/>
    <w:basedOn w:val="a"/>
    <w:link w:val="a3"/>
    <w:rsid w:val="00763A51"/>
    <w:pPr>
      <w:spacing w:after="120" w:line="360" w:lineRule="auto"/>
      <w:ind w:left="283" w:firstLine="851"/>
      <w:jc w:val="both"/>
    </w:pPr>
    <w:rPr>
      <w:rFonts w:ascii="Cambria" w:eastAsia="ＭＳ 明朝" w:hAnsi="Cambria"/>
      <w:sz w:val="28"/>
    </w:rPr>
  </w:style>
  <w:style w:type="character" w:customStyle="1" w:styleId="1">
    <w:name w:val="Отступ основного текста Знак1"/>
    <w:uiPriority w:val="99"/>
    <w:semiHidden/>
    <w:rsid w:val="00763A51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3A5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63A51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List Paragraph"/>
    <w:basedOn w:val="a"/>
    <w:uiPriority w:val="99"/>
    <w:qFormat/>
    <w:rsid w:val="00547C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0858E7"/>
    <w:rPr>
      <w:rFonts w:ascii="Times New Roman" w:hAnsi="Times New Roman" w:cs="Times New Roman" w:hint="default"/>
      <w:color w:val="2577D9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F5A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AE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hyperlink" Target="http://www.goldcopd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0483028441487917"/>
          <c:y val="0.0265118895863797"/>
          <c:w val="0.940424416236764"/>
          <c:h val="0.7837623751384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ХОБЛ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9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Отсутствует</c:v>
                </c:pt>
                <c:pt idx="1">
                  <c:v>Легкая</c:v>
                </c:pt>
                <c:pt idx="2">
                  <c:v>Средняя</c:v>
                </c:pt>
                <c:pt idx="3">
                  <c:v>Тяжелая</c:v>
                </c:pt>
                <c:pt idx="4">
                  <c:v>Очень тяжелая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0.0</c:v>
                </c:pt>
                <c:pt idx="1">
                  <c:v>10.0</c:v>
                </c:pt>
                <c:pt idx="2">
                  <c:v>25.0</c:v>
                </c:pt>
                <c:pt idx="3">
                  <c:v>19.0</c:v>
                </c:pt>
                <c:pt idx="4">
                  <c:v>0.0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ХОБЛ и ХП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9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Отсутствует</c:v>
                </c:pt>
                <c:pt idx="1">
                  <c:v>Легкая</c:v>
                </c:pt>
                <c:pt idx="2">
                  <c:v>Средняя</c:v>
                </c:pt>
                <c:pt idx="3">
                  <c:v>Тяжелая</c:v>
                </c:pt>
                <c:pt idx="4">
                  <c:v>Очень тяжелая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0.0</c:v>
                </c:pt>
                <c:pt idx="1">
                  <c:v>5.0</c:v>
                </c:pt>
                <c:pt idx="2">
                  <c:v>24.0</c:v>
                </c:pt>
                <c:pt idx="3">
                  <c:v>38.0</c:v>
                </c:pt>
                <c:pt idx="4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4107064"/>
        <c:axId val="2104083160"/>
        <c:axId val="0"/>
      </c:bar3DChart>
      <c:catAx>
        <c:axId val="2104107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</a:defRPr>
            </a:pPr>
            <a:endParaRPr lang="ru-RU"/>
          </a:p>
        </c:txPr>
        <c:crossAx val="2104083160"/>
        <c:crosses val="autoZero"/>
        <c:auto val="1"/>
        <c:lblAlgn val="ctr"/>
        <c:lblOffset val="100"/>
        <c:noMultiLvlLbl val="0"/>
      </c:catAx>
      <c:valAx>
        <c:axId val="2104083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4107064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88296253180021"/>
          <c:y val="0.909384378129585"/>
          <c:w val="0.34963479071695"/>
          <c:h val="0.074606429146852"/>
        </c:manualLayout>
      </c:layout>
      <c:overlay val="0"/>
      <c:txPr>
        <a:bodyPr/>
        <a:lstStyle/>
        <a:p>
          <a:pPr>
            <a:defRPr sz="1100" b="1">
              <a:latin typeface="Times New Roman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0575812506759088"/>
          <c:y val="0.0438670490973511"/>
          <c:w val="0.922295463557573"/>
          <c:h val="0.7727463668863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ХОБЛ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1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Отсутствует</c:v>
                </c:pt>
                <c:pt idx="1">
                  <c:v>Легкий</c:v>
                </c:pt>
                <c:pt idx="2">
                  <c:v>Средний</c:v>
                </c:pt>
                <c:pt idx="3">
                  <c:v>Тяжелый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0.0</c:v>
                </c:pt>
                <c:pt idx="1">
                  <c:v>6.0</c:v>
                </c:pt>
                <c:pt idx="2">
                  <c:v>29.0</c:v>
                </c:pt>
                <c:pt idx="3">
                  <c:v>19.0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ХОБЛ и ХП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1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Отсутствует</c:v>
                </c:pt>
                <c:pt idx="1">
                  <c:v>Легкий</c:v>
                </c:pt>
                <c:pt idx="2">
                  <c:v>Средний</c:v>
                </c:pt>
                <c:pt idx="3">
                  <c:v>Тяжелый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0.0</c:v>
                </c:pt>
                <c:pt idx="1">
                  <c:v>3.0</c:v>
                </c:pt>
                <c:pt idx="2">
                  <c:v>25.0</c:v>
                </c:pt>
                <c:pt idx="3">
                  <c:v>39.0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9219768"/>
        <c:axId val="-2139042856"/>
        <c:axId val="0"/>
      </c:bar3DChart>
      <c:catAx>
        <c:axId val="2139219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9042856"/>
        <c:crosses val="autoZero"/>
        <c:auto val="1"/>
        <c:lblAlgn val="ctr"/>
        <c:lblOffset val="100"/>
        <c:noMultiLvlLbl val="0"/>
      </c:catAx>
      <c:valAx>
        <c:axId val="-2139042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9219768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330214571293888"/>
          <c:y val="0.908021106736658"/>
          <c:w val="0.334053983274263"/>
          <c:h val="0.07479604111986"/>
        </c:manualLayout>
      </c:layout>
      <c:overlay val="0"/>
      <c:txPr>
        <a:bodyPr/>
        <a:lstStyle/>
        <a:p>
          <a:pPr>
            <a:defRPr sz="1201" b="1" i="0">
              <a:latin typeface="Times New Roman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0480452352689684"/>
          <c:y val="0.0310834813499112"/>
          <c:w val="0.939735405080434"/>
          <c:h val="0.7214387408216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ХОБЛ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Отсутствует</c:v>
                </c:pt>
                <c:pt idx="1">
                  <c:v>Незначительное</c:v>
                </c:pt>
                <c:pt idx="2">
                  <c:v>Умеренное</c:v>
                </c:pt>
                <c:pt idx="3">
                  <c:v>Значительное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5.0</c:v>
                </c:pt>
                <c:pt idx="1">
                  <c:v>19.0</c:v>
                </c:pt>
                <c:pt idx="2">
                  <c:v>23.0</c:v>
                </c:pt>
                <c:pt idx="3">
                  <c:v>7.0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ХОБЛ и ХП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Отсутствует</c:v>
                </c:pt>
                <c:pt idx="1">
                  <c:v>Незначительное</c:v>
                </c:pt>
                <c:pt idx="2">
                  <c:v>Умеренное</c:v>
                </c:pt>
                <c:pt idx="3">
                  <c:v>Значительное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3.0</c:v>
                </c:pt>
                <c:pt idx="1">
                  <c:v>21.0</c:v>
                </c:pt>
                <c:pt idx="2">
                  <c:v>32.0</c:v>
                </c:pt>
                <c:pt idx="3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39038344"/>
        <c:axId val="2139419816"/>
        <c:axId val="0"/>
      </c:bar3DChart>
      <c:catAx>
        <c:axId val="-2139038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</a:defRPr>
            </a:pPr>
            <a:endParaRPr lang="ru-RU"/>
          </a:p>
        </c:txPr>
        <c:crossAx val="2139419816"/>
        <c:crosses val="autoZero"/>
        <c:auto val="1"/>
        <c:lblAlgn val="ctr"/>
        <c:lblOffset val="100"/>
        <c:noMultiLvlLbl val="0"/>
      </c:catAx>
      <c:valAx>
        <c:axId val="2139419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9038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43326031357818"/>
          <c:y val="0.857658798185282"/>
          <c:w val="0.307698136844198"/>
          <c:h val="0.128119409428065"/>
        </c:manualLayout>
      </c:layout>
      <c:overlay val="0"/>
      <c:txPr>
        <a:bodyPr/>
        <a:lstStyle/>
        <a:p>
          <a:pPr>
            <a:defRPr sz="1200" b="1" i="0">
              <a:latin typeface="Times New Roman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0678416751208911"/>
          <c:y val="0.028021697287839"/>
          <c:w val="0.929978250756589"/>
          <c:h val="0.709052318460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ХОБЛ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1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Бесцветная</c:v>
                </c:pt>
                <c:pt idx="1">
                  <c:v>Белая/серая</c:v>
                </c:pt>
                <c:pt idx="2">
                  <c:v>Светло-желтая</c:v>
                </c:pt>
                <c:pt idx="3">
                  <c:v>Темно-желтая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</c:v>
                </c:pt>
                <c:pt idx="1">
                  <c:v>22.0</c:v>
                </c:pt>
                <c:pt idx="2">
                  <c:v>21.0</c:v>
                </c:pt>
                <c:pt idx="3">
                  <c:v>2.0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ХОБЛ и ХП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1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Бесцветная</c:v>
                </c:pt>
                <c:pt idx="1">
                  <c:v>Белая/серая</c:v>
                </c:pt>
                <c:pt idx="2">
                  <c:v>Светло-желтая</c:v>
                </c:pt>
                <c:pt idx="3">
                  <c:v>Темно-желтая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2.0</c:v>
                </c:pt>
                <c:pt idx="1">
                  <c:v>15.0</c:v>
                </c:pt>
                <c:pt idx="2">
                  <c:v>38.0</c:v>
                </c:pt>
                <c:pt idx="3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4078424"/>
        <c:axId val="2104127384"/>
        <c:axId val="0"/>
      </c:bar3DChart>
      <c:catAx>
        <c:axId val="2104078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/>
              </a:defRPr>
            </a:pPr>
            <a:endParaRPr lang="ru-RU"/>
          </a:p>
        </c:txPr>
        <c:crossAx val="2104127384"/>
        <c:crosses val="autoZero"/>
        <c:auto val="1"/>
        <c:lblAlgn val="ctr"/>
        <c:lblOffset val="100"/>
        <c:noMultiLvlLbl val="0"/>
      </c:catAx>
      <c:valAx>
        <c:axId val="2104127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4078424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layout>
        <c:manualLayout>
          <c:xMode val="edge"/>
          <c:yMode val="edge"/>
          <c:x val="0.381485985618392"/>
          <c:y val="0.868775519826489"/>
          <c:w val="0.353631783011939"/>
          <c:h val="0.102025083690886"/>
        </c:manualLayout>
      </c:layout>
      <c:overlay val="0"/>
      <c:txPr>
        <a:bodyPr/>
        <a:lstStyle/>
        <a:p>
          <a:pPr>
            <a:defRPr sz="1200" b="1">
              <a:latin typeface="Times New Roman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10</Pages>
  <Words>3251</Words>
  <Characters>18535</Characters>
  <Application>Microsoft Macintosh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Links>
    <vt:vector size="12" baseType="variant">
      <vt:variant>
        <vt:i4>7274584</vt:i4>
      </vt:variant>
      <vt:variant>
        <vt:i4>15</vt:i4>
      </vt:variant>
      <vt:variant>
        <vt:i4>0</vt:i4>
      </vt:variant>
      <vt:variant>
        <vt:i4>5</vt:i4>
      </vt:variant>
      <vt:variant>
        <vt:lpwstr>http://www.goldcopd.org</vt:lpwstr>
      </vt:variant>
      <vt:variant>
        <vt:lpwstr/>
      </vt:variant>
      <vt:variant>
        <vt:i4>7274584</vt:i4>
      </vt:variant>
      <vt:variant>
        <vt:i4>12</vt:i4>
      </vt:variant>
      <vt:variant>
        <vt:i4>0</vt:i4>
      </vt:variant>
      <vt:variant>
        <vt:i4>5</vt:i4>
      </vt:variant>
      <vt:variant>
        <vt:lpwstr>http://www.goldcopd.org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29</cp:revision>
  <dcterms:created xsi:type="dcterms:W3CDTF">2015-02-25T14:46:00Z</dcterms:created>
  <dcterms:modified xsi:type="dcterms:W3CDTF">2016-04-10T09:58:00Z</dcterms:modified>
</cp:coreProperties>
</file>