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0" w:rsidRPr="007B2CA4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sz w:val="28"/>
          <w:szCs w:val="28"/>
          <w:lang w:val="uk-UA" w:eastAsia="en-US"/>
        </w:rPr>
      </w:pPr>
      <w:bookmarkStart w:id="0" w:name="_GoBack"/>
      <w:r w:rsidRPr="007B2CA4">
        <w:rPr>
          <w:rFonts w:eastAsia="TimesNewRoman,Bold"/>
          <w:sz w:val="28"/>
          <w:szCs w:val="28"/>
          <w:lang w:val="uk-UA" w:eastAsia="en-US"/>
        </w:rPr>
        <w:t>ИСПОЛЬЗОВАНИЕ СТАТИСТИЧЕСКИХ МЕТОДИК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ДЛЯ ПРОГНОЗИРОВАНИЯ РАЗВИТИЯ </w:t>
      </w:r>
      <w:bookmarkEnd w:id="0"/>
      <w:r w:rsidRPr="007B2CA4">
        <w:rPr>
          <w:rFonts w:eastAsia="TimesNewRoman,Bold"/>
          <w:sz w:val="28"/>
          <w:szCs w:val="28"/>
          <w:lang w:val="uk-UA" w:eastAsia="en-US"/>
        </w:rPr>
        <w:t>ДОНОЗОЛОГИЧЕСКИХ</w:t>
      </w:r>
    </w:p>
    <w:p w:rsidR="00134730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>СОСТОЯНИЙ ДЕТЕЙ, ПОДРОСТКОВ И МОЛОДЕЖИ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sz w:val="28"/>
          <w:szCs w:val="28"/>
          <w:lang w:val="uk-UA" w:eastAsia="en-US"/>
        </w:rPr>
      </w:pP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i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Л. В., доктор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медицинских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на</w:t>
      </w:r>
      <w:r>
        <w:rPr>
          <w:rFonts w:eastAsia="TimesNewRoman,Bold"/>
          <w:i/>
          <w:sz w:val="28"/>
          <w:szCs w:val="28"/>
          <w:lang w:val="uk-UA" w:eastAsia="en-US"/>
        </w:rPr>
        <w:t xml:space="preserve">ук, </w:t>
      </w:r>
      <w:proofErr w:type="spellStart"/>
      <w:r>
        <w:rPr>
          <w:rFonts w:eastAsia="TimesNewRoman,Bold"/>
          <w:i/>
          <w:sz w:val="28"/>
          <w:szCs w:val="28"/>
          <w:lang w:val="uk-UA" w:eastAsia="en-US"/>
        </w:rPr>
        <w:t>профессор</w:t>
      </w:r>
      <w:proofErr w:type="spellEnd"/>
      <w:r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i/>
          <w:sz w:val="28"/>
          <w:szCs w:val="28"/>
          <w:lang w:val="uk-UA" w:eastAsia="en-US"/>
        </w:rPr>
        <w:t>кафедры</w:t>
      </w:r>
      <w:proofErr w:type="spellEnd"/>
      <w:r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i/>
          <w:sz w:val="28"/>
          <w:szCs w:val="28"/>
          <w:lang w:val="uk-UA" w:eastAsia="en-US"/>
        </w:rPr>
        <w:t>гигиены</w:t>
      </w:r>
      <w:proofErr w:type="spellEnd"/>
      <w:r>
        <w:rPr>
          <w:rFonts w:eastAsia="TimesNewRoman,Bold"/>
          <w:i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социальной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медицины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ХНУ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им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.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Каразина</w:t>
      </w:r>
      <w:proofErr w:type="spellEnd"/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i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Сокол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К. М., кандидат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медицинских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наук,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профессор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кафедры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социальной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медицины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организации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экономики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i/>
          <w:sz w:val="28"/>
          <w:szCs w:val="28"/>
          <w:lang w:val="uk-UA" w:eastAsia="en-US"/>
        </w:rPr>
        <w:t>здравоохранения</w:t>
      </w:r>
      <w:proofErr w:type="spellEnd"/>
      <w:r w:rsidRPr="007B2CA4">
        <w:rPr>
          <w:rFonts w:eastAsia="TimesNewRoman,Bold"/>
          <w:i/>
          <w:sz w:val="28"/>
          <w:szCs w:val="28"/>
          <w:lang w:val="uk-UA" w:eastAsia="en-US"/>
        </w:rPr>
        <w:t xml:space="preserve"> ХНМУ</w:t>
      </w:r>
    </w:p>
    <w:p w:rsidR="00134730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Ухудшение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населения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происходит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за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счет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возрастания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удельного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веса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донозологических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</w:t>
      </w:r>
      <w:r>
        <w:rPr>
          <w:rFonts w:eastAsia="TimesNewRoman,Bold"/>
          <w:sz w:val="28"/>
          <w:szCs w:val="28"/>
          <w:lang w:val="uk-UA" w:eastAsia="en-US"/>
        </w:rPr>
        <w:t>яний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(ДС).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Это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требует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развития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методик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позволяющих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прогнозировать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Сейчас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общепринятыми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являються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три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основных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критерия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ДС –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уровень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фун</w:t>
      </w:r>
      <w:r>
        <w:rPr>
          <w:rFonts w:eastAsia="TimesNewRoman,Bold"/>
          <w:sz w:val="28"/>
          <w:szCs w:val="28"/>
          <w:lang w:val="uk-UA" w:eastAsia="en-US"/>
        </w:rPr>
        <w:t>кционирования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органов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систем,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состояние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функциональных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резервов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степе</w:t>
      </w:r>
      <w:r>
        <w:rPr>
          <w:rFonts w:eastAsia="TimesNewRoman,Bold"/>
          <w:sz w:val="28"/>
          <w:szCs w:val="28"/>
          <w:lang w:val="uk-UA" w:eastAsia="en-US"/>
        </w:rPr>
        <w:t>нь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напряжения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(СН) регуляторних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механизмов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Она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донозологической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диагностике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(ДД)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трактуется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как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иллюстрация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взаимосвязи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изучаемых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показателей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органов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с</w:t>
      </w:r>
      <w:r>
        <w:rPr>
          <w:rFonts w:eastAsia="TimesNewRoman,Bold"/>
          <w:sz w:val="28"/>
          <w:szCs w:val="28"/>
          <w:lang w:val="uk-UA" w:eastAsia="en-US"/>
        </w:rPr>
        <w:t xml:space="preserve">истем,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обеспечивающих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адаптацию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компен</w:t>
      </w:r>
      <w:r>
        <w:rPr>
          <w:rFonts w:eastAsia="TimesNewRoman,Bold"/>
          <w:sz w:val="28"/>
          <w:szCs w:val="28"/>
          <w:lang w:val="uk-UA" w:eastAsia="en-US"/>
        </w:rPr>
        <w:t>сацию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Поэтому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применение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в ДД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методик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позволяющих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оценивать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эти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связ</w:t>
      </w:r>
      <w:r>
        <w:rPr>
          <w:rFonts w:eastAsia="TimesNewRoman,Bold"/>
          <w:sz w:val="28"/>
          <w:szCs w:val="28"/>
          <w:lang w:val="uk-UA" w:eastAsia="en-US"/>
        </w:rPr>
        <w:t>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вполне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оправдано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имеет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ряд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преимуществ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Это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дает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возможность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перехода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индивидуального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на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групповой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популяционный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уровень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исследования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</w:t>
      </w:r>
      <w:r>
        <w:rPr>
          <w:rFonts w:eastAsia="TimesNewRoman,Bold"/>
          <w:sz w:val="28"/>
          <w:szCs w:val="28"/>
          <w:lang w:val="uk-UA" w:eastAsia="en-US"/>
        </w:rPr>
        <w:t>спользования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различных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методов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статистической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обработки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для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выявления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ДС.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Также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оценка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СН однозначно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связана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динамикой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состояния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что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позволяет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использовать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исходное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состояние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качестве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критерия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сравнения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соответствует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принципам</w:t>
      </w:r>
    </w:p>
    <w:p w:rsidR="00134730" w:rsidRPr="007B2CA4" w:rsidRDefault="00134730" w:rsidP="00134730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 w:eastAsia="en-US"/>
        </w:rPr>
      </w:pPr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мониторинга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 Таким образом,</w:t>
      </w:r>
      <w:r>
        <w:rPr>
          <w:rFonts w:eastAsia="TimesNewRoman,Bold"/>
          <w:sz w:val="28"/>
          <w:szCs w:val="28"/>
          <w:lang w:val="uk-UA" w:eastAsia="en-US"/>
        </w:rPr>
        <w:t xml:space="preserve"> при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оценке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СН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решается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одна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основных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проблем ДД – проблема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нормы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или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нормативного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состояния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>Сидоренко Г. И., Прокопенко Ю. И.</w:t>
      </w:r>
      <w:r>
        <w:rPr>
          <w:rFonts w:eastAsia="TimesNewRoman,Bold"/>
          <w:sz w:val="28"/>
          <w:szCs w:val="28"/>
          <w:lang w:val="uk-UA" w:eastAsia="en-US"/>
        </w:rPr>
        <w:t xml:space="preserve"> [1],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рассматривая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методические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аспекты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ДС,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указывали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важность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оцен</w:t>
      </w:r>
      <w:r>
        <w:rPr>
          <w:rFonts w:eastAsia="TimesNewRoman,Bold"/>
          <w:sz w:val="28"/>
          <w:szCs w:val="28"/>
          <w:lang w:val="uk-UA" w:eastAsia="en-US"/>
        </w:rPr>
        <w:t>ки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результатов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исследований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без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сопоставления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контрольной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группой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когда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о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формировании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ДС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можно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судить не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только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по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динамике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показателей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,</w:t>
      </w:r>
      <w:r>
        <w:rPr>
          <w:rFonts w:eastAsia="TimesNewRoman,Bold"/>
          <w:sz w:val="28"/>
          <w:szCs w:val="28"/>
          <w:lang w:val="uk-UA" w:eastAsia="en-US"/>
        </w:rPr>
        <w:t xml:space="preserve"> но и по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изменению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между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ними.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Подчеркивалось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что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знание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кон</w:t>
      </w:r>
      <w:r>
        <w:rPr>
          <w:rFonts w:eastAsia="TimesNewRoman,Bold"/>
          <w:sz w:val="28"/>
          <w:szCs w:val="28"/>
          <w:lang w:val="uk-UA" w:eastAsia="en-US"/>
        </w:rPr>
        <w:t>кретных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между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отдельными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элементами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ДС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необходимо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для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построения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r>
        <w:rPr>
          <w:rFonts w:eastAsia="TimesNewRoman,Bold"/>
          <w:sz w:val="28"/>
          <w:szCs w:val="28"/>
          <w:lang w:val="uk-UA" w:eastAsia="en-US"/>
        </w:rPr>
        <w:t xml:space="preserve">его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структуры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и, как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следствие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более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точной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диагностики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профилактики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Подчеркивается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что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формир</w:t>
      </w:r>
      <w:r>
        <w:rPr>
          <w:rFonts w:eastAsia="TimesNewRoman,Bold"/>
          <w:sz w:val="28"/>
          <w:szCs w:val="28"/>
          <w:lang w:val="uk-UA" w:eastAsia="en-US"/>
        </w:rPr>
        <w:t>ование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ДС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чаще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всего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происходит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неспецифическим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путем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зависимости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от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</w:t>
      </w:r>
      <w:r>
        <w:rPr>
          <w:rFonts w:eastAsia="TimesNewRoman,Bold"/>
          <w:sz w:val="28"/>
          <w:szCs w:val="28"/>
          <w:lang w:val="uk-UA" w:eastAsia="en-US"/>
        </w:rPr>
        <w:t>ндивидуальных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особенностей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адаптивных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возможностей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организма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это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существенно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снижает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возможности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методов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параметрической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статистики </w:t>
      </w:r>
      <w:r>
        <w:rPr>
          <w:rFonts w:eastAsia="TimesNewRoman,Bold"/>
          <w:sz w:val="28"/>
          <w:szCs w:val="28"/>
          <w:lang w:val="uk-UA" w:eastAsia="en-US"/>
        </w:rPr>
        <w:t xml:space="preserve">[2] В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этом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случае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рекомендуется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изучение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корреляционной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связи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между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</w:t>
      </w:r>
      <w:r>
        <w:rPr>
          <w:rFonts w:eastAsia="TimesNewRoman,Bold"/>
          <w:sz w:val="28"/>
          <w:szCs w:val="28"/>
          <w:lang w:val="uk-UA" w:eastAsia="en-US"/>
        </w:rPr>
        <w:t>следованными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признаками,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расчет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непараметрических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критериев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статистической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обработки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[2].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Концептуальное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определение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поняти</w:t>
      </w:r>
      <w:r>
        <w:rPr>
          <w:rFonts w:eastAsia="TimesNewRoman,Bold"/>
          <w:sz w:val="28"/>
          <w:szCs w:val="28"/>
          <w:lang w:val="uk-UA" w:eastAsia="en-US"/>
        </w:rPr>
        <w:t>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«причинно-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следственная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»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предполагает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наличие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функциональных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(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или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корреляционных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)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которые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вскрывают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роль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этиологических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(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причинн</w:t>
      </w:r>
      <w:r>
        <w:rPr>
          <w:rFonts w:eastAsia="TimesNewRoman,Bold"/>
          <w:sz w:val="28"/>
          <w:szCs w:val="28"/>
          <w:lang w:val="uk-UA" w:eastAsia="en-US"/>
        </w:rPr>
        <w:t>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)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факторов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факторов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риска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проявлениях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заболеваемости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[2].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Характер</w:t>
      </w:r>
      <w:r>
        <w:rPr>
          <w:rFonts w:eastAsia="TimesNewRoman,Bold"/>
          <w:sz w:val="28"/>
          <w:szCs w:val="28"/>
          <w:lang w:val="uk-UA" w:eastAsia="en-US"/>
        </w:rPr>
        <w:t>ная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особенность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причинной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святи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между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двумя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категориями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явлений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состоит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</w:t>
      </w:r>
      <w:r>
        <w:rPr>
          <w:rFonts w:eastAsia="TimesNewRoman,Bold"/>
          <w:sz w:val="28"/>
          <w:szCs w:val="28"/>
          <w:lang w:val="uk-UA" w:eastAsia="en-US"/>
        </w:rPr>
        <w:t xml:space="preserve"> том,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что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lastRenderedPageBreak/>
        <w:t>изменение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частоте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качестве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одного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них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влечет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за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собой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измене</w:t>
      </w:r>
      <w:r>
        <w:rPr>
          <w:rFonts w:eastAsia="TimesNewRoman,Bold"/>
          <w:sz w:val="28"/>
          <w:szCs w:val="28"/>
          <w:lang w:val="uk-UA" w:eastAsia="en-US"/>
        </w:rPr>
        <w:t>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другого.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Изменение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в первуй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части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взаимодействующих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явлений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считается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причиной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изменение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во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второй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–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следствием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 Причинно-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следс</w:t>
      </w:r>
      <w:r>
        <w:rPr>
          <w:rFonts w:eastAsia="TimesNewRoman,Bold"/>
          <w:sz w:val="28"/>
          <w:szCs w:val="28"/>
          <w:lang w:val="uk-UA" w:eastAsia="en-US"/>
        </w:rPr>
        <w:t>твенной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связью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между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факторами,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определяющими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является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статистическая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связь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>Причинно-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следственный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характер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эпид</w:t>
      </w:r>
      <w:r>
        <w:rPr>
          <w:rFonts w:eastAsia="TimesNewRoman,Bold"/>
          <w:sz w:val="28"/>
          <w:szCs w:val="28"/>
          <w:lang w:val="uk-UA" w:eastAsia="en-US"/>
        </w:rPr>
        <w:t>емиологической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выражается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разницей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показателях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заболева</w:t>
      </w:r>
      <w:r>
        <w:rPr>
          <w:rFonts w:eastAsia="TimesNewRoman,Bold"/>
          <w:sz w:val="28"/>
          <w:szCs w:val="28"/>
          <w:lang w:val="uk-UA" w:eastAsia="en-US"/>
        </w:rPr>
        <w:t>емости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зависящий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от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выявленных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соответствий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 тем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или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иным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r>
        <w:rPr>
          <w:rFonts w:eastAsia="TimesNewRoman,Bold"/>
          <w:sz w:val="28"/>
          <w:szCs w:val="28"/>
          <w:lang w:val="uk-UA" w:eastAsia="en-US"/>
        </w:rPr>
        <w:t xml:space="preserve">фактором. О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наличии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такой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святи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свидетельствует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количественная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зависимо</w:t>
      </w:r>
      <w:r>
        <w:rPr>
          <w:rFonts w:eastAsia="TimesNewRoman,Bold"/>
          <w:sz w:val="28"/>
          <w:szCs w:val="28"/>
          <w:lang w:val="uk-UA" w:eastAsia="en-US"/>
        </w:rPr>
        <w:t>сть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между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силой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гипотетического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фактора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риска (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уровнем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длительнос</w:t>
      </w:r>
      <w:r>
        <w:rPr>
          <w:rFonts w:eastAsia="TimesNewRoman,Bold"/>
          <w:sz w:val="28"/>
          <w:szCs w:val="28"/>
          <w:lang w:val="uk-UA" w:eastAsia="en-US"/>
        </w:rPr>
        <w:t>тью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экспозиции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)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выраженностью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следствия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(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уровнем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заболеваемости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) по типу «доза-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эффект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».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Таким образом,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исследование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СН</w:t>
      </w:r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регуляторных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механизмов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долино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трактоваться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как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изучение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динамики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взаимо</w:t>
      </w:r>
      <w:r>
        <w:rPr>
          <w:rFonts w:eastAsia="TimesNewRoman,Bold"/>
          <w:sz w:val="28"/>
          <w:szCs w:val="28"/>
          <w:lang w:val="uk-UA" w:eastAsia="en-US"/>
        </w:rPr>
        <w:t>связи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показателей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гомеостаза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выделением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влияния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изучаемых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факторов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развитие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ДС.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данном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контексте</w:t>
      </w:r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выполнение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поставленной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задачи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требует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применения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статистических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методов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,</w:t>
      </w:r>
      <w:r>
        <w:rPr>
          <w:rFonts w:eastAsia="TimesNewRoman,Bold"/>
          <w:sz w:val="28"/>
          <w:szCs w:val="28"/>
          <w:lang w:val="uk-UA" w:eastAsia="en-US"/>
        </w:rPr>
        <w:t xml:space="preserve">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к числу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которых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должны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быть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отнесены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корреляционный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регрессионный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дисперсный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анализ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Нами с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помощью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определени</w:t>
      </w:r>
      <w:r>
        <w:rPr>
          <w:rFonts w:eastAsia="TimesNewRoman,Bold"/>
          <w:sz w:val="28"/>
          <w:szCs w:val="28"/>
          <w:lang w:val="uk-UA" w:eastAsia="en-US"/>
        </w:rPr>
        <w:t>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показателей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непараметрической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корреляции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по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Пирсону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построения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корре</w:t>
      </w:r>
      <w:r>
        <w:rPr>
          <w:rFonts w:eastAsia="TimesNewRoman,Bold"/>
          <w:sz w:val="28"/>
          <w:szCs w:val="28"/>
          <w:lang w:val="uk-UA" w:eastAsia="en-US"/>
        </w:rPr>
        <w:t>ляционных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матриц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было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проведено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изучение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возможных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взаимосвязей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</w:t>
      </w:r>
      <w:r>
        <w:rPr>
          <w:rFonts w:eastAsia="TimesNewRoman,Bold"/>
          <w:sz w:val="28"/>
          <w:szCs w:val="28"/>
          <w:lang w:val="uk-UA" w:eastAsia="en-US"/>
        </w:rPr>
        <w:t>жду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показателями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резистентности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школьников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течение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учебного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года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[3].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Изменение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корреляционных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матриц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подтверждает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предположения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постепенном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ухудшении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резистентности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детей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младшего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школьного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возраста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Возрастание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удельного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веса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значимых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должно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быть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истолковано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как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илл</w:t>
      </w:r>
      <w:r>
        <w:rPr>
          <w:rFonts w:eastAsia="TimesNewRoman,Bold"/>
          <w:sz w:val="28"/>
          <w:szCs w:val="28"/>
          <w:lang w:val="uk-UA" w:eastAsia="en-US"/>
        </w:rPr>
        <w:t>юстрация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напряжения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гомеостаза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происходящего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процессе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снижения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</w:t>
      </w:r>
      <w:r>
        <w:rPr>
          <w:rFonts w:eastAsia="TimesNewRoman,Bold"/>
          <w:sz w:val="28"/>
          <w:szCs w:val="28"/>
          <w:lang w:val="uk-UA" w:eastAsia="en-US"/>
        </w:rPr>
        <w:t>стного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иммунитета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дальнейшее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увеличение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удельного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веса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значимых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связей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отражает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переход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от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ком</w:t>
      </w:r>
      <w:r>
        <w:rPr>
          <w:rFonts w:eastAsia="TimesNewRoman,Bold"/>
          <w:sz w:val="28"/>
          <w:szCs w:val="28"/>
          <w:lang w:val="uk-UA" w:eastAsia="en-US"/>
        </w:rPr>
        <w:t>пенсации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к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декомпенсации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от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напряжения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к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истощению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адаптационных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возможностей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С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использованием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дисперсионного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r>
        <w:rPr>
          <w:rFonts w:eastAsia="TimesNewRoman,Bold"/>
          <w:sz w:val="28"/>
          <w:szCs w:val="28"/>
          <w:lang w:val="uk-UA" w:eastAsia="en-US"/>
        </w:rPr>
        <w:t xml:space="preserve">метода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были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изучены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взаимосвязи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современных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факторов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визуального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воздействия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особенн</w:t>
      </w:r>
      <w:r>
        <w:rPr>
          <w:rFonts w:eastAsia="TimesNewRoman,Bold"/>
          <w:sz w:val="28"/>
          <w:szCs w:val="28"/>
          <w:lang w:val="uk-UA" w:eastAsia="en-US"/>
        </w:rPr>
        <w:t>остей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состояния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детей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школьного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возраста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[4].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Выя</w:t>
      </w:r>
      <w:r>
        <w:rPr>
          <w:rFonts w:eastAsia="TimesNewRoman,Bold"/>
          <w:sz w:val="28"/>
          <w:szCs w:val="28"/>
          <w:lang w:val="uk-UA" w:eastAsia="en-US"/>
        </w:rPr>
        <w:t>влено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влияние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частоты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просмотра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телевидения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наличие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жалоб</w:t>
      </w:r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характерных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для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психических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неврологических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расстройств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(F=2,83, p&lt;0,</w:t>
      </w:r>
      <w:r>
        <w:rPr>
          <w:rFonts w:eastAsia="TimesNewRoman,Bold"/>
          <w:sz w:val="28"/>
          <w:szCs w:val="28"/>
          <w:lang w:val="uk-UA" w:eastAsia="en-US"/>
        </w:rPr>
        <w:t xml:space="preserve">05),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что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иллюстрирует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возможное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повышение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напряжения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регуляции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за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счет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влияния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характера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содержания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телевизионных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передач.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Возможность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использования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регр</w:t>
      </w:r>
      <w:r>
        <w:rPr>
          <w:rFonts w:eastAsia="TimesNewRoman,Bold"/>
          <w:sz w:val="28"/>
          <w:szCs w:val="28"/>
          <w:lang w:val="uk-UA" w:eastAsia="en-US"/>
        </w:rPr>
        <w:t>ессионного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метода для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оценки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СН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регулирующих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механизмов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обусловлена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те</w:t>
      </w:r>
      <w:r>
        <w:rPr>
          <w:rFonts w:eastAsia="TimesNewRoman,Bold"/>
          <w:sz w:val="28"/>
          <w:szCs w:val="28"/>
          <w:lang w:val="uk-UA" w:eastAsia="en-US"/>
        </w:rPr>
        <w:t xml:space="preserve">м,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что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помимо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величины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связи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он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отражает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ее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направленность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позволяет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судить 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количественном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</w:t>
      </w:r>
      <w:r>
        <w:rPr>
          <w:rFonts w:eastAsia="TimesNewRoman,Bold"/>
          <w:sz w:val="28"/>
          <w:szCs w:val="28"/>
          <w:lang w:val="uk-UA" w:eastAsia="en-US"/>
        </w:rPr>
        <w:t>зменении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показателей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то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есть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фактически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решить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основную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задачу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прогнозирования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функционального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состояния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Нами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этот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мето</w:t>
      </w:r>
      <w:r>
        <w:rPr>
          <w:rFonts w:eastAsia="TimesNewRoman,Bold"/>
          <w:sz w:val="28"/>
          <w:szCs w:val="28"/>
          <w:lang w:val="uk-UA" w:eastAsia="en-US"/>
        </w:rPr>
        <w:t xml:space="preserve">д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был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применен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для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прогноза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ДС,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возникающих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у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школьников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влиянием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визуальных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нагрузок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телевидения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,</w:t>
      </w:r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электронных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развлечений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[3].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Построенные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регрессионные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уравнения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математически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отражают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процесс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формир</w:t>
      </w:r>
      <w:r>
        <w:rPr>
          <w:rFonts w:eastAsia="TimesNewRoman,Bold"/>
          <w:sz w:val="28"/>
          <w:szCs w:val="28"/>
          <w:lang w:val="uk-UA" w:eastAsia="en-US"/>
        </w:rPr>
        <w:t>ования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ДС (через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рассчитываемые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члены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уравнений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) за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счет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возрастания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СН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регулирующих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механизмов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под.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влиянием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на них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различных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визуальных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нагрузок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. У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лиц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lastRenderedPageBreak/>
        <w:t>интенсивными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визуально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информационными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</w:t>
      </w:r>
      <w:r>
        <w:rPr>
          <w:rFonts w:eastAsia="TimesNewRoman,Bold"/>
          <w:sz w:val="28"/>
          <w:szCs w:val="28"/>
          <w:lang w:val="uk-UA" w:eastAsia="en-US"/>
        </w:rPr>
        <w:t>грузками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величина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коэффициентов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регрессионных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уравнений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существенно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б</w:t>
      </w:r>
      <w:r>
        <w:rPr>
          <w:rFonts w:eastAsia="TimesNewRoman,Bold"/>
          <w:sz w:val="28"/>
          <w:szCs w:val="28"/>
          <w:lang w:val="uk-UA" w:eastAsia="en-US"/>
        </w:rPr>
        <w:t>ольше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чем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соответствующих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им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подгруппах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первой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группы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Еще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одним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перспективным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напр</w:t>
      </w:r>
      <w:r>
        <w:rPr>
          <w:rFonts w:eastAsia="TimesNewRoman,Bold"/>
          <w:sz w:val="28"/>
          <w:szCs w:val="28"/>
          <w:lang w:val="uk-UA" w:eastAsia="en-US"/>
        </w:rPr>
        <w:t>авлением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ДД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является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применение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принципов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теории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информации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расчет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пока</w:t>
      </w:r>
      <w:r>
        <w:rPr>
          <w:rFonts w:eastAsia="TimesNewRoman,Bold"/>
          <w:sz w:val="28"/>
          <w:szCs w:val="28"/>
          <w:lang w:val="uk-UA" w:eastAsia="en-US"/>
        </w:rPr>
        <w:t>зателей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информационно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–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энтропийного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анализа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(ИЭА).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Возможность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использования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ИЭА для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оценки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СН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регулирующих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механизмов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подтверждена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п</w:t>
      </w:r>
      <w:r>
        <w:rPr>
          <w:rFonts w:eastAsia="TimesNewRoman,Bold"/>
          <w:sz w:val="28"/>
          <w:szCs w:val="28"/>
          <w:lang w:val="uk-UA" w:eastAsia="en-US"/>
        </w:rPr>
        <w:t xml:space="preserve">ри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изучении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особенностей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образа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жизни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современной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молодежи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[5].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Раз</w:t>
      </w:r>
      <w:r>
        <w:rPr>
          <w:rFonts w:eastAsia="TimesNewRoman,Bold"/>
          <w:sz w:val="28"/>
          <w:szCs w:val="28"/>
          <w:lang w:val="uk-UA" w:eastAsia="en-US"/>
        </w:rPr>
        <w:t>деление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обследованных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по уроню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регулярных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физических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нагрузок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, позв</w:t>
      </w:r>
      <w:r>
        <w:rPr>
          <w:rFonts w:eastAsia="TimesNewRoman,Bold"/>
          <w:sz w:val="28"/>
          <w:szCs w:val="28"/>
          <w:lang w:val="uk-UA" w:eastAsia="en-US"/>
        </w:rPr>
        <w:t xml:space="preserve">олило установить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факторы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риска,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которые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наиболее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выражены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группе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лиц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не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занимающихся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физической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культурой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Расчет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показателей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относительн</w:t>
      </w:r>
      <w:r>
        <w:rPr>
          <w:rFonts w:eastAsia="TimesNewRoman,Bold"/>
          <w:sz w:val="28"/>
          <w:szCs w:val="28"/>
          <w:lang w:val="uk-UA" w:eastAsia="en-US"/>
        </w:rPr>
        <w:t>ой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энтропии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позволил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установить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иерархию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факторов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риска,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увели</w:t>
      </w:r>
      <w:r>
        <w:rPr>
          <w:rFonts w:eastAsia="TimesNewRoman,Bold"/>
          <w:sz w:val="28"/>
          <w:szCs w:val="28"/>
          <w:lang w:val="uk-UA" w:eastAsia="en-US"/>
        </w:rPr>
        <w:t>чивающих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напряжение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регуляции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формирующих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нездоровый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образ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жизни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Таким образом,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проведенные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исследо</w:t>
      </w:r>
      <w:r>
        <w:rPr>
          <w:rFonts w:eastAsia="TimesNewRoman,Bold"/>
          <w:sz w:val="28"/>
          <w:szCs w:val="28"/>
          <w:lang w:val="uk-UA" w:eastAsia="en-US"/>
        </w:rPr>
        <w:t>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подтвердили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правомочность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применения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для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оценки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СН как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крите</w:t>
      </w:r>
      <w:r>
        <w:rPr>
          <w:rFonts w:eastAsia="TimesNewRoman,Bold"/>
          <w:sz w:val="28"/>
          <w:szCs w:val="28"/>
          <w:lang w:val="uk-UA" w:eastAsia="en-US"/>
        </w:rPr>
        <w:t>рия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ДД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различных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статистических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методов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Использование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статистических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</w:t>
      </w:r>
      <w:r>
        <w:rPr>
          <w:rFonts w:eastAsia="TimesNewRoman,Bold"/>
          <w:sz w:val="28"/>
          <w:szCs w:val="28"/>
          <w:lang w:val="uk-UA" w:eastAsia="en-US"/>
        </w:rPr>
        <w:t>тодов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позволяет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оценить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процесс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формирования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ДС.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Полученные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резул</w:t>
      </w:r>
      <w:r>
        <w:rPr>
          <w:rFonts w:eastAsia="TimesNewRoman,Bold"/>
          <w:sz w:val="28"/>
          <w:szCs w:val="28"/>
          <w:lang w:val="uk-UA" w:eastAsia="en-US"/>
        </w:rPr>
        <w:t>ьтаты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дают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возможность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выйти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на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групповой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популяционный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уровень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исслед</w:t>
      </w:r>
      <w:r>
        <w:rPr>
          <w:rFonts w:eastAsia="TimesNewRoman,Bold"/>
          <w:sz w:val="28"/>
          <w:szCs w:val="28"/>
          <w:lang w:val="uk-UA" w:eastAsia="en-US"/>
        </w:rPr>
        <w:t>ования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подчеркивает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ценность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этого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критерия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ДД в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мониторинге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детей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</w:t>
      </w:r>
    </w:p>
    <w:p w:rsidR="00134730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b/>
          <w:sz w:val="28"/>
          <w:szCs w:val="28"/>
          <w:lang w:val="uk-UA" w:eastAsia="en-US"/>
        </w:rPr>
      </w:pPr>
    </w:p>
    <w:p w:rsidR="00134730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b/>
          <w:sz w:val="28"/>
          <w:szCs w:val="28"/>
          <w:lang w:val="uk-UA" w:eastAsia="en-US"/>
        </w:rPr>
      </w:pPr>
      <w:proofErr w:type="spellStart"/>
      <w:r w:rsidRPr="007B2CA4">
        <w:rPr>
          <w:rFonts w:eastAsia="TimesNewRoman,Bold"/>
          <w:b/>
          <w:sz w:val="28"/>
          <w:szCs w:val="28"/>
          <w:lang w:val="uk-UA" w:eastAsia="en-US"/>
        </w:rPr>
        <w:t>Источники</w:t>
      </w:r>
      <w:proofErr w:type="spellEnd"/>
      <w:r w:rsidRPr="007B2CA4">
        <w:rPr>
          <w:rFonts w:eastAsia="TimesNewRoman,Bold"/>
          <w:b/>
          <w:sz w:val="28"/>
          <w:szCs w:val="28"/>
          <w:lang w:val="uk-UA" w:eastAsia="en-US"/>
        </w:rPr>
        <w:t xml:space="preserve"> и література: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center"/>
        <w:rPr>
          <w:rFonts w:eastAsia="TimesNewRoman,Bold"/>
          <w:b/>
          <w:sz w:val="28"/>
          <w:szCs w:val="28"/>
          <w:lang w:val="uk-UA" w:eastAsia="en-US"/>
        </w:rPr>
      </w:pPr>
    </w:p>
    <w:p w:rsidR="00134730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1. Сидоренко Г. И.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Методологические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аспекты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предпатологии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/ Сидоренко Г.</w:t>
      </w:r>
      <w:r>
        <w:rPr>
          <w:rFonts w:eastAsia="TimesNewRoman,Bold"/>
          <w:sz w:val="28"/>
          <w:szCs w:val="28"/>
          <w:lang w:val="uk-UA" w:eastAsia="en-US"/>
        </w:rPr>
        <w:t xml:space="preserve"> И., </w:t>
      </w:r>
      <w:r w:rsidRPr="007B2CA4">
        <w:rPr>
          <w:rFonts w:eastAsia="TimesNewRoman,Bold"/>
          <w:sz w:val="28"/>
          <w:szCs w:val="28"/>
          <w:lang w:val="uk-UA" w:eastAsia="en-US"/>
        </w:rPr>
        <w:t xml:space="preserve">Прокопенко Ю. И. //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Вестник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АМН. – 1976. – № 4. – С.81–90.</w:t>
      </w:r>
    </w:p>
    <w:p w:rsidR="00134730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2. Власов В. В.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Эпидемиология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 – М. : «ГЕОТАР – МЕД», 2004 – 448 с.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3.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Л. В.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Донозологические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состояния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r>
        <w:rPr>
          <w:rFonts w:eastAsia="TimesNewRoman,Bold"/>
          <w:sz w:val="28"/>
          <w:szCs w:val="28"/>
          <w:lang w:val="uk-UA" w:eastAsia="en-US"/>
        </w:rPr>
        <w:t xml:space="preserve">у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детей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подростков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молодежи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: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диагностика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, прогноз 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гигиеническая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коррекция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/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Л. В.,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ДаниленкоГ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Н. – К. :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Генеза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, 2014. – 200 с.</w:t>
      </w:r>
    </w:p>
    <w:p w:rsidR="00134730" w:rsidRPr="007B2CA4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4.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Л. В.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Взаимосвязь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факторов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визуа</w:t>
      </w:r>
      <w:r>
        <w:rPr>
          <w:rFonts w:eastAsia="TimesNewRoman,Bold"/>
          <w:sz w:val="28"/>
          <w:szCs w:val="28"/>
          <w:lang w:val="uk-UA" w:eastAsia="en-US"/>
        </w:rPr>
        <w:t>льного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окружения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и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особенностей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здоровья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современных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школьников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/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Л. В. //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Гигиена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населенных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мест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. – К., 2001. –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Вып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 38, Т. 2. – С. 357–361.</w:t>
      </w:r>
    </w:p>
    <w:p w:rsidR="00134730" w:rsidRDefault="00134730" w:rsidP="00134730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val="uk-UA" w:eastAsia="en-US"/>
        </w:rPr>
      </w:pPr>
      <w:r w:rsidRPr="007B2CA4">
        <w:rPr>
          <w:rFonts w:eastAsia="TimesNewRoman,Bold"/>
          <w:sz w:val="28"/>
          <w:szCs w:val="28"/>
          <w:lang w:val="uk-UA" w:eastAsia="en-US"/>
        </w:rPr>
        <w:t xml:space="preserve">5.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Л. В.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Использование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информа</w:t>
      </w:r>
      <w:r>
        <w:rPr>
          <w:rFonts w:eastAsia="TimesNewRoman,Bold"/>
          <w:sz w:val="28"/>
          <w:szCs w:val="28"/>
          <w:lang w:val="uk-UA" w:eastAsia="en-US"/>
        </w:rPr>
        <w:t>ционно-энтропийного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val="uk-UA" w:eastAsia="en-US"/>
        </w:rPr>
        <w:t>анализа</w:t>
      </w:r>
      <w:proofErr w:type="spellEnd"/>
      <w:r>
        <w:rPr>
          <w:rFonts w:eastAsia="TimesNewRoman,Bold"/>
          <w:sz w:val="28"/>
          <w:szCs w:val="28"/>
          <w:lang w:val="uk-UA" w:eastAsia="en-US"/>
        </w:rPr>
        <w:t xml:space="preserve"> при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изучении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образа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жизни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студенческой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молодежи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/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Подригало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Л. В.,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Сокол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К. М.,</w:t>
      </w:r>
      <w:r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Филатова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Н. М. //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Гигиена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населенных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 xml:space="preserve"> </w:t>
      </w:r>
      <w:proofErr w:type="spellStart"/>
      <w:r w:rsidRPr="007B2CA4">
        <w:rPr>
          <w:rFonts w:eastAsia="TimesNewRoman,Bold"/>
          <w:sz w:val="28"/>
          <w:szCs w:val="28"/>
          <w:lang w:val="uk-UA" w:eastAsia="en-US"/>
        </w:rPr>
        <w:t>мест</w:t>
      </w:r>
      <w:proofErr w:type="spellEnd"/>
      <w:r w:rsidRPr="007B2CA4">
        <w:rPr>
          <w:rFonts w:eastAsia="TimesNewRoman,Bold"/>
          <w:sz w:val="28"/>
          <w:szCs w:val="28"/>
          <w:lang w:val="uk-UA" w:eastAsia="en-US"/>
        </w:rPr>
        <w:t>. – К., 2008. –</w:t>
      </w:r>
      <w:r>
        <w:rPr>
          <w:rFonts w:ascii="TimesNewRoman" w:hAnsi="TimesNewRoman" w:cs="TimesNewRoman"/>
          <w:sz w:val="26"/>
          <w:szCs w:val="26"/>
          <w:lang w:eastAsia="en-US"/>
        </w:rPr>
        <w:t xml:space="preserve">– </w:t>
      </w:r>
      <w:proofErr w:type="spellStart"/>
      <w:r>
        <w:rPr>
          <w:rFonts w:ascii="TimesNewRoman" w:hAnsi="TimesNewRoman" w:cs="TimesNewRoman"/>
          <w:sz w:val="26"/>
          <w:szCs w:val="26"/>
          <w:lang w:eastAsia="en-US"/>
        </w:rPr>
        <w:t>Вып</w:t>
      </w:r>
      <w:proofErr w:type="spellEnd"/>
      <w:r>
        <w:rPr>
          <w:rFonts w:ascii="TimesNewRoman" w:hAnsi="TimesNewRoman" w:cs="TimesNewRoman"/>
          <w:sz w:val="26"/>
          <w:szCs w:val="26"/>
          <w:lang w:eastAsia="en-US"/>
        </w:rPr>
        <w:t>. 51. – С. 423–427.</w:t>
      </w:r>
    </w:p>
    <w:p w:rsidR="00CC5365" w:rsidRPr="00134730" w:rsidRDefault="00CC5365">
      <w:pPr>
        <w:rPr>
          <w:lang w:val="uk-UA"/>
        </w:rPr>
      </w:pPr>
    </w:p>
    <w:sectPr w:rsidR="00CC5365" w:rsidRPr="001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E4"/>
    <w:rsid w:val="00065AA0"/>
    <w:rsid w:val="00134730"/>
    <w:rsid w:val="005342EA"/>
    <w:rsid w:val="006811F8"/>
    <w:rsid w:val="00707071"/>
    <w:rsid w:val="00AC3EE4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2016-11-02T12:00:00Z</dcterms:created>
  <dcterms:modified xsi:type="dcterms:W3CDTF">2016-11-02T12:00:00Z</dcterms:modified>
</cp:coreProperties>
</file>