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62" w:rsidRPr="000F53CA" w:rsidRDefault="00A92062" w:rsidP="00915CA4">
      <w:pPr>
        <w:spacing w:line="360" w:lineRule="auto"/>
        <w:rPr>
          <w:b/>
          <w:lang w:val="uk-UA"/>
        </w:rPr>
      </w:pPr>
      <w:r w:rsidRPr="000F53CA">
        <w:rPr>
          <w:b/>
          <w:lang w:val="uk-UA"/>
        </w:rPr>
        <w:t xml:space="preserve">УДК: </w:t>
      </w:r>
      <w:r w:rsidR="002155E5" w:rsidRPr="000F53CA">
        <w:rPr>
          <w:b/>
          <w:lang w:val="uk-UA"/>
        </w:rPr>
        <w:t>616.12-008.331.1-056.257-053.9-07</w:t>
      </w:r>
    </w:p>
    <w:p w:rsidR="00197E4F" w:rsidRDefault="00197E4F" w:rsidP="00915CA4">
      <w:pPr>
        <w:spacing w:line="360" w:lineRule="auto"/>
        <w:rPr>
          <w:lang w:val="uk-UA"/>
        </w:rPr>
      </w:pPr>
    </w:p>
    <w:p w:rsidR="00086334" w:rsidRDefault="00086334" w:rsidP="00915CA4">
      <w:pPr>
        <w:spacing w:line="360" w:lineRule="auto"/>
        <w:rPr>
          <w:lang w:val="uk-UA"/>
        </w:rPr>
      </w:pPr>
      <w:proofErr w:type="spellStart"/>
      <w:r w:rsidRPr="000761BD">
        <w:rPr>
          <w:lang w:val="uk-UA"/>
        </w:rPr>
        <w:t>Питецька</w:t>
      </w:r>
      <w:proofErr w:type="spellEnd"/>
      <w:r w:rsidRPr="000761BD">
        <w:rPr>
          <w:lang w:val="uk-UA"/>
        </w:rPr>
        <w:t xml:space="preserve"> Н.І.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д.мед.н</w:t>
      </w:r>
      <w:proofErr w:type="spellEnd"/>
      <w:r>
        <w:rPr>
          <w:lang w:val="uk-UA"/>
        </w:rPr>
        <w:t>., професор</w:t>
      </w:r>
    </w:p>
    <w:p w:rsidR="00A92062" w:rsidRDefault="00A92062" w:rsidP="00915CA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АРТЕРІАЛЬНА ГІПЕРТЕНЗІЯ ТА ОЖИРІННЯ У ХВОРИХ ПОХИЛОГО ВІКУ</w:t>
      </w:r>
    </w:p>
    <w:p w:rsidR="00A92062" w:rsidRPr="000F53CA" w:rsidRDefault="00A92062" w:rsidP="00915CA4">
      <w:pPr>
        <w:spacing w:line="360" w:lineRule="auto"/>
        <w:ind w:firstLine="709"/>
        <w:jc w:val="center"/>
        <w:rPr>
          <w:lang w:val="uk-UA"/>
        </w:rPr>
      </w:pPr>
      <w:r w:rsidRPr="000761BD">
        <w:rPr>
          <w:lang w:val="uk-UA"/>
        </w:rPr>
        <w:t>Харківський національний медичний університет</w:t>
      </w:r>
      <w:r w:rsidR="000F53CA">
        <w:rPr>
          <w:lang w:val="uk-UA"/>
        </w:rPr>
        <w:t>, м. Харків</w:t>
      </w:r>
    </w:p>
    <w:p w:rsidR="00A92062" w:rsidRPr="007D3D32" w:rsidRDefault="00A92062" w:rsidP="00915CA4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uk-UA"/>
        </w:rPr>
      </w:pPr>
      <w:r w:rsidRPr="007D3D32">
        <w:rPr>
          <w:rFonts w:eastAsia="TimesNewRomanPSMT"/>
          <w:lang w:val="uk-UA"/>
        </w:rPr>
        <w:t xml:space="preserve">Серцево-судинні захворювання (ССЗ) продовжують залишатись </w:t>
      </w:r>
      <w:r w:rsidRPr="007D3D32">
        <w:rPr>
          <w:lang w:val="uk-UA"/>
        </w:rPr>
        <w:t>найважливішою медико-соціальною проблемою більшості розвинених країн світу</w:t>
      </w:r>
      <w:r w:rsidRPr="007D3D32">
        <w:rPr>
          <w:rFonts w:eastAsia="TimesNewRomanPSMT"/>
          <w:lang w:val="uk-UA"/>
        </w:rPr>
        <w:t xml:space="preserve">. Вони є причиною тривалої непрацездатності, інвалідності і смертності осіб різного віку, набувши в ХХІ сторіччі масштабів епідемії. </w:t>
      </w:r>
      <w:r w:rsidRPr="007D3D32">
        <w:rPr>
          <w:lang w:val="uk-UA"/>
        </w:rPr>
        <w:t xml:space="preserve">За прогнозами ВООЗ, до 2020 року ССЗ відтіснять інфекційні хвороби, при цьому ішемічна хвороба серця (ІХС) буде посідати перше місце, </w:t>
      </w:r>
      <w:proofErr w:type="spellStart"/>
      <w:r w:rsidRPr="007D3D32">
        <w:rPr>
          <w:lang w:val="uk-UA"/>
        </w:rPr>
        <w:t>цереброваскулярні</w:t>
      </w:r>
      <w:proofErr w:type="spellEnd"/>
      <w:r w:rsidRPr="007D3D32">
        <w:rPr>
          <w:lang w:val="uk-UA"/>
        </w:rPr>
        <w:t xml:space="preserve"> хвороби – четверте місце в світі</w:t>
      </w:r>
      <w:r w:rsidR="000B78C8" w:rsidRPr="000B78C8">
        <w:rPr>
          <w:lang w:val="uk-UA"/>
        </w:rPr>
        <w:t>.</w:t>
      </w:r>
      <w:r w:rsidRPr="007D3D32">
        <w:rPr>
          <w:lang w:val="uk-UA"/>
        </w:rPr>
        <w:t xml:space="preserve"> За даними офіційної статистики, в Україні кожний другий житель страждає на ССЗ, смертність від яких за період 1995-2004 </w:t>
      </w:r>
      <w:proofErr w:type="spellStart"/>
      <w:r w:rsidRPr="007D3D32">
        <w:rPr>
          <w:lang w:val="uk-UA"/>
        </w:rPr>
        <w:t>р.р</w:t>
      </w:r>
      <w:proofErr w:type="spellEnd"/>
      <w:r w:rsidRPr="007D3D32">
        <w:rPr>
          <w:lang w:val="uk-UA"/>
        </w:rPr>
        <w:t>. зросла на 13,3% і перевищує середньоєвропейський показник удвічі, а країн Євросоюзу – в 3,6 рази [</w:t>
      </w:r>
      <w:r w:rsidR="00265D96">
        <w:rPr>
          <w:lang w:val="uk-UA"/>
        </w:rPr>
        <w:t>1</w:t>
      </w:r>
      <w:r w:rsidRPr="007D3D32">
        <w:rPr>
          <w:lang w:val="uk-UA"/>
        </w:rPr>
        <w:t>]. Висока смертність від ССЗ асоціюється з високим рівнем факторів ризику (ФР).</w:t>
      </w:r>
    </w:p>
    <w:p w:rsidR="00A92062" w:rsidRPr="00411903" w:rsidRDefault="00A92062" w:rsidP="00915CA4">
      <w:pPr>
        <w:shd w:val="clear" w:color="auto" w:fill="FFFFFF"/>
        <w:spacing w:line="360" w:lineRule="auto"/>
        <w:ind w:firstLine="708"/>
        <w:jc w:val="both"/>
        <w:textAlignment w:val="baseline"/>
        <w:rPr>
          <w:lang w:val="uk-UA"/>
        </w:rPr>
      </w:pPr>
      <w:r w:rsidRPr="007D3D32">
        <w:rPr>
          <w:lang w:val="uk-UA"/>
        </w:rPr>
        <w:t xml:space="preserve">Сьогодні не викликає сумніву, що рівень </w:t>
      </w:r>
      <w:r w:rsidR="000F53CA">
        <w:rPr>
          <w:lang w:val="uk-UA"/>
        </w:rPr>
        <w:t>артеріального тиску (</w:t>
      </w:r>
      <w:r w:rsidRPr="007D3D32">
        <w:rPr>
          <w:lang w:val="uk-UA"/>
        </w:rPr>
        <w:t>АТ</w:t>
      </w:r>
      <w:r w:rsidR="000F53CA">
        <w:rPr>
          <w:lang w:val="uk-UA"/>
        </w:rPr>
        <w:t>)</w:t>
      </w:r>
      <w:r w:rsidRPr="007D3D32">
        <w:rPr>
          <w:lang w:val="uk-UA"/>
        </w:rPr>
        <w:t xml:space="preserve"> – основний </w:t>
      </w:r>
      <w:r w:rsidR="000F53CA">
        <w:rPr>
          <w:lang w:val="uk-UA"/>
        </w:rPr>
        <w:t>ФР</w:t>
      </w:r>
      <w:r w:rsidRPr="007D3D32">
        <w:rPr>
          <w:lang w:val="uk-UA"/>
        </w:rPr>
        <w:t xml:space="preserve"> розвитку </w:t>
      </w:r>
      <w:proofErr w:type="spellStart"/>
      <w:r w:rsidRPr="007D3D32">
        <w:rPr>
          <w:lang w:val="uk-UA"/>
        </w:rPr>
        <w:t>кардіоваскулярних</w:t>
      </w:r>
      <w:proofErr w:type="spellEnd"/>
      <w:r w:rsidRPr="007D3D32">
        <w:rPr>
          <w:lang w:val="uk-UA"/>
        </w:rPr>
        <w:t xml:space="preserve"> подій (16,5% смертей у світі щорічно). На </w:t>
      </w:r>
      <w:r w:rsidR="000F53CA">
        <w:rPr>
          <w:lang w:val="uk-UA"/>
        </w:rPr>
        <w:t>артеріальну гіпертензію (</w:t>
      </w:r>
      <w:r w:rsidRPr="007D3D32">
        <w:rPr>
          <w:lang w:val="uk-UA"/>
        </w:rPr>
        <w:t>АГ</w:t>
      </w:r>
      <w:r w:rsidR="000F53CA">
        <w:rPr>
          <w:lang w:val="uk-UA"/>
        </w:rPr>
        <w:t>)</w:t>
      </w:r>
      <w:r w:rsidRPr="007D3D32">
        <w:rPr>
          <w:lang w:val="uk-UA"/>
        </w:rPr>
        <w:t xml:space="preserve"> страждає 10-30% дорослого населення земної кулі (в Україні 33,5% дорослого населення має підвищений АТ [</w:t>
      </w:r>
      <w:r w:rsidR="00265D96">
        <w:rPr>
          <w:lang w:val="uk-UA"/>
        </w:rPr>
        <w:t>3</w:t>
      </w:r>
      <w:r w:rsidRPr="007D3D32">
        <w:rPr>
          <w:lang w:val="uk-UA"/>
        </w:rPr>
        <w:t xml:space="preserve">]. </w:t>
      </w:r>
      <w:r w:rsidR="00794A9A">
        <w:rPr>
          <w:lang w:val="uk-UA"/>
        </w:rPr>
        <w:t>Р</w:t>
      </w:r>
      <w:r w:rsidRPr="007D3D32">
        <w:rPr>
          <w:lang w:val="uk-UA"/>
        </w:rPr>
        <w:t xml:space="preserve">езультати </w:t>
      </w:r>
      <w:r w:rsidRPr="007D3D32">
        <w:t>Framingham</w:t>
      </w:r>
      <w:r w:rsidRPr="007D3D32">
        <w:rPr>
          <w:lang w:val="uk-UA"/>
        </w:rPr>
        <w:t xml:space="preserve"> </w:t>
      </w:r>
      <w:r w:rsidRPr="007D3D32">
        <w:t>Heart</w:t>
      </w:r>
      <w:r w:rsidRPr="007D3D32">
        <w:rPr>
          <w:lang w:val="uk-UA"/>
        </w:rPr>
        <w:t xml:space="preserve"> </w:t>
      </w:r>
      <w:r w:rsidRPr="007D3D32">
        <w:t>Study</w:t>
      </w:r>
      <w:r w:rsidRPr="007D3D32">
        <w:rPr>
          <w:lang w:val="uk-UA"/>
        </w:rPr>
        <w:t xml:space="preserve"> </w:t>
      </w:r>
      <w:r w:rsidR="00794A9A">
        <w:rPr>
          <w:lang w:val="uk-UA"/>
        </w:rPr>
        <w:t xml:space="preserve">свідчать, що </w:t>
      </w:r>
      <w:r w:rsidRPr="007D3D32">
        <w:rPr>
          <w:lang w:val="uk-UA"/>
        </w:rPr>
        <w:t xml:space="preserve">АГ розвивається близько у 60% населення похилого віку. У 70 років підвищений АТ мають 65% чоловіків і 75% жінок. </w:t>
      </w:r>
      <w:r w:rsidR="00EA0A99">
        <w:rPr>
          <w:lang w:val="uk-UA"/>
        </w:rPr>
        <w:t>У значної</w:t>
      </w:r>
      <w:r w:rsidRPr="007D3D32">
        <w:rPr>
          <w:lang w:val="uk-UA"/>
        </w:rPr>
        <w:t xml:space="preserve"> </w:t>
      </w:r>
      <w:r w:rsidR="00EA0A99">
        <w:rPr>
          <w:lang w:val="uk-UA"/>
        </w:rPr>
        <w:t>кількості</w:t>
      </w:r>
      <w:r w:rsidRPr="007D3D32">
        <w:rPr>
          <w:lang w:val="uk-UA"/>
        </w:rPr>
        <w:t xml:space="preserve"> літніх людей </w:t>
      </w:r>
      <w:r w:rsidRPr="007D3D32">
        <w:rPr>
          <w:shd w:val="clear" w:color="auto" w:fill="FFFFFF"/>
          <w:lang w:val="uk-UA"/>
        </w:rPr>
        <w:t xml:space="preserve">неконтрольовані форми захворювання і </w:t>
      </w:r>
      <w:r w:rsidRPr="007D3D32">
        <w:rPr>
          <w:lang w:val="uk-UA"/>
        </w:rPr>
        <w:t>більш висок</w:t>
      </w:r>
      <w:r w:rsidR="00EA0A99">
        <w:rPr>
          <w:lang w:val="uk-UA"/>
        </w:rPr>
        <w:t>а</w:t>
      </w:r>
      <w:r w:rsidRPr="007D3D32">
        <w:rPr>
          <w:lang w:val="uk-UA"/>
        </w:rPr>
        <w:t xml:space="preserve"> ймовірність розвитку ускладнень. Порівняно з молодими пацієнтами з аналогічним рівнем АТ у </w:t>
      </w:r>
      <w:proofErr w:type="spellStart"/>
      <w:r w:rsidRPr="007D3D32">
        <w:rPr>
          <w:lang w:val="uk-UA"/>
        </w:rPr>
        <w:t>гіпертензивних</w:t>
      </w:r>
      <w:proofErr w:type="spellEnd"/>
      <w:r w:rsidRPr="007D3D32">
        <w:rPr>
          <w:lang w:val="uk-UA"/>
        </w:rPr>
        <w:t xml:space="preserve"> пацієнтів похилого віку встановлено більш низький серцевий викид, вищий периферичний судинний опір, патологічні зміни пульсового тиску, менший </w:t>
      </w:r>
      <w:proofErr w:type="spellStart"/>
      <w:r w:rsidRPr="007D3D32">
        <w:rPr>
          <w:lang w:val="uk-UA"/>
        </w:rPr>
        <w:t>інтраваскулярний</w:t>
      </w:r>
      <w:proofErr w:type="spellEnd"/>
      <w:r w:rsidRPr="007D3D32">
        <w:rPr>
          <w:lang w:val="uk-UA"/>
        </w:rPr>
        <w:t xml:space="preserve"> об’єм, знижений нирковий </w:t>
      </w:r>
      <w:proofErr w:type="spellStart"/>
      <w:r w:rsidRPr="007D3D32">
        <w:rPr>
          <w:lang w:val="uk-UA"/>
        </w:rPr>
        <w:t>кровотік</w:t>
      </w:r>
      <w:proofErr w:type="spellEnd"/>
      <w:r w:rsidRPr="007D3D32">
        <w:rPr>
          <w:lang w:val="uk-UA"/>
        </w:rPr>
        <w:t xml:space="preserve"> </w:t>
      </w:r>
      <w:r w:rsidR="00265D96" w:rsidRPr="007D3D32">
        <w:rPr>
          <w:lang w:val="uk-UA"/>
        </w:rPr>
        <w:t>[</w:t>
      </w:r>
      <w:r w:rsidR="00265D96">
        <w:rPr>
          <w:lang w:val="uk-UA"/>
        </w:rPr>
        <w:t>9</w:t>
      </w:r>
      <w:r w:rsidR="00265D96" w:rsidRPr="007D3D32">
        <w:rPr>
          <w:lang w:val="uk-UA"/>
        </w:rPr>
        <w:t>]</w:t>
      </w:r>
      <w:r w:rsidR="00265D96">
        <w:rPr>
          <w:lang w:val="uk-UA"/>
        </w:rPr>
        <w:t xml:space="preserve">. </w:t>
      </w:r>
      <w:r w:rsidRPr="007D3D32">
        <w:rPr>
          <w:lang w:val="uk-UA"/>
        </w:rPr>
        <w:t xml:space="preserve">Припускають, що найближчим часом понад 70% медичної допомоги буде надаватися пацієнтам геріатричного профілю, чисельність яких швидко збільшується в економічно розвинутих країнах. </w:t>
      </w:r>
    </w:p>
    <w:p w:rsidR="00A92062" w:rsidRPr="007D3D32" w:rsidRDefault="00A92062" w:rsidP="00915CA4">
      <w:pPr>
        <w:pStyle w:val="1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 w:rsidRPr="007D3D32">
        <w:rPr>
          <w:lang w:val="uk-UA"/>
        </w:rPr>
        <w:t xml:space="preserve">Механізм виникнення АГ складний і включає вплив на рівень АТ багатьох факторів, серед яких виділяють ті, на які можна впливати: хронічний дефіцит фізичної активності (професійний і в побуті), надлишкове споживання повареної солі, дисбаланс харчування, </w:t>
      </w:r>
      <w:proofErr w:type="spellStart"/>
      <w:r w:rsidRPr="007D3D32">
        <w:rPr>
          <w:lang w:val="uk-UA"/>
        </w:rPr>
        <w:t>дисліпідемія</w:t>
      </w:r>
      <w:proofErr w:type="spellEnd"/>
      <w:r w:rsidRPr="007D3D32">
        <w:rPr>
          <w:lang w:val="uk-UA"/>
        </w:rPr>
        <w:t xml:space="preserve">, зловживання алкоголем, кавою, паління, гормональна контрацепція у жінок, ятрогенні втручання, професійні шкідливості, психоемоційні стреси, надлишкова маса тіла, синдром апное уві сні тощо, а також фактори ризику, які не </w:t>
      </w:r>
      <w:r w:rsidRPr="007D3D32">
        <w:rPr>
          <w:lang w:val="uk-UA"/>
        </w:rPr>
        <w:lastRenderedPageBreak/>
        <w:t>піддаються корекції: обтяжена спадковість, стать, вік, соціально-економічний статус тощо</w:t>
      </w:r>
      <w:r w:rsidR="00B75F3E">
        <w:rPr>
          <w:lang w:val="uk-UA"/>
        </w:rPr>
        <w:t>.</w:t>
      </w:r>
      <w:r w:rsidRPr="007D3D32">
        <w:rPr>
          <w:lang w:val="uk-UA"/>
        </w:rPr>
        <w:t xml:space="preserve"> </w:t>
      </w:r>
    </w:p>
    <w:p w:rsidR="00C5158D" w:rsidRPr="00C5158D" w:rsidRDefault="00A92062" w:rsidP="00915CA4">
      <w:pPr>
        <w:spacing w:line="360" w:lineRule="auto"/>
        <w:ind w:firstLine="709"/>
        <w:jc w:val="both"/>
      </w:pPr>
      <w:r w:rsidRPr="007D3D32">
        <w:rPr>
          <w:lang w:val="uk-UA"/>
        </w:rPr>
        <w:t xml:space="preserve">На сучасному етапі проблема надлишкової ваги та ожиріння, а також їх ролі у формуванні кардіоваскулярного ризику стає дедалі більш актуальною. Встановлено, що частота розвитку АГ при ожирінні становить 75%, цукрового діабету 2 типу </w:t>
      </w:r>
      <w:r w:rsidRPr="007D3D32">
        <w:rPr>
          <w:lang w:val="uk-UA"/>
        </w:rPr>
        <w:softHyphen/>
        <w:t xml:space="preserve"> 57%, ішемічної хвороби серця – 15-20%. За результатами </w:t>
      </w:r>
      <w:proofErr w:type="spellStart"/>
      <w:r w:rsidRPr="007D3D32">
        <w:rPr>
          <w:lang w:val="uk-UA"/>
        </w:rPr>
        <w:t>Фремінгемського</w:t>
      </w:r>
      <w:proofErr w:type="spellEnd"/>
      <w:r w:rsidRPr="007D3D32">
        <w:rPr>
          <w:lang w:val="uk-UA"/>
        </w:rPr>
        <w:t xml:space="preserve"> дослідження, причиною розвитку АГ стало збільшення маси тіла у 80% чоловіків і 61% жінок, при цьому її збільшення на 5% підвищує ризик розвитку </w:t>
      </w:r>
      <w:r w:rsidR="00B6115D">
        <w:rPr>
          <w:lang w:val="uk-UA"/>
        </w:rPr>
        <w:t>АГ протягом 4 років на 30% [</w:t>
      </w:r>
      <w:r w:rsidR="00265D96">
        <w:rPr>
          <w:lang w:val="uk-UA"/>
        </w:rPr>
        <w:t>11</w:t>
      </w:r>
      <w:r w:rsidRPr="007D3D32">
        <w:rPr>
          <w:lang w:val="uk-UA"/>
        </w:rPr>
        <w:t xml:space="preserve">]. Крім того, вірогідність розвитку АГ у осіб з надмірною масою на 50% вища, ніж у осіб з нормальною </w:t>
      </w:r>
      <w:proofErr w:type="spellStart"/>
      <w:r w:rsidRPr="007D3D32">
        <w:rPr>
          <w:lang w:val="uk-UA"/>
        </w:rPr>
        <w:t>массою</w:t>
      </w:r>
      <w:proofErr w:type="spellEnd"/>
      <w:r w:rsidRPr="007D3D32">
        <w:rPr>
          <w:lang w:val="uk-UA"/>
        </w:rPr>
        <w:t xml:space="preserve"> тіла, а ризик розвитку ІХС підвищений в 2-3 рази, інсульту – в 7 разів</w:t>
      </w:r>
      <w:r w:rsidR="00C5158D" w:rsidRPr="00C5158D">
        <w:t>.</w:t>
      </w:r>
    </w:p>
    <w:p w:rsidR="00A92062" w:rsidRDefault="00A92062" w:rsidP="00C43DD8">
      <w:pPr>
        <w:spacing w:line="360" w:lineRule="auto"/>
        <w:ind w:firstLine="709"/>
        <w:jc w:val="both"/>
        <w:rPr>
          <w:lang w:val="uk-UA"/>
        </w:rPr>
      </w:pPr>
      <w:r w:rsidRPr="007D3D32">
        <w:rPr>
          <w:lang w:val="uk-UA"/>
        </w:rPr>
        <w:t>У світі на ожиріння страждає близько 30% жителів, і кожні 10 років їх чисельність зростає на 10%. За прогнозами ВОЗ, до 2025 року ожиріння матиме половина населення планети [</w:t>
      </w:r>
      <w:r w:rsidR="00265D96" w:rsidRPr="00265D96">
        <w:rPr>
          <w:lang w:val="uk-UA"/>
        </w:rPr>
        <w:t>8</w:t>
      </w:r>
      <w:r w:rsidRPr="00265D96">
        <w:rPr>
          <w:lang w:val="uk-UA"/>
        </w:rPr>
        <w:t>].</w:t>
      </w:r>
      <w:r w:rsidRPr="007D3D32">
        <w:rPr>
          <w:lang w:val="uk-UA"/>
        </w:rPr>
        <w:t xml:space="preserve"> В Україні на ожиріння ІІ-ІІІ ступеня страждають 20,4% жінок і 11% чоловіків. Незважаючи на велику кількість нових розробок як у дієтотерапії, так і у медикаментозному лікуванні, кількість хворих з ожирінням, за даними </w:t>
      </w:r>
      <w:proofErr w:type="spellStart"/>
      <w:r w:rsidRPr="007D3D32">
        <w:rPr>
          <w:lang w:val="uk-UA"/>
        </w:rPr>
        <w:t>National</w:t>
      </w:r>
      <w:proofErr w:type="spellEnd"/>
      <w:r w:rsidRPr="007D3D32">
        <w:rPr>
          <w:lang w:val="uk-UA"/>
        </w:rPr>
        <w:t xml:space="preserve"> </w:t>
      </w:r>
      <w:proofErr w:type="spellStart"/>
      <w:r w:rsidRPr="007D3D32">
        <w:rPr>
          <w:lang w:val="uk-UA"/>
        </w:rPr>
        <w:t>Task</w:t>
      </w:r>
      <w:proofErr w:type="spellEnd"/>
      <w:r w:rsidRPr="007D3D32">
        <w:rPr>
          <w:lang w:val="uk-UA"/>
        </w:rPr>
        <w:t xml:space="preserve"> </w:t>
      </w:r>
      <w:proofErr w:type="spellStart"/>
      <w:r w:rsidRPr="007D3D32">
        <w:rPr>
          <w:lang w:val="uk-UA"/>
        </w:rPr>
        <w:t>Force</w:t>
      </w:r>
      <w:proofErr w:type="spellEnd"/>
      <w:r w:rsidRPr="007D3D32">
        <w:rPr>
          <w:lang w:val="uk-UA"/>
        </w:rPr>
        <w:t xml:space="preserve"> </w:t>
      </w:r>
      <w:proofErr w:type="spellStart"/>
      <w:r w:rsidRPr="007D3D32">
        <w:rPr>
          <w:lang w:val="uk-UA"/>
        </w:rPr>
        <w:t>on</w:t>
      </w:r>
      <w:proofErr w:type="spellEnd"/>
      <w:r w:rsidRPr="007D3D32">
        <w:rPr>
          <w:lang w:val="uk-UA"/>
        </w:rPr>
        <w:t xml:space="preserve"> </w:t>
      </w:r>
      <w:proofErr w:type="spellStart"/>
      <w:r w:rsidRPr="007D3D32">
        <w:rPr>
          <w:lang w:val="uk-UA"/>
        </w:rPr>
        <w:t>Treatment</w:t>
      </w:r>
      <w:proofErr w:type="spellEnd"/>
      <w:r w:rsidRPr="007D3D32">
        <w:rPr>
          <w:lang w:val="uk-UA"/>
        </w:rPr>
        <w:t xml:space="preserve"> </w:t>
      </w:r>
      <w:proofErr w:type="spellStart"/>
      <w:r w:rsidRPr="007D3D32">
        <w:rPr>
          <w:lang w:val="uk-UA"/>
        </w:rPr>
        <w:t>of</w:t>
      </w:r>
      <w:proofErr w:type="spellEnd"/>
      <w:r w:rsidRPr="007D3D32">
        <w:rPr>
          <w:lang w:val="uk-UA"/>
        </w:rPr>
        <w:t xml:space="preserve"> </w:t>
      </w:r>
      <w:proofErr w:type="spellStart"/>
      <w:r w:rsidRPr="007D3D32">
        <w:rPr>
          <w:lang w:val="uk-UA"/>
        </w:rPr>
        <w:t>Obesity</w:t>
      </w:r>
      <w:proofErr w:type="spellEnd"/>
      <w:r w:rsidRPr="007D3D32">
        <w:rPr>
          <w:lang w:val="uk-UA"/>
        </w:rPr>
        <w:t xml:space="preserve">, зростає у всіх вікових </w:t>
      </w:r>
      <w:r w:rsidRPr="00265D96">
        <w:rPr>
          <w:lang w:val="uk-UA"/>
        </w:rPr>
        <w:t>групах [</w:t>
      </w:r>
      <w:r w:rsidR="00265D96" w:rsidRPr="00265D96">
        <w:rPr>
          <w:lang w:val="uk-UA"/>
        </w:rPr>
        <w:t>10</w:t>
      </w:r>
      <w:r w:rsidRPr="00265D96">
        <w:rPr>
          <w:lang w:val="uk-UA"/>
        </w:rPr>
        <w:t>], що</w:t>
      </w:r>
      <w:r w:rsidRPr="007D3D32">
        <w:rPr>
          <w:lang w:val="uk-UA"/>
        </w:rPr>
        <w:t xml:space="preserve"> в значній мірі пов’язано зі способом життя, для якого характерні дефіцит рухової активності і надзвичайно калорійне харчування. Мета нашого дослідження – визначення </w:t>
      </w:r>
      <w:r w:rsidR="003118EC">
        <w:rPr>
          <w:lang w:val="uk-UA"/>
        </w:rPr>
        <w:t>особливостей ожиріння у хворих на АГ похилого віку</w:t>
      </w:r>
      <w:r w:rsidRPr="007D3D32">
        <w:rPr>
          <w:lang w:val="uk-UA"/>
        </w:rPr>
        <w:t>.</w:t>
      </w:r>
    </w:p>
    <w:p w:rsidR="00A92062" w:rsidRPr="00363579" w:rsidRDefault="00A92062" w:rsidP="00915CA4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lang w:val="uk-UA"/>
        </w:rPr>
      </w:pPr>
      <w:r w:rsidRPr="00363579">
        <w:rPr>
          <w:b/>
          <w:lang w:val="uk-UA"/>
        </w:rPr>
        <w:t>Матеріали і методи</w:t>
      </w:r>
    </w:p>
    <w:p w:rsidR="00A92062" w:rsidRPr="00363579" w:rsidRDefault="00A92062" w:rsidP="00C43DD8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lang w:val="uk-UA"/>
        </w:rPr>
      </w:pPr>
      <w:r w:rsidRPr="00363579">
        <w:rPr>
          <w:lang w:val="uk-UA"/>
        </w:rPr>
        <w:t xml:space="preserve">Обстежено </w:t>
      </w:r>
      <w:r>
        <w:rPr>
          <w:lang w:val="uk-UA"/>
        </w:rPr>
        <w:t>74</w:t>
      </w:r>
      <w:r w:rsidRPr="00363579">
        <w:rPr>
          <w:lang w:val="uk-UA"/>
        </w:rPr>
        <w:t xml:space="preserve"> пацієнт</w:t>
      </w:r>
      <w:r>
        <w:rPr>
          <w:lang w:val="uk-UA"/>
        </w:rPr>
        <w:t>а</w:t>
      </w:r>
      <w:r w:rsidRPr="00363579">
        <w:rPr>
          <w:lang w:val="uk-UA"/>
        </w:rPr>
        <w:t xml:space="preserve"> з АГ</w:t>
      </w:r>
      <w:r>
        <w:rPr>
          <w:lang w:val="uk-UA"/>
        </w:rPr>
        <w:t xml:space="preserve"> від 60 до 74 років</w:t>
      </w:r>
      <w:r w:rsidRPr="00363579">
        <w:rPr>
          <w:lang w:val="uk-UA"/>
        </w:rPr>
        <w:t xml:space="preserve">, серед яких було </w:t>
      </w:r>
      <w:r>
        <w:rPr>
          <w:lang w:val="uk-UA"/>
        </w:rPr>
        <w:t>62</w:t>
      </w:r>
      <w:r w:rsidRPr="00363579">
        <w:rPr>
          <w:lang w:val="uk-UA"/>
        </w:rPr>
        <w:t xml:space="preserve"> жінк</w:t>
      </w:r>
      <w:r>
        <w:rPr>
          <w:lang w:val="uk-UA"/>
        </w:rPr>
        <w:t>и</w:t>
      </w:r>
      <w:r w:rsidR="00C43DD8">
        <w:rPr>
          <w:lang w:val="uk-UA"/>
        </w:rPr>
        <w:t xml:space="preserve"> (</w:t>
      </w:r>
      <w:r w:rsidR="002D3584">
        <w:rPr>
          <w:lang w:val="uk-UA"/>
        </w:rPr>
        <w:t xml:space="preserve">1 </w:t>
      </w:r>
      <w:r w:rsidR="00C43DD8">
        <w:rPr>
          <w:lang w:val="uk-UA"/>
        </w:rPr>
        <w:t>група)</w:t>
      </w:r>
      <w:r w:rsidRPr="00363579">
        <w:rPr>
          <w:lang w:val="uk-UA"/>
        </w:rPr>
        <w:t xml:space="preserve"> і </w:t>
      </w:r>
      <w:r>
        <w:rPr>
          <w:lang w:val="uk-UA"/>
        </w:rPr>
        <w:t>12</w:t>
      </w:r>
      <w:r w:rsidRPr="00363579">
        <w:rPr>
          <w:lang w:val="uk-UA"/>
        </w:rPr>
        <w:t xml:space="preserve"> чоловіків</w:t>
      </w:r>
      <w:r w:rsidR="00C43DD8">
        <w:rPr>
          <w:lang w:val="uk-UA"/>
        </w:rPr>
        <w:t xml:space="preserve"> (</w:t>
      </w:r>
      <w:r w:rsidR="002D3584">
        <w:rPr>
          <w:lang w:val="uk-UA"/>
        </w:rPr>
        <w:t>2</w:t>
      </w:r>
      <w:r w:rsidR="00C43DD8">
        <w:rPr>
          <w:lang w:val="uk-UA"/>
        </w:rPr>
        <w:t xml:space="preserve"> група)</w:t>
      </w:r>
      <w:r w:rsidRPr="00363579">
        <w:rPr>
          <w:lang w:val="uk-UA"/>
        </w:rPr>
        <w:t xml:space="preserve">. Всім хворим проведено </w:t>
      </w:r>
      <w:r w:rsidRPr="00363579">
        <w:rPr>
          <w:lang w:val="uk-UA" w:eastAsia="uk-UA"/>
        </w:rPr>
        <w:t>комплексне клінічне обстеження. Верифікація діагнозу, визначення ступеня АГ здійснювалася згідно критеріїв, рекомендованих Українським суспільством кардіологів і Європейським суспільством кардіологів (</w:t>
      </w:r>
      <w:r w:rsidRPr="00363579">
        <w:rPr>
          <w:lang w:eastAsia="uk-UA"/>
        </w:rPr>
        <w:t>ESC</w:t>
      </w:r>
      <w:r w:rsidRPr="00363579">
        <w:rPr>
          <w:lang w:val="uk-UA" w:eastAsia="uk-UA"/>
        </w:rPr>
        <w:t>) /Європейським суспільством артеріальної гіпертензії (</w:t>
      </w:r>
      <w:r w:rsidRPr="00363579">
        <w:rPr>
          <w:lang w:eastAsia="uk-UA"/>
        </w:rPr>
        <w:t>ESH</w:t>
      </w:r>
      <w:r w:rsidRPr="00363579">
        <w:rPr>
          <w:lang w:val="uk-UA" w:eastAsia="uk-UA"/>
        </w:rPr>
        <w:t>).</w:t>
      </w:r>
      <w:r w:rsidR="00C43DD8">
        <w:rPr>
          <w:lang w:val="uk-UA" w:eastAsia="uk-UA"/>
        </w:rPr>
        <w:t xml:space="preserve"> </w:t>
      </w:r>
      <w:r w:rsidRPr="00363579">
        <w:rPr>
          <w:lang w:val="uk-UA"/>
        </w:rPr>
        <w:t xml:space="preserve">Основні критерії виключення хворих з обстеження – симптоматична АГ, гострий коронарний синдром, інсульт, наявність супутніх запальних та ендокринних захворювань, а також виражена систолічна </w:t>
      </w:r>
      <w:proofErr w:type="spellStart"/>
      <w:r w:rsidRPr="00363579">
        <w:rPr>
          <w:lang w:val="uk-UA"/>
        </w:rPr>
        <w:t>дисфункція</w:t>
      </w:r>
      <w:proofErr w:type="spellEnd"/>
      <w:r w:rsidRPr="00363579">
        <w:rPr>
          <w:lang w:val="uk-UA"/>
        </w:rPr>
        <w:t xml:space="preserve"> лівого шлуночка (ФВ&lt;40%).</w:t>
      </w:r>
    </w:p>
    <w:p w:rsidR="00A92062" w:rsidRPr="00265D96" w:rsidRDefault="00C43DD8" w:rsidP="00915CA4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Обстеженим</w:t>
      </w:r>
      <w:r w:rsidR="00A92062" w:rsidRPr="00363579">
        <w:rPr>
          <w:lang w:val="uk-UA"/>
        </w:rPr>
        <w:t xml:space="preserve"> хворим</w:t>
      </w:r>
      <w:r w:rsidR="00A92062" w:rsidRPr="00363579">
        <w:t xml:space="preserve"> </w:t>
      </w:r>
      <w:r w:rsidR="00A92062" w:rsidRPr="00363579">
        <w:rPr>
          <w:lang w:val="uk-UA"/>
        </w:rPr>
        <w:t xml:space="preserve">визначали антропометричні показники. </w:t>
      </w:r>
      <w:r w:rsidR="00A92062" w:rsidRPr="00363579">
        <w:rPr>
          <w:lang w:val="uk-UA" w:eastAsia="uk-UA"/>
        </w:rPr>
        <w:t>Ожиріння виявляли, використовуючи індекс маси тіла (ІМТ), який обчислювали як відношення маси тіла (кг) і зросту (м</w:t>
      </w:r>
      <w:r w:rsidR="00A92062" w:rsidRPr="00363579">
        <w:rPr>
          <w:vertAlign w:val="superscript"/>
          <w:lang w:val="uk-UA" w:eastAsia="uk-UA"/>
        </w:rPr>
        <w:t>2</w:t>
      </w:r>
      <w:r w:rsidR="00A92062" w:rsidRPr="00363579">
        <w:rPr>
          <w:lang w:val="uk-UA" w:eastAsia="uk-UA"/>
        </w:rPr>
        <w:t xml:space="preserve">). </w:t>
      </w:r>
      <w:r w:rsidR="00A92062" w:rsidRPr="00363579">
        <w:rPr>
          <w:bCs/>
          <w:lang w:val="uk-UA"/>
        </w:rPr>
        <w:t>Для визначення типу розподілу жирової тканини (ТРЖТ) використовували індекс талія/стегна (ІТС), який р</w:t>
      </w:r>
      <w:r w:rsidR="00A92062" w:rsidRPr="00363579">
        <w:rPr>
          <w:lang w:val="uk-UA"/>
        </w:rPr>
        <w:t>озраховували за формулою: ІТС=ОТ/ОС, де ОТ – о</w:t>
      </w:r>
      <w:r w:rsidR="00A92062" w:rsidRPr="00363579">
        <w:rPr>
          <w:bCs/>
          <w:lang w:val="uk-UA"/>
        </w:rPr>
        <w:t xml:space="preserve">кружність талії (см), ОС – окружність </w:t>
      </w:r>
      <w:r w:rsidR="00A92062" w:rsidRPr="00633796">
        <w:rPr>
          <w:bCs/>
          <w:lang w:val="uk-UA"/>
        </w:rPr>
        <w:t>стегон (см). Поряд з цим, а</w:t>
      </w:r>
      <w:r w:rsidR="00A92062" w:rsidRPr="00633796">
        <w:rPr>
          <w:lang w:val="uk-UA"/>
        </w:rPr>
        <w:t xml:space="preserve">бдомінальне ожиріння </w:t>
      </w:r>
      <w:r w:rsidR="00A92062" w:rsidRPr="00633796">
        <w:rPr>
          <w:lang w:val="uk-UA"/>
        </w:rPr>
        <w:lastRenderedPageBreak/>
        <w:t xml:space="preserve">визначали за критеріями, рекомендованими </w:t>
      </w:r>
      <w:r w:rsidR="00A92062" w:rsidRPr="00633796">
        <w:rPr>
          <w:rStyle w:val="text1"/>
          <w:rFonts w:ascii="Times New Roman" w:hAnsi="Times New Roman" w:cs="Times New Roman"/>
          <w:sz w:val="24"/>
          <w:szCs w:val="24"/>
          <w:lang w:val="en-US"/>
        </w:rPr>
        <w:t>NCEP</w:t>
      </w:r>
      <w:r w:rsidR="00A92062" w:rsidRPr="00633796">
        <w:rPr>
          <w:rStyle w:val="text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2062" w:rsidRPr="00633796">
        <w:rPr>
          <w:rStyle w:val="text1"/>
          <w:rFonts w:ascii="Times New Roman" w:hAnsi="Times New Roman" w:cs="Times New Roman"/>
          <w:sz w:val="24"/>
          <w:szCs w:val="24"/>
          <w:lang w:val="en-US"/>
        </w:rPr>
        <w:t>ATP</w:t>
      </w:r>
      <w:r w:rsidR="00A92062" w:rsidRPr="00633796">
        <w:rPr>
          <w:rStyle w:val="text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2062" w:rsidRPr="00633796">
        <w:rPr>
          <w:rStyle w:val="text1"/>
          <w:rFonts w:ascii="Times New Roman" w:hAnsi="Times New Roman" w:cs="Times New Roman"/>
          <w:sz w:val="24"/>
          <w:szCs w:val="24"/>
          <w:lang w:val="en-US"/>
        </w:rPr>
        <w:t>III</w:t>
      </w:r>
      <w:r w:rsidR="00A92062" w:rsidRPr="00633796">
        <w:rPr>
          <w:rStyle w:val="text1"/>
          <w:rFonts w:ascii="Times New Roman" w:hAnsi="Times New Roman" w:cs="Times New Roman"/>
          <w:sz w:val="24"/>
          <w:szCs w:val="24"/>
          <w:lang w:val="uk-UA"/>
        </w:rPr>
        <w:t xml:space="preserve"> (2001)</w:t>
      </w:r>
      <w:r w:rsidR="00A92062" w:rsidRPr="00633796">
        <w:rPr>
          <w:lang w:val="uk-UA"/>
        </w:rPr>
        <w:t xml:space="preserve">: </w:t>
      </w:r>
      <w:r w:rsidR="00A92062" w:rsidRPr="00633796">
        <w:rPr>
          <w:bCs/>
          <w:iCs/>
          <w:lang w:val="uk-UA"/>
        </w:rPr>
        <w:t>ОТ</w:t>
      </w:r>
      <w:r w:rsidR="00A92062" w:rsidRPr="00633796">
        <w:rPr>
          <w:lang w:val="uk-UA"/>
        </w:rPr>
        <w:t>&gt;</w:t>
      </w:r>
      <w:smartTag w:uri="urn:schemas-microsoft-com:office:smarttags" w:element="metricconverter">
        <w:smartTagPr>
          <w:attr w:name="ProductID" w:val="102 см"/>
        </w:smartTagPr>
        <w:r w:rsidR="00A92062" w:rsidRPr="00633796">
          <w:rPr>
            <w:lang w:val="uk-UA"/>
          </w:rPr>
          <w:t xml:space="preserve">102 </w:t>
        </w:r>
        <w:r w:rsidR="00A92062" w:rsidRPr="00265D96">
          <w:rPr>
            <w:lang w:val="uk-UA"/>
          </w:rPr>
          <w:t>см</w:t>
        </w:r>
      </w:smartTag>
      <w:r w:rsidR="00A92062" w:rsidRPr="00265D96">
        <w:rPr>
          <w:lang w:val="uk-UA"/>
        </w:rPr>
        <w:t xml:space="preserve"> у чоловіків та &gt;</w:t>
      </w:r>
      <w:smartTag w:uri="urn:schemas-microsoft-com:office:smarttags" w:element="metricconverter">
        <w:smartTagPr>
          <w:attr w:name="ProductID" w:val="88 см"/>
        </w:smartTagPr>
        <w:r w:rsidR="00A92062" w:rsidRPr="00265D96">
          <w:rPr>
            <w:lang w:val="uk-UA"/>
          </w:rPr>
          <w:t>88 см</w:t>
        </w:r>
      </w:smartTag>
      <w:r w:rsidR="00A92062" w:rsidRPr="00265D96">
        <w:rPr>
          <w:lang w:val="uk-UA"/>
        </w:rPr>
        <w:t xml:space="preserve"> у жінок [</w:t>
      </w:r>
      <w:r w:rsidR="00265D96" w:rsidRPr="00265D96">
        <w:rPr>
          <w:lang w:val="uk-UA"/>
        </w:rPr>
        <w:t>7</w:t>
      </w:r>
      <w:r w:rsidR="00A92062" w:rsidRPr="00265D96">
        <w:rPr>
          <w:lang w:val="uk-UA"/>
        </w:rPr>
        <w:t xml:space="preserve">] та IDF (2005): </w:t>
      </w:r>
      <w:r w:rsidR="00A92062" w:rsidRPr="00265D96">
        <w:rPr>
          <w:bCs/>
          <w:iCs/>
          <w:lang w:val="uk-UA"/>
        </w:rPr>
        <w:t>ОТ</w:t>
      </w:r>
      <w:r w:rsidR="00A92062" w:rsidRPr="00265D96">
        <w:rPr>
          <w:bCs/>
          <w:lang w:val="uk-UA"/>
        </w:rPr>
        <w:t xml:space="preserve">≥ </w:t>
      </w:r>
      <w:smartTag w:uri="urn:schemas-microsoft-com:office:smarttags" w:element="metricconverter">
        <w:smartTagPr>
          <w:attr w:name="ProductID" w:val="94 см"/>
        </w:smartTagPr>
        <w:r w:rsidR="00A92062" w:rsidRPr="00265D96">
          <w:rPr>
            <w:bCs/>
            <w:lang w:val="uk-UA"/>
          </w:rPr>
          <w:t>94 см</w:t>
        </w:r>
      </w:smartTag>
      <w:r w:rsidR="00A92062" w:rsidRPr="00265D96">
        <w:rPr>
          <w:lang w:val="uk-UA"/>
        </w:rPr>
        <w:t xml:space="preserve"> у чоловіків та </w:t>
      </w:r>
      <w:r w:rsidR="00A92062" w:rsidRPr="00265D96">
        <w:rPr>
          <w:bCs/>
          <w:lang w:val="uk-UA"/>
        </w:rPr>
        <w:t xml:space="preserve">≥ </w:t>
      </w:r>
      <w:smartTag w:uri="urn:schemas-microsoft-com:office:smarttags" w:element="metricconverter">
        <w:smartTagPr>
          <w:attr w:name="ProductID" w:val="80 см"/>
        </w:smartTagPr>
        <w:r w:rsidR="00A92062" w:rsidRPr="00265D96">
          <w:rPr>
            <w:bCs/>
            <w:lang w:val="uk-UA"/>
          </w:rPr>
          <w:t>80 см</w:t>
        </w:r>
      </w:smartTag>
      <w:r w:rsidR="00A92062" w:rsidRPr="00265D96">
        <w:rPr>
          <w:lang w:val="uk-UA"/>
        </w:rPr>
        <w:t xml:space="preserve"> у жінок [</w:t>
      </w:r>
      <w:r w:rsidR="00265D96" w:rsidRPr="00265D96">
        <w:rPr>
          <w:lang w:val="uk-UA"/>
        </w:rPr>
        <w:t>4</w:t>
      </w:r>
      <w:r w:rsidR="00A92062" w:rsidRPr="00265D96">
        <w:rPr>
          <w:lang w:val="uk-UA"/>
        </w:rPr>
        <w:t>].</w:t>
      </w:r>
    </w:p>
    <w:p w:rsidR="00A92062" w:rsidRPr="00C010CE" w:rsidRDefault="00A92062" w:rsidP="00915CA4">
      <w:pPr>
        <w:spacing w:line="360" w:lineRule="auto"/>
        <w:ind w:firstLine="709"/>
        <w:jc w:val="both"/>
        <w:rPr>
          <w:lang w:val="uk-UA"/>
        </w:rPr>
      </w:pPr>
      <w:r w:rsidRPr="00265D96">
        <w:rPr>
          <w:lang w:val="uk-UA"/>
        </w:rPr>
        <w:t>З метою виявлення основних модифікованих факторів ризику, що впливають на розвиток АГ і ожиріння проводили опитування хворих. Серед аліментарних факторів ризику особливу увагу приділяли вживанню повареної (кухонної) солі та алкоголю, згідно сучасних рекомендацій.</w:t>
      </w:r>
      <w:r w:rsidRPr="00C010CE">
        <w:rPr>
          <w:lang w:val="uk-UA"/>
        </w:rPr>
        <w:t xml:space="preserve"> </w:t>
      </w:r>
    </w:p>
    <w:p w:rsidR="00A92062" w:rsidRPr="00363579" w:rsidRDefault="00A92062" w:rsidP="00915CA4">
      <w:pPr>
        <w:pStyle w:val="a5"/>
        <w:spacing w:after="0" w:line="360" w:lineRule="auto"/>
        <w:ind w:left="0" w:firstLine="709"/>
        <w:jc w:val="both"/>
        <w:rPr>
          <w:lang w:val="uk-UA" w:eastAsia="uk-UA"/>
        </w:rPr>
      </w:pPr>
      <w:r w:rsidRPr="00363579">
        <w:rPr>
          <w:lang w:val="uk-UA" w:eastAsia="uk-UA"/>
        </w:rPr>
        <w:t>Статистичну обробку отриманих даних проводили в системі «</w:t>
      </w:r>
      <w:r w:rsidRPr="00363579">
        <w:rPr>
          <w:lang w:eastAsia="uk-UA"/>
        </w:rPr>
        <w:t>Microsoft</w:t>
      </w:r>
      <w:r w:rsidRPr="00363579">
        <w:rPr>
          <w:lang w:val="uk-UA" w:eastAsia="uk-UA"/>
        </w:rPr>
        <w:t xml:space="preserve"> </w:t>
      </w:r>
      <w:r w:rsidRPr="00363579">
        <w:rPr>
          <w:lang w:eastAsia="uk-UA"/>
        </w:rPr>
        <w:t>Excel</w:t>
      </w:r>
      <w:r w:rsidRPr="00363579">
        <w:rPr>
          <w:lang w:val="uk-UA" w:eastAsia="uk-UA"/>
        </w:rPr>
        <w:t>» за допомогою пакету аналізу в системі «</w:t>
      </w:r>
      <w:r w:rsidRPr="00363579">
        <w:rPr>
          <w:lang w:eastAsia="uk-UA"/>
        </w:rPr>
        <w:t>Microsoft</w:t>
      </w:r>
      <w:r w:rsidRPr="00363579">
        <w:rPr>
          <w:lang w:val="uk-UA" w:eastAsia="uk-UA"/>
        </w:rPr>
        <w:t xml:space="preserve"> </w:t>
      </w:r>
      <w:r w:rsidRPr="00363579">
        <w:rPr>
          <w:lang w:eastAsia="uk-UA"/>
        </w:rPr>
        <w:t>Excel</w:t>
      </w:r>
      <w:r w:rsidRPr="00363579">
        <w:rPr>
          <w:lang w:val="uk-UA" w:eastAsia="uk-UA"/>
        </w:rPr>
        <w:t xml:space="preserve">». Оцінка вірогідності розбіжності середніх величин проводилася з використанням парного </w:t>
      </w:r>
      <w:proofErr w:type="spellStart"/>
      <w:r w:rsidRPr="00363579">
        <w:rPr>
          <w:lang w:eastAsia="uk-UA"/>
        </w:rPr>
        <w:t>t-критер</w:t>
      </w:r>
      <w:proofErr w:type="spellEnd"/>
      <w:r w:rsidRPr="00363579">
        <w:rPr>
          <w:lang w:val="uk-UA" w:eastAsia="uk-UA"/>
        </w:rPr>
        <w:t>і</w:t>
      </w:r>
      <w:r w:rsidRPr="00363579">
        <w:rPr>
          <w:lang w:eastAsia="uk-UA"/>
        </w:rPr>
        <w:t>я</w:t>
      </w:r>
      <w:r w:rsidRPr="00363579">
        <w:rPr>
          <w:lang w:val="uk-UA" w:eastAsia="uk-UA"/>
        </w:rPr>
        <w:t xml:space="preserve"> </w:t>
      </w:r>
      <w:proofErr w:type="spellStart"/>
      <w:r w:rsidRPr="00363579">
        <w:rPr>
          <w:lang w:val="uk-UA" w:eastAsia="uk-UA"/>
        </w:rPr>
        <w:t>Стьюдента</w:t>
      </w:r>
      <w:proofErr w:type="spellEnd"/>
      <w:r w:rsidRPr="00363579">
        <w:rPr>
          <w:lang w:val="uk-UA" w:eastAsia="uk-UA"/>
        </w:rPr>
        <w:t xml:space="preserve">. Достовірними вважалися показники при </w:t>
      </w:r>
      <w:r w:rsidRPr="00363579">
        <w:rPr>
          <w:lang w:eastAsia="uk-UA"/>
        </w:rPr>
        <w:t>р&lt;0,05</w:t>
      </w:r>
      <w:r w:rsidRPr="00363579">
        <w:rPr>
          <w:lang w:val="uk-UA" w:eastAsia="uk-UA"/>
        </w:rPr>
        <w:t>.</w:t>
      </w:r>
    </w:p>
    <w:p w:rsidR="00A92062" w:rsidRPr="008748FB" w:rsidRDefault="00A92062" w:rsidP="00915CA4">
      <w:pPr>
        <w:spacing w:line="360" w:lineRule="auto"/>
        <w:ind w:firstLine="708"/>
        <w:jc w:val="both"/>
        <w:rPr>
          <w:b/>
          <w:lang w:val="uk-UA" w:eastAsia="uk-UA"/>
        </w:rPr>
      </w:pPr>
      <w:r w:rsidRPr="008748FB">
        <w:rPr>
          <w:b/>
          <w:lang w:val="uk-UA" w:eastAsia="uk-UA"/>
        </w:rPr>
        <w:t>Результати дослідження</w:t>
      </w:r>
    </w:p>
    <w:p w:rsidR="00A92062" w:rsidRPr="00411903" w:rsidRDefault="00A92062" w:rsidP="00915CA4">
      <w:pPr>
        <w:spacing w:line="360" w:lineRule="auto"/>
        <w:ind w:firstLine="709"/>
        <w:jc w:val="both"/>
        <w:rPr>
          <w:color w:val="000000"/>
          <w:shd w:val="clear" w:color="auto" w:fill="FFFFFF"/>
          <w:lang w:val="uk-UA"/>
        </w:rPr>
      </w:pPr>
      <w:r w:rsidRPr="008748FB">
        <w:rPr>
          <w:shd w:val="clear" w:color="auto" w:fill="FFFFFF"/>
          <w:lang w:val="uk-UA"/>
        </w:rPr>
        <w:t xml:space="preserve">АГ – основний </w:t>
      </w:r>
      <w:r w:rsidR="009F0A06">
        <w:rPr>
          <w:shd w:val="clear" w:color="auto" w:fill="FFFFFF"/>
          <w:lang w:val="uk-UA"/>
        </w:rPr>
        <w:t>ФР</w:t>
      </w:r>
      <w:r w:rsidRPr="008748FB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8748FB">
        <w:rPr>
          <w:color w:val="000000"/>
          <w:shd w:val="clear" w:color="auto" w:fill="FFFFFF"/>
          <w:lang w:val="uk-UA"/>
        </w:rPr>
        <w:t>кардіоваскулярних</w:t>
      </w:r>
      <w:proofErr w:type="spellEnd"/>
      <w:r w:rsidRPr="00411903">
        <w:rPr>
          <w:color w:val="000000"/>
          <w:shd w:val="clear" w:color="auto" w:fill="FFFFFF"/>
          <w:lang w:val="uk-UA"/>
        </w:rPr>
        <w:t xml:space="preserve"> подій. За даними ВООЗ </w:t>
      </w:r>
      <w:r w:rsidRPr="00411903">
        <w:rPr>
          <w:color w:val="000000"/>
        </w:rPr>
        <w:t xml:space="preserve">з 15 </w:t>
      </w:r>
      <w:r w:rsidRPr="00411903">
        <w:rPr>
          <w:color w:val="000000"/>
          <w:lang w:val="uk-UA"/>
        </w:rPr>
        <w:t>млн. випадків інсульту у 12,7 млн. випадків причиною є підвищений АТ</w:t>
      </w:r>
      <w:r w:rsidRPr="00411903">
        <w:rPr>
          <w:color w:val="000000"/>
        </w:rPr>
        <w:t>.</w:t>
      </w:r>
      <w:r w:rsidRPr="00411903">
        <w:rPr>
          <w:color w:val="000000"/>
          <w:lang w:val="uk-UA"/>
        </w:rPr>
        <w:t xml:space="preserve"> </w:t>
      </w:r>
      <w:r w:rsidRPr="00411903">
        <w:rPr>
          <w:lang w:val="uk-UA"/>
        </w:rPr>
        <w:t>В нашому дослідженні в структурі АГ домінувала АГ ІІІ ступеня, питома вага якої склала 85,1% (серед жінок – 87,1%, серед чоловіків – 75%). При цьому дебют захворювання у жінок був значно пізнішим, ніж у чоловіків (p&lt;0,0</w:t>
      </w:r>
      <w:r w:rsidR="00964461">
        <w:rPr>
          <w:lang w:val="uk-UA"/>
        </w:rPr>
        <w:t>01</w:t>
      </w:r>
      <w:r w:rsidRPr="00411903">
        <w:rPr>
          <w:lang w:val="uk-UA"/>
        </w:rPr>
        <w:t xml:space="preserve">), що пов’язано з </w:t>
      </w:r>
      <w:proofErr w:type="spellStart"/>
      <w:r w:rsidRPr="00411903">
        <w:rPr>
          <w:lang w:val="uk-UA"/>
        </w:rPr>
        <w:t>кардіопротекторною</w:t>
      </w:r>
      <w:proofErr w:type="spellEnd"/>
      <w:r w:rsidRPr="00411903">
        <w:rPr>
          <w:lang w:val="uk-UA"/>
        </w:rPr>
        <w:t xml:space="preserve"> дією естрогенів</w:t>
      </w:r>
      <w:r>
        <w:rPr>
          <w:lang w:val="uk-UA"/>
        </w:rPr>
        <w:t xml:space="preserve">. </w:t>
      </w:r>
      <w:r w:rsidRPr="00411903">
        <w:rPr>
          <w:lang w:val="uk-UA"/>
        </w:rPr>
        <w:t>Клініко-антропометрична характеристика обстежених хворих</w:t>
      </w:r>
      <w:r>
        <w:rPr>
          <w:lang w:val="uk-UA"/>
        </w:rPr>
        <w:t xml:space="preserve"> представлена в таблиці 1.</w:t>
      </w:r>
    </w:p>
    <w:p w:rsidR="00A92062" w:rsidRDefault="00A92062" w:rsidP="00915CA4">
      <w:pPr>
        <w:spacing w:line="360" w:lineRule="auto"/>
        <w:ind w:firstLine="708"/>
        <w:jc w:val="right"/>
        <w:rPr>
          <w:lang w:val="uk-UA"/>
        </w:rPr>
      </w:pPr>
      <w:r w:rsidRPr="00411903">
        <w:rPr>
          <w:lang w:val="uk-UA"/>
        </w:rPr>
        <w:t>Таблиця 1</w:t>
      </w:r>
    </w:p>
    <w:p w:rsidR="009F0A06" w:rsidRPr="00411903" w:rsidRDefault="009F0A06" w:rsidP="00915CA4">
      <w:pPr>
        <w:spacing w:line="360" w:lineRule="auto"/>
        <w:ind w:firstLine="708"/>
        <w:jc w:val="center"/>
        <w:rPr>
          <w:lang w:val="uk-UA"/>
        </w:rPr>
      </w:pPr>
      <w:r w:rsidRPr="00411903">
        <w:rPr>
          <w:lang w:val="uk-UA"/>
        </w:rPr>
        <w:t>Клініко-антропометрична характеристика хворих</w:t>
      </w:r>
      <w:r>
        <w:rPr>
          <w:lang w:val="uk-UA"/>
        </w:rPr>
        <w:t xml:space="preserve"> на АГ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449"/>
        <w:gridCol w:w="2265"/>
        <w:gridCol w:w="2197"/>
      </w:tblGrid>
      <w:tr w:rsidR="00A92062" w:rsidRPr="00411903" w:rsidTr="00411903">
        <w:tc>
          <w:tcPr>
            <w:tcW w:w="2660" w:type="dxa"/>
            <w:vMerge w:val="restart"/>
            <w:vAlign w:val="center"/>
          </w:tcPr>
          <w:p w:rsidR="00A92062" w:rsidRPr="00411903" w:rsidRDefault="00A92062" w:rsidP="00551816">
            <w:pPr>
              <w:jc w:val="center"/>
              <w:rPr>
                <w:lang w:val="uk-UA"/>
              </w:rPr>
            </w:pPr>
            <w:r w:rsidRPr="00411903">
              <w:rPr>
                <w:lang w:val="uk-UA"/>
              </w:rPr>
              <w:t>Показники</w:t>
            </w:r>
          </w:p>
        </w:tc>
        <w:tc>
          <w:tcPr>
            <w:tcW w:w="6911" w:type="dxa"/>
            <w:gridSpan w:val="3"/>
          </w:tcPr>
          <w:p w:rsidR="00A92062" w:rsidRPr="00411903" w:rsidRDefault="00A92062" w:rsidP="00551816">
            <w:pPr>
              <w:jc w:val="center"/>
              <w:rPr>
                <w:lang w:val="uk-UA"/>
              </w:rPr>
            </w:pPr>
            <w:r w:rsidRPr="00411903">
              <w:rPr>
                <w:lang w:val="uk-UA"/>
              </w:rPr>
              <w:t>Хворі на АГ</w:t>
            </w:r>
          </w:p>
        </w:tc>
      </w:tr>
      <w:tr w:rsidR="00A92062" w:rsidRPr="00411903" w:rsidTr="00411903">
        <w:tc>
          <w:tcPr>
            <w:tcW w:w="2660" w:type="dxa"/>
            <w:vMerge/>
          </w:tcPr>
          <w:p w:rsidR="00A92062" w:rsidRPr="00411903" w:rsidRDefault="00A92062" w:rsidP="00551816">
            <w:pPr>
              <w:jc w:val="center"/>
              <w:rPr>
                <w:lang w:val="uk-UA"/>
              </w:rPr>
            </w:pPr>
          </w:p>
        </w:tc>
        <w:tc>
          <w:tcPr>
            <w:tcW w:w="2449" w:type="dxa"/>
          </w:tcPr>
          <w:p w:rsidR="00A92062" w:rsidRDefault="00A92062" w:rsidP="005518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Всі</w:t>
            </w:r>
          </w:p>
          <w:p w:rsidR="00A92062" w:rsidRPr="00411903" w:rsidRDefault="00A92062" w:rsidP="00551816">
            <w:pPr>
              <w:jc w:val="center"/>
              <w:rPr>
                <w:lang w:val="uk-UA"/>
              </w:rPr>
            </w:pPr>
            <w:r w:rsidRPr="00411903">
              <w:rPr>
                <w:lang w:val="uk-UA"/>
              </w:rPr>
              <w:t>n=</w:t>
            </w:r>
            <w:r>
              <w:rPr>
                <w:lang w:val="uk-UA"/>
              </w:rPr>
              <w:t>74</w:t>
            </w:r>
          </w:p>
        </w:tc>
        <w:tc>
          <w:tcPr>
            <w:tcW w:w="2265" w:type="dxa"/>
          </w:tcPr>
          <w:p w:rsidR="00A92062" w:rsidRPr="00411903" w:rsidRDefault="00A92062" w:rsidP="00551816">
            <w:pPr>
              <w:jc w:val="center"/>
              <w:rPr>
                <w:lang w:val="uk-UA"/>
              </w:rPr>
            </w:pPr>
            <w:r w:rsidRPr="00411903">
              <w:rPr>
                <w:lang w:val="uk-UA"/>
              </w:rPr>
              <w:t>жінки</w:t>
            </w:r>
          </w:p>
          <w:p w:rsidR="00A92062" w:rsidRPr="00411903" w:rsidRDefault="00A92062" w:rsidP="00551816">
            <w:pPr>
              <w:jc w:val="center"/>
              <w:rPr>
                <w:lang w:val="uk-UA"/>
              </w:rPr>
            </w:pPr>
            <w:r w:rsidRPr="00411903">
              <w:rPr>
                <w:lang w:val="uk-UA"/>
              </w:rPr>
              <w:t>n=</w:t>
            </w:r>
            <w:r>
              <w:rPr>
                <w:lang w:val="uk-UA"/>
              </w:rPr>
              <w:t>6</w:t>
            </w:r>
            <w:r w:rsidRPr="00411903">
              <w:rPr>
                <w:lang w:val="uk-UA"/>
              </w:rPr>
              <w:t>2</w:t>
            </w:r>
          </w:p>
        </w:tc>
        <w:tc>
          <w:tcPr>
            <w:tcW w:w="2197" w:type="dxa"/>
          </w:tcPr>
          <w:p w:rsidR="00A92062" w:rsidRPr="00411903" w:rsidRDefault="00A92062" w:rsidP="00551816">
            <w:pPr>
              <w:jc w:val="center"/>
              <w:rPr>
                <w:lang w:val="uk-UA"/>
              </w:rPr>
            </w:pPr>
            <w:r w:rsidRPr="00411903">
              <w:rPr>
                <w:lang w:val="uk-UA"/>
              </w:rPr>
              <w:t xml:space="preserve">чоловіки </w:t>
            </w:r>
          </w:p>
          <w:p w:rsidR="00A92062" w:rsidRPr="00411903" w:rsidRDefault="00A92062" w:rsidP="00551816">
            <w:pPr>
              <w:jc w:val="center"/>
              <w:rPr>
                <w:lang w:val="uk-UA"/>
              </w:rPr>
            </w:pPr>
            <w:r w:rsidRPr="00411903">
              <w:rPr>
                <w:lang w:val="uk-UA"/>
              </w:rPr>
              <w:t>n=</w:t>
            </w:r>
            <w:r>
              <w:rPr>
                <w:lang w:val="uk-UA"/>
              </w:rPr>
              <w:t>12</w:t>
            </w:r>
          </w:p>
        </w:tc>
      </w:tr>
      <w:tr w:rsidR="00A92062" w:rsidRPr="00411903" w:rsidTr="00411903">
        <w:tc>
          <w:tcPr>
            <w:tcW w:w="2660" w:type="dxa"/>
          </w:tcPr>
          <w:p w:rsidR="00A92062" w:rsidRPr="00411903" w:rsidRDefault="00A92062" w:rsidP="00551816">
            <w:pPr>
              <w:jc w:val="both"/>
              <w:rPr>
                <w:lang w:val="uk-UA"/>
              </w:rPr>
            </w:pPr>
            <w:r w:rsidRPr="00411903">
              <w:rPr>
                <w:lang w:val="uk-UA"/>
              </w:rPr>
              <w:t>Вік (роки)</w:t>
            </w:r>
          </w:p>
        </w:tc>
        <w:tc>
          <w:tcPr>
            <w:tcW w:w="2449" w:type="dxa"/>
          </w:tcPr>
          <w:p w:rsidR="00A92062" w:rsidRPr="00411903" w:rsidRDefault="00A92062" w:rsidP="00C43D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43DD8">
              <w:rPr>
                <w:lang w:val="uk-UA"/>
              </w:rPr>
              <w:t>4</w:t>
            </w:r>
            <w:r w:rsidRPr="00411903">
              <w:rPr>
                <w:lang w:val="uk-UA"/>
              </w:rPr>
              <w:t>,</w:t>
            </w:r>
            <w:r w:rsidR="00C43DD8">
              <w:rPr>
                <w:lang w:val="uk-UA"/>
              </w:rPr>
              <w:t>63</w:t>
            </w:r>
            <w:r w:rsidRPr="00411903">
              <w:rPr>
                <w:lang w:val="uk-UA"/>
              </w:rPr>
              <w:t>±0,</w:t>
            </w:r>
            <w:r>
              <w:rPr>
                <w:lang w:val="uk-UA"/>
              </w:rPr>
              <w:t>68</w:t>
            </w:r>
          </w:p>
        </w:tc>
        <w:tc>
          <w:tcPr>
            <w:tcW w:w="2265" w:type="dxa"/>
          </w:tcPr>
          <w:p w:rsidR="00A92062" w:rsidRPr="00411903" w:rsidRDefault="00A92062" w:rsidP="006476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6476B0">
              <w:rPr>
                <w:lang w:val="uk-UA"/>
              </w:rPr>
              <w:t>5</w:t>
            </w:r>
            <w:r w:rsidRPr="00411903">
              <w:rPr>
                <w:lang w:val="uk-UA"/>
              </w:rPr>
              <w:t>,</w:t>
            </w:r>
            <w:r>
              <w:rPr>
                <w:lang w:val="uk-UA"/>
              </w:rPr>
              <w:t>84</w:t>
            </w:r>
            <w:r w:rsidRPr="00411903">
              <w:rPr>
                <w:lang w:val="uk-UA"/>
              </w:rPr>
              <w:t>±0,</w:t>
            </w:r>
            <w:r>
              <w:rPr>
                <w:lang w:val="uk-UA"/>
              </w:rPr>
              <w:t>52</w:t>
            </w:r>
            <w:r w:rsidR="009D1B9A">
              <w:rPr>
                <w:lang w:val="uk-UA"/>
              </w:rPr>
              <w:t>*</w:t>
            </w:r>
          </w:p>
        </w:tc>
        <w:tc>
          <w:tcPr>
            <w:tcW w:w="2197" w:type="dxa"/>
          </w:tcPr>
          <w:p w:rsidR="00A92062" w:rsidRPr="00411903" w:rsidRDefault="00A92062" w:rsidP="009D1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  <w:r w:rsidRPr="00411903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411903">
              <w:rPr>
                <w:lang w:val="uk-UA"/>
              </w:rPr>
              <w:t>±0,</w:t>
            </w:r>
            <w:r w:rsidR="009D1B9A">
              <w:rPr>
                <w:lang w:val="uk-UA"/>
              </w:rPr>
              <w:t>26</w:t>
            </w:r>
          </w:p>
        </w:tc>
      </w:tr>
      <w:tr w:rsidR="00A92062" w:rsidRPr="00411903" w:rsidTr="00411903">
        <w:tc>
          <w:tcPr>
            <w:tcW w:w="2660" w:type="dxa"/>
          </w:tcPr>
          <w:p w:rsidR="00A92062" w:rsidRPr="00411903" w:rsidRDefault="00A92062" w:rsidP="00551816">
            <w:pPr>
              <w:jc w:val="both"/>
              <w:rPr>
                <w:lang w:val="uk-UA"/>
              </w:rPr>
            </w:pPr>
            <w:r w:rsidRPr="00411903">
              <w:rPr>
                <w:lang w:val="uk-UA"/>
              </w:rPr>
              <w:t>Початок підвищення АТ (роки)</w:t>
            </w:r>
          </w:p>
        </w:tc>
        <w:tc>
          <w:tcPr>
            <w:tcW w:w="2449" w:type="dxa"/>
          </w:tcPr>
          <w:p w:rsidR="00A92062" w:rsidRPr="00411903" w:rsidRDefault="00A92062" w:rsidP="006C750F">
            <w:pPr>
              <w:jc w:val="center"/>
              <w:rPr>
                <w:lang w:val="uk-UA"/>
              </w:rPr>
            </w:pPr>
            <w:r w:rsidRPr="00411903">
              <w:rPr>
                <w:lang w:val="uk-UA"/>
              </w:rPr>
              <w:t>4</w:t>
            </w:r>
            <w:r w:rsidR="006C750F">
              <w:rPr>
                <w:lang w:val="uk-UA"/>
              </w:rPr>
              <w:t>9</w:t>
            </w:r>
            <w:r w:rsidRPr="00411903">
              <w:rPr>
                <w:lang w:val="uk-UA"/>
              </w:rPr>
              <w:t>,4±</w:t>
            </w:r>
            <w:r w:rsidR="006C750F">
              <w:rPr>
                <w:lang w:val="uk-UA"/>
              </w:rPr>
              <w:t>1</w:t>
            </w:r>
            <w:r w:rsidRPr="00411903">
              <w:rPr>
                <w:lang w:val="uk-UA"/>
              </w:rPr>
              <w:t>,</w:t>
            </w:r>
            <w:r>
              <w:rPr>
                <w:lang w:val="uk-UA"/>
              </w:rPr>
              <w:t>3</w:t>
            </w:r>
            <w:r w:rsidR="006C750F">
              <w:rPr>
                <w:lang w:val="uk-UA"/>
              </w:rPr>
              <w:t>4</w:t>
            </w:r>
          </w:p>
        </w:tc>
        <w:tc>
          <w:tcPr>
            <w:tcW w:w="2265" w:type="dxa"/>
          </w:tcPr>
          <w:p w:rsidR="00A92062" w:rsidRPr="00411903" w:rsidRDefault="00A92062" w:rsidP="003063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  <w:r w:rsidRPr="00411903">
              <w:rPr>
                <w:lang w:val="uk-UA"/>
              </w:rPr>
              <w:t>,</w:t>
            </w:r>
            <w:r>
              <w:rPr>
                <w:lang w:val="uk-UA"/>
              </w:rPr>
              <w:t>72</w:t>
            </w:r>
            <w:r w:rsidRPr="00411903">
              <w:rPr>
                <w:lang w:val="uk-UA"/>
              </w:rPr>
              <w:t>±</w:t>
            </w:r>
            <w:r>
              <w:rPr>
                <w:lang w:val="uk-UA"/>
              </w:rPr>
              <w:t>1</w:t>
            </w:r>
            <w:r w:rsidRPr="00411903">
              <w:rPr>
                <w:lang w:val="uk-UA"/>
              </w:rPr>
              <w:t>,</w:t>
            </w:r>
            <w:r>
              <w:rPr>
                <w:lang w:val="uk-UA"/>
              </w:rPr>
              <w:t>38</w:t>
            </w:r>
            <w:r w:rsidR="009D1B9A">
              <w:rPr>
                <w:lang w:val="uk-UA"/>
              </w:rPr>
              <w:t>*</w:t>
            </w:r>
          </w:p>
        </w:tc>
        <w:tc>
          <w:tcPr>
            <w:tcW w:w="2197" w:type="dxa"/>
          </w:tcPr>
          <w:p w:rsidR="00A92062" w:rsidRPr="00411903" w:rsidRDefault="00A92062" w:rsidP="009D1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  <w:r w:rsidRPr="00411903">
              <w:rPr>
                <w:lang w:val="uk-UA"/>
              </w:rPr>
              <w:t>,</w:t>
            </w:r>
            <w:r>
              <w:rPr>
                <w:lang w:val="uk-UA"/>
              </w:rPr>
              <w:t>08</w:t>
            </w:r>
            <w:r w:rsidRPr="00411903">
              <w:rPr>
                <w:lang w:val="uk-UA"/>
              </w:rPr>
              <w:t>±</w:t>
            </w:r>
            <w:r w:rsidR="009D1B9A">
              <w:rPr>
                <w:lang w:val="uk-UA"/>
              </w:rPr>
              <w:t>1</w:t>
            </w:r>
            <w:r w:rsidRPr="00411903">
              <w:rPr>
                <w:lang w:val="uk-UA"/>
              </w:rPr>
              <w:t>,</w:t>
            </w:r>
            <w:r w:rsidR="009D1B9A">
              <w:rPr>
                <w:lang w:val="uk-UA"/>
              </w:rPr>
              <w:t>32</w:t>
            </w:r>
          </w:p>
        </w:tc>
      </w:tr>
      <w:tr w:rsidR="00A92062" w:rsidRPr="00411903" w:rsidTr="00411903">
        <w:tc>
          <w:tcPr>
            <w:tcW w:w="2660" w:type="dxa"/>
          </w:tcPr>
          <w:p w:rsidR="00A92062" w:rsidRPr="00411903" w:rsidRDefault="00A92062" w:rsidP="00551816">
            <w:pPr>
              <w:jc w:val="both"/>
              <w:rPr>
                <w:lang w:val="uk-UA"/>
              </w:rPr>
            </w:pPr>
            <w:r w:rsidRPr="00411903">
              <w:rPr>
                <w:lang w:val="uk-UA"/>
              </w:rPr>
              <w:t>Тривалість АГ (роки)</w:t>
            </w:r>
          </w:p>
        </w:tc>
        <w:tc>
          <w:tcPr>
            <w:tcW w:w="2449" w:type="dxa"/>
          </w:tcPr>
          <w:p w:rsidR="00A92062" w:rsidRPr="00411903" w:rsidRDefault="00A92062" w:rsidP="006C75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411903">
              <w:rPr>
                <w:lang w:val="uk-UA"/>
              </w:rPr>
              <w:t>,</w:t>
            </w:r>
            <w:r>
              <w:rPr>
                <w:lang w:val="uk-UA"/>
              </w:rPr>
              <w:t>4</w:t>
            </w:r>
            <w:r w:rsidRPr="00411903">
              <w:rPr>
                <w:lang w:val="uk-UA"/>
              </w:rPr>
              <w:t>±</w:t>
            </w:r>
            <w:r w:rsidR="006C750F">
              <w:rPr>
                <w:lang w:val="uk-UA"/>
              </w:rPr>
              <w:t>1</w:t>
            </w:r>
            <w:r w:rsidRPr="00411903">
              <w:rPr>
                <w:lang w:val="uk-UA"/>
              </w:rPr>
              <w:t>,</w:t>
            </w:r>
            <w:r w:rsidR="006C750F">
              <w:rPr>
                <w:lang w:val="uk-UA"/>
              </w:rPr>
              <w:t>31</w:t>
            </w:r>
          </w:p>
        </w:tc>
        <w:tc>
          <w:tcPr>
            <w:tcW w:w="2265" w:type="dxa"/>
          </w:tcPr>
          <w:p w:rsidR="00A92062" w:rsidRPr="00411903" w:rsidRDefault="00A92062" w:rsidP="003063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411903">
              <w:rPr>
                <w:lang w:val="uk-UA"/>
              </w:rPr>
              <w:t>,</w:t>
            </w:r>
            <w:r>
              <w:rPr>
                <w:lang w:val="uk-UA"/>
              </w:rPr>
              <w:t>23</w:t>
            </w:r>
            <w:r w:rsidRPr="00411903">
              <w:rPr>
                <w:lang w:val="uk-UA"/>
              </w:rPr>
              <w:t>±</w:t>
            </w:r>
            <w:r>
              <w:rPr>
                <w:lang w:val="uk-UA"/>
              </w:rPr>
              <w:t>1</w:t>
            </w:r>
            <w:r w:rsidRPr="00411903">
              <w:rPr>
                <w:lang w:val="uk-UA"/>
              </w:rPr>
              <w:t>,</w:t>
            </w:r>
            <w:r>
              <w:rPr>
                <w:lang w:val="uk-UA"/>
              </w:rPr>
              <w:t>4</w:t>
            </w:r>
            <w:r w:rsidR="009D1B9A">
              <w:rPr>
                <w:lang w:val="uk-UA"/>
              </w:rPr>
              <w:t>*</w:t>
            </w:r>
          </w:p>
        </w:tc>
        <w:tc>
          <w:tcPr>
            <w:tcW w:w="2197" w:type="dxa"/>
          </w:tcPr>
          <w:p w:rsidR="00A92062" w:rsidRPr="00411903" w:rsidRDefault="00A92062" w:rsidP="009D1B9A">
            <w:pPr>
              <w:jc w:val="center"/>
              <w:rPr>
                <w:lang w:val="uk-UA"/>
              </w:rPr>
            </w:pPr>
            <w:r w:rsidRPr="00411903">
              <w:rPr>
                <w:lang w:val="uk-UA"/>
              </w:rPr>
              <w:t>1</w:t>
            </w:r>
            <w:r w:rsidR="00B954EF">
              <w:rPr>
                <w:lang w:val="uk-UA"/>
              </w:rPr>
              <w:t>8</w:t>
            </w:r>
            <w:r w:rsidRPr="00411903">
              <w:rPr>
                <w:lang w:val="uk-UA"/>
              </w:rPr>
              <w:t>,5</w:t>
            </w:r>
            <w:r w:rsidR="00B954EF">
              <w:rPr>
                <w:lang w:val="uk-UA"/>
              </w:rPr>
              <w:t>8</w:t>
            </w:r>
            <w:r w:rsidRPr="00411903">
              <w:rPr>
                <w:lang w:val="uk-UA"/>
              </w:rPr>
              <w:t>±</w:t>
            </w:r>
            <w:r w:rsidR="009D1B9A">
              <w:rPr>
                <w:lang w:val="uk-UA"/>
              </w:rPr>
              <w:t>1</w:t>
            </w:r>
            <w:r w:rsidRPr="00411903">
              <w:rPr>
                <w:lang w:val="uk-UA"/>
              </w:rPr>
              <w:t>,</w:t>
            </w:r>
            <w:r w:rsidR="00B954EF">
              <w:rPr>
                <w:lang w:val="uk-UA"/>
              </w:rPr>
              <w:t>2</w:t>
            </w:r>
            <w:r w:rsidR="009D1B9A">
              <w:rPr>
                <w:lang w:val="uk-UA"/>
              </w:rPr>
              <w:t>9</w:t>
            </w:r>
          </w:p>
        </w:tc>
      </w:tr>
      <w:tr w:rsidR="00A92062" w:rsidRPr="00411903" w:rsidTr="00411903">
        <w:tc>
          <w:tcPr>
            <w:tcW w:w="2660" w:type="dxa"/>
          </w:tcPr>
          <w:p w:rsidR="00A92062" w:rsidRPr="00411903" w:rsidRDefault="00A92062" w:rsidP="00551816">
            <w:pPr>
              <w:jc w:val="both"/>
              <w:rPr>
                <w:lang w:val="uk-UA"/>
              </w:rPr>
            </w:pPr>
            <w:r w:rsidRPr="00411903">
              <w:rPr>
                <w:lang w:val="uk-UA"/>
              </w:rPr>
              <w:t xml:space="preserve">САТ (мм </w:t>
            </w:r>
            <w:proofErr w:type="spellStart"/>
            <w:r w:rsidRPr="00411903">
              <w:rPr>
                <w:lang w:val="uk-UA"/>
              </w:rPr>
              <w:t>рт.ст</w:t>
            </w:r>
            <w:proofErr w:type="spellEnd"/>
            <w:r w:rsidRPr="00411903">
              <w:rPr>
                <w:lang w:val="uk-UA"/>
              </w:rPr>
              <w:t>.)</w:t>
            </w:r>
          </w:p>
        </w:tc>
        <w:tc>
          <w:tcPr>
            <w:tcW w:w="2449" w:type="dxa"/>
          </w:tcPr>
          <w:p w:rsidR="00A92062" w:rsidRPr="00411903" w:rsidRDefault="00A92062" w:rsidP="009C68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207</w:t>
            </w:r>
            <w:r w:rsidRPr="00411903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  <w:r w:rsidRPr="00411903">
              <w:rPr>
                <w:lang w:val="uk-UA"/>
              </w:rPr>
              <w:t>±</w:t>
            </w:r>
            <w:r>
              <w:rPr>
                <w:lang w:val="uk-UA"/>
              </w:rPr>
              <w:t>6</w:t>
            </w:r>
            <w:r w:rsidRPr="00411903">
              <w:rPr>
                <w:lang w:val="uk-UA"/>
              </w:rPr>
              <w:t>,</w:t>
            </w:r>
            <w:r>
              <w:rPr>
                <w:lang w:val="uk-UA"/>
              </w:rPr>
              <w:t>9</w:t>
            </w:r>
          </w:p>
        </w:tc>
        <w:tc>
          <w:tcPr>
            <w:tcW w:w="2265" w:type="dxa"/>
          </w:tcPr>
          <w:p w:rsidR="00A92062" w:rsidRPr="00411903" w:rsidRDefault="00A92062" w:rsidP="003063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211</w:t>
            </w:r>
            <w:r w:rsidRPr="00411903">
              <w:rPr>
                <w:lang w:val="uk-UA"/>
              </w:rPr>
              <w:t>,</w:t>
            </w:r>
            <w:r>
              <w:rPr>
                <w:lang w:val="uk-UA"/>
              </w:rPr>
              <w:t>62</w:t>
            </w:r>
            <w:r w:rsidRPr="00411903">
              <w:rPr>
                <w:lang w:val="uk-UA"/>
              </w:rPr>
              <w:t>±</w:t>
            </w:r>
            <w:r>
              <w:rPr>
                <w:lang w:val="uk-UA"/>
              </w:rPr>
              <w:t>4</w:t>
            </w:r>
            <w:r w:rsidRPr="00411903">
              <w:rPr>
                <w:lang w:val="uk-UA"/>
              </w:rPr>
              <w:t>,</w:t>
            </w:r>
            <w:r>
              <w:rPr>
                <w:lang w:val="uk-UA"/>
              </w:rPr>
              <w:t>20</w:t>
            </w:r>
          </w:p>
        </w:tc>
        <w:tc>
          <w:tcPr>
            <w:tcW w:w="2197" w:type="dxa"/>
          </w:tcPr>
          <w:p w:rsidR="00A92062" w:rsidRPr="00411903" w:rsidRDefault="00A92062" w:rsidP="009D1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203</w:t>
            </w:r>
            <w:r w:rsidRPr="00411903">
              <w:rPr>
                <w:lang w:val="uk-UA"/>
              </w:rPr>
              <w:t>,</w:t>
            </w:r>
            <w:r>
              <w:rPr>
                <w:lang w:val="uk-UA"/>
              </w:rPr>
              <w:t>75</w:t>
            </w:r>
            <w:r w:rsidRPr="00411903">
              <w:rPr>
                <w:lang w:val="uk-UA"/>
              </w:rPr>
              <w:t>±</w:t>
            </w:r>
            <w:r w:rsidR="009D1B9A">
              <w:rPr>
                <w:lang w:val="uk-UA"/>
              </w:rPr>
              <w:t>3</w:t>
            </w:r>
            <w:r w:rsidRPr="00411903">
              <w:rPr>
                <w:lang w:val="uk-UA"/>
              </w:rPr>
              <w:t>,</w:t>
            </w:r>
            <w:r w:rsidR="009D1B9A">
              <w:rPr>
                <w:lang w:val="uk-UA"/>
              </w:rPr>
              <w:t>15</w:t>
            </w:r>
            <w:r w:rsidRPr="00411903">
              <w:rPr>
                <w:lang w:val="uk-UA"/>
              </w:rPr>
              <w:t xml:space="preserve"> </w:t>
            </w:r>
          </w:p>
        </w:tc>
      </w:tr>
      <w:tr w:rsidR="00A92062" w:rsidRPr="00411903" w:rsidTr="00411903">
        <w:tc>
          <w:tcPr>
            <w:tcW w:w="2660" w:type="dxa"/>
          </w:tcPr>
          <w:p w:rsidR="00A92062" w:rsidRPr="00411903" w:rsidRDefault="00A92062" w:rsidP="00551816">
            <w:pPr>
              <w:jc w:val="both"/>
              <w:rPr>
                <w:lang w:val="uk-UA"/>
              </w:rPr>
            </w:pPr>
            <w:r w:rsidRPr="00411903">
              <w:rPr>
                <w:lang w:val="uk-UA"/>
              </w:rPr>
              <w:t xml:space="preserve">ДАТ (мм </w:t>
            </w:r>
            <w:proofErr w:type="spellStart"/>
            <w:r w:rsidRPr="00411903">
              <w:rPr>
                <w:lang w:val="uk-UA"/>
              </w:rPr>
              <w:t>рт.ст</w:t>
            </w:r>
            <w:proofErr w:type="spellEnd"/>
            <w:r w:rsidRPr="00411903">
              <w:rPr>
                <w:lang w:val="uk-UA"/>
              </w:rPr>
              <w:t>.)</w:t>
            </w:r>
          </w:p>
        </w:tc>
        <w:tc>
          <w:tcPr>
            <w:tcW w:w="2449" w:type="dxa"/>
          </w:tcPr>
          <w:p w:rsidR="00A92062" w:rsidRPr="00411903" w:rsidRDefault="00A92062" w:rsidP="009C68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115</w:t>
            </w:r>
            <w:r w:rsidRPr="00411903">
              <w:rPr>
                <w:lang w:val="uk-UA"/>
              </w:rPr>
              <w:t>,</w:t>
            </w:r>
            <w:r>
              <w:rPr>
                <w:lang w:val="uk-UA"/>
              </w:rPr>
              <w:t>29</w:t>
            </w:r>
            <w:r w:rsidRPr="00411903">
              <w:rPr>
                <w:lang w:val="uk-UA"/>
              </w:rPr>
              <w:t>±</w:t>
            </w:r>
            <w:r>
              <w:rPr>
                <w:lang w:val="uk-UA"/>
              </w:rPr>
              <w:t>3</w:t>
            </w:r>
            <w:r w:rsidRPr="00411903">
              <w:rPr>
                <w:lang w:val="uk-UA"/>
              </w:rPr>
              <w:t>,8</w:t>
            </w:r>
          </w:p>
        </w:tc>
        <w:tc>
          <w:tcPr>
            <w:tcW w:w="2265" w:type="dxa"/>
          </w:tcPr>
          <w:p w:rsidR="00A92062" w:rsidRPr="00411903" w:rsidRDefault="00A92062" w:rsidP="003063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115</w:t>
            </w:r>
            <w:r w:rsidRPr="00411903">
              <w:rPr>
                <w:lang w:val="uk-UA"/>
              </w:rPr>
              <w:t>,</w:t>
            </w:r>
            <w:r>
              <w:rPr>
                <w:lang w:val="uk-UA"/>
              </w:rPr>
              <w:t>17</w:t>
            </w:r>
            <w:r w:rsidRPr="00411903">
              <w:rPr>
                <w:lang w:val="uk-UA"/>
              </w:rPr>
              <w:t>±</w:t>
            </w:r>
            <w:r>
              <w:rPr>
                <w:lang w:val="uk-UA"/>
              </w:rPr>
              <w:t>2</w:t>
            </w:r>
            <w:r w:rsidRPr="00411903">
              <w:rPr>
                <w:lang w:val="uk-UA"/>
              </w:rPr>
              <w:t>,</w:t>
            </w:r>
            <w:r>
              <w:rPr>
                <w:lang w:val="uk-UA"/>
              </w:rPr>
              <w:t>35</w:t>
            </w:r>
          </w:p>
        </w:tc>
        <w:tc>
          <w:tcPr>
            <w:tcW w:w="2197" w:type="dxa"/>
          </w:tcPr>
          <w:p w:rsidR="00A92062" w:rsidRPr="00411903" w:rsidRDefault="00A92062" w:rsidP="009D1B9A">
            <w:pPr>
              <w:jc w:val="center"/>
              <w:rPr>
                <w:lang w:val="uk-UA"/>
              </w:rPr>
            </w:pPr>
            <w:r w:rsidRPr="00411903">
              <w:rPr>
                <w:lang w:val="uk-UA"/>
              </w:rPr>
              <w:t>1</w:t>
            </w:r>
            <w:r>
              <w:rPr>
                <w:lang w:val="uk-UA"/>
              </w:rPr>
              <w:t>15</w:t>
            </w:r>
            <w:r w:rsidRPr="00411903">
              <w:rPr>
                <w:lang w:val="uk-UA"/>
              </w:rPr>
              <w:t>,</w:t>
            </w:r>
            <w:r>
              <w:rPr>
                <w:lang w:val="uk-UA"/>
              </w:rPr>
              <w:t>42</w:t>
            </w:r>
            <w:r w:rsidRPr="00411903">
              <w:rPr>
                <w:lang w:val="uk-UA"/>
              </w:rPr>
              <w:t>±</w:t>
            </w:r>
            <w:r w:rsidR="009D1B9A">
              <w:rPr>
                <w:lang w:val="uk-UA"/>
              </w:rPr>
              <w:t>1</w:t>
            </w:r>
            <w:r w:rsidRPr="00411903">
              <w:rPr>
                <w:lang w:val="uk-UA"/>
              </w:rPr>
              <w:t>,</w:t>
            </w:r>
            <w:r w:rsidR="009D1B9A">
              <w:rPr>
                <w:lang w:val="uk-UA"/>
              </w:rPr>
              <w:t>72</w:t>
            </w:r>
          </w:p>
        </w:tc>
      </w:tr>
      <w:tr w:rsidR="00A92062" w:rsidRPr="00411903" w:rsidTr="00411903">
        <w:tc>
          <w:tcPr>
            <w:tcW w:w="2660" w:type="dxa"/>
          </w:tcPr>
          <w:p w:rsidR="00A92062" w:rsidRPr="00411903" w:rsidRDefault="00A92062" w:rsidP="00551816">
            <w:pPr>
              <w:jc w:val="both"/>
              <w:rPr>
                <w:lang w:val="uk-UA"/>
              </w:rPr>
            </w:pPr>
            <w:r w:rsidRPr="00411903">
              <w:rPr>
                <w:lang w:val="uk-UA"/>
              </w:rPr>
              <w:t>ІМТ, кг/м</w:t>
            </w:r>
            <w:r w:rsidRPr="00411903">
              <w:rPr>
                <w:vertAlign w:val="superscript"/>
                <w:lang w:val="uk-UA"/>
              </w:rPr>
              <w:t>2</w:t>
            </w:r>
          </w:p>
        </w:tc>
        <w:tc>
          <w:tcPr>
            <w:tcW w:w="2449" w:type="dxa"/>
          </w:tcPr>
          <w:p w:rsidR="00A92062" w:rsidRPr="00411903" w:rsidRDefault="00A92062" w:rsidP="009C68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Pr="00411903">
              <w:rPr>
                <w:lang w:val="uk-UA"/>
              </w:rPr>
              <w:t>,</w:t>
            </w:r>
            <w:r>
              <w:rPr>
                <w:lang w:val="uk-UA"/>
              </w:rPr>
              <w:t>1</w:t>
            </w:r>
            <w:r w:rsidRPr="00411903">
              <w:rPr>
                <w:lang w:val="uk-UA"/>
              </w:rPr>
              <w:t>±0,</w:t>
            </w:r>
            <w:r>
              <w:rPr>
                <w:lang w:val="uk-UA"/>
              </w:rPr>
              <w:t>93</w:t>
            </w:r>
            <w:r w:rsidRPr="00411903">
              <w:rPr>
                <w:lang w:val="uk-UA"/>
              </w:rPr>
              <w:t>*</w:t>
            </w:r>
          </w:p>
        </w:tc>
        <w:tc>
          <w:tcPr>
            <w:tcW w:w="2265" w:type="dxa"/>
          </w:tcPr>
          <w:p w:rsidR="00A92062" w:rsidRPr="00411903" w:rsidRDefault="00A92062" w:rsidP="003063A7">
            <w:pPr>
              <w:jc w:val="center"/>
              <w:rPr>
                <w:lang w:val="uk-UA"/>
              </w:rPr>
            </w:pPr>
            <w:r w:rsidRPr="00411903">
              <w:rPr>
                <w:lang w:val="uk-UA"/>
              </w:rPr>
              <w:t>30,</w:t>
            </w:r>
            <w:r>
              <w:rPr>
                <w:lang w:val="uk-UA"/>
              </w:rPr>
              <w:t>58</w:t>
            </w:r>
            <w:r w:rsidRPr="00411903">
              <w:rPr>
                <w:lang w:val="uk-UA"/>
              </w:rPr>
              <w:t>±0,</w:t>
            </w:r>
            <w:r>
              <w:rPr>
                <w:lang w:val="uk-UA"/>
              </w:rPr>
              <w:t>62</w:t>
            </w:r>
            <w:r w:rsidRPr="00411903">
              <w:rPr>
                <w:lang w:val="uk-UA"/>
              </w:rPr>
              <w:t>*</w:t>
            </w:r>
          </w:p>
        </w:tc>
        <w:tc>
          <w:tcPr>
            <w:tcW w:w="2197" w:type="dxa"/>
          </w:tcPr>
          <w:p w:rsidR="00A92062" w:rsidRPr="00411903" w:rsidRDefault="00A92062" w:rsidP="009D1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Pr="00411903">
              <w:rPr>
                <w:lang w:val="uk-UA"/>
              </w:rPr>
              <w:t>,</w:t>
            </w:r>
            <w:r w:rsidR="009D1B9A">
              <w:rPr>
                <w:lang w:val="uk-UA"/>
              </w:rPr>
              <w:t>81</w:t>
            </w:r>
            <w:r w:rsidRPr="00411903">
              <w:rPr>
                <w:lang w:val="uk-UA"/>
              </w:rPr>
              <w:t>±</w:t>
            </w:r>
            <w:r w:rsidR="009D1B9A">
              <w:rPr>
                <w:lang w:val="uk-UA"/>
              </w:rPr>
              <w:t>0</w:t>
            </w:r>
            <w:r w:rsidRPr="00411903">
              <w:rPr>
                <w:lang w:val="uk-UA"/>
              </w:rPr>
              <w:t>,</w:t>
            </w:r>
            <w:r w:rsidR="009D1B9A">
              <w:rPr>
                <w:lang w:val="uk-UA"/>
              </w:rPr>
              <w:t>83</w:t>
            </w:r>
          </w:p>
        </w:tc>
      </w:tr>
      <w:tr w:rsidR="00A92062" w:rsidRPr="00411903" w:rsidTr="00411903">
        <w:tc>
          <w:tcPr>
            <w:tcW w:w="2660" w:type="dxa"/>
          </w:tcPr>
          <w:p w:rsidR="00A92062" w:rsidRPr="00411903" w:rsidRDefault="00A92062" w:rsidP="00551816">
            <w:pPr>
              <w:jc w:val="both"/>
              <w:rPr>
                <w:lang w:val="uk-UA"/>
              </w:rPr>
            </w:pPr>
            <w:r w:rsidRPr="00411903">
              <w:rPr>
                <w:lang w:val="uk-UA"/>
              </w:rPr>
              <w:t>ОТ, см</w:t>
            </w:r>
          </w:p>
        </w:tc>
        <w:tc>
          <w:tcPr>
            <w:tcW w:w="2449" w:type="dxa"/>
          </w:tcPr>
          <w:p w:rsidR="00A92062" w:rsidRPr="00411903" w:rsidRDefault="00A92062" w:rsidP="009C68F8">
            <w:pPr>
              <w:jc w:val="center"/>
              <w:rPr>
                <w:lang w:val="uk-UA"/>
              </w:rPr>
            </w:pPr>
            <w:r w:rsidRPr="00411903">
              <w:rPr>
                <w:lang w:val="uk-UA"/>
              </w:rPr>
              <w:t>9</w:t>
            </w:r>
            <w:r>
              <w:rPr>
                <w:lang w:val="uk-UA"/>
              </w:rPr>
              <w:t>8</w:t>
            </w:r>
            <w:r w:rsidRPr="00411903">
              <w:rPr>
                <w:lang w:val="uk-UA"/>
              </w:rPr>
              <w:t>,</w:t>
            </w:r>
            <w:r>
              <w:rPr>
                <w:lang w:val="uk-UA"/>
              </w:rPr>
              <w:t>47</w:t>
            </w:r>
            <w:r w:rsidRPr="00411903">
              <w:rPr>
                <w:lang w:val="uk-UA"/>
              </w:rPr>
              <w:t>±</w:t>
            </w:r>
            <w:r>
              <w:rPr>
                <w:lang w:val="uk-UA"/>
              </w:rPr>
              <w:t>2</w:t>
            </w:r>
            <w:r w:rsidRPr="00411903">
              <w:rPr>
                <w:lang w:val="uk-UA"/>
              </w:rPr>
              <w:t>,</w:t>
            </w:r>
            <w:r>
              <w:rPr>
                <w:lang w:val="uk-UA"/>
              </w:rPr>
              <w:t>07</w:t>
            </w:r>
            <w:r w:rsidRPr="00411903">
              <w:rPr>
                <w:lang w:val="uk-UA"/>
              </w:rPr>
              <w:t>*</w:t>
            </w:r>
          </w:p>
        </w:tc>
        <w:tc>
          <w:tcPr>
            <w:tcW w:w="2265" w:type="dxa"/>
          </w:tcPr>
          <w:p w:rsidR="00A92062" w:rsidRPr="00411903" w:rsidRDefault="00A92062" w:rsidP="00A50184">
            <w:pPr>
              <w:jc w:val="center"/>
              <w:rPr>
                <w:lang w:val="uk-UA"/>
              </w:rPr>
            </w:pPr>
            <w:r w:rsidRPr="00411903">
              <w:rPr>
                <w:lang w:val="uk-UA"/>
              </w:rPr>
              <w:t>9</w:t>
            </w:r>
            <w:r>
              <w:rPr>
                <w:lang w:val="uk-UA"/>
              </w:rPr>
              <w:t>7</w:t>
            </w:r>
            <w:r w:rsidRPr="00411903">
              <w:rPr>
                <w:lang w:val="uk-UA"/>
              </w:rPr>
              <w:t>,</w:t>
            </w:r>
            <w:r>
              <w:rPr>
                <w:lang w:val="uk-UA"/>
              </w:rPr>
              <w:t>13</w:t>
            </w:r>
            <w:r w:rsidRPr="00411903">
              <w:rPr>
                <w:lang w:val="uk-UA"/>
              </w:rPr>
              <w:t>±</w:t>
            </w:r>
            <w:r>
              <w:rPr>
                <w:lang w:val="uk-UA"/>
              </w:rPr>
              <w:t>1</w:t>
            </w:r>
            <w:r w:rsidRPr="00411903">
              <w:rPr>
                <w:lang w:val="uk-UA"/>
              </w:rPr>
              <w:t>,</w:t>
            </w:r>
            <w:r>
              <w:rPr>
                <w:lang w:val="uk-UA"/>
              </w:rPr>
              <w:t>42</w:t>
            </w:r>
          </w:p>
        </w:tc>
        <w:tc>
          <w:tcPr>
            <w:tcW w:w="2197" w:type="dxa"/>
          </w:tcPr>
          <w:p w:rsidR="00A92062" w:rsidRPr="00411903" w:rsidRDefault="00A92062" w:rsidP="009D1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</w:t>
            </w:r>
            <w:r w:rsidRPr="00411903">
              <w:rPr>
                <w:lang w:val="uk-UA"/>
              </w:rPr>
              <w:t>,</w:t>
            </w:r>
            <w:r>
              <w:rPr>
                <w:lang w:val="uk-UA"/>
              </w:rPr>
              <w:t>42</w:t>
            </w:r>
            <w:r w:rsidRPr="00411903">
              <w:rPr>
                <w:lang w:val="uk-UA"/>
              </w:rPr>
              <w:t>±</w:t>
            </w:r>
            <w:r w:rsidR="009D1B9A">
              <w:rPr>
                <w:lang w:val="uk-UA"/>
              </w:rPr>
              <w:t>0</w:t>
            </w:r>
            <w:r w:rsidRPr="00411903">
              <w:rPr>
                <w:lang w:val="uk-UA"/>
              </w:rPr>
              <w:t>,</w:t>
            </w:r>
            <w:r w:rsidR="009D1B9A">
              <w:rPr>
                <w:lang w:val="uk-UA"/>
              </w:rPr>
              <w:t>95</w:t>
            </w:r>
          </w:p>
        </w:tc>
      </w:tr>
      <w:tr w:rsidR="00A92062" w:rsidRPr="00411903" w:rsidTr="00411903">
        <w:tc>
          <w:tcPr>
            <w:tcW w:w="2660" w:type="dxa"/>
          </w:tcPr>
          <w:p w:rsidR="00A92062" w:rsidRPr="00411903" w:rsidRDefault="00A92062" w:rsidP="00551816">
            <w:pPr>
              <w:jc w:val="both"/>
              <w:rPr>
                <w:lang w:val="uk-UA"/>
              </w:rPr>
            </w:pPr>
            <w:r w:rsidRPr="00411903">
              <w:rPr>
                <w:lang w:val="uk-UA"/>
              </w:rPr>
              <w:t>ІТС, умов. од.</w:t>
            </w:r>
          </w:p>
        </w:tc>
        <w:tc>
          <w:tcPr>
            <w:tcW w:w="2449" w:type="dxa"/>
          </w:tcPr>
          <w:p w:rsidR="00A92062" w:rsidRPr="00411903" w:rsidRDefault="00A92062" w:rsidP="00C43DD8">
            <w:pPr>
              <w:jc w:val="center"/>
              <w:rPr>
                <w:lang w:val="uk-UA"/>
              </w:rPr>
            </w:pPr>
            <w:r w:rsidRPr="00411903">
              <w:rPr>
                <w:lang w:val="uk-UA"/>
              </w:rPr>
              <w:t>0,8</w:t>
            </w:r>
            <w:r w:rsidR="00C43DD8">
              <w:rPr>
                <w:lang w:val="uk-UA"/>
              </w:rPr>
              <w:t>9</w:t>
            </w:r>
            <w:r w:rsidRPr="00411903">
              <w:rPr>
                <w:lang w:val="uk-UA"/>
              </w:rPr>
              <w:t>±0,</w:t>
            </w:r>
            <w:r w:rsidR="00C43DD8">
              <w:rPr>
                <w:lang w:val="uk-UA"/>
              </w:rPr>
              <w:t>07</w:t>
            </w:r>
          </w:p>
        </w:tc>
        <w:tc>
          <w:tcPr>
            <w:tcW w:w="2265" w:type="dxa"/>
          </w:tcPr>
          <w:p w:rsidR="00A92062" w:rsidRPr="00411903" w:rsidRDefault="00A92062" w:rsidP="003063A7">
            <w:pPr>
              <w:jc w:val="center"/>
              <w:rPr>
                <w:lang w:val="uk-UA"/>
              </w:rPr>
            </w:pPr>
            <w:r w:rsidRPr="00411903">
              <w:rPr>
                <w:lang w:val="uk-UA"/>
              </w:rPr>
              <w:t>0,8</w:t>
            </w:r>
            <w:r>
              <w:rPr>
                <w:lang w:val="uk-UA"/>
              </w:rPr>
              <w:t>5</w:t>
            </w:r>
            <w:r w:rsidRPr="00411903">
              <w:rPr>
                <w:lang w:val="uk-UA"/>
              </w:rPr>
              <w:t>±0,0</w:t>
            </w:r>
            <w:r>
              <w:rPr>
                <w:lang w:val="uk-UA"/>
              </w:rPr>
              <w:t>8</w:t>
            </w:r>
            <w:r w:rsidRPr="00411903">
              <w:rPr>
                <w:lang w:val="uk-UA"/>
              </w:rPr>
              <w:t>*</w:t>
            </w:r>
          </w:p>
        </w:tc>
        <w:tc>
          <w:tcPr>
            <w:tcW w:w="2197" w:type="dxa"/>
          </w:tcPr>
          <w:p w:rsidR="00A92062" w:rsidRPr="00411903" w:rsidRDefault="00A92062" w:rsidP="009D1B9A">
            <w:pPr>
              <w:jc w:val="center"/>
              <w:rPr>
                <w:lang w:val="uk-UA"/>
              </w:rPr>
            </w:pPr>
            <w:r w:rsidRPr="00411903">
              <w:rPr>
                <w:lang w:val="uk-UA"/>
              </w:rPr>
              <w:t>0,9</w:t>
            </w:r>
            <w:r>
              <w:rPr>
                <w:lang w:val="uk-UA"/>
              </w:rPr>
              <w:t>4</w:t>
            </w:r>
            <w:r w:rsidRPr="00411903">
              <w:rPr>
                <w:lang w:val="uk-UA"/>
              </w:rPr>
              <w:t>±0,</w:t>
            </w:r>
            <w:r w:rsidR="009D1B9A">
              <w:rPr>
                <w:lang w:val="uk-UA"/>
              </w:rPr>
              <w:t>004</w:t>
            </w:r>
          </w:p>
        </w:tc>
      </w:tr>
    </w:tbl>
    <w:p w:rsidR="00A92062" w:rsidRPr="00411903" w:rsidRDefault="00A92062" w:rsidP="00915CA4">
      <w:pPr>
        <w:spacing w:line="360" w:lineRule="auto"/>
        <w:ind w:firstLine="709"/>
        <w:jc w:val="both"/>
        <w:rPr>
          <w:lang w:val="uk-UA"/>
        </w:rPr>
      </w:pPr>
      <w:r w:rsidRPr="00411903">
        <w:rPr>
          <w:lang w:val="uk-UA"/>
        </w:rPr>
        <w:t>Примітки: * – порівняно з чоловік</w:t>
      </w:r>
      <w:r w:rsidR="00A50184">
        <w:rPr>
          <w:lang w:val="uk-UA"/>
        </w:rPr>
        <w:t>ами</w:t>
      </w:r>
      <w:r w:rsidRPr="00411903">
        <w:rPr>
          <w:lang w:val="uk-UA"/>
        </w:rPr>
        <w:t xml:space="preserve"> (р&lt;0,05)</w:t>
      </w:r>
    </w:p>
    <w:p w:rsidR="008357BD" w:rsidRDefault="00A92062" w:rsidP="00915CA4">
      <w:pPr>
        <w:pStyle w:val="a7"/>
        <w:spacing w:after="0" w:line="360" w:lineRule="auto"/>
        <w:ind w:firstLine="567"/>
        <w:jc w:val="both"/>
        <w:rPr>
          <w:lang w:val="uk-UA"/>
        </w:rPr>
      </w:pPr>
      <w:r w:rsidRPr="008748FB">
        <w:rPr>
          <w:lang w:val="uk-UA"/>
        </w:rPr>
        <w:t>Аналіз одержаних даних виявив, що нормальну масу тіла мали 11 (14,</w:t>
      </w:r>
      <w:r w:rsidR="00527678">
        <w:rPr>
          <w:lang w:val="uk-UA"/>
        </w:rPr>
        <w:t>9</w:t>
      </w:r>
      <w:r w:rsidRPr="008748FB">
        <w:rPr>
          <w:lang w:val="uk-UA"/>
        </w:rPr>
        <w:t xml:space="preserve">%) хворих, серед </w:t>
      </w:r>
      <w:r w:rsidR="006476B0">
        <w:rPr>
          <w:lang w:val="uk-UA"/>
        </w:rPr>
        <w:t xml:space="preserve">жінок було </w:t>
      </w:r>
      <w:r w:rsidRPr="008748FB">
        <w:rPr>
          <w:lang w:val="uk-UA"/>
        </w:rPr>
        <w:t>8 (12,9%)</w:t>
      </w:r>
      <w:r w:rsidR="006476B0">
        <w:rPr>
          <w:lang w:val="uk-UA"/>
        </w:rPr>
        <w:t xml:space="preserve"> осіб, серед чоловіків – </w:t>
      </w:r>
      <w:r w:rsidRPr="008748FB">
        <w:rPr>
          <w:lang w:val="uk-UA"/>
        </w:rPr>
        <w:t xml:space="preserve">3 (25%), надлишкову </w:t>
      </w:r>
      <w:r w:rsidR="006476B0">
        <w:rPr>
          <w:lang w:val="uk-UA"/>
        </w:rPr>
        <w:t xml:space="preserve">масу тіла виявлено у </w:t>
      </w:r>
      <w:r w:rsidRPr="008748FB">
        <w:rPr>
          <w:lang w:val="uk-UA"/>
        </w:rPr>
        <w:t>29 (39,</w:t>
      </w:r>
      <w:r w:rsidR="00527678">
        <w:rPr>
          <w:lang w:val="uk-UA"/>
        </w:rPr>
        <w:t>2</w:t>
      </w:r>
      <w:r w:rsidRPr="008748FB">
        <w:rPr>
          <w:lang w:val="uk-UA"/>
        </w:rPr>
        <w:t xml:space="preserve">%) </w:t>
      </w:r>
      <w:r w:rsidR="006476B0">
        <w:rPr>
          <w:lang w:val="uk-UA"/>
        </w:rPr>
        <w:t>пацієнтів</w:t>
      </w:r>
      <w:r w:rsidRPr="008748FB">
        <w:rPr>
          <w:lang w:val="uk-UA"/>
        </w:rPr>
        <w:t xml:space="preserve">, серед </w:t>
      </w:r>
      <w:r w:rsidR="006476B0">
        <w:rPr>
          <w:lang w:val="uk-UA"/>
        </w:rPr>
        <w:t xml:space="preserve">жінок </w:t>
      </w:r>
      <w:r w:rsidR="00767BEA">
        <w:rPr>
          <w:lang w:val="uk-UA"/>
        </w:rPr>
        <w:t xml:space="preserve">було </w:t>
      </w:r>
      <w:r w:rsidRPr="008748FB">
        <w:rPr>
          <w:lang w:val="uk-UA"/>
        </w:rPr>
        <w:t>23 (37,1%)</w:t>
      </w:r>
      <w:r w:rsidR="006476B0">
        <w:rPr>
          <w:lang w:val="uk-UA"/>
        </w:rPr>
        <w:t xml:space="preserve"> особи, серед чоловіків – </w:t>
      </w:r>
      <w:r w:rsidRPr="008748FB">
        <w:rPr>
          <w:lang w:val="uk-UA"/>
        </w:rPr>
        <w:t xml:space="preserve">6 (50%), ожиріння </w:t>
      </w:r>
      <w:r w:rsidR="006476B0">
        <w:rPr>
          <w:lang w:val="uk-UA"/>
        </w:rPr>
        <w:t xml:space="preserve">встановлено у </w:t>
      </w:r>
      <w:r w:rsidRPr="008748FB">
        <w:rPr>
          <w:lang w:val="uk-UA"/>
        </w:rPr>
        <w:t>34 (45,9%) пацієнт</w:t>
      </w:r>
      <w:r w:rsidR="006476B0">
        <w:rPr>
          <w:lang w:val="uk-UA"/>
        </w:rPr>
        <w:t>ів</w:t>
      </w:r>
      <w:r w:rsidRPr="008748FB">
        <w:rPr>
          <w:lang w:val="uk-UA"/>
        </w:rPr>
        <w:t xml:space="preserve">, серед </w:t>
      </w:r>
      <w:r w:rsidR="006476B0">
        <w:rPr>
          <w:lang w:val="uk-UA"/>
        </w:rPr>
        <w:t xml:space="preserve">жінок була </w:t>
      </w:r>
      <w:r w:rsidRPr="008748FB">
        <w:rPr>
          <w:lang w:val="uk-UA"/>
        </w:rPr>
        <w:t>31 (50%)</w:t>
      </w:r>
      <w:r w:rsidR="006476B0">
        <w:rPr>
          <w:lang w:val="uk-UA"/>
        </w:rPr>
        <w:t xml:space="preserve"> особа, серед чоловіків – </w:t>
      </w:r>
      <w:r w:rsidRPr="008748FB">
        <w:rPr>
          <w:lang w:val="uk-UA"/>
        </w:rPr>
        <w:t>3 (25%)</w:t>
      </w:r>
      <w:r w:rsidR="009F1781">
        <w:rPr>
          <w:lang w:val="uk-UA"/>
        </w:rPr>
        <w:t xml:space="preserve"> (рис.1)</w:t>
      </w:r>
      <w:r w:rsidRPr="008748FB">
        <w:rPr>
          <w:lang w:val="uk-UA"/>
        </w:rPr>
        <w:t xml:space="preserve">. </w:t>
      </w:r>
    </w:p>
    <w:tbl>
      <w:tblPr>
        <w:tblStyle w:val="ad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7196"/>
        <w:gridCol w:w="2375"/>
      </w:tblGrid>
      <w:tr w:rsidR="007D3EEA" w:rsidTr="00AB0F9F">
        <w:tc>
          <w:tcPr>
            <w:tcW w:w="7196" w:type="dxa"/>
          </w:tcPr>
          <w:p w:rsidR="007D3EEA" w:rsidRDefault="007D3EEA" w:rsidP="00AB0F9F">
            <w:pPr>
              <w:pStyle w:val="a7"/>
              <w:spacing w:after="0"/>
              <w:jc w:val="both"/>
              <w:rPr>
                <w:lang w:val="uk-UA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45085</wp:posOffset>
                  </wp:positionV>
                  <wp:extent cx="4391025" cy="2724150"/>
                  <wp:effectExtent l="19050" t="0" r="9525" b="0"/>
                  <wp:wrapSquare wrapText="bothSides"/>
                  <wp:docPr id="2" name="Объект 1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anchor>
              </w:drawing>
            </w:r>
          </w:p>
        </w:tc>
        <w:tc>
          <w:tcPr>
            <w:tcW w:w="2375" w:type="dxa"/>
          </w:tcPr>
          <w:p w:rsidR="007D3EEA" w:rsidRDefault="007D3EEA" w:rsidP="00AB0F9F">
            <w:pPr>
              <w:pStyle w:val="a7"/>
              <w:spacing w:after="0"/>
              <w:jc w:val="both"/>
              <w:rPr>
                <w:lang w:val="uk-UA"/>
              </w:rPr>
            </w:pPr>
          </w:p>
          <w:p w:rsidR="007D3EEA" w:rsidRDefault="007D3EEA" w:rsidP="00AB0F9F">
            <w:pPr>
              <w:pStyle w:val="a7"/>
              <w:spacing w:after="0"/>
              <w:jc w:val="both"/>
              <w:rPr>
                <w:lang w:val="uk-UA"/>
              </w:rPr>
            </w:pPr>
          </w:p>
          <w:p w:rsidR="007D3EEA" w:rsidRDefault="007D3EEA" w:rsidP="00AB0F9F">
            <w:pPr>
              <w:pStyle w:val="a7"/>
              <w:spacing w:after="0"/>
              <w:jc w:val="both"/>
              <w:rPr>
                <w:lang w:val="uk-UA"/>
              </w:rPr>
            </w:pPr>
          </w:p>
          <w:p w:rsidR="007D3EEA" w:rsidRDefault="007D3EEA" w:rsidP="00AB0F9F">
            <w:pPr>
              <w:pStyle w:val="a7"/>
              <w:spacing w:after="0"/>
              <w:jc w:val="both"/>
              <w:rPr>
                <w:lang w:val="uk-UA"/>
              </w:rPr>
            </w:pPr>
          </w:p>
          <w:p w:rsidR="007D3EEA" w:rsidRDefault="007D3EEA" w:rsidP="00AB0F9F">
            <w:pPr>
              <w:pStyle w:val="a7"/>
              <w:spacing w:after="0"/>
              <w:jc w:val="both"/>
              <w:rPr>
                <w:lang w:val="uk-UA"/>
              </w:rPr>
            </w:pPr>
          </w:p>
          <w:p w:rsidR="007D3EEA" w:rsidRDefault="007D3EEA" w:rsidP="00AB0F9F">
            <w:pPr>
              <w:pStyle w:val="a7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Рис.1</w:t>
            </w:r>
          </w:p>
          <w:p w:rsidR="007D3EEA" w:rsidRDefault="007D3EEA" w:rsidP="00AB0F9F">
            <w:pPr>
              <w:pStyle w:val="a7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Розподіл хворих на АГ похилого віку за ІМТ</w:t>
            </w:r>
          </w:p>
          <w:p w:rsidR="007D3EEA" w:rsidRDefault="007D3EEA" w:rsidP="00AB0F9F">
            <w:pPr>
              <w:pStyle w:val="a7"/>
              <w:spacing w:after="0"/>
              <w:jc w:val="both"/>
              <w:rPr>
                <w:lang w:val="uk-UA"/>
              </w:rPr>
            </w:pPr>
          </w:p>
          <w:p w:rsidR="007D3EEA" w:rsidRDefault="007D3EEA" w:rsidP="00AB0F9F">
            <w:pPr>
              <w:pStyle w:val="a7"/>
              <w:spacing w:after="0"/>
              <w:jc w:val="both"/>
              <w:rPr>
                <w:lang w:val="uk-UA"/>
              </w:rPr>
            </w:pPr>
          </w:p>
          <w:p w:rsidR="007D3EEA" w:rsidRDefault="007D3EEA" w:rsidP="00AB0F9F">
            <w:pPr>
              <w:pStyle w:val="a7"/>
              <w:spacing w:after="0"/>
              <w:jc w:val="both"/>
              <w:rPr>
                <w:lang w:val="uk-UA"/>
              </w:rPr>
            </w:pPr>
          </w:p>
          <w:p w:rsidR="007D3EEA" w:rsidRDefault="007D3EEA" w:rsidP="00AB0F9F">
            <w:pPr>
              <w:pStyle w:val="a7"/>
              <w:spacing w:after="0"/>
              <w:jc w:val="both"/>
              <w:rPr>
                <w:lang w:val="uk-UA"/>
              </w:rPr>
            </w:pPr>
          </w:p>
          <w:p w:rsidR="007D3EEA" w:rsidRDefault="007D3EEA" w:rsidP="00AB0F9F">
            <w:pPr>
              <w:pStyle w:val="a7"/>
              <w:spacing w:after="0"/>
              <w:jc w:val="both"/>
              <w:rPr>
                <w:lang w:val="uk-UA"/>
              </w:rPr>
            </w:pPr>
          </w:p>
        </w:tc>
      </w:tr>
    </w:tbl>
    <w:p w:rsidR="007D3EEA" w:rsidRPr="007D3EEA" w:rsidRDefault="007D3EEA" w:rsidP="00915CA4">
      <w:pPr>
        <w:pStyle w:val="a7"/>
        <w:spacing w:after="0" w:line="360" w:lineRule="auto"/>
        <w:ind w:firstLine="567"/>
        <w:jc w:val="both"/>
      </w:pPr>
    </w:p>
    <w:p w:rsidR="00A92062" w:rsidRPr="008748FB" w:rsidRDefault="004C449F" w:rsidP="00915CA4">
      <w:pPr>
        <w:pStyle w:val="a7"/>
        <w:spacing w:after="0"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Отже, </w:t>
      </w:r>
      <w:r w:rsidR="00207D73">
        <w:rPr>
          <w:lang w:val="uk-UA"/>
        </w:rPr>
        <w:t xml:space="preserve">85,1% </w:t>
      </w:r>
      <w:r>
        <w:rPr>
          <w:lang w:val="uk-UA"/>
        </w:rPr>
        <w:t xml:space="preserve">хворих на АГ похилого віку мали </w:t>
      </w:r>
      <w:r w:rsidR="00207D73">
        <w:rPr>
          <w:lang w:val="uk-UA"/>
        </w:rPr>
        <w:t xml:space="preserve">надлишкову масу і </w:t>
      </w:r>
      <w:r>
        <w:rPr>
          <w:lang w:val="uk-UA"/>
        </w:rPr>
        <w:t>ожиріння, але жінки асоціювалися з ожирінням, тоді як чоловіки – з надлишковою масою тіла.</w:t>
      </w:r>
    </w:p>
    <w:p w:rsidR="009F70DE" w:rsidRDefault="00A92062" w:rsidP="00915CA4">
      <w:pPr>
        <w:spacing w:line="360" w:lineRule="auto"/>
        <w:ind w:firstLine="709"/>
        <w:jc w:val="both"/>
        <w:rPr>
          <w:lang w:val="uk-UA"/>
        </w:rPr>
      </w:pPr>
      <w:r w:rsidRPr="00EF0ABF">
        <w:rPr>
          <w:lang w:val="uk-UA"/>
        </w:rPr>
        <w:t>Відомо, що для ризику розвитку ССЗ велике значення має не ступінь ожиріння, а характер розподілу жирової тканини. Особлива увага приділяється абдомінальному ожирінню, як одному з найважливіших незалежних факторів серцево-судинного ризику й ризику розвитку АГ</w:t>
      </w:r>
      <w:r w:rsidRPr="00EA0A99">
        <w:rPr>
          <w:lang w:val="uk-UA"/>
        </w:rPr>
        <w:t xml:space="preserve">. </w:t>
      </w:r>
      <w:r w:rsidR="00E76FA3" w:rsidRPr="00EA0A99">
        <w:rPr>
          <w:lang w:val="uk-UA"/>
        </w:rPr>
        <w:t xml:space="preserve">За результатами більшості дослідників, саме абдомінальне, а не </w:t>
      </w:r>
      <w:proofErr w:type="spellStart"/>
      <w:r w:rsidR="00E76FA3" w:rsidRPr="00EA0A99">
        <w:rPr>
          <w:lang w:val="uk-UA"/>
        </w:rPr>
        <w:t>гіноїдне</w:t>
      </w:r>
      <w:proofErr w:type="spellEnd"/>
      <w:r w:rsidR="00E76FA3" w:rsidRPr="00EA0A99">
        <w:rPr>
          <w:lang w:val="uk-UA"/>
        </w:rPr>
        <w:t xml:space="preserve"> ожиріння тісно корелює з </w:t>
      </w:r>
      <w:proofErr w:type="spellStart"/>
      <w:r w:rsidR="00E76FA3" w:rsidRPr="00EA0A99">
        <w:rPr>
          <w:lang w:val="uk-UA"/>
        </w:rPr>
        <w:t>інсулінорезистентністю</w:t>
      </w:r>
      <w:proofErr w:type="spellEnd"/>
      <w:r w:rsidR="00E76FA3" w:rsidRPr="00EA0A99">
        <w:rPr>
          <w:lang w:val="uk-UA"/>
        </w:rPr>
        <w:t xml:space="preserve"> і є важливим критерієм МС [</w:t>
      </w:r>
      <w:r w:rsidR="00265D96">
        <w:rPr>
          <w:lang w:val="uk-UA"/>
        </w:rPr>
        <w:t xml:space="preserve">6, </w:t>
      </w:r>
      <w:r w:rsidR="00265D96" w:rsidRPr="00265D96">
        <w:rPr>
          <w:lang w:val="uk-UA"/>
        </w:rPr>
        <w:t>14</w:t>
      </w:r>
      <w:r w:rsidR="00E76FA3" w:rsidRPr="00265D96">
        <w:rPr>
          <w:lang w:val="uk-UA"/>
        </w:rPr>
        <w:t xml:space="preserve">]. </w:t>
      </w:r>
      <w:proofErr w:type="spellStart"/>
      <w:r w:rsidR="00E76FA3" w:rsidRPr="00265D96">
        <w:rPr>
          <w:lang w:val="uk-UA"/>
        </w:rPr>
        <w:t>Адипоцити</w:t>
      </w:r>
      <w:proofErr w:type="spellEnd"/>
      <w:r w:rsidR="00E76FA3" w:rsidRPr="00265D96">
        <w:rPr>
          <w:lang w:val="uk-UA"/>
        </w:rPr>
        <w:t xml:space="preserve"> цієї ділянки мають більш високу </w:t>
      </w:r>
      <w:proofErr w:type="spellStart"/>
      <w:r w:rsidR="00E76FA3" w:rsidRPr="00265D96">
        <w:rPr>
          <w:lang w:val="uk-UA"/>
        </w:rPr>
        <w:t>ліполітичну</w:t>
      </w:r>
      <w:proofErr w:type="spellEnd"/>
      <w:r w:rsidR="00E76FA3" w:rsidRPr="00265D96">
        <w:rPr>
          <w:lang w:val="uk-UA"/>
        </w:rPr>
        <w:t xml:space="preserve"> активність, ніж </w:t>
      </w:r>
      <w:proofErr w:type="spellStart"/>
      <w:r w:rsidR="00E76FA3" w:rsidRPr="00265D96">
        <w:rPr>
          <w:lang w:val="uk-UA"/>
        </w:rPr>
        <w:t>адипоцити</w:t>
      </w:r>
      <w:proofErr w:type="spellEnd"/>
      <w:r w:rsidR="00E76FA3" w:rsidRPr="00265D96">
        <w:rPr>
          <w:lang w:val="uk-UA"/>
        </w:rPr>
        <w:t xml:space="preserve"> інших ділянок тіла, найбільш мобільну систему вивільнення вільних жирних кислот у систему </w:t>
      </w:r>
      <w:proofErr w:type="spellStart"/>
      <w:r w:rsidR="00E76FA3" w:rsidRPr="00265D96">
        <w:rPr>
          <w:lang w:val="uk-UA"/>
        </w:rPr>
        <w:t>воротної</w:t>
      </w:r>
      <w:proofErr w:type="spellEnd"/>
      <w:r w:rsidR="00E76FA3" w:rsidRPr="00265D96">
        <w:rPr>
          <w:lang w:val="uk-UA"/>
        </w:rPr>
        <w:t xml:space="preserve"> вени, що пригнічує поглинання інсуліну печінкою. В результаті підвищується концентрація інсуліну в периферичному </w:t>
      </w:r>
      <w:proofErr w:type="spellStart"/>
      <w:r w:rsidR="00E76FA3" w:rsidRPr="00265D96">
        <w:rPr>
          <w:lang w:val="uk-UA"/>
        </w:rPr>
        <w:t>кровотоці</w:t>
      </w:r>
      <w:proofErr w:type="spellEnd"/>
      <w:r w:rsidR="00E76FA3" w:rsidRPr="00265D96">
        <w:rPr>
          <w:lang w:val="uk-UA"/>
        </w:rPr>
        <w:t xml:space="preserve"> й знижується чутливість тканин до інсуліну, тобто розвивається </w:t>
      </w:r>
      <w:proofErr w:type="spellStart"/>
      <w:r w:rsidR="00E76FA3" w:rsidRPr="00265D96">
        <w:rPr>
          <w:lang w:val="uk-UA"/>
        </w:rPr>
        <w:t>інсулінорезистентність</w:t>
      </w:r>
      <w:proofErr w:type="spellEnd"/>
      <w:r w:rsidR="00E76FA3" w:rsidRPr="00265D96">
        <w:rPr>
          <w:lang w:val="uk-UA"/>
        </w:rPr>
        <w:t xml:space="preserve">, яка поєднується з гіперглікемією й </w:t>
      </w:r>
      <w:proofErr w:type="spellStart"/>
      <w:r w:rsidR="00E76FA3" w:rsidRPr="00265D96">
        <w:rPr>
          <w:lang w:val="uk-UA"/>
        </w:rPr>
        <w:t>гіпертригліцеридемією</w:t>
      </w:r>
      <w:proofErr w:type="spellEnd"/>
      <w:r w:rsidR="00E76FA3" w:rsidRPr="00265D96">
        <w:rPr>
          <w:lang w:val="uk-UA"/>
        </w:rPr>
        <w:t xml:space="preserve"> [</w:t>
      </w:r>
      <w:r w:rsidR="00265D96" w:rsidRPr="00265D96">
        <w:rPr>
          <w:lang w:val="uk-UA"/>
        </w:rPr>
        <w:t>5</w:t>
      </w:r>
      <w:r w:rsidR="005F4BE6" w:rsidRPr="00F03721">
        <w:rPr>
          <w:lang w:val="uk-UA"/>
        </w:rPr>
        <w:t>,13</w:t>
      </w:r>
      <w:r w:rsidR="00E76FA3" w:rsidRPr="00265D96">
        <w:rPr>
          <w:lang w:val="uk-UA"/>
        </w:rPr>
        <w:t>].</w:t>
      </w:r>
      <w:r w:rsidR="009F70DE" w:rsidRPr="00265D96">
        <w:rPr>
          <w:lang w:val="uk-UA"/>
        </w:rPr>
        <w:t xml:space="preserve"> </w:t>
      </w:r>
      <w:r w:rsidRPr="00265D96">
        <w:rPr>
          <w:lang w:val="uk-UA"/>
        </w:rPr>
        <w:t xml:space="preserve">В нашому дослідженні проміжний тип розподілу жирової тканини </w:t>
      </w:r>
      <w:r w:rsidR="00074EF2">
        <w:rPr>
          <w:lang w:val="uk-UA"/>
        </w:rPr>
        <w:t xml:space="preserve">(ТРЖТ) </w:t>
      </w:r>
      <w:r w:rsidRPr="00265D96">
        <w:rPr>
          <w:lang w:val="uk-UA"/>
        </w:rPr>
        <w:t xml:space="preserve">виявлено у </w:t>
      </w:r>
      <w:r w:rsidR="006D1C17">
        <w:rPr>
          <w:lang w:val="uk-UA"/>
        </w:rPr>
        <w:t>20</w:t>
      </w:r>
      <w:r w:rsidRPr="00265D96">
        <w:rPr>
          <w:lang w:val="uk-UA"/>
        </w:rPr>
        <w:t xml:space="preserve"> (</w:t>
      </w:r>
      <w:r w:rsidR="006D1C17">
        <w:rPr>
          <w:lang w:val="uk-UA"/>
        </w:rPr>
        <w:t>27</w:t>
      </w:r>
      <w:r w:rsidRPr="00265D96">
        <w:rPr>
          <w:lang w:val="uk-UA"/>
        </w:rPr>
        <w:t>,1</w:t>
      </w:r>
      <w:r>
        <w:rPr>
          <w:lang w:val="uk-UA"/>
        </w:rPr>
        <w:t xml:space="preserve">%) </w:t>
      </w:r>
      <w:r w:rsidR="006D1C17">
        <w:rPr>
          <w:lang w:val="uk-UA"/>
        </w:rPr>
        <w:t xml:space="preserve">обстежених </w:t>
      </w:r>
      <w:r>
        <w:rPr>
          <w:lang w:val="uk-UA"/>
        </w:rPr>
        <w:t xml:space="preserve">хворих, серед </w:t>
      </w:r>
      <w:r w:rsidR="006D1C17">
        <w:rPr>
          <w:lang w:val="uk-UA"/>
        </w:rPr>
        <w:t>жінок – у 17</w:t>
      </w:r>
      <w:r>
        <w:rPr>
          <w:lang w:val="uk-UA"/>
        </w:rPr>
        <w:t xml:space="preserve"> (</w:t>
      </w:r>
      <w:r w:rsidR="006D1C17">
        <w:rPr>
          <w:lang w:val="uk-UA"/>
        </w:rPr>
        <w:t>2</w:t>
      </w:r>
      <w:r>
        <w:rPr>
          <w:lang w:val="uk-UA"/>
        </w:rPr>
        <w:t>7,</w:t>
      </w:r>
      <w:r w:rsidR="006D1C17">
        <w:rPr>
          <w:lang w:val="uk-UA"/>
        </w:rPr>
        <w:t>4</w:t>
      </w:r>
      <w:r>
        <w:rPr>
          <w:lang w:val="uk-UA"/>
        </w:rPr>
        <w:t>%)</w:t>
      </w:r>
      <w:r w:rsidR="006D1C17">
        <w:rPr>
          <w:lang w:val="uk-UA"/>
        </w:rPr>
        <w:t>, серед чоловіків – у 3</w:t>
      </w:r>
      <w:r>
        <w:rPr>
          <w:lang w:val="uk-UA"/>
        </w:rPr>
        <w:t xml:space="preserve"> (2</w:t>
      </w:r>
      <w:r w:rsidR="006D1C17">
        <w:rPr>
          <w:lang w:val="uk-UA"/>
        </w:rPr>
        <w:t>5</w:t>
      </w:r>
      <w:r>
        <w:rPr>
          <w:lang w:val="uk-UA"/>
        </w:rPr>
        <w:t xml:space="preserve">%), </w:t>
      </w:r>
      <w:proofErr w:type="spellStart"/>
      <w:r>
        <w:rPr>
          <w:lang w:val="uk-UA"/>
        </w:rPr>
        <w:t>андроїдний</w:t>
      </w:r>
      <w:proofErr w:type="spellEnd"/>
      <w:r>
        <w:rPr>
          <w:lang w:val="uk-UA"/>
        </w:rPr>
        <w:t xml:space="preserve"> </w:t>
      </w:r>
      <w:r w:rsidR="00074EF2">
        <w:rPr>
          <w:lang w:val="uk-UA"/>
        </w:rPr>
        <w:t>ТРЖТ</w:t>
      </w:r>
      <w:r>
        <w:rPr>
          <w:lang w:val="uk-UA"/>
        </w:rPr>
        <w:t xml:space="preserve"> виявлено у 38 (51,3%) </w:t>
      </w:r>
      <w:r w:rsidR="006D1C17">
        <w:rPr>
          <w:lang w:val="uk-UA"/>
        </w:rPr>
        <w:t xml:space="preserve">обстежених </w:t>
      </w:r>
      <w:r>
        <w:rPr>
          <w:lang w:val="uk-UA"/>
        </w:rPr>
        <w:t xml:space="preserve">осіб, серед </w:t>
      </w:r>
      <w:r w:rsidR="006D1C17">
        <w:rPr>
          <w:lang w:val="uk-UA"/>
        </w:rPr>
        <w:t>жінок – у</w:t>
      </w:r>
      <w:r>
        <w:rPr>
          <w:lang w:val="uk-UA"/>
        </w:rPr>
        <w:t xml:space="preserve"> 29 (46,8%)</w:t>
      </w:r>
      <w:r w:rsidR="006D1C17">
        <w:rPr>
          <w:lang w:val="uk-UA"/>
        </w:rPr>
        <w:t>, серед чоловіків – у</w:t>
      </w:r>
      <w:r>
        <w:rPr>
          <w:lang w:val="uk-UA"/>
        </w:rPr>
        <w:t xml:space="preserve"> 16 (25,8%)</w:t>
      </w:r>
      <w:r w:rsidR="006D1C17">
        <w:rPr>
          <w:lang w:val="uk-UA"/>
        </w:rPr>
        <w:t>,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гіноїдний</w:t>
      </w:r>
      <w:proofErr w:type="spellEnd"/>
      <w:r>
        <w:rPr>
          <w:lang w:val="uk-UA"/>
        </w:rPr>
        <w:t xml:space="preserve"> </w:t>
      </w:r>
      <w:r w:rsidR="00074EF2">
        <w:rPr>
          <w:lang w:val="uk-UA"/>
        </w:rPr>
        <w:t>ТРЖТ</w:t>
      </w:r>
      <w:r>
        <w:rPr>
          <w:lang w:val="uk-UA"/>
        </w:rPr>
        <w:t xml:space="preserve"> виявлено у 16 (21,6%) пацієнтів, серед яких були лише жінки</w:t>
      </w:r>
      <w:r w:rsidR="006D1C17">
        <w:rPr>
          <w:lang w:val="uk-UA"/>
        </w:rPr>
        <w:t xml:space="preserve">, які в жіночій групі склали </w:t>
      </w:r>
      <w:r>
        <w:rPr>
          <w:lang w:val="uk-UA"/>
        </w:rPr>
        <w:t>25,8</w:t>
      </w:r>
      <w:r w:rsidRPr="00493E29">
        <w:rPr>
          <w:lang w:val="uk-UA"/>
        </w:rPr>
        <w:t>%</w:t>
      </w:r>
      <w:r w:rsidR="009F1781">
        <w:rPr>
          <w:lang w:val="uk-UA"/>
        </w:rPr>
        <w:t xml:space="preserve"> (рис.2)</w:t>
      </w:r>
      <w:r w:rsidRPr="00493E29">
        <w:rPr>
          <w:lang w:val="uk-UA"/>
        </w:rPr>
        <w:t xml:space="preserve">. </w:t>
      </w:r>
    </w:p>
    <w:p w:rsidR="00A92062" w:rsidRDefault="00E76FA3" w:rsidP="00915CA4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Таким чином,</w:t>
      </w:r>
      <w:r w:rsidR="00A92062" w:rsidRPr="00493E29">
        <w:rPr>
          <w:lang w:val="uk-UA"/>
        </w:rPr>
        <w:t xml:space="preserve"> у хворих на </w:t>
      </w:r>
      <w:r w:rsidR="00A92062">
        <w:rPr>
          <w:lang w:val="uk-UA"/>
        </w:rPr>
        <w:t>А</w:t>
      </w:r>
      <w:r w:rsidR="00A92062" w:rsidRPr="00493E29">
        <w:rPr>
          <w:lang w:val="uk-UA"/>
        </w:rPr>
        <w:t>Г</w:t>
      </w:r>
      <w:r>
        <w:rPr>
          <w:lang w:val="uk-UA"/>
        </w:rPr>
        <w:t xml:space="preserve"> похилого віку</w:t>
      </w:r>
      <w:r w:rsidR="00A92062">
        <w:rPr>
          <w:lang w:val="uk-UA"/>
        </w:rPr>
        <w:t>, незалежно від статі,</w:t>
      </w:r>
      <w:r w:rsidR="00A92062" w:rsidRPr="00493E29">
        <w:rPr>
          <w:lang w:val="uk-UA"/>
        </w:rPr>
        <w:t xml:space="preserve"> </w:t>
      </w:r>
      <w:r w:rsidR="00A92062">
        <w:rPr>
          <w:lang w:val="uk-UA"/>
        </w:rPr>
        <w:t>домінував</w:t>
      </w:r>
      <w:r w:rsidR="00A92062" w:rsidRPr="00493E29">
        <w:rPr>
          <w:lang w:val="uk-UA"/>
        </w:rPr>
        <w:t xml:space="preserve"> </w:t>
      </w:r>
      <w:proofErr w:type="spellStart"/>
      <w:r w:rsidR="00A92062">
        <w:rPr>
          <w:lang w:val="uk-UA"/>
        </w:rPr>
        <w:t>андроїдний</w:t>
      </w:r>
      <w:proofErr w:type="spellEnd"/>
      <w:r w:rsidR="00A92062">
        <w:rPr>
          <w:lang w:val="uk-UA"/>
        </w:rPr>
        <w:t xml:space="preserve"> </w:t>
      </w:r>
      <w:r w:rsidR="00074EF2">
        <w:rPr>
          <w:lang w:val="uk-UA"/>
        </w:rPr>
        <w:t>ТРЖТ</w:t>
      </w:r>
      <w:r w:rsidR="00A92062" w:rsidRPr="00493E29">
        <w:rPr>
          <w:lang w:val="uk-UA"/>
        </w:rPr>
        <w:t xml:space="preserve">, </w:t>
      </w:r>
      <w:r w:rsidR="00623ABA">
        <w:rPr>
          <w:lang w:val="uk-UA"/>
        </w:rPr>
        <w:t>який</w:t>
      </w:r>
      <w:r w:rsidR="00AC381D">
        <w:rPr>
          <w:lang w:val="uk-UA"/>
        </w:rPr>
        <w:t>, як відомо,</w:t>
      </w:r>
      <w:r w:rsidR="009F70DE">
        <w:rPr>
          <w:lang w:val="uk-UA"/>
        </w:rPr>
        <w:t xml:space="preserve"> </w:t>
      </w:r>
      <w:r w:rsidR="00A92062" w:rsidRPr="00493E29">
        <w:rPr>
          <w:lang w:val="uk-UA"/>
        </w:rPr>
        <w:t xml:space="preserve">сприяє формуванню або прогресуванню вже існуючого </w:t>
      </w:r>
      <w:r w:rsidR="00A92062">
        <w:rPr>
          <w:lang w:val="uk-UA"/>
        </w:rPr>
        <w:t>метаболічного синдрому</w:t>
      </w:r>
      <w:r w:rsidR="005F4BE6">
        <w:rPr>
          <w:lang w:val="uk-UA"/>
        </w:rPr>
        <w:t xml:space="preserve"> </w:t>
      </w:r>
      <w:r w:rsidR="005F4BE6" w:rsidRPr="005F4BE6">
        <w:rPr>
          <w:lang w:val="uk-UA"/>
        </w:rPr>
        <w:t>[13]</w:t>
      </w:r>
      <w:r w:rsidR="00A32EA7">
        <w:rPr>
          <w:lang w:val="uk-UA"/>
        </w:rPr>
        <w:t>.</w:t>
      </w:r>
    </w:p>
    <w:p w:rsidR="00CD0080" w:rsidRPr="00493E29" w:rsidRDefault="00CD0080" w:rsidP="00493E29">
      <w:pPr>
        <w:ind w:firstLine="709"/>
        <w:jc w:val="both"/>
        <w:rPr>
          <w:lang w:val="uk-UA"/>
        </w:rPr>
      </w:pPr>
    </w:p>
    <w:tbl>
      <w:tblPr>
        <w:tblStyle w:val="ad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6629"/>
        <w:gridCol w:w="2942"/>
      </w:tblGrid>
      <w:tr w:rsidR="00CD0080" w:rsidTr="00D733E6">
        <w:trPr>
          <w:trHeight w:val="4693"/>
        </w:trPr>
        <w:tc>
          <w:tcPr>
            <w:tcW w:w="6629" w:type="dxa"/>
          </w:tcPr>
          <w:p w:rsidR="00705EA1" w:rsidRDefault="00705EA1" w:rsidP="009F1781">
            <w:pPr>
              <w:pStyle w:val="a7"/>
              <w:spacing w:after="0"/>
              <w:jc w:val="both"/>
              <w:rPr>
                <w:lang w:val="uk-UA"/>
              </w:rPr>
            </w:pPr>
            <w:r w:rsidRPr="00705EA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635</wp:posOffset>
                  </wp:positionV>
                  <wp:extent cx="4048125" cy="2943225"/>
                  <wp:effectExtent l="19050" t="0" r="9525" b="0"/>
                  <wp:wrapSquare wrapText="bothSides"/>
                  <wp:docPr id="5" name="Объект 1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anchor>
              </w:drawing>
            </w:r>
          </w:p>
        </w:tc>
        <w:tc>
          <w:tcPr>
            <w:tcW w:w="2942" w:type="dxa"/>
          </w:tcPr>
          <w:p w:rsidR="00CD0080" w:rsidRDefault="00CD0080" w:rsidP="009F1781">
            <w:pPr>
              <w:pStyle w:val="a7"/>
              <w:spacing w:after="0"/>
              <w:jc w:val="both"/>
              <w:rPr>
                <w:lang w:val="uk-UA"/>
              </w:rPr>
            </w:pPr>
          </w:p>
          <w:p w:rsidR="00705EA1" w:rsidRDefault="00705EA1" w:rsidP="009F1781">
            <w:pPr>
              <w:pStyle w:val="a7"/>
              <w:spacing w:after="0"/>
              <w:jc w:val="both"/>
              <w:rPr>
                <w:lang w:val="uk-UA"/>
              </w:rPr>
            </w:pPr>
          </w:p>
          <w:p w:rsidR="00705EA1" w:rsidRDefault="00705EA1" w:rsidP="009F1781">
            <w:pPr>
              <w:pStyle w:val="a7"/>
              <w:spacing w:after="0"/>
              <w:jc w:val="both"/>
              <w:rPr>
                <w:lang w:val="uk-UA"/>
              </w:rPr>
            </w:pPr>
          </w:p>
          <w:p w:rsidR="00705EA1" w:rsidRDefault="00705EA1" w:rsidP="009F1781">
            <w:pPr>
              <w:pStyle w:val="a7"/>
              <w:spacing w:after="0"/>
              <w:jc w:val="both"/>
              <w:rPr>
                <w:lang w:val="uk-UA"/>
              </w:rPr>
            </w:pPr>
          </w:p>
          <w:p w:rsidR="00705EA1" w:rsidRDefault="00705EA1" w:rsidP="009F1781">
            <w:pPr>
              <w:pStyle w:val="a7"/>
              <w:spacing w:after="0"/>
              <w:jc w:val="both"/>
              <w:rPr>
                <w:lang w:val="uk-UA"/>
              </w:rPr>
            </w:pPr>
          </w:p>
          <w:p w:rsidR="00705EA1" w:rsidRDefault="00705EA1" w:rsidP="009F1781">
            <w:pPr>
              <w:pStyle w:val="a7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Рис.</w:t>
            </w:r>
            <w:r w:rsidR="0063270D">
              <w:rPr>
                <w:lang w:val="uk-UA"/>
              </w:rPr>
              <w:t>2</w:t>
            </w:r>
          </w:p>
          <w:p w:rsidR="00705EA1" w:rsidRDefault="00705EA1" w:rsidP="009F1781">
            <w:pPr>
              <w:pStyle w:val="a7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Розподіл хворих на АГ похилого віку</w:t>
            </w:r>
            <w:r w:rsidR="009F1781">
              <w:rPr>
                <w:lang w:val="uk-UA"/>
              </w:rPr>
              <w:t xml:space="preserve"> за ІТС</w:t>
            </w:r>
          </w:p>
        </w:tc>
      </w:tr>
    </w:tbl>
    <w:p w:rsidR="009A36B0" w:rsidRDefault="009A36B0" w:rsidP="009A36B0">
      <w:pPr>
        <w:pStyle w:val="a7"/>
        <w:spacing w:after="0"/>
        <w:jc w:val="both"/>
        <w:rPr>
          <w:lang w:val="uk-UA"/>
        </w:rPr>
      </w:pPr>
    </w:p>
    <w:p w:rsidR="005D0047" w:rsidRPr="004678F1" w:rsidRDefault="003B0FEC" w:rsidP="00915CA4">
      <w:pPr>
        <w:pStyle w:val="a7"/>
        <w:spacing w:after="0"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Аналіз результатів анамнестичних даних </w:t>
      </w:r>
      <w:r w:rsidR="004961EF">
        <w:rPr>
          <w:lang w:val="uk-UA"/>
        </w:rPr>
        <w:t xml:space="preserve">обстежених хворих </w:t>
      </w:r>
      <w:r>
        <w:rPr>
          <w:lang w:val="uk-UA"/>
        </w:rPr>
        <w:t xml:space="preserve">виявив, що </w:t>
      </w:r>
      <w:r w:rsidR="004961EF">
        <w:rPr>
          <w:lang w:val="uk-UA"/>
        </w:rPr>
        <w:t>лише 8,1% з них мали регулярні фізичні навантаження (ранкова гімнастика, помірна хода до 3 км/добу). У 51,3% пацієнтів</w:t>
      </w:r>
      <w:r w:rsidR="009A36B0">
        <w:rPr>
          <w:lang w:val="uk-UA"/>
        </w:rPr>
        <w:t xml:space="preserve"> </w:t>
      </w:r>
      <w:r w:rsidR="004961EF">
        <w:rPr>
          <w:lang w:val="uk-UA"/>
        </w:rPr>
        <w:t>фізичні навантаження носили сезонний характер (праця на присадибній ділянці). Зловживали повареною сіллю 40,5%</w:t>
      </w:r>
      <w:r w:rsidR="00FF5DDA">
        <w:rPr>
          <w:lang w:val="uk-UA"/>
        </w:rPr>
        <w:t xml:space="preserve"> хворих</w:t>
      </w:r>
      <w:r w:rsidR="004961EF">
        <w:rPr>
          <w:lang w:val="uk-UA"/>
        </w:rPr>
        <w:t xml:space="preserve">, помірно вживали алкоголь 60,8% </w:t>
      </w:r>
      <w:r w:rsidR="00FF5DDA">
        <w:rPr>
          <w:lang w:val="uk-UA"/>
        </w:rPr>
        <w:t>обстежених</w:t>
      </w:r>
      <w:r w:rsidR="004961EF">
        <w:rPr>
          <w:lang w:val="uk-UA"/>
        </w:rPr>
        <w:t xml:space="preserve">. </w:t>
      </w:r>
      <w:r w:rsidR="001C6BF2">
        <w:rPr>
          <w:lang w:val="uk-UA"/>
        </w:rPr>
        <w:t xml:space="preserve">Лише 27,4% хворих вживали достатню кількість овочів, фруктів, риби. </w:t>
      </w:r>
      <w:r w:rsidR="00136AF7">
        <w:rPr>
          <w:lang w:val="uk-UA"/>
        </w:rPr>
        <w:t>У 48,4% пацієнтів переважали уподобання до вживання смажених, жирних та м</w:t>
      </w:r>
      <w:r w:rsidR="00136AF7" w:rsidRPr="00136AF7">
        <w:t>’</w:t>
      </w:r>
      <w:r w:rsidR="00136AF7">
        <w:rPr>
          <w:lang w:val="uk-UA"/>
        </w:rPr>
        <w:t xml:space="preserve">ясних страв, у 48,4% – до </w:t>
      </w:r>
      <w:r w:rsidR="005D0047">
        <w:rPr>
          <w:lang w:val="uk-UA"/>
        </w:rPr>
        <w:t xml:space="preserve">вживання </w:t>
      </w:r>
      <w:r w:rsidR="00136AF7">
        <w:rPr>
          <w:lang w:val="uk-UA"/>
        </w:rPr>
        <w:t xml:space="preserve">солодких кондитерських </w:t>
      </w:r>
      <w:r w:rsidR="005D0047">
        <w:rPr>
          <w:lang w:val="uk-UA"/>
        </w:rPr>
        <w:t>та хлібобулочних виробів.</w:t>
      </w:r>
      <w:r w:rsidR="005D0047" w:rsidRPr="005D0047">
        <w:rPr>
          <w:lang w:val="uk-UA"/>
        </w:rPr>
        <w:t xml:space="preserve"> </w:t>
      </w:r>
      <w:r w:rsidR="005D0047">
        <w:rPr>
          <w:lang w:val="uk-UA"/>
        </w:rPr>
        <w:t>Таким чином, у обстежених хворих домінувала низька фізична активність, зловживання повареною сіллю</w:t>
      </w:r>
      <w:r w:rsidR="004678F1">
        <w:rPr>
          <w:lang w:val="uk-UA"/>
        </w:rPr>
        <w:t>, низький вміст у раціоні харчування свіжих фруктів, овочів, риби та уподобання до вживання жирних, м</w:t>
      </w:r>
      <w:r w:rsidR="004678F1" w:rsidRPr="004678F1">
        <w:rPr>
          <w:lang w:val="uk-UA"/>
        </w:rPr>
        <w:t>’</w:t>
      </w:r>
      <w:r w:rsidR="004678F1">
        <w:rPr>
          <w:lang w:val="uk-UA"/>
        </w:rPr>
        <w:t>ясних та солодких кондитерських і хлібобулочних виробів.</w:t>
      </w:r>
    </w:p>
    <w:p w:rsidR="00A92062" w:rsidRPr="00333B33" w:rsidRDefault="005D0047" w:rsidP="00915CA4">
      <w:pPr>
        <w:pStyle w:val="a7"/>
        <w:spacing w:after="0" w:line="360" w:lineRule="auto"/>
        <w:ind w:firstLine="567"/>
        <w:jc w:val="both"/>
        <w:rPr>
          <w:lang w:val="uk-UA"/>
        </w:rPr>
      </w:pPr>
      <w:r w:rsidRPr="00333B33">
        <w:rPr>
          <w:lang w:val="uk-UA"/>
        </w:rPr>
        <w:t>Профілакт</w:t>
      </w:r>
      <w:r w:rsidR="004678F1" w:rsidRPr="00333B33">
        <w:rPr>
          <w:lang w:val="uk-UA"/>
        </w:rPr>
        <w:t xml:space="preserve">ика </w:t>
      </w:r>
      <w:r w:rsidRPr="00333B33">
        <w:rPr>
          <w:lang w:val="uk-UA"/>
        </w:rPr>
        <w:t xml:space="preserve">виникнення та прогресування АГ </w:t>
      </w:r>
      <w:r w:rsidR="004678F1" w:rsidRPr="00333B33">
        <w:rPr>
          <w:lang w:val="uk-UA"/>
        </w:rPr>
        <w:t xml:space="preserve">на сучасному етапі вимагає </w:t>
      </w:r>
      <w:r w:rsidRPr="00333B33">
        <w:rPr>
          <w:lang w:val="uk-UA"/>
        </w:rPr>
        <w:t xml:space="preserve"> модифікації способу життя пацієнта</w:t>
      </w:r>
      <w:r w:rsidR="004678F1" w:rsidRPr="00333B33">
        <w:rPr>
          <w:lang w:val="uk-UA"/>
        </w:rPr>
        <w:t xml:space="preserve">, насамперед, </w:t>
      </w:r>
      <w:r w:rsidRPr="00333B33">
        <w:rPr>
          <w:lang w:val="uk-UA"/>
        </w:rPr>
        <w:t>за допомогою змін у фізичній активності, раціоні харчування та харчових уподобаннях</w:t>
      </w:r>
      <w:r w:rsidR="004678F1" w:rsidRPr="00333B33">
        <w:rPr>
          <w:lang w:val="uk-UA"/>
        </w:rPr>
        <w:t>, що необхідно як для контролю АТ, так і впливу на метаболічні показники</w:t>
      </w:r>
      <w:r w:rsidR="00FA2739" w:rsidRPr="00333B33">
        <w:rPr>
          <w:lang w:val="uk-UA"/>
        </w:rPr>
        <w:t xml:space="preserve"> </w:t>
      </w:r>
      <w:r w:rsidR="004678F1" w:rsidRPr="00333B33">
        <w:rPr>
          <w:lang w:val="uk-UA"/>
        </w:rPr>
        <w:t>(ожиріння, дисліпідемії</w:t>
      </w:r>
      <w:r w:rsidR="00FA2739" w:rsidRPr="00333B33">
        <w:rPr>
          <w:lang w:val="uk-UA"/>
        </w:rPr>
        <w:t xml:space="preserve"> тощо</w:t>
      </w:r>
      <w:r w:rsidR="004678F1" w:rsidRPr="00333B33">
        <w:rPr>
          <w:lang w:val="uk-UA"/>
        </w:rPr>
        <w:t>).</w:t>
      </w:r>
    </w:p>
    <w:p w:rsidR="000C0C65" w:rsidRPr="00074EF2" w:rsidRDefault="00FA2739" w:rsidP="00915CA4">
      <w:pPr>
        <w:pStyle w:val="a7"/>
        <w:spacing w:after="0" w:line="360" w:lineRule="auto"/>
        <w:ind w:firstLine="567"/>
        <w:jc w:val="both"/>
        <w:rPr>
          <w:lang w:val="uk-UA"/>
        </w:rPr>
      </w:pPr>
      <w:r w:rsidRPr="00333B33">
        <w:rPr>
          <w:lang w:val="uk-UA"/>
        </w:rPr>
        <w:t xml:space="preserve">Дефіцит рухової активності </w:t>
      </w:r>
      <w:r w:rsidR="00333B33" w:rsidRPr="00333B33">
        <w:rPr>
          <w:lang w:val="uk-UA"/>
        </w:rPr>
        <w:t xml:space="preserve">у осіб похилого віку </w:t>
      </w:r>
      <w:r w:rsidRPr="00333B33">
        <w:rPr>
          <w:lang w:val="uk-UA"/>
        </w:rPr>
        <w:t>– основн</w:t>
      </w:r>
      <w:r w:rsidR="00333B33" w:rsidRPr="00333B33">
        <w:rPr>
          <w:lang w:val="uk-UA"/>
        </w:rPr>
        <w:t>ий фактор ризику збільшення маси тіла і розвитку</w:t>
      </w:r>
      <w:r w:rsidRPr="00333B33">
        <w:rPr>
          <w:lang w:val="uk-UA"/>
        </w:rPr>
        <w:t xml:space="preserve"> ожиріння.</w:t>
      </w:r>
      <w:r w:rsidR="001F3C6A">
        <w:rPr>
          <w:lang w:val="uk-UA"/>
        </w:rPr>
        <w:t xml:space="preserve"> </w:t>
      </w:r>
      <w:r w:rsidR="000C0C65" w:rsidRPr="00333B33">
        <w:rPr>
          <w:lang w:val="uk-UA"/>
        </w:rPr>
        <w:t xml:space="preserve">Узагальнені наукові дані </w:t>
      </w:r>
      <w:r w:rsidR="00CC3D2D">
        <w:rPr>
          <w:lang w:val="uk-UA"/>
        </w:rPr>
        <w:t>свідчать</w:t>
      </w:r>
      <w:r w:rsidR="000C0C65" w:rsidRPr="00333B33">
        <w:rPr>
          <w:lang w:val="uk-UA"/>
        </w:rPr>
        <w:t xml:space="preserve">, що відсутність збалансованої фізичної активності </w:t>
      </w:r>
      <w:r w:rsidR="00CC3D2D">
        <w:rPr>
          <w:lang w:val="uk-UA"/>
        </w:rPr>
        <w:t>у</w:t>
      </w:r>
      <w:r w:rsidR="000C0C65" w:rsidRPr="00333B33">
        <w:rPr>
          <w:lang w:val="uk-UA"/>
        </w:rPr>
        <w:t xml:space="preserve"> людей похилого віку прискорює процеси старіння, а також може стати причиною метаболічних порушень і розвитку </w:t>
      </w:r>
      <w:proofErr w:type="spellStart"/>
      <w:r w:rsidR="000C0C65" w:rsidRPr="00333B33">
        <w:rPr>
          <w:lang w:val="uk-UA"/>
        </w:rPr>
        <w:t>кардіоваскулярних</w:t>
      </w:r>
      <w:proofErr w:type="spellEnd"/>
      <w:r w:rsidR="000C0C65" w:rsidRPr="00333B33">
        <w:rPr>
          <w:lang w:val="uk-UA"/>
        </w:rPr>
        <w:t xml:space="preserve"> подій</w:t>
      </w:r>
      <w:r w:rsidR="000C0C65" w:rsidRPr="00074EF2">
        <w:rPr>
          <w:lang w:val="uk-UA"/>
        </w:rPr>
        <w:t xml:space="preserve">. З віком більшість населення має низьку здатність до фізичного </w:t>
      </w:r>
      <w:r w:rsidR="000C0C65" w:rsidRPr="00074EF2">
        <w:rPr>
          <w:lang w:val="uk-UA"/>
        </w:rPr>
        <w:lastRenderedPageBreak/>
        <w:t>навантаження. Тому необхідні</w:t>
      </w:r>
      <w:r w:rsidR="00333B33" w:rsidRPr="00074EF2">
        <w:rPr>
          <w:lang w:val="uk-UA"/>
        </w:rPr>
        <w:t xml:space="preserve"> </w:t>
      </w:r>
      <w:r w:rsidR="000C0C65" w:rsidRPr="00074EF2">
        <w:rPr>
          <w:lang w:val="uk-UA"/>
        </w:rPr>
        <w:t>навантаження</w:t>
      </w:r>
      <w:r w:rsidR="00333B33" w:rsidRPr="00074EF2">
        <w:rPr>
          <w:lang w:val="uk-UA"/>
        </w:rPr>
        <w:t xml:space="preserve"> </w:t>
      </w:r>
      <w:r w:rsidR="000C0C65" w:rsidRPr="00074EF2">
        <w:rPr>
          <w:lang w:val="uk-UA"/>
        </w:rPr>
        <w:t xml:space="preserve">середньої </w:t>
      </w:r>
      <w:r w:rsidR="00CC3D2D">
        <w:rPr>
          <w:lang w:val="uk-UA"/>
        </w:rPr>
        <w:t>і</w:t>
      </w:r>
      <w:r w:rsidR="000C0C65" w:rsidRPr="00074EF2">
        <w:rPr>
          <w:lang w:val="uk-UA"/>
        </w:rPr>
        <w:t xml:space="preserve"> </w:t>
      </w:r>
      <w:r w:rsidR="00CC3D2D">
        <w:rPr>
          <w:lang w:val="uk-UA"/>
        </w:rPr>
        <w:t>низької</w:t>
      </w:r>
      <w:r w:rsidR="000C0C65" w:rsidRPr="00074EF2">
        <w:rPr>
          <w:lang w:val="uk-UA"/>
        </w:rPr>
        <w:t xml:space="preserve"> інтенсивності. Існує концепція поступового </w:t>
      </w:r>
      <w:r w:rsidR="00333B33" w:rsidRPr="00074EF2">
        <w:rPr>
          <w:lang w:val="uk-UA"/>
        </w:rPr>
        <w:t>збільшення</w:t>
      </w:r>
      <w:r w:rsidR="000C0C65" w:rsidRPr="00074EF2">
        <w:rPr>
          <w:lang w:val="uk-UA"/>
        </w:rPr>
        <w:t xml:space="preserve"> навантаження – до 150 хвилин </w:t>
      </w:r>
      <w:r w:rsidR="00074EF2">
        <w:rPr>
          <w:lang w:val="uk-UA"/>
        </w:rPr>
        <w:t>на</w:t>
      </w:r>
      <w:r w:rsidR="000C0C65" w:rsidRPr="00074EF2">
        <w:rPr>
          <w:lang w:val="uk-UA"/>
        </w:rPr>
        <w:t xml:space="preserve"> тиждень</w:t>
      </w:r>
      <w:r w:rsidR="00333B33" w:rsidRPr="00074EF2">
        <w:rPr>
          <w:lang w:val="uk-UA"/>
        </w:rPr>
        <w:t xml:space="preserve"> (</w:t>
      </w:r>
      <w:r w:rsidR="000C0C65" w:rsidRPr="00074EF2">
        <w:rPr>
          <w:lang w:val="uk-UA"/>
        </w:rPr>
        <w:t>по 30 хвилин активності 5 раз</w:t>
      </w:r>
      <w:r w:rsidR="00074EF2">
        <w:rPr>
          <w:lang w:val="uk-UA"/>
        </w:rPr>
        <w:t>ів на</w:t>
      </w:r>
      <w:r w:rsidR="000C0C65" w:rsidRPr="00074EF2">
        <w:rPr>
          <w:lang w:val="uk-UA"/>
        </w:rPr>
        <w:t xml:space="preserve"> тиждень</w:t>
      </w:r>
      <w:r w:rsidR="00333B33" w:rsidRPr="00074EF2">
        <w:rPr>
          <w:lang w:val="uk-UA"/>
        </w:rPr>
        <w:t>)</w:t>
      </w:r>
      <w:r w:rsidR="000C0C65" w:rsidRPr="00074EF2">
        <w:rPr>
          <w:lang w:val="uk-UA"/>
        </w:rPr>
        <w:t xml:space="preserve">. Регулярна фізична активність протягом </w:t>
      </w:r>
      <w:r w:rsidR="00CC3D2D">
        <w:rPr>
          <w:lang w:val="uk-UA"/>
        </w:rPr>
        <w:t xml:space="preserve">декількох </w:t>
      </w:r>
      <w:r w:rsidR="000C0C65" w:rsidRPr="00074EF2">
        <w:rPr>
          <w:lang w:val="uk-UA"/>
        </w:rPr>
        <w:t>тижн</w:t>
      </w:r>
      <w:r w:rsidR="00CC3D2D">
        <w:rPr>
          <w:lang w:val="uk-UA"/>
        </w:rPr>
        <w:t>ів</w:t>
      </w:r>
      <w:r w:rsidR="000C0C65" w:rsidRPr="00074EF2">
        <w:rPr>
          <w:lang w:val="uk-UA"/>
        </w:rPr>
        <w:t xml:space="preserve"> </w:t>
      </w:r>
      <w:r w:rsidR="00CC3D2D">
        <w:rPr>
          <w:lang w:val="uk-UA"/>
        </w:rPr>
        <w:t xml:space="preserve">може </w:t>
      </w:r>
      <w:r w:rsidR="000C0C65" w:rsidRPr="00074EF2">
        <w:rPr>
          <w:lang w:val="uk-UA"/>
        </w:rPr>
        <w:t>сприя</w:t>
      </w:r>
      <w:r w:rsidR="00CC3D2D">
        <w:rPr>
          <w:lang w:val="uk-UA"/>
        </w:rPr>
        <w:t>ти</w:t>
      </w:r>
      <w:r w:rsidR="000C0C65" w:rsidRPr="00074EF2">
        <w:rPr>
          <w:lang w:val="uk-UA"/>
        </w:rPr>
        <w:t xml:space="preserve"> інтеграції фізичної активності в повсякденний спосіб життя.</w:t>
      </w:r>
    </w:p>
    <w:p w:rsidR="00A92062" w:rsidRDefault="001F3C6A" w:rsidP="00915CA4">
      <w:pPr>
        <w:pStyle w:val="a7"/>
        <w:spacing w:after="0" w:line="360" w:lineRule="auto"/>
        <w:ind w:firstLine="567"/>
        <w:jc w:val="both"/>
        <w:rPr>
          <w:lang w:val="uk-UA"/>
        </w:rPr>
      </w:pPr>
      <w:r w:rsidRPr="00074EF2">
        <w:rPr>
          <w:lang w:val="uk-UA"/>
        </w:rPr>
        <w:t xml:space="preserve">У комплексній терапії хворих на АГ з метаболічними порушеннями поряд з </w:t>
      </w:r>
      <w:r w:rsidR="00CA32C4" w:rsidRPr="00074EF2">
        <w:rPr>
          <w:lang w:val="uk-UA"/>
        </w:rPr>
        <w:t xml:space="preserve">регулярними </w:t>
      </w:r>
      <w:r w:rsidRPr="00074EF2">
        <w:rPr>
          <w:lang w:val="uk-UA"/>
        </w:rPr>
        <w:t xml:space="preserve">фізичними навантаженнями необхідно </w:t>
      </w:r>
      <w:r w:rsidR="00D471DD" w:rsidRPr="00074EF2">
        <w:rPr>
          <w:lang w:val="uk-UA"/>
        </w:rPr>
        <w:t>використову</w:t>
      </w:r>
      <w:r w:rsidR="009A679A" w:rsidRPr="00074EF2">
        <w:rPr>
          <w:lang w:val="uk-UA"/>
        </w:rPr>
        <w:t>вати</w:t>
      </w:r>
      <w:r w:rsidR="00D471DD" w:rsidRPr="00074EF2">
        <w:rPr>
          <w:lang w:val="uk-UA"/>
        </w:rPr>
        <w:t xml:space="preserve"> дієт</w:t>
      </w:r>
      <w:r w:rsidR="006B13F9" w:rsidRPr="00074EF2">
        <w:rPr>
          <w:lang w:val="uk-UA"/>
        </w:rPr>
        <w:t>ологічні</w:t>
      </w:r>
      <w:r w:rsidR="00D471DD" w:rsidRPr="00074EF2">
        <w:rPr>
          <w:lang w:val="uk-UA"/>
        </w:rPr>
        <w:t xml:space="preserve"> рекомендації, спрямовані на зниження надлишкової маси тіла</w:t>
      </w:r>
      <w:r w:rsidR="00086334" w:rsidRPr="00074EF2">
        <w:rPr>
          <w:lang w:val="uk-UA"/>
        </w:rPr>
        <w:t>,</w:t>
      </w:r>
      <w:r w:rsidR="009A679A" w:rsidRPr="00074EF2">
        <w:rPr>
          <w:lang w:val="uk-UA"/>
        </w:rPr>
        <w:t xml:space="preserve"> п</w:t>
      </w:r>
      <w:r w:rsidR="00D471DD" w:rsidRPr="00074EF2">
        <w:rPr>
          <w:lang w:val="uk-UA"/>
        </w:rPr>
        <w:t>ідтрим</w:t>
      </w:r>
      <w:r w:rsidR="009A679A" w:rsidRPr="00074EF2">
        <w:rPr>
          <w:lang w:val="uk-UA"/>
        </w:rPr>
        <w:t>к</w:t>
      </w:r>
      <w:r w:rsidR="00086334" w:rsidRPr="00074EF2">
        <w:rPr>
          <w:lang w:val="uk-UA"/>
        </w:rPr>
        <w:t>у</w:t>
      </w:r>
      <w:r w:rsidR="009A679A" w:rsidRPr="00074EF2">
        <w:rPr>
          <w:lang w:val="uk-UA"/>
        </w:rPr>
        <w:t xml:space="preserve"> її </w:t>
      </w:r>
      <w:r w:rsidR="00D471DD" w:rsidRPr="00074EF2">
        <w:rPr>
          <w:lang w:val="uk-UA"/>
        </w:rPr>
        <w:t>на фіксованому рівні</w:t>
      </w:r>
      <w:r w:rsidR="00086334" w:rsidRPr="00074EF2">
        <w:rPr>
          <w:lang w:val="uk-UA"/>
        </w:rPr>
        <w:t xml:space="preserve">, запобігання </w:t>
      </w:r>
      <w:r w:rsidR="00074EF2">
        <w:rPr>
          <w:lang w:val="uk-UA"/>
        </w:rPr>
        <w:t xml:space="preserve">розвитку </w:t>
      </w:r>
      <w:r w:rsidR="00086334" w:rsidRPr="00074EF2">
        <w:rPr>
          <w:lang w:val="uk-UA"/>
        </w:rPr>
        <w:t>ускладнень захворювання</w:t>
      </w:r>
      <w:r w:rsidR="009A679A" w:rsidRPr="00074EF2">
        <w:rPr>
          <w:lang w:val="uk-UA"/>
        </w:rPr>
        <w:t>. Згідно європейських та американських рекомендацій</w:t>
      </w:r>
      <w:r w:rsidR="00CA32C4" w:rsidRPr="00074EF2">
        <w:rPr>
          <w:lang w:val="uk-UA"/>
        </w:rPr>
        <w:t xml:space="preserve"> потрібно істотно зменшити споживання солі та алкоголю, значно зменшити споживання кондитерських, м’ясних виробів та хліба, збільшити вживання свіжих овочів, фруктів, бобів, горіхів</w:t>
      </w:r>
      <w:r w:rsidR="00420A1D" w:rsidRPr="00074EF2">
        <w:rPr>
          <w:lang w:val="uk-UA"/>
        </w:rPr>
        <w:t>, продуктів із цільного зерна</w:t>
      </w:r>
      <w:r w:rsidR="006B13F9" w:rsidRPr="00074EF2">
        <w:rPr>
          <w:lang w:val="uk-UA"/>
        </w:rPr>
        <w:t xml:space="preserve">, </w:t>
      </w:r>
      <w:r w:rsidR="00086334" w:rsidRPr="00074EF2">
        <w:rPr>
          <w:lang w:val="uk-UA"/>
        </w:rPr>
        <w:t xml:space="preserve">продуктів, </w:t>
      </w:r>
      <w:r w:rsidR="006B13F9" w:rsidRPr="00074EF2">
        <w:rPr>
          <w:lang w:val="uk-UA"/>
        </w:rPr>
        <w:t>багатих на калій і кальцій, р</w:t>
      </w:r>
      <w:r w:rsidR="00CA32C4" w:rsidRPr="00074EF2">
        <w:rPr>
          <w:lang w:val="uk-UA"/>
        </w:rPr>
        <w:t xml:space="preserve">егулярно вживати омега-3 </w:t>
      </w:r>
      <w:proofErr w:type="spellStart"/>
      <w:r w:rsidR="00CA32C4" w:rsidRPr="00074EF2">
        <w:rPr>
          <w:lang w:val="uk-UA"/>
        </w:rPr>
        <w:t>поліненасичені</w:t>
      </w:r>
      <w:proofErr w:type="spellEnd"/>
      <w:r w:rsidR="00CA32C4" w:rsidRPr="00074EF2">
        <w:rPr>
          <w:lang w:val="uk-UA"/>
        </w:rPr>
        <w:t xml:space="preserve"> жирні кислоти</w:t>
      </w:r>
      <w:r w:rsidR="00086334" w:rsidRPr="00074EF2">
        <w:rPr>
          <w:lang w:val="uk-UA"/>
        </w:rPr>
        <w:t xml:space="preserve">, значно знизити споживання насичених жирів, </w:t>
      </w:r>
      <w:proofErr w:type="spellStart"/>
      <w:r w:rsidR="00086334" w:rsidRPr="00074EF2">
        <w:rPr>
          <w:lang w:val="uk-UA"/>
        </w:rPr>
        <w:t>трансжирів</w:t>
      </w:r>
      <w:proofErr w:type="spellEnd"/>
      <w:r w:rsidR="00086334" w:rsidRPr="00074EF2">
        <w:rPr>
          <w:lang w:val="uk-UA"/>
        </w:rPr>
        <w:t>, холестерину</w:t>
      </w:r>
      <w:r w:rsidR="006B13F9" w:rsidRPr="00074EF2">
        <w:rPr>
          <w:lang w:val="uk-UA"/>
        </w:rPr>
        <w:t xml:space="preserve"> [</w:t>
      </w:r>
      <w:r w:rsidR="00265D96" w:rsidRPr="00074EF2">
        <w:rPr>
          <w:lang w:val="uk-UA"/>
        </w:rPr>
        <w:t>12</w:t>
      </w:r>
      <w:r w:rsidR="006B13F9" w:rsidRPr="00074EF2">
        <w:rPr>
          <w:lang w:val="uk-UA"/>
        </w:rPr>
        <w:t>]</w:t>
      </w:r>
      <w:r w:rsidR="00420A1D" w:rsidRPr="00074EF2">
        <w:rPr>
          <w:lang w:val="uk-UA"/>
        </w:rPr>
        <w:t xml:space="preserve">. </w:t>
      </w:r>
      <w:r w:rsidR="00086334" w:rsidRPr="00074EF2">
        <w:rPr>
          <w:lang w:val="uk-UA"/>
        </w:rPr>
        <w:t>Крім того, у</w:t>
      </w:r>
      <w:r w:rsidR="00420A1D" w:rsidRPr="00074EF2">
        <w:rPr>
          <w:lang w:val="uk-UA"/>
        </w:rPr>
        <w:t xml:space="preserve"> похилому віці режим харчування має особливе значення, приймання їжі повинно відбуватись в один і той же час, з дотриманням порційності і виключенням великих проміжків між вживаннями їжі.</w:t>
      </w:r>
      <w:r w:rsidR="006B13F9" w:rsidRPr="00074EF2">
        <w:rPr>
          <w:lang w:val="uk-UA"/>
        </w:rPr>
        <w:t xml:space="preserve"> Кількість порцій залежить від кількості калорій, а кількість калорій – від віку і ступеня фізичної активності.</w:t>
      </w:r>
    </w:p>
    <w:p w:rsidR="00784962" w:rsidRPr="00074EF2" w:rsidRDefault="006935B3" w:rsidP="00915CA4">
      <w:pPr>
        <w:pStyle w:val="a7"/>
        <w:spacing w:after="0"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Таким чином, </w:t>
      </w:r>
      <w:r w:rsidR="006971B6">
        <w:rPr>
          <w:lang w:val="uk-UA"/>
        </w:rPr>
        <w:t xml:space="preserve">результати проведеного дослідження свідчать, що </w:t>
      </w:r>
      <w:r>
        <w:rPr>
          <w:lang w:val="uk-UA"/>
        </w:rPr>
        <w:t xml:space="preserve">хворі на АГ похилого віку потребують від лікаря </w:t>
      </w:r>
      <w:r w:rsidR="00053589">
        <w:rPr>
          <w:lang w:val="uk-UA"/>
        </w:rPr>
        <w:t xml:space="preserve">не тільки виявлення, але й </w:t>
      </w:r>
      <w:r>
        <w:rPr>
          <w:lang w:val="uk-UA"/>
        </w:rPr>
        <w:t>своєчасної корекції модифікованих фак</w:t>
      </w:r>
      <w:r w:rsidR="006971B6">
        <w:rPr>
          <w:lang w:val="uk-UA"/>
        </w:rPr>
        <w:t>торів кардіоваскулярного ризику з акцентом на</w:t>
      </w:r>
      <w:r w:rsidR="00053589">
        <w:rPr>
          <w:lang w:val="uk-UA"/>
        </w:rPr>
        <w:t xml:space="preserve"> </w:t>
      </w:r>
      <w:r>
        <w:rPr>
          <w:lang w:val="uk-UA"/>
        </w:rPr>
        <w:t xml:space="preserve">збільшення рухової активності та дотримання </w:t>
      </w:r>
      <w:r w:rsidR="006971B6">
        <w:rPr>
          <w:lang w:val="uk-UA"/>
        </w:rPr>
        <w:t xml:space="preserve">сучасних </w:t>
      </w:r>
      <w:r>
        <w:rPr>
          <w:lang w:val="uk-UA"/>
        </w:rPr>
        <w:t>дієтологічних рекомендацій</w:t>
      </w:r>
      <w:r w:rsidR="00053589">
        <w:rPr>
          <w:lang w:val="uk-UA"/>
        </w:rPr>
        <w:t>, що в подальшому буде сприяти зниженню частоти розвитку серцево-судинних ускладнень.</w:t>
      </w:r>
    </w:p>
    <w:p w:rsidR="00CB4445" w:rsidRPr="00074EF2" w:rsidRDefault="00CB4445" w:rsidP="00915CA4">
      <w:pPr>
        <w:spacing w:line="360" w:lineRule="auto"/>
        <w:rPr>
          <w:b/>
          <w:lang w:val="uk-UA"/>
        </w:rPr>
      </w:pPr>
      <w:r w:rsidRPr="00074EF2">
        <w:rPr>
          <w:b/>
          <w:lang w:val="uk-UA"/>
        </w:rPr>
        <w:t>Висновки</w:t>
      </w:r>
    </w:p>
    <w:p w:rsidR="00314716" w:rsidRDefault="004E3F74" w:rsidP="00915CA4">
      <w:pPr>
        <w:pStyle w:val="a7"/>
        <w:numPr>
          <w:ilvl w:val="0"/>
          <w:numId w:val="3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В</w:t>
      </w:r>
      <w:r w:rsidR="00074EF2">
        <w:rPr>
          <w:lang w:val="uk-UA"/>
        </w:rPr>
        <w:t>становлено</w:t>
      </w:r>
      <w:r>
        <w:rPr>
          <w:lang w:val="uk-UA"/>
        </w:rPr>
        <w:t xml:space="preserve">, що </w:t>
      </w:r>
      <w:r w:rsidR="006D706F">
        <w:rPr>
          <w:lang w:val="uk-UA"/>
        </w:rPr>
        <w:t xml:space="preserve">і </w:t>
      </w:r>
      <w:r w:rsidR="00457218">
        <w:rPr>
          <w:lang w:val="uk-UA"/>
        </w:rPr>
        <w:t xml:space="preserve">85,1% хворих на артеріальну гіпертензію похилого віку мали надлишкову масу тіла </w:t>
      </w:r>
      <w:r w:rsidR="00314716">
        <w:rPr>
          <w:lang w:val="uk-UA"/>
        </w:rPr>
        <w:t>ожиріння</w:t>
      </w:r>
      <w:r>
        <w:rPr>
          <w:lang w:val="uk-UA"/>
        </w:rPr>
        <w:t xml:space="preserve">. За гендерним розподілом </w:t>
      </w:r>
      <w:r w:rsidR="00314716">
        <w:rPr>
          <w:lang w:val="uk-UA"/>
        </w:rPr>
        <w:t>жінки асоціювалися з ожирінням, чоловіки – з надлишковою масою тіла.</w:t>
      </w:r>
    </w:p>
    <w:p w:rsidR="004E3F74" w:rsidRPr="008748FB" w:rsidRDefault="004E3F74" w:rsidP="00915CA4">
      <w:pPr>
        <w:pStyle w:val="a7"/>
        <w:numPr>
          <w:ilvl w:val="0"/>
          <w:numId w:val="3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У</w:t>
      </w:r>
      <w:r w:rsidRPr="00493E29">
        <w:rPr>
          <w:lang w:val="uk-UA"/>
        </w:rPr>
        <w:t xml:space="preserve"> хворих на </w:t>
      </w:r>
      <w:r w:rsidR="00074EF2">
        <w:rPr>
          <w:lang w:val="uk-UA"/>
        </w:rPr>
        <w:t>артеріальну гіпертензію</w:t>
      </w:r>
      <w:r>
        <w:rPr>
          <w:lang w:val="uk-UA"/>
        </w:rPr>
        <w:t xml:space="preserve"> похилого віку, незалежно від статі,</w:t>
      </w:r>
      <w:r w:rsidRPr="00493E29">
        <w:rPr>
          <w:lang w:val="uk-UA"/>
        </w:rPr>
        <w:t xml:space="preserve"> </w:t>
      </w:r>
      <w:r w:rsidR="008A2AEB">
        <w:rPr>
          <w:lang w:val="uk-UA"/>
        </w:rPr>
        <w:t>переважав</w:t>
      </w:r>
      <w:r w:rsidRPr="00493E29">
        <w:rPr>
          <w:lang w:val="uk-UA"/>
        </w:rPr>
        <w:t xml:space="preserve"> </w:t>
      </w:r>
      <w:proofErr w:type="spellStart"/>
      <w:r>
        <w:rPr>
          <w:lang w:val="uk-UA"/>
        </w:rPr>
        <w:t>андроїдний</w:t>
      </w:r>
      <w:proofErr w:type="spellEnd"/>
      <w:r>
        <w:rPr>
          <w:lang w:val="uk-UA"/>
        </w:rPr>
        <w:t xml:space="preserve"> тип розподілу жирової тканини.</w:t>
      </w:r>
    </w:p>
    <w:p w:rsidR="001C13E6" w:rsidRPr="00CB4445" w:rsidRDefault="008A2AEB" w:rsidP="00915CA4">
      <w:pPr>
        <w:pStyle w:val="ac"/>
        <w:numPr>
          <w:ilvl w:val="0"/>
          <w:numId w:val="3"/>
        </w:numPr>
        <w:spacing w:line="360" w:lineRule="auto"/>
        <w:jc w:val="both"/>
        <w:rPr>
          <w:lang w:val="uk-UA"/>
        </w:rPr>
      </w:pPr>
      <w:r>
        <w:rPr>
          <w:lang w:val="uk-UA"/>
        </w:rPr>
        <w:t>В</w:t>
      </w:r>
      <w:r w:rsidR="00074EF2">
        <w:rPr>
          <w:lang w:val="uk-UA"/>
        </w:rPr>
        <w:t>иявлено</w:t>
      </w:r>
      <w:r>
        <w:rPr>
          <w:lang w:val="uk-UA"/>
        </w:rPr>
        <w:t>, що</w:t>
      </w:r>
      <w:r w:rsidR="004E3F74" w:rsidRPr="004E3F74">
        <w:rPr>
          <w:lang w:val="uk-UA"/>
        </w:rPr>
        <w:t xml:space="preserve"> </w:t>
      </w:r>
      <w:r w:rsidR="004E3F74">
        <w:rPr>
          <w:lang w:val="uk-UA"/>
        </w:rPr>
        <w:t>у обстежених хворих домінувала низька фізична активність, зловживання повареною сіллю, низький вміст у раціоні харчування свіжих фруктів, овочів, риби та уподобання до вживання жирних, м</w:t>
      </w:r>
      <w:r w:rsidR="004E3F74" w:rsidRPr="004678F1">
        <w:rPr>
          <w:lang w:val="uk-UA"/>
        </w:rPr>
        <w:t>’</w:t>
      </w:r>
      <w:r w:rsidR="004E3F74">
        <w:rPr>
          <w:lang w:val="uk-UA"/>
        </w:rPr>
        <w:t>ясних та солодких кондитерських і хлібобулочних виробів</w:t>
      </w:r>
      <w:r>
        <w:rPr>
          <w:lang w:val="uk-UA"/>
        </w:rPr>
        <w:t>.</w:t>
      </w:r>
    </w:p>
    <w:p w:rsidR="00A61EEB" w:rsidRDefault="00A61EEB" w:rsidP="00915CA4">
      <w:pPr>
        <w:spacing w:line="360" w:lineRule="auto"/>
        <w:rPr>
          <w:b/>
          <w:lang w:val="uk-UA"/>
        </w:rPr>
      </w:pPr>
    </w:p>
    <w:p w:rsidR="00A61EEB" w:rsidRDefault="00A61EEB" w:rsidP="00915CA4">
      <w:pPr>
        <w:spacing w:line="360" w:lineRule="auto"/>
        <w:rPr>
          <w:b/>
          <w:lang w:val="uk-UA"/>
        </w:rPr>
      </w:pPr>
    </w:p>
    <w:p w:rsidR="00A92062" w:rsidRPr="001445F9" w:rsidRDefault="00A92062" w:rsidP="00915CA4">
      <w:pPr>
        <w:spacing w:line="360" w:lineRule="auto"/>
        <w:rPr>
          <w:b/>
          <w:lang w:val="uk-UA"/>
        </w:rPr>
      </w:pPr>
      <w:r w:rsidRPr="001445F9">
        <w:rPr>
          <w:b/>
          <w:lang w:val="uk-UA"/>
        </w:rPr>
        <w:lastRenderedPageBreak/>
        <w:t>Література</w:t>
      </w:r>
    </w:p>
    <w:p w:rsidR="00A92062" w:rsidRPr="001445F9" w:rsidRDefault="00A92062" w:rsidP="00915CA4">
      <w:pPr>
        <w:numPr>
          <w:ilvl w:val="0"/>
          <w:numId w:val="1"/>
        </w:numPr>
        <w:spacing w:line="360" w:lineRule="auto"/>
        <w:ind w:hanging="720"/>
        <w:jc w:val="both"/>
        <w:rPr>
          <w:lang w:val="uk-UA"/>
        </w:rPr>
      </w:pPr>
      <w:proofErr w:type="spellStart"/>
      <w:r w:rsidRPr="001445F9">
        <w:rPr>
          <w:lang w:val="uk-UA"/>
        </w:rPr>
        <w:t>Гайдаев</w:t>
      </w:r>
      <w:proofErr w:type="spellEnd"/>
      <w:r w:rsidRPr="001445F9">
        <w:rPr>
          <w:lang w:val="uk-UA"/>
        </w:rPr>
        <w:t xml:space="preserve"> Ю.О. Проблеми здоров’я та напрямки його покращення в сучасних умовах патології // Ю.О. </w:t>
      </w:r>
      <w:proofErr w:type="spellStart"/>
      <w:r w:rsidRPr="001445F9">
        <w:rPr>
          <w:lang w:val="uk-UA"/>
        </w:rPr>
        <w:t>Гайдаев</w:t>
      </w:r>
      <w:proofErr w:type="spellEnd"/>
      <w:r w:rsidRPr="001445F9">
        <w:rPr>
          <w:lang w:val="uk-UA"/>
        </w:rPr>
        <w:t xml:space="preserve">, В.М. </w:t>
      </w:r>
      <w:proofErr w:type="spellStart"/>
      <w:r w:rsidRPr="001445F9">
        <w:rPr>
          <w:lang w:val="uk-UA"/>
        </w:rPr>
        <w:t>Корнацький</w:t>
      </w:r>
      <w:proofErr w:type="spellEnd"/>
      <w:r w:rsidRPr="001445F9">
        <w:rPr>
          <w:lang w:val="uk-UA"/>
        </w:rPr>
        <w:t xml:space="preserve"> //Український кардіологічний журнал – 2007. – № 5. – С. 12–16.</w:t>
      </w:r>
    </w:p>
    <w:p w:rsidR="00190D41" w:rsidRPr="001445F9" w:rsidRDefault="00190D41" w:rsidP="00915CA4">
      <w:pPr>
        <w:numPr>
          <w:ilvl w:val="0"/>
          <w:numId w:val="1"/>
        </w:numPr>
        <w:spacing w:line="360" w:lineRule="auto"/>
        <w:ind w:hanging="720"/>
        <w:jc w:val="both"/>
        <w:rPr>
          <w:lang w:val="uk-UA"/>
        </w:rPr>
      </w:pPr>
      <w:r w:rsidRPr="001445F9">
        <w:rPr>
          <w:lang w:val="uk-UA"/>
        </w:rPr>
        <w:t xml:space="preserve">Коваленко В.М. Харчування і хвороби системи кровообігу: соціальні </w:t>
      </w:r>
      <w:r w:rsidRPr="001445F9">
        <w:br/>
      </w:r>
      <w:r w:rsidRPr="001445F9">
        <w:rPr>
          <w:lang w:val="uk-UA"/>
        </w:rPr>
        <w:t>і медичні проблеми / В.М. Коваленко // Нова медицина. – 2004. – № 3 (14). – С. 12–16.</w:t>
      </w:r>
    </w:p>
    <w:p w:rsidR="00A92062" w:rsidRPr="001445F9" w:rsidRDefault="00A92062" w:rsidP="00915CA4">
      <w:pPr>
        <w:numPr>
          <w:ilvl w:val="0"/>
          <w:numId w:val="1"/>
        </w:numPr>
        <w:spacing w:line="360" w:lineRule="auto"/>
        <w:ind w:hanging="720"/>
        <w:jc w:val="both"/>
        <w:rPr>
          <w:lang w:val="uk-UA"/>
        </w:rPr>
      </w:pPr>
      <w:r w:rsidRPr="001445F9">
        <w:rPr>
          <w:lang w:val="uk-UA"/>
        </w:rPr>
        <w:t xml:space="preserve">Сіренко Ю.М. Артеріальна гіпертензія / Ю.М. Сіренко. – Київ: </w:t>
      </w:r>
      <w:proofErr w:type="spellStart"/>
      <w:r w:rsidRPr="001445F9">
        <w:rPr>
          <w:lang w:val="uk-UA"/>
        </w:rPr>
        <w:t>Моріон</w:t>
      </w:r>
      <w:proofErr w:type="spellEnd"/>
      <w:r w:rsidRPr="001445F9">
        <w:rPr>
          <w:lang w:val="uk-UA"/>
        </w:rPr>
        <w:t>, 2002. – 204 с.</w:t>
      </w:r>
    </w:p>
    <w:p w:rsidR="00190D41" w:rsidRPr="0008191F" w:rsidRDefault="00190D41" w:rsidP="00915CA4">
      <w:pPr>
        <w:pStyle w:val="ac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lang w:val="uk-UA"/>
        </w:rPr>
      </w:pPr>
      <w:proofErr w:type="spellStart"/>
      <w:r w:rsidRPr="0008191F">
        <w:rPr>
          <w:lang w:val="uk-UA"/>
        </w:rPr>
        <w:t>Alberti</w:t>
      </w:r>
      <w:proofErr w:type="spellEnd"/>
      <w:r w:rsidRPr="0008191F">
        <w:rPr>
          <w:lang w:val="uk-UA"/>
        </w:rPr>
        <w:t xml:space="preserve"> K.G. </w:t>
      </w:r>
      <w:proofErr w:type="spellStart"/>
      <w:r w:rsidRPr="0008191F">
        <w:rPr>
          <w:lang w:val="uk-UA"/>
        </w:rPr>
        <w:t>The</w:t>
      </w:r>
      <w:proofErr w:type="spellEnd"/>
      <w:r w:rsidRPr="0008191F">
        <w:rPr>
          <w:lang w:val="uk-UA"/>
        </w:rPr>
        <w:t xml:space="preserve"> </w:t>
      </w:r>
      <w:proofErr w:type="spellStart"/>
      <w:r w:rsidRPr="0008191F">
        <w:rPr>
          <w:lang w:val="uk-UA"/>
        </w:rPr>
        <w:t>metabolic</w:t>
      </w:r>
      <w:proofErr w:type="spellEnd"/>
      <w:r w:rsidRPr="0008191F">
        <w:rPr>
          <w:lang w:val="uk-UA"/>
        </w:rPr>
        <w:t xml:space="preserve"> </w:t>
      </w:r>
      <w:proofErr w:type="spellStart"/>
      <w:r w:rsidRPr="0008191F">
        <w:rPr>
          <w:lang w:val="uk-UA"/>
        </w:rPr>
        <w:t>syndrome</w:t>
      </w:r>
      <w:proofErr w:type="spellEnd"/>
      <w:r w:rsidRPr="0008191F">
        <w:rPr>
          <w:lang w:val="uk-UA"/>
        </w:rPr>
        <w:t xml:space="preserve"> – a </w:t>
      </w:r>
      <w:proofErr w:type="spellStart"/>
      <w:r w:rsidRPr="0008191F">
        <w:rPr>
          <w:lang w:val="uk-UA"/>
        </w:rPr>
        <w:t>new</w:t>
      </w:r>
      <w:proofErr w:type="spellEnd"/>
      <w:r w:rsidRPr="0008191F">
        <w:rPr>
          <w:lang w:val="uk-UA"/>
        </w:rPr>
        <w:t xml:space="preserve"> </w:t>
      </w:r>
      <w:proofErr w:type="spellStart"/>
      <w:r w:rsidRPr="0008191F">
        <w:rPr>
          <w:lang w:val="uk-UA"/>
        </w:rPr>
        <w:t>worldwide</w:t>
      </w:r>
      <w:proofErr w:type="spellEnd"/>
      <w:r w:rsidRPr="0008191F">
        <w:rPr>
          <w:lang w:val="uk-UA"/>
        </w:rPr>
        <w:t xml:space="preserve"> </w:t>
      </w:r>
      <w:proofErr w:type="spellStart"/>
      <w:r w:rsidRPr="0008191F">
        <w:rPr>
          <w:lang w:val="uk-UA"/>
        </w:rPr>
        <w:t>definition</w:t>
      </w:r>
      <w:proofErr w:type="spellEnd"/>
      <w:r w:rsidRPr="0008191F">
        <w:rPr>
          <w:lang w:val="uk-UA"/>
        </w:rPr>
        <w:t xml:space="preserve"> </w:t>
      </w:r>
      <w:r w:rsidRPr="0008191F">
        <w:rPr>
          <w:lang w:val="en-US"/>
        </w:rPr>
        <w:t xml:space="preserve"> /</w:t>
      </w:r>
      <w:r w:rsidRPr="0008191F">
        <w:rPr>
          <w:lang w:val="uk-UA"/>
        </w:rPr>
        <w:t xml:space="preserve"> K.G.</w:t>
      </w:r>
      <w:r w:rsidRPr="0008191F">
        <w:rPr>
          <w:lang w:val="en-US"/>
        </w:rPr>
        <w:t xml:space="preserve"> </w:t>
      </w:r>
      <w:proofErr w:type="spellStart"/>
      <w:r w:rsidRPr="0008191F">
        <w:rPr>
          <w:lang w:val="uk-UA"/>
        </w:rPr>
        <w:t>Alberti</w:t>
      </w:r>
      <w:proofErr w:type="spellEnd"/>
      <w:r w:rsidRPr="0008191F">
        <w:rPr>
          <w:lang w:val="en-US"/>
        </w:rPr>
        <w:t>,</w:t>
      </w:r>
      <w:r w:rsidRPr="0008191F">
        <w:rPr>
          <w:lang w:val="uk-UA"/>
        </w:rPr>
        <w:t xml:space="preserve"> P.</w:t>
      </w:r>
      <w:r w:rsidRPr="0008191F">
        <w:rPr>
          <w:lang w:val="en-US"/>
        </w:rPr>
        <w:t xml:space="preserve"> </w:t>
      </w:r>
      <w:proofErr w:type="spellStart"/>
      <w:r w:rsidRPr="0008191F">
        <w:rPr>
          <w:lang w:val="uk-UA"/>
        </w:rPr>
        <w:t>Zimmet</w:t>
      </w:r>
      <w:proofErr w:type="spellEnd"/>
      <w:r w:rsidRPr="0008191F">
        <w:rPr>
          <w:lang w:val="uk-UA"/>
        </w:rPr>
        <w:t>, J.</w:t>
      </w:r>
      <w:r w:rsidRPr="0008191F">
        <w:rPr>
          <w:lang w:val="en-US"/>
        </w:rPr>
        <w:t xml:space="preserve"> </w:t>
      </w:r>
      <w:proofErr w:type="spellStart"/>
      <w:r w:rsidRPr="0008191F">
        <w:rPr>
          <w:lang w:val="uk-UA"/>
        </w:rPr>
        <w:t>Sbaw</w:t>
      </w:r>
      <w:proofErr w:type="spellEnd"/>
      <w:r w:rsidRPr="0008191F">
        <w:rPr>
          <w:lang w:val="uk-UA"/>
        </w:rPr>
        <w:t xml:space="preserve"> </w:t>
      </w:r>
      <w:r w:rsidRPr="0008191F">
        <w:rPr>
          <w:lang w:val="en-US"/>
        </w:rPr>
        <w:t xml:space="preserve"> </w:t>
      </w:r>
      <w:r w:rsidRPr="0008191F">
        <w:rPr>
          <w:lang w:val="uk-UA"/>
        </w:rPr>
        <w:t xml:space="preserve">// </w:t>
      </w:r>
      <w:proofErr w:type="spellStart"/>
      <w:r w:rsidRPr="0008191F">
        <w:rPr>
          <w:lang w:val="uk-UA"/>
        </w:rPr>
        <w:t>Lancet</w:t>
      </w:r>
      <w:proofErr w:type="spellEnd"/>
      <w:r w:rsidRPr="0008191F">
        <w:rPr>
          <w:lang w:val="uk-UA"/>
        </w:rPr>
        <w:t xml:space="preserve">. – 2005. – </w:t>
      </w:r>
      <w:proofErr w:type="spellStart"/>
      <w:r w:rsidRPr="0008191F">
        <w:rPr>
          <w:lang w:val="uk-UA"/>
        </w:rPr>
        <w:t>Vol</w:t>
      </w:r>
      <w:proofErr w:type="spellEnd"/>
      <w:r w:rsidRPr="0008191F">
        <w:rPr>
          <w:lang w:val="uk-UA"/>
        </w:rPr>
        <w:t>. 366. – Р. 1059–1062.</w:t>
      </w:r>
    </w:p>
    <w:p w:rsidR="00A1795C" w:rsidRPr="00A1795C" w:rsidRDefault="00190D41" w:rsidP="00915CA4">
      <w:pPr>
        <w:numPr>
          <w:ilvl w:val="0"/>
          <w:numId w:val="1"/>
        </w:numPr>
        <w:tabs>
          <w:tab w:val="left" w:pos="1080"/>
        </w:tabs>
        <w:spacing w:line="360" w:lineRule="auto"/>
        <w:ind w:hanging="720"/>
        <w:jc w:val="both"/>
        <w:rPr>
          <w:lang w:val="uk-UA"/>
        </w:rPr>
      </w:pPr>
      <w:proofErr w:type="spellStart"/>
      <w:r w:rsidRPr="001445F9">
        <w:rPr>
          <w:lang w:val="uk-UA"/>
        </w:rPr>
        <w:t>Alberti</w:t>
      </w:r>
      <w:proofErr w:type="spellEnd"/>
      <w:r w:rsidRPr="001445F9">
        <w:rPr>
          <w:lang w:val="uk-UA"/>
        </w:rPr>
        <w:t xml:space="preserve"> K.G.</w:t>
      </w:r>
      <w:r w:rsidRPr="001445F9">
        <w:rPr>
          <w:b/>
          <w:color w:val="0000FF"/>
          <w:lang w:val="uk-UA"/>
        </w:rPr>
        <w:t xml:space="preserve"> </w:t>
      </w:r>
      <w:proofErr w:type="spellStart"/>
      <w:r w:rsidRPr="001445F9">
        <w:rPr>
          <w:lang w:val="uk-UA"/>
        </w:rPr>
        <w:t>Definition</w:t>
      </w:r>
      <w:proofErr w:type="spellEnd"/>
      <w:r w:rsidRPr="001445F9">
        <w:rPr>
          <w:lang w:val="uk-UA"/>
        </w:rPr>
        <w:t xml:space="preserve">, </w:t>
      </w:r>
      <w:proofErr w:type="spellStart"/>
      <w:r w:rsidRPr="001445F9">
        <w:rPr>
          <w:lang w:val="uk-UA"/>
        </w:rPr>
        <w:t>diagnosis</w:t>
      </w:r>
      <w:proofErr w:type="spellEnd"/>
      <w:r w:rsidRPr="001445F9">
        <w:rPr>
          <w:b/>
          <w:color w:val="0000FF"/>
          <w:lang w:val="uk-UA"/>
        </w:rPr>
        <w:t xml:space="preserve"> </w:t>
      </w:r>
      <w:proofErr w:type="spellStart"/>
      <w:r w:rsidRPr="001445F9">
        <w:rPr>
          <w:lang w:val="uk-UA"/>
        </w:rPr>
        <w:t>and</w:t>
      </w:r>
      <w:proofErr w:type="spellEnd"/>
      <w:r w:rsidRPr="001445F9">
        <w:rPr>
          <w:lang w:val="uk-UA"/>
        </w:rPr>
        <w:t xml:space="preserve"> </w:t>
      </w:r>
      <w:proofErr w:type="spellStart"/>
      <w:r w:rsidRPr="001445F9">
        <w:rPr>
          <w:lang w:val="uk-UA"/>
        </w:rPr>
        <w:t>classification</w:t>
      </w:r>
      <w:proofErr w:type="spellEnd"/>
      <w:r w:rsidRPr="001445F9">
        <w:rPr>
          <w:lang w:val="uk-UA"/>
        </w:rPr>
        <w:t xml:space="preserve"> </w:t>
      </w:r>
      <w:proofErr w:type="spellStart"/>
      <w:r w:rsidRPr="001445F9">
        <w:rPr>
          <w:lang w:val="uk-UA"/>
        </w:rPr>
        <w:t>of</w:t>
      </w:r>
      <w:proofErr w:type="spellEnd"/>
      <w:r w:rsidRPr="001445F9">
        <w:rPr>
          <w:lang w:val="uk-UA"/>
        </w:rPr>
        <w:t xml:space="preserve"> </w:t>
      </w:r>
      <w:proofErr w:type="spellStart"/>
      <w:r w:rsidRPr="001445F9">
        <w:rPr>
          <w:lang w:val="uk-UA"/>
        </w:rPr>
        <w:t>diabetes</w:t>
      </w:r>
      <w:proofErr w:type="spellEnd"/>
      <w:r w:rsidRPr="001445F9">
        <w:rPr>
          <w:lang w:val="uk-UA"/>
        </w:rPr>
        <w:t xml:space="preserve"> </w:t>
      </w:r>
      <w:proofErr w:type="spellStart"/>
      <w:r w:rsidRPr="001445F9">
        <w:rPr>
          <w:lang w:val="uk-UA"/>
        </w:rPr>
        <w:t>mellitus</w:t>
      </w:r>
      <w:proofErr w:type="spellEnd"/>
      <w:r w:rsidRPr="001445F9">
        <w:rPr>
          <w:lang w:val="uk-UA"/>
        </w:rPr>
        <w:t xml:space="preserve"> </w:t>
      </w:r>
      <w:proofErr w:type="spellStart"/>
      <w:r w:rsidRPr="001445F9">
        <w:rPr>
          <w:lang w:val="uk-UA"/>
        </w:rPr>
        <w:t>and</w:t>
      </w:r>
      <w:proofErr w:type="spellEnd"/>
      <w:r w:rsidRPr="001445F9">
        <w:rPr>
          <w:lang w:val="uk-UA"/>
        </w:rPr>
        <w:t xml:space="preserve"> </w:t>
      </w:r>
      <w:proofErr w:type="spellStart"/>
      <w:r w:rsidRPr="001445F9">
        <w:rPr>
          <w:lang w:val="uk-UA"/>
        </w:rPr>
        <w:t>its</w:t>
      </w:r>
      <w:proofErr w:type="spellEnd"/>
      <w:r w:rsidRPr="001445F9">
        <w:rPr>
          <w:lang w:val="uk-UA"/>
        </w:rPr>
        <w:t xml:space="preserve"> </w:t>
      </w:r>
      <w:proofErr w:type="spellStart"/>
      <w:r w:rsidRPr="001445F9">
        <w:rPr>
          <w:lang w:val="uk-UA"/>
        </w:rPr>
        <w:t>complications</w:t>
      </w:r>
      <w:proofErr w:type="spellEnd"/>
      <w:r w:rsidRPr="001445F9">
        <w:rPr>
          <w:lang w:val="uk-UA"/>
        </w:rPr>
        <w:t xml:space="preserve">. </w:t>
      </w:r>
      <w:proofErr w:type="spellStart"/>
      <w:r w:rsidRPr="001445F9">
        <w:rPr>
          <w:lang w:val="uk-UA"/>
        </w:rPr>
        <w:t>Part</w:t>
      </w:r>
      <w:proofErr w:type="spellEnd"/>
      <w:r w:rsidRPr="001445F9">
        <w:rPr>
          <w:lang w:val="uk-UA"/>
        </w:rPr>
        <w:t xml:space="preserve"> 1: </w:t>
      </w:r>
      <w:proofErr w:type="spellStart"/>
      <w:r w:rsidRPr="001445F9">
        <w:rPr>
          <w:lang w:val="uk-UA"/>
        </w:rPr>
        <w:t>diagnosis</w:t>
      </w:r>
      <w:proofErr w:type="spellEnd"/>
      <w:r w:rsidRPr="001445F9">
        <w:rPr>
          <w:lang w:val="uk-UA"/>
        </w:rPr>
        <w:t xml:space="preserve"> </w:t>
      </w:r>
      <w:proofErr w:type="spellStart"/>
      <w:r w:rsidRPr="001445F9">
        <w:rPr>
          <w:lang w:val="uk-UA"/>
        </w:rPr>
        <w:t>and</w:t>
      </w:r>
      <w:proofErr w:type="spellEnd"/>
      <w:r w:rsidRPr="001445F9">
        <w:rPr>
          <w:lang w:val="uk-UA"/>
        </w:rPr>
        <w:t xml:space="preserve"> </w:t>
      </w:r>
      <w:proofErr w:type="spellStart"/>
      <w:r w:rsidRPr="001445F9">
        <w:rPr>
          <w:lang w:val="uk-UA"/>
        </w:rPr>
        <w:t>classification</w:t>
      </w:r>
      <w:proofErr w:type="spellEnd"/>
      <w:r w:rsidRPr="001445F9">
        <w:rPr>
          <w:lang w:val="uk-UA"/>
        </w:rPr>
        <w:t xml:space="preserve"> </w:t>
      </w:r>
      <w:proofErr w:type="spellStart"/>
      <w:r w:rsidRPr="001445F9">
        <w:rPr>
          <w:lang w:val="uk-UA"/>
        </w:rPr>
        <w:t>of</w:t>
      </w:r>
      <w:proofErr w:type="spellEnd"/>
      <w:r w:rsidRPr="001445F9">
        <w:rPr>
          <w:lang w:val="uk-UA"/>
        </w:rPr>
        <w:t xml:space="preserve"> </w:t>
      </w:r>
      <w:proofErr w:type="spellStart"/>
      <w:r w:rsidRPr="001445F9">
        <w:rPr>
          <w:lang w:val="uk-UA"/>
        </w:rPr>
        <w:t>diabetes</w:t>
      </w:r>
      <w:proofErr w:type="spellEnd"/>
      <w:r w:rsidRPr="001445F9">
        <w:rPr>
          <w:lang w:val="uk-UA"/>
        </w:rPr>
        <w:t xml:space="preserve"> </w:t>
      </w:r>
      <w:proofErr w:type="spellStart"/>
      <w:r w:rsidRPr="001445F9">
        <w:rPr>
          <w:lang w:val="uk-UA"/>
        </w:rPr>
        <w:t>mellitus</w:t>
      </w:r>
      <w:proofErr w:type="spellEnd"/>
      <w:r w:rsidRPr="001445F9">
        <w:rPr>
          <w:lang w:val="uk-UA"/>
        </w:rPr>
        <w:t xml:space="preserve"> </w:t>
      </w:r>
      <w:proofErr w:type="spellStart"/>
      <w:r w:rsidRPr="001445F9">
        <w:rPr>
          <w:lang w:val="uk-UA"/>
        </w:rPr>
        <w:t>provisional</w:t>
      </w:r>
      <w:proofErr w:type="spellEnd"/>
      <w:r w:rsidRPr="001445F9">
        <w:rPr>
          <w:lang w:val="uk-UA"/>
        </w:rPr>
        <w:t xml:space="preserve"> </w:t>
      </w:r>
      <w:proofErr w:type="spellStart"/>
      <w:r w:rsidRPr="001445F9">
        <w:rPr>
          <w:lang w:val="uk-UA"/>
        </w:rPr>
        <w:t>report</w:t>
      </w:r>
      <w:proofErr w:type="spellEnd"/>
      <w:r w:rsidRPr="001445F9">
        <w:rPr>
          <w:lang w:val="uk-UA"/>
        </w:rPr>
        <w:t xml:space="preserve"> </w:t>
      </w:r>
      <w:proofErr w:type="spellStart"/>
      <w:r w:rsidRPr="001445F9">
        <w:rPr>
          <w:lang w:val="uk-UA"/>
        </w:rPr>
        <w:t>of</w:t>
      </w:r>
      <w:proofErr w:type="spellEnd"/>
      <w:r w:rsidRPr="001445F9">
        <w:rPr>
          <w:lang w:val="uk-UA"/>
        </w:rPr>
        <w:t xml:space="preserve"> a WHO </w:t>
      </w:r>
      <w:proofErr w:type="spellStart"/>
      <w:r w:rsidRPr="001445F9">
        <w:rPr>
          <w:lang w:val="uk-UA"/>
        </w:rPr>
        <w:t>consultation</w:t>
      </w:r>
      <w:proofErr w:type="spellEnd"/>
      <w:r w:rsidRPr="001445F9">
        <w:rPr>
          <w:lang w:val="uk-UA"/>
        </w:rPr>
        <w:t xml:space="preserve"> / K.G. </w:t>
      </w:r>
      <w:proofErr w:type="spellStart"/>
      <w:r w:rsidRPr="001445F9">
        <w:rPr>
          <w:lang w:val="uk-UA"/>
        </w:rPr>
        <w:t>Alberti</w:t>
      </w:r>
      <w:proofErr w:type="spellEnd"/>
      <w:r w:rsidRPr="001445F9">
        <w:rPr>
          <w:lang w:val="uk-UA"/>
        </w:rPr>
        <w:t xml:space="preserve">, P.Z. </w:t>
      </w:r>
      <w:proofErr w:type="spellStart"/>
      <w:r w:rsidRPr="001445F9">
        <w:rPr>
          <w:lang w:val="uk-UA"/>
        </w:rPr>
        <w:t>Zimmet</w:t>
      </w:r>
      <w:proofErr w:type="spellEnd"/>
      <w:r w:rsidRPr="001445F9">
        <w:rPr>
          <w:lang w:val="uk-UA"/>
        </w:rPr>
        <w:t xml:space="preserve"> // </w:t>
      </w:r>
      <w:proofErr w:type="spellStart"/>
      <w:r w:rsidRPr="001445F9">
        <w:rPr>
          <w:lang w:val="uk-UA"/>
        </w:rPr>
        <w:t>Diabet</w:t>
      </w:r>
      <w:proofErr w:type="spellEnd"/>
      <w:r w:rsidRPr="001445F9">
        <w:rPr>
          <w:lang w:val="uk-UA"/>
        </w:rPr>
        <w:t xml:space="preserve">. </w:t>
      </w:r>
      <w:proofErr w:type="spellStart"/>
      <w:r w:rsidRPr="001445F9">
        <w:rPr>
          <w:lang w:val="uk-UA"/>
        </w:rPr>
        <w:t>Med</w:t>
      </w:r>
      <w:proofErr w:type="spellEnd"/>
      <w:r w:rsidRPr="001445F9">
        <w:rPr>
          <w:lang w:val="uk-UA"/>
        </w:rPr>
        <w:t xml:space="preserve">. – 2005. – </w:t>
      </w:r>
      <w:proofErr w:type="spellStart"/>
      <w:r w:rsidRPr="001445F9">
        <w:rPr>
          <w:lang w:val="uk-UA"/>
        </w:rPr>
        <w:t>Vol</w:t>
      </w:r>
      <w:proofErr w:type="spellEnd"/>
      <w:r w:rsidRPr="001445F9">
        <w:rPr>
          <w:lang w:val="uk-UA"/>
        </w:rPr>
        <w:t>. 15 (7). – P. 539–553.</w:t>
      </w:r>
      <w:r w:rsidRPr="00F41937">
        <w:rPr>
          <w:lang w:val="uk-UA"/>
        </w:rPr>
        <w:t xml:space="preserve">264. </w:t>
      </w:r>
    </w:p>
    <w:p w:rsidR="00190D41" w:rsidRPr="00A32EA7" w:rsidRDefault="00190D41" w:rsidP="00915CA4">
      <w:pPr>
        <w:numPr>
          <w:ilvl w:val="0"/>
          <w:numId w:val="1"/>
        </w:numPr>
        <w:tabs>
          <w:tab w:val="left" w:pos="1080"/>
        </w:tabs>
        <w:spacing w:line="360" w:lineRule="auto"/>
        <w:ind w:hanging="720"/>
        <w:jc w:val="both"/>
        <w:rPr>
          <w:lang w:val="uk-UA"/>
        </w:rPr>
      </w:pPr>
      <w:proofErr w:type="spellStart"/>
      <w:r w:rsidRPr="00F41937">
        <w:rPr>
          <w:lang w:val="uk-UA"/>
        </w:rPr>
        <w:t>European</w:t>
      </w:r>
      <w:proofErr w:type="spellEnd"/>
      <w:r w:rsidRPr="00F41937">
        <w:rPr>
          <w:lang w:val="uk-UA"/>
        </w:rPr>
        <w:t xml:space="preserve"> </w:t>
      </w:r>
      <w:proofErr w:type="spellStart"/>
      <w:r w:rsidRPr="00F41937">
        <w:rPr>
          <w:lang w:val="uk-UA"/>
        </w:rPr>
        <w:t>Association</w:t>
      </w:r>
      <w:proofErr w:type="spellEnd"/>
      <w:r w:rsidRPr="00F41937">
        <w:rPr>
          <w:lang w:val="uk-UA"/>
        </w:rPr>
        <w:t xml:space="preserve"> </w:t>
      </w:r>
      <w:proofErr w:type="spellStart"/>
      <w:r w:rsidRPr="00F41937">
        <w:rPr>
          <w:lang w:val="uk-UA"/>
        </w:rPr>
        <w:t>for</w:t>
      </w:r>
      <w:proofErr w:type="spellEnd"/>
      <w:r w:rsidRPr="00F41937">
        <w:rPr>
          <w:lang w:val="uk-UA"/>
        </w:rPr>
        <w:t xml:space="preserve"> </w:t>
      </w:r>
      <w:proofErr w:type="spellStart"/>
      <w:r w:rsidRPr="00F41937">
        <w:rPr>
          <w:lang w:val="uk-UA"/>
        </w:rPr>
        <w:t>the</w:t>
      </w:r>
      <w:proofErr w:type="spellEnd"/>
      <w:r w:rsidRPr="00F41937">
        <w:rPr>
          <w:lang w:val="uk-UA"/>
        </w:rPr>
        <w:t xml:space="preserve"> </w:t>
      </w:r>
      <w:proofErr w:type="spellStart"/>
      <w:r w:rsidRPr="00F41937">
        <w:rPr>
          <w:lang w:val="uk-UA"/>
        </w:rPr>
        <w:t>Study</w:t>
      </w:r>
      <w:proofErr w:type="spellEnd"/>
      <w:r w:rsidRPr="00F41937">
        <w:rPr>
          <w:lang w:val="uk-UA"/>
        </w:rPr>
        <w:t xml:space="preserve"> </w:t>
      </w:r>
      <w:proofErr w:type="spellStart"/>
      <w:r w:rsidRPr="00F41937">
        <w:rPr>
          <w:lang w:val="uk-UA"/>
        </w:rPr>
        <w:t>of</w:t>
      </w:r>
      <w:proofErr w:type="spellEnd"/>
      <w:r w:rsidRPr="00F41937">
        <w:rPr>
          <w:lang w:val="uk-UA"/>
        </w:rPr>
        <w:t xml:space="preserve"> </w:t>
      </w:r>
      <w:proofErr w:type="spellStart"/>
      <w:r w:rsidRPr="00F41937">
        <w:rPr>
          <w:lang w:val="uk-UA"/>
        </w:rPr>
        <w:t>Diabetes</w:t>
      </w:r>
      <w:proofErr w:type="spellEnd"/>
      <w:r w:rsidRPr="00F41937">
        <w:rPr>
          <w:lang w:val="uk-UA"/>
        </w:rPr>
        <w:t xml:space="preserve"> (EASD) </w:t>
      </w:r>
      <w:proofErr w:type="spellStart"/>
      <w:r w:rsidRPr="00F41937">
        <w:rPr>
          <w:lang w:val="uk-UA"/>
        </w:rPr>
        <w:t>Guidelines</w:t>
      </w:r>
      <w:proofErr w:type="spellEnd"/>
      <w:r w:rsidRPr="00F41937">
        <w:rPr>
          <w:lang w:val="uk-UA"/>
        </w:rPr>
        <w:t xml:space="preserve"> </w:t>
      </w:r>
      <w:proofErr w:type="spellStart"/>
      <w:r w:rsidRPr="00F41937">
        <w:rPr>
          <w:lang w:val="uk-UA"/>
        </w:rPr>
        <w:t>on</w:t>
      </w:r>
      <w:proofErr w:type="spellEnd"/>
      <w:r w:rsidRPr="00F41937">
        <w:rPr>
          <w:lang w:val="uk-UA"/>
        </w:rPr>
        <w:t xml:space="preserve"> </w:t>
      </w:r>
      <w:proofErr w:type="spellStart"/>
      <w:r w:rsidRPr="00F41937">
        <w:rPr>
          <w:lang w:val="uk-UA"/>
        </w:rPr>
        <w:t>diabetes</w:t>
      </w:r>
      <w:proofErr w:type="spellEnd"/>
      <w:r w:rsidRPr="00F41937">
        <w:rPr>
          <w:lang w:val="uk-UA"/>
        </w:rPr>
        <w:t>, pre-</w:t>
      </w:r>
      <w:proofErr w:type="spellStart"/>
      <w:r w:rsidRPr="00F41937">
        <w:rPr>
          <w:lang w:val="uk-UA"/>
        </w:rPr>
        <w:t>diabetes</w:t>
      </w:r>
      <w:proofErr w:type="spellEnd"/>
      <w:r w:rsidRPr="00F41937">
        <w:rPr>
          <w:lang w:val="uk-UA"/>
        </w:rPr>
        <w:t xml:space="preserve">, </w:t>
      </w:r>
      <w:proofErr w:type="spellStart"/>
      <w:r w:rsidRPr="00F41937">
        <w:rPr>
          <w:lang w:val="uk-UA"/>
        </w:rPr>
        <w:t>and</w:t>
      </w:r>
      <w:proofErr w:type="spellEnd"/>
      <w:r w:rsidRPr="00F41937">
        <w:rPr>
          <w:lang w:val="uk-UA"/>
        </w:rPr>
        <w:t xml:space="preserve"> </w:t>
      </w:r>
      <w:proofErr w:type="spellStart"/>
      <w:r w:rsidRPr="00F41937">
        <w:rPr>
          <w:lang w:val="uk-UA"/>
        </w:rPr>
        <w:t>cardiovascular</w:t>
      </w:r>
      <w:proofErr w:type="spellEnd"/>
      <w:r w:rsidRPr="00F41937">
        <w:rPr>
          <w:lang w:val="uk-UA"/>
        </w:rPr>
        <w:t xml:space="preserve"> </w:t>
      </w:r>
      <w:proofErr w:type="spellStart"/>
      <w:r w:rsidRPr="00F41937">
        <w:rPr>
          <w:lang w:val="uk-UA"/>
        </w:rPr>
        <w:t>disease</w:t>
      </w:r>
      <w:proofErr w:type="spellEnd"/>
      <w:r w:rsidRPr="00F41937">
        <w:rPr>
          <w:lang w:val="uk-UA"/>
        </w:rPr>
        <w:t xml:space="preserve">: </w:t>
      </w:r>
      <w:proofErr w:type="spellStart"/>
      <w:r w:rsidRPr="00F41937">
        <w:rPr>
          <w:lang w:val="uk-UA"/>
        </w:rPr>
        <w:t>executive</w:t>
      </w:r>
      <w:proofErr w:type="spellEnd"/>
      <w:r w:rsidRPr="00F41937">
        <w:rPr>
          <w:lang w:val="uk-UA"/>
        </w:rPr>
        <w:t xml:space="preserve"> </w:t>
      </w:r>
      <w:proofErr w:type="spellStart"/>
      <w:r w:rsidRPr="00F41937">
        <w:rPr>
          <w:lang w:val="uk-UA"/>
        </w:rPr>
        <w:t>summary</w:t>
      </w:r>
      <w:proofErr w:type="spellEnd"/>
      <w:r w:rsidRPr="00F41937">
        <w:rPr>
          <w:lang w:val="uk-UA"/>
        </w:rPr>
        <w:t xml:space="preserve"> / </w:t>
      </w:r>
      <w:r w:rsidRPr="00F41937">
        <w:rPr>
          <w:lang w:val="uk-UA"/>
        </w:rPr>
        <w:br/>
        <w:t xml:space="preserve">L. </w:t>
      </w:r>
      <w:proofErr w:type="spellStart"/>
      <w:r w:rsidRPr="00F41937">
        <w:rPr>
          <w:lang w:val="uk-UA"/>
        </w:rPr>
        <w:t>Reden</w:t>
      </w:r>
      <w:proofErr w:type="spellEnd"/>
      <w:r w:rsidRPr="00F41937">
        <w:rPr>
          <w:lang w:val="uk-UA"/>
        </w:rPr>
        <w:t xml:space="preserve">, E. </w:t>
      </w:r>
      <w:proofErr w:type="spellStart"/>
      <w:r w:rsidRPr="00F41937">
        <w:rPr>
          <w:lang w:val="uk-UA"/>
        </w:rPr>
        <w:t>Standl</w:t>
      </w:r>
      <w:proofErr w:type="spellEnd"/>
      <w:r w:rsidRPr="00F41937">
        <w:rPr>
          <w:lang w:val="uk-UA"/>
        </w:rPr>
        <w:t xml:space="preserve">, M. </w:t>
      </w:r>
      <w:proofErr w:type="spellStart"/>
      <w:r w:rsidRPr="00F41937">
        <w:rPr>
          <w:lang w:val="uk-UA"/>
        </w:rPr>
        <w:t>Bartnik</w:t>
      </w:r>
      <w:proofErr w:type="spellEnd"/>
      <w:r w:rsidRPr="00F41937">
        <w:rPr>
          <w:lang w:val="uk-UA"/>
        </w:rPr>
        <w:t xml:space="preserve"> [</w:t>
      </w:r>
      <w:proofErr w:type="spellStart"/>
      <w:r w:rsidRPr="00F41937">
        <w:rPr>
          <w:lang w:val="uk-UA"/>
        </w:rPr>
        <w:t>et</w:t>
      </w:r>
      <w:proofErr w:type="spellEnd"/>
      <w:r w:rsidRPr="00F41937">
        <w:rPr>
          <w:lang w:val="uk-UA"/>
        </w:rPr>
        <w:t xml:space="preserve"> </w:t>
      </w:r>
      <w:proofErr w:type="spellStart"/>
      <w:r w:rsidRPr="00F41937">
        <w:rPr>
          <w:lang w:val="uk-UA"/>
        </w:rPr>
        <w:t>al</w:t>
      </w:r>
      <w:proofErr w:type="spellEnd"/>
      <w:r w:rsidRPr="00F41937">
        <w:rPr>
          <w:lang w:val="uk-UA"/>
        </w:rPr>
        <w:t xml:space="preserve">.] // </w:t>
      </w:r>
      <w:proofErr w:type="spellStart"/>
      <w:r w:rsidRPr="00F41937">
        <w:rPr>
          <w:lang w:val="uk-UA"/>
        </w:rPr>
        <w:t>European</w:t>
      </w:r>
      <w:proofErr w:type="spellEnd"/>
      <w:r w:rsidRPr="00F41937">
        <w:rPr>
          <w:lang w:val="uk-UA"/>
        </w:rPr>
        <w:t xml:space="preserve"> </w:t>
      </w:r>
      <w:proofErr w:type="spellStart"/>
      <w:r w:rsidRPr="00F41937">
        <w:rPr>
          <w:lang w:val="uk-UA"/>
        </w:rPr>
        <w:t>Heart</w:t>
      </w:r>
      <w:proofErr w:type="spellEnd"/>
      <w:r w:rsidRPr="00F41937">
        <w:rPr>
          <w:lang w:val="uk-UA"/>
        </w:rPr>
        <w:t xml:space="preserve"> J. – 2007. – </w:t>
      </w:r>
      <w:proofErr w:type="spellStart"/>
      <w:r w:rsidRPr="00F41937">
        <w:rPr>
          <w:lang w:val="uk-UA"/>
        </w:rPr>
        <w:t>Vol</w:t>
      </w:r>
      <w:proofErr w:type="spellEnd"/>
      <w:r w:rsidRPr="00F41937">
        <w:rPr>
          <w:lang w:val="uk-UA"/>
        </w:rPr>
        <w:t>. 28 (1). – P. 88–136.</w:t>
      </w:r>
    </w:p>
    <w:p w:rsidR="00A1795C" w:rsidRPr="00A1795C" w:rsidRDefault="00A1795C" w:rsidP="00915CA4">
      <w:pPr>
        <w:pStyle w:val="ac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lang w:val="uk-UA"/>
        </w:rPr>
      </w:pPr>
      <w:proofErr w:type="spellStart"/>
      <w:r w:rsidRPr="00A32EA7">
        <w:rPr>
          <w:rStyle w:val="ab"/>
          <w:b w:val="0"/>
          <w:lang w:val="uk-UA"/>
        </w:rPr>
        <w:t>Executive</w:t>
      </w:r>
      <w:proofErr w:type="spellEnd"/>
      <w:r w:rsidRPr="00A32EA7">
        <w:rPr>
          <w:rStyle w:val="ab"/>
          <w:b w:val="0"/>
          <w:lang w:val="uk-UA"/>
        </w:rPr>
        <w:t xml:space="preserve"> </w:t>
      </w:r>
      <w:proofErr w:type="spellStart"/>
      <w:r w:rsidRPr="00A32EA7">
        <w:rPr>
          <w:rStyle w:val="ab"/>
          <w:b w:val="0"/>
          <w:lang w:val="uk-UA"/>
        </w:rPr>
        <w:t>summary</w:t>
      </w:r>
      <w:proofErr w:type="spellEnd"/>
      <w:r w:rsidRPr="00A32EA7">
        <w:rPr>
          <w:rStyle w:val="ab"/>
          <w:b w:val="0"/>
          <w:lang w:val="uk-UA"/>
        </w:rPr>
        <w:t xml:space="preserve"> </w:t>
      </w:r>
      <w:proofErr w:type="spellStart"/>
      <w:r w:rsidRPr="00A32EA7">
        <w:rPr>
          <w:rStyle w:val="ab"/>
          <w:b w:val="0"/>
          <w:lang w:val="uk-UA"/>
        </w:rPr>
        <w:t>of</w:t>
      </w:r>
      <w:proofErr w:type="spellEnd"/>
      <w:r w:rsidRPr="00A32EA7">
        <w:rPr>
          <w:rStyle w:val="ab"/>
          <w:b w:val="0"/>
          <w:lang w:val="uk-UA"/>
        </w:rPr>
        <w:t xml:space="preserve"> </w:t>
      </w:r>
      <w:proofErr w:type="spellStart"/>
      <w:r w:rsidRPr="00A32EA7">
        <w:rPr>
          <w:rStyle w:val="ab"/>
          <w:b w:val="0"/>
          <w:lang w:val="uk-UA"/>
        </w:rPr>
        <w:t>the</w:t>
      </w:r>
      <w:proofErr w:type="spellEnd"/>
      <w:r w:rsidRPr="00A32EA7">
        <w:rPr>
          <w:rStyle w:val="ab"/>
          <w:b w:val="0"/>
          <w:lang w:val="uk-UA"/>
        </w:rPr>
        <w:t xml:space="preserve"> </w:t>
      </w:r>
      <w:proofErr w:type="spellStart"/>
      <w:r w:rsidRPr="00A32EA7">
        <w:rPr>
          <w:rStyle w:val="ab"/>
          <w:b w:val="0"/>
          <w:lang w:val="uk-UA"/>
        </w:rPr>
        <w:t>Third</w:t>
      </w:r>
      <w:proofErr w:type="spellEnd"/>
      <w:r w:rsidRPr="00A32EA7">
        <w:rPr>
          <w:rStyle w:val="ab"/>
          <w:b w:val="0"/>
          <w:lang w:val="uk-UA"/>
        </w:rPr>
        <w:t xml:space="preserve"> </w:t>
      </w:r>
      <w:proofErr w:type="spellStart"/>
      <w:r w:rsidRPr="00A32EA7">
        <w:rPr>
          <w:rStyle w:val="ab"/>
          <w:b w:val="0"/>
          <w:lang w:val="uk-UA"/>
        </w:rPr>
        <w:t>report</w:t>
      </w:r>
      <w:proofErr w:type="spellEnd"/>
      <w:r w:rsidRPr="00A32EA7">
        <w:rPr>
          <w:rStyle w:val="ab"/>
          <w:b w:val="0"/>
          <w:lang w:val="uk-UA"/>
        </w:rPr>
        <w:t xml:space="preserve"> </w:t>
      </w:r>
      <w:proofErr w:type="spellStart"/>
      <w:r w:rsidRPr="00A32EA7">
        <w:rPr>
          <w:rStyle w:val="ab"/>
          <w:b w:val="0"/>
          <w:lang w:val="uk-UA"/>
        </w:rPr>
        <w:t>of</w:t>
      </w:r>
      <w:proofErr w:type="spellEnd"/>
      <w:r w:rsidRPr="00A32EA7">
        <w:rPr>
          <w:rStyle w:val="ab"/>
          <w:b w:val="0"/>
          <w:lang w:val="uk-UA"/>
        </w:rPr>
        <w:t xml:space="preserve"> </w:t>
      </w:r>
      <w:proofErr w:type="spellStart"/>
      <w:r w:rsidRPr="00A32EA7">
        <w:rPr>
          <w:rStyle w:val="ab"/>
          <w:b w:val="0"/>
          <w:lang w:val="uk-UA"/>
        </w:rPr>
        <w:t>the</w:t>
      </w:r>
      <w:proofErr w:type="spellEnd"/>
      <w:r w:rsidRPr="00A32EA7">
        <w:rPr>
          <w:rStyle w:val="ab"/>
          <w:b w:val="0"/>
          <w:lang w:val="uk-UA"/>
        </w:rPr>
        <w:t xml:space="preserve"> </w:t>
      </w:r>
      <w:proofErr w:type="spellStart"/>
      <w:r w:rsidRPr="00A32EA7">
        <w:rPr>
          <w:rStyle w:val="ab"/>
          <w:b w:val="0"/>
          <w:lang w:val="uk-UA"/>
        </w:rPr>
        <w:t>National</w:t>
      </w:r>
      <w:proofErr w:type="spellEnd"/>
      <w:r w:rsidRPr="00A32EA7">
        <w:rPr>
          <w:rStyle w:val="ab"/>
          <w:b w:val="0"/>
          <w:lang w:val="uk-UA"/>
        </w:rPr>
        <w:t xml:space="preserve"> </w:t>
      </w:r>
      <w:proofErr w:type="spellStart"/>
      <w:r w:rsidRPr="00A32EA7">
        <w:rPr>
          <w:rStyle w:val="ab"/>
          <w:b w:val="0"/>
          <w:lang w:val="uk-UA"/>
        </w:rPr>
        <w:t>cholesterol</w:t>
      </w:r>
      <w:proofErr w:type="spellEnd"/>
      <w:r w:rsidRPr="00A32EA7">
        <w:rPr>
          <w:rStyle w:val="ab"/>
          <w:b w:val="0"/>
          <w:lang w:val="uk-UA"/>
        </w:rPr>
        <w:t xml:space="preserve"> </w:t>
      </w:r>
      <w:proofErr w:type="spellStart"/>
      <w:r w:rsidRPr="00A32EA7">
        <w:rPr>
          <w:rStyle w:val="ab"/>
          <w:b w:val="0"/>
          <w:lang w:val="uk-UA"/>
        </w:rPr>
        <w:t>education</w:t>
      </w:r>
      <w:proofErr w:type="spellEnd"/>
      <w:r w:rsidRPr="00A32EA7">
        <w:rPr>
          <w:rStyle w:val="ab"/>
          <w:b w:val="0"/>
          <w:lang w:val="uk-UA"/>
        </w:rPr>
        <w:t xml:space="preserve"> </w:t>
      </w:r>
      <w:proofErr w:type="spellStart"/>
      <w:r w:rsidRPr="00A32EA7">
        <w:rPr>
          <w:rStyle w:val="ab"/>
          <w:b w:val="0"/>
          <w:lang w:val="uk-UA"/>
        </w:rPr>
        <w:t>program</w:t>
      </w:r>
      <w:proofErr w:type="spellEnd"/>
      <w:r w:rsidRPr="00A32EA7">
        <w:rPr>
          <w:rStyle w:val="ab"/>
          <w:b w:val="0"/>
          <w:lang w:val="uk-UA"/>
        </w:rPr>
        <w:t xml:space="preserve"> (NCEP) </w:t>
      </w:r>
      <w:proofErr w:type="spellStart"/>
      <w:r w:rsidRPr="00A32EA7">
        <w:rPr>
          <w:rStyle w:val="ab"/>
          <w:b w:val="0"/>
          <w:lang w:val="uk-UA"/>
        </w:rPr>
        <w:t>Expert</w:t>
      </w:r>
      <w:proofErr w:type="spellEnd"/>
      <w:r w:rsidRPr="00A32EA7">
        <w:rPr>
          <w:rStyle w:val="ab"/>
          <w:b w:val="0"/>
          <w:lang w:val="uk-UA"/>
        </w:rPr>
        <w:t xml:space="preserve"> </w:t>
      </w:r>
      <w:proofErr w:type="spellStart"/>
      <w:r w:rsidRPr="00A32EA7">
        <w:rPr>
          <w:rStyle w:val="ab"/>
          <w:b w:val="0"/>
          <w:lang w:val="uk-UA"/>
        </w:rPr>
        <w:t>panel</w:t>
      </w:r>
      <w:proofErr w:type="spellEnd"/>
      <w:r w:rsidRPr="00A32EA7">
        <w:rPr>
          <w:rStyle w:val="ab"/>
          <w:b w:val="0"/>
          <w:lang w:val="uk-UA"/>
        </w:rPr>
        <w:t xml:space="preserve"> </w:t>
      </w:r>
      <w:proofErr w:type="spellStart"/>
      <w:r w:rsidRPr="00A32EA7">
        <w:rPr>
          <w:rStyle w:val="ab"/>
          <w:b w:val="0"/>
          <w:lang w:val="uk-UA"/>
        </w:rPr>
        <w:t>on</w:t>
      </w:r>
      <w:proofErr w:type="spellEnd"/>
      <w:r w:rsidRPr="00A32EA7">
        <w:rPr>
          <w:rStyle w:val="ab"/>
          <w:b w:val="0"/>
          <w:lang w:val="uk-UA"/>
        </w:rPr>
        <w:t xml:space="preserve"> </w:t>
      </w:r>
      <w:proofErr w:type="spellStart"/>
      <w:r w:rsidRPr="00A32EA7">
        <w:rPr>
          <w:rStyle w:val="ab"/>
          <w:b w:val="0"/>
          <w:lang w:val="uk-UA"/>
        </w:rPr>
        <w:t>detection</w:t>
      </w:r>
      <w:proofErr w:type="spellEnd"/>
      <w:r w:rsidRPr="00A32EA7">
        <w:rPr>
          <w:rStyle w:val="ab"/>
          <w:b w:val="0"/>
          <w:lang w:val="uk-UA"/>
        </w:rPr>
        <w:t xml:space="preserve">, </w:t>
      </w:r>
      <w:proofErr w:type="spellStart"/>
      <w:r w:rsidRPr="00A32EA7">
        <w:rPr>
          <w:rStyle w:val="ab"/>
          <w:b w:val="0"/>
          <w:lang w:val="uk-UA"/>
        </w:rPr>
        <w:t>evaluation</w:t>
      </w:r>
      <w:proofErr w:type="spellEnd"/>
      <w:r w:rsidRPr="00A32EA7">
        <w:rPr>
          <w:rStyle w:val="ab"/>
          <w:b w:val="0"/>
          <w:lang w:val="uk-UA"/>
        </w:rPr>
        <w:t xml:space="preserve">, </w:t>
      </w:r>
      <w:proofErr w:type="spellStart"/>
      <w:r w:rsidRPr="00A32EA7">
        <w:rPr>
          <w:rStyle w:val="ab"/>
          <w:b w:val="0"/>
          <w:lang w:val="uk-UA"/>
        </w:rPr>
        <w:t>and</w:t>
      </w:r>
      <w:proofErr w:type="spellEnd"/>
      <w:r w:rsidRPr="00A32EA7">
        <w:rPr>
          <w:rStyle w:val="ab"/>
          <w:b w:val="0"/>
          <w:lang w:val="uk-UA"/>
        </w:rPr>
        <w:t xml:space="preserve"> </w:t>
      </w:r>
      <w:proofErr w:type="spellStart"/>
      <w:r w:rsidRPr="00A32EA7">
        <w:rPr>
          <w:rStyle w:val="ab"/>
          <w:b w:val="0"/>
          <w:lang w:val="uk-UA"/>
        </w:rPr>
        <w:t>treatment</w:t>
      </w:r>
      <w:proofErr w:type="spellEnd"/>
      <w:r w:rsidRPr="00A32EA7">
        <w:rPr>
          <w:rStyle w:val="ab"/>
          <w:b w:val="0"/>
          <w:lang w:val="uk-UA"/>
        </w:rPr>
        <w:t xml:space="preserve"> </w:t>
      </w:r>
      <w:proofErr w:type="spellStart"/>
      <w:r w:rsidRPr="00A32EA7">
        <w:rPr>
          <w:rStyle w:val="ab"/>
          <w:b w:val="0"/>
          <w:lang w:val="uk-UA"/>
        </w:rPr>
        <w:t>of</w:t>
      </w:r>
      <w:proofErr w:type="spellEnd"/>
      <w:r w:rsidRPr="00A32EA7">
        <w:rPr>
          <w:rStyle w:val="ab"/>
          <w:b w:val="0"/>
          <w:lang w:val="uk-UA"/>
        </w:rPr>
        <w:t xml:space="preserve"> </w:t>
      </w:r>
      <w:proofErr w:type="spellStart"/>
      <w:r w:rsidRPr="00A32EA7">
        <w:rPr>
          <w:rStyle w:val="ab"/>
          <w:b w:val="0"/>
          <w:lang w:val="uk-UA"/>
        </w:rPr>
        <w:t>high</w:t>
      </w:r>
      <w:proofErr w:type="spellEnd"/>
      <w:r w:rsidRPr="00A32EA7">
        <w:rPr>
          <w:rStyle w:val="ab"/>
          <w:b w:val="0"/>
          <w:lang w:val="uk-UA"/>
        </w:rPr>
        <w:t xml:space="preserve"> </w:t>
      </w:r>
      <w:proofErr w:type="spellStart"/>
      <w:r w:rsidRPr="00A32EA7">
        <w:rPr>
          <w:rStyle w:val="ab"/>
          <w:b w:val="0"/>
          <w:lang w:val="uk-UA"/>
        </w:rPr>
        <w:t>blood</w:t>
      </w:r>
      <w:proofErr w:type="spellEnd"/>
      <w:r w:rsidRPr="00A32EA7">
        <w:rPr>
          <w:rStyle w:val="ab"/>
          <w:b w:val="0"/>
          <w:lang w:val="uk-UA"/>
        </w:rPr>
        <w:t xml:space="preserve"> </w:t>
      </w:r>
      <w:proofErr w:type="spellStart"/>
      <w:r w:rsidRPr="00A32EA7">
        <w:rPr>
          <w:rStyle w:val="ab"/>
          <w:b w:val="0"/>
          <w:lang w:val="uk-UA"/>
        </w:rPr>
        <w:t>cholesterol</w:t>
      </w:r>
      <w:proofErr w:type="spellEnd"/>
      <w:r w:rsidRPr="00A32EA7">
        <w:rPr>
          <w:rStyle w:val="ab"/>
          <w:b w:val="0"/>
          <w:lang w:val="uk-UA"/>
        </w:rPr>
        <w:t xml:space="preserve"> </w:t>
      </w:r>
      <w:proofErr w:type="spellStart"/>
      <w:r w:rsidRPr="00A32EA7">
        <w:rPr>
          <w:rStyle w:val="ab"/>
          <w:b w:val="0"/>
          <w:lang w:val="uk-UA"/>
        </w:rPr>
        <w:t>in</w:t>
      </w:r>
      <w:proofErr w:type="spellEnd"/>
      <w:r w:rsidRPr="00A32EA7">
        <w:rPr>
          <w:rStyle w:val="ab"/>
          <w:b w:val="0"/>
          <w:lang w:val="uk-UA"/>
        </w:rPr>
        <w:t xml:space="preserve"> </w:t>
      </w:r>
      <w:proofErr w:type="spellStart"/>
      <w:r w:rsidRPr="00A32EA7">
        <w:rPr>
          <w:rStyle w:val="ab"/>
          <w:b w:val="0"/>
          <w:lang w:val="uk-UA"/>
        </w:rPr>
        <w:t>adults</w:t>
      </w:r>
      <w:proofErr w:type="spellEnd"/>
      <w:r w:rsidRPr="00A32EA7">
        <w:rPr>
          <w:rStyle w:val="ab"/>
          <w:b w:val="0"/>
          <w:lang w:val="uk-UA"/>
        </w:rPr>
        <w:t xml:space="preserve"> (</w:t>
      </w:r>
      <w:proofErr w:type="spellStart"/>
      <w:r w:rsidRPr="00A32EA7">
        <w:rPr>
          <w:rStyle w:val="ab"/>
          <w:b w:val="0"/>
          <w:lang w:val="uk-UA"/>
        </w:rPr>
        <w:t>Adult</w:t>
      </w:r>
      <w:proofErr w:type="spellEnd"/>
      <w:r w:rsidRPr="00A32EA7">
        <w:rPr>
          <w:rStyle w:val="ab"/>
          <w:b w:val="0"/>
          <w:lang w:val="uk-UA"/>
        </w:rPr>
        <w:t xml:space="preserve"> </w:t>
      </w:r>
      <w:proofErr w:type="spellStart"/>
      <w:r w:rsidRPr="00A32EA7">
        <w:rPr>
          <w:rStyle w:val="ab"/>
          <w:b w:val="0"/>
          <w:lang w:val="uk-UA"/>
        </w:rPr>
        <w:t>Treatment</w:t>
      </w:r>
      <w:proofErr w:type="spellEnd"/>
      <w:r w:rsidRPr="00A32EA7">
        <w:rPr>
          <w:rStyle w:val="ab"/>
          <w:b w:val="0"/>
          <w:lang w:val="uk-UA"/>
        </w:rPr>
        <w:t xml:space="preserve"> </w:t>
      </w:r>
      <w:proofErr w:type="spellStart"/>
      <w:r w:rsidRPr="00A32EA7">
        <w:rPr>
          <w:rStyle w:val="ab"/>
          <w:b w:val="0"/>
          <w:lang w:val="uk-UA"/>
        </w:rPr>
        <w:t>Panel</w:t>
      </w:r>
      <w:proofErr w:type="spellEnd"/>
      <w:r w:rsidRPr="00A32EA7">
        <w:rPr>
          <w:rStyle w:val="ab"/>
          <w:b w:val="0"/>
          <w:lang w:val="uk-UA"/>
        </w:rPr>
        <w:t xml:space="preserve"> III) </w:t>
      </w:r>
      <w:r w:rsidRPr="00A32EA7">
        <w:rPr>
          <w:rStyle w:val="ab"/>
          <w:lang w:val="uk-UA"/>
        </w:rPr>
        <w:t xml:space="preserve">// </w:t>
      </w:r>
      <w:r w:rsidRPr="00A32EA7">
        <w:rPr>
          <w:rStyle w:val="a4"/>
          <w:i w:val="0"/>
          <w:lang w:val="uk-UA"/>
        </w:rPr>
        <w:t>JAMA</w:t>
      </w:r>
      <w:r w:rsidRPr="00A32EA7">
        <w:rPr>
          <w:rStyle w:val="a4"/>
          <w:lang w:val="uk-UA"/>
        </w:rPr>
        <w:t>.</w:t>
      </w:r>
      <w:r w:rsidRPr="00A1795C">
        <w:rPr>
          <w:rStyle w:val="a4"/>
          <w:lang w:val="uk-UA"/>
        </w:rPr>
        <w:t xml:space="preserve"> – </w:t>
      </w:r>
      <w:r w:rsidRPr="00A1795C">
        <w:rPr>
          <w:bCs/>
          <w:lang w:val="uk-UA"/>
        </w:rPr>
        <w:t xml:space="preserve">2001. – </w:t>
      </w:r>
      <w:proofErr w:type="spellStart"/>
      <w:r w:rsidRPr="00A1795C">
        <w:rPr>
          <w:bCs/>
          <w:lang w:val="uk-UA"/>
        </w:rPr>
        <w:t>Vol</w:t>
      </w:r>
      <w:proofErr w:type="spellEnd"/>
      <w:r w:rsidRPr="00A1795C">
        <w:rPr>
          <w:bCs/>
          <w:lang w:val="uk-UA"/>
        </w:rPr>
        <w:t>. 285. – P. 2486–2497.</w:t>
      </w:r>
    </w:p>
    <w:p w:rsidR="00190D41" w:rsidRPr="001445F9" w:rsidRDefault="00190D41" w:rsidP="00915CA4">
      <w:pPr>
        <w:numPr>
          <w:ilvl w:val="0"/>
          <w:numId w:val="1"/>
        </w:numPr>
        <w:spacing w:line="360" w:lineRule="auto"/>
        <w:ind w:hanging="720"/>
        <w:jc w:val="both"/>
        <w:rPr>
          <w:lang w:val="uk-UA"/>
        </w:rPr>
      </w:pPr>
      <w:proofErr w:type="spellStart"/>
      <w:r w:rsidRPr="001445F9">
        <w:rPr>
          <w:lang w:val="uk-UA"/>
        </w:rPr>
        <w:t>James</w:t>
      </w:r>
      <w:proofErr w:type="spellEnd"/>
      <w:r w:rsidRPr="001445F9">
        <w:rPr>
          <w:lang w:val="uk-UA"/>
        </w:rPr>
        <w:t xml:space="preserve"> W.P.T. </w:t>
      </w:r>
      <w:proofErr w:type="spellStart"/>
      <w:r w:rsidRPr="001445F9">
        <w:rPr>
          <w:lang w:val="uk-UA"/>
        </w:rPr>
        <w:t>The</w:t>
      </w:r>
      <w:proofErr w:type="spellEnd"/>
      <w:r w:rsidRPr="001445F9">
        <w:rPr>
          <w:lang w:val="uk-UA"/>
        </w:rPr>
        <w:t xml:space="preserve"> </w:t>
      </w:r>
      <w:proofErr w:type="spellStart"/>
      <w:r w:rsidRPr="001445F9">
        <w:rPr>
          <w:lang w:val="uk-UA"/>
        </w:rPr>
        <w:t>obesity</w:t>
      </w:r>
      <w:proofErr w:type="spellEnd"/>
      <w:r w:rsidRPr="001445F9">
        <w:rPr>
          <w:lang w:val="uk-UA"/>
        </w:rPr>
        <w:t xml:space="preserve"> </w:t>
      </w:r>
      <w:proofErr w:type="spellStart"/>
      <w:r w:rsidRPr="001445F9">
        <w:rPr>
          <w:lang w:val="uk-UA"/>
        </w:rPr>
        <w:t>epidemic</w:t>
      </w:r>
      <w:proofErr w:type="spellEnd"/>
      <w:r w:rsidRPr="001445F9">
        <w:rPr>
          <w:lang w:val="uk-UA"/>
        </w:rPr>
        <w:t xml:space="preserve">, </w:t>
      </w:r>
      <w:proofErr w:type="spellStart"/>
      <w:r w:rsidRPr="001445F9">
        <w:rPr>
          <w:lang w:val="uk-UA"/>
        </w:rPr>
        <w:t>metabolic</w:t>
      </w:r>
      <w:proofErr w:type="spellEnd"/>
      <w:r w:rsidRPr="001445F9">
        <w:rPr>
          <w:lang w:val="uk-UA"/>
        </w:rPr>
        <w:t xml:space="preserve"> </w:t>
      </w:r>
      <w:proofErr w:type="spellStart"/>
      <w:r w:rsidRPr="001445F9">
        <w:rPr>
          <w:lang w:val="uk-UA"/>
        </w:rPr>
        <w:t>syndrome</w:t>
      </w:r>
      <w:proofErr w:type="spellEnd"/>
      <w:r w:rsidRPr="001445F9">
        <w:rPr>
          <w:lang w:val="uk-UA"/>
        </w:rPr>
        <w:t xml:space="preserve"> </w:t>
      </w:r>
      <w:proofErr w:type="spellStart"/>
      <w:r w:rsidRPr="001445F9">
        <w:rPr>
          <w:lang w:val="uk-UA"/>
        </w:rPr>
        <w:t>and</w:t>
      </w:r>
      <w:proofErr w:type="spellEnd"/>
      <w:r w:rsidRPr="001445F9">
        <w:rPr>
          <w:lang w:val="uk-UA"/>
        </w:rPr>
        <w:t xml:space="preserve"> </w:t>
      </w:r>
      <w:proofErr w:type="spellStart"/>
      <w:r w:rsidRPr="001445F9">
        <w:rPr>
          <w:lang w:val="uk-UA"/>
        </w:rPr>
        <w:t>future</w:t>
      </w:r>
      <w:proofErr w:type="spellEnd"/>
      <w:r w:rsidRPr="001445F9">
        <w:rPr>
          <w:lang w:val="uk-UA"/>
        </w:rPr>
        <w:t xml:space="preserve"> </w:t>
      </w:r>
      <w:proofErr w:type="spellStart"/>
      <w:r w:rsidRPr="001445F9">
        <w:rPr>
          <w:lang w:val="uk-UA"/>
        </w:rPr>
        <w:t>prevention</w:t>
      </w:r>
      <w:proofErr w:type="spellEnd"/>
      <w:r w:rsidRPr="001445F9">
        <w:rPr>
          <w:lang w:val="uk-UA"/>
        </w:rPr>
        <w:t xml:space="preserve"> </w:t>
      </w:r>
      <w:proofErr w:type="spellStart"/>
      <w:r w:rsidRPr="001445F9">
        <w:rPr>
          <w:lang w:val="uk-UA"/>
        </w:rPr>
        <w:t>strategiens</w:t>
      </w:r>
      <w:proofErr w:type="spellEnd"/>
      <w:r w:rsidRPr="001445F9">
        <w:rPr>
          <w:lang w:val="uk-UA"/>
        </w:rPr>
        <w:t xml:space="preserve"> / W.P.T. </w:t>
      </w:r>
      <w:proofErr w:type="spellStart"/>
      <w:r w:rsidRPr="001445F9">
        <w:rPr>
          <w:lang w:val="uk-UA"/>
        </w:rPr>
        <w:t>James</w:t>
      </w:r>
      <w:proofErr w:type="spellEnd"/>
      <w:r w:rsidRPr="001445F9">
        <w:rPr>
          <w:lang w:val="uk-UA"/>
        </w:rPr>
        <w:t xml:space="preserve">, N. </w:t>
      </w:r>
      <w:proofErr w:type="spellStart"/>
      <w:r w:rsidRPr="001445F9">
        <w:rPr>
          <w:lang w:val="uk-UA"/>
        </w:rPr>
        <w:t>Rigby</w:t>
      </w:r>
      <w:proofErr w:type="spellEnd"/>
      <w:r w:rsidRPr="001445F9">
        <w:rPr>
          <w:lang w:val="uk-UA"/>
        </w:rPr>
        <w:t xml:space="preserve">, R. </w:t>
      </w:r>
      <w:proofErr w:type="spellStart"/>
      <w:r w:rsidRPr="001445F9">
        <w:rPr>
          <w:lang w:val="uk-UA"/>
        </w:rPr>
        <w:t>Leach</w:t>
      </w:r>
      <w:proofErr w:type="spellEnd"/>
      <w:r w:rsidRPr="001445F9">
        <w:rPr>
          <w:lang w:val="uk-UA"/>
        </w:rPr>
        <w:t xml:space="preserve"> // </w:t>
      </w:r>
      <w:proofErr w:type="spellStart"/>
      <w:r w:rsidRPr="001445F9">
        <w:rPr>
          <w:lang w:val="uk-UA"/>
        </w:rPr>
        <w:t>European</w:t>
      </w:r>
      <w:proofErr w:type="spellEnd"/>
      <w:r w:rsidRPr="001445F9">
        <w:rPr>
          <w:lang w:val="uk-UA"/>
        </w:rPr>
        <w:t xml:space="preserve"> J. </w:t>
      </w:r>
      <w:proofErr w:type="spellStart"/>
      <w:r w:rsidRPr="001445F9">
        <w:rPr>
          <w:lang w:val="uk-UA"/>
        </w:rPr>
        <w:t>Cardiovascular</w:t>
      </w:r>
      <w:proofErr w:type="spellEnd"/>
      <w:r w:rsidRPr="001445F9">
        <w:rPr>
          <w:lang w:val="uk-UA"/>
        </w:rPr>
        <w:t xml:space="preserve"> </w:t>
      </w:r>
      <w:proofErr w:type="spellStart"/>
      <w:r w:rsidRPr="001445F9">
        <w:rPr>
          <w:lang w:val="uk-UA"/>
        </w:rPr>
        <w:t>Prev</w:t>
      </w:r>
      <w:proofErr w:type="spellEnd"/>
      <w:r w:rsidRPr="001445F9">
        <w:rPr>
          <w:lang w:val="uk-UA"/>
        </w:rPr>
        <w:t xml:space="preserve">. </w:t>
      </w:r>
      <w:proofErr w:type="spellStart"/>
      <w:r w:rsidRPr="001445F9">
        <w:rPr>
          <w:lang w:val="uk-UA"/>
        </w:rPr>
        <w:t>Rehabil</w:t>
      </w:r>
      <w:proofErr w:type="spellEnd"/>
      <w:r w:rsidRPr="001445F9">
        <w:rPr>
          <w:lang w:val="uk-UA"/>
        </w:rPr>
        <w:t xml:space="preserve">. – 2004. – </w:t>
      </w:r>
      <w:proofErr w:type="spellStart"/>
      <w:r w:rsidRPr="001445F9">
        <w:rPr>
          <w:lang w:val="uk-UA"/>
        </w:rPr>
        <w:t>Vol</w:t>
      </w:r>
      <w:proofErr w:type="spellEnd"/>
      <w:r w:rsidRPr="001445F9">
        <w:rPr>
          <w:lang w:val="uk-UA"/>
        </w:rPr>
        <w:t>. 11. – P. 3–8.</w:t>
      </w:r>
    </w:p>
    <w:p w:rsidR="00190D41" w:rsidRPr="001445F9" w:rsidRDefault="00190D41" w:rsidP="00915CA4">
      <w:pPr>
        <w:numPr>
          <w:ilvl w:val="0"/>
          <w:numId w:val="1"/>
        </w:numPr>
        <w:spacing w:line="360" w:lineRule="auto"/>
        <w:ind w:hanging="720"/>
        <w:jc w:val="both"/>
        <w:rPr>
          <w:lang w:val="uk-UA"/>
        </w:rPr>
      </w:pPr>
      <w:proofErr w:type="spellStart"/>
      <w:r>
        <w:rPr>
          <w:lang w:val="en-US"/>
        </w:rPr>
        <w:t>Messerli</w:t>
      </w:r>
      <w:proofErr w:type="spellEnd"/>
      <w:r>
        <w:rPr>
          <w:lang w:val="en-US"/>
        </w:rPr>
        <w:t xml:space="preserve"> F.H. Cardiovascular disease in the elderly. Second edition /edited by F.H. </w:t>
      </w:r>
      <w:proofErr w:type="spellStart"/>
      <w:r>
        <w:rPr>
          <w:lang w:val="en-US"/>
        </w:rPr>
        <w:t>Messerli</w:t>
      </w:r>
      <w:proofErr w:type="spellEnd"/>
      <w:r>
        <w:rPr>
          <w:lang w:val="en-US"/>
        </w:rPr>
        <w:t>. – 1998. – 375 p.</w:t>
      </w:r>
    </w:p>
    <w:p w:rsidR="00A92062" w:rsidRPr="001445F9" w:rsidRDefault="00A92062" w:rsidP="00915CA4">
      <w:pPr>
        <w:numPr>
          <w:ilvl w:val="0"/>
          <w:numId w:val="1"/>
        </w:numPr>
        <w:spacing w:line="360" w:lineRule="auto"/>
        <w:ind w:hanging="720"/>
        <w:jc w:val="both"/>
        <w:rPr>
          <w:lang w:val="uk-UA"/>
        </w:rPr>
      </w:pPr>
      <w:proofErr w:type="spellStart"/>
      <w:r w:rsidRPr="001445F9">
        <w:rPr>
          <w:lang w:val="uk-UA"/>
        </w:rPr>
        <w:t>National</w:t>
      </w:r>
      <w:proofErr w:type="spellEnd"/>
      <w:r w:rsidRPr="001445F9">
        <w:rPr>
          <w:lang w:val="uk-UA"/>
        </w:rPr>
        <w:t xml:space="preserve"> </w:t>
      </w:r>
      <w:proofErr w:type="spellStart"/>
      <w:r w:rsidRPr="001445F9">
        <w:rPr>
          <w:lang w:val="uk-UA"/>
        </w:rPr>
        <w:t>Task</w:t>
      </w:r>
      <w:proofErr w:type="spellEnd"/>
      <w:r w:rsidRPr="001445F9">
        <w:rPr>
          <w:lang w:val="uk-UA"/>
        </w:rPr>
        <w:t xml:space="preserve"> </w:t>
      </w:r>
      <w:proofErr w:type="spellStart"/>
      <w:r w:rsidRPr="001445F9">
        <w:rPr>
          <w:lang w:val="uk-UA"/>
        </w:rPr>
        <w:t>Force</w:t>
      </w:r>
      <w:proofErr w:type="spellEnd"/>
      <w:r w:rsidRPr="001445F9">
        <w:rPr>
          <w:lang w:val="uk-UA"/>
        </w:rPr>
        <w:t xml:space="preserve"> </w:t>
      </w:r>
      <w:proofErr w:type="spellStart"/>
      <w:r w:rsidRPr="001445F9">
        <w:rPr>
          <w:lang w:val="uk-UA"/>
        </w:rPr>
        <w:t>on</w:t>
      </w:r>
      <w:proofErr w:type="spellEnd"/>
      <w:r w:rsidRPr="001445F9">
        <w:rPr>
          <w:lang w:val="uk-UA"/>
        </w:rPr>
        <w:t xml:space="preserve"> </w:t>
      </w:r>
      <w:proofErr w:type="spellStart"/>
      <w:r w:rsidRPr="001445F9">
        <w:rPr>
          <w:lang w:val="uk-UA"/>
        </w:rPr>
        <w:t>Treatment</w:t>
      </w:r>
      <w:proofErr w:type="spellEnd"/>
      <w:r w:rsidRPr="001445F9">
        <w:rPr>
          <w:lang w:val="uk-UA"/>
        </w:rPr>
        <w:t xml:space="preserve"> </w:t>
      </w:r>
      <w:proofErr w:type="spellStart"/>
      <w:r w:rsidRPr="001445F9">
        <w:rPr>
          <w:lang w:val="uk-UA"/>
        </w:rPr>
        <w:t>of</w:t>
      </w:r>
      <w:proofErr w:type="spellEnd"/>
      <w:r w:rsidRPr="001445F9">
        <w:rPr>
          <w:lang w:val="uk-UA"/>
        </w:rPr>
        <w:t xml:space="preserve"> </w:t>
      </w:r>
      <w:proofErr w:type="spellStart"/>
      <w:r w:rsidRPr="001445F9">
        <w:rPr>
          <w:lang w:val="uk-UA"/>
        </w:rPr>
        <w:t>obesity</w:t>
      </w:r>
      <w:proofErr w:type="spellEnd"/>
      <w:r w:rsidRPr="001445F9">
        <w:rPr>
          <w:lang w:val="uk-UA"/>
        </w:rPr>
        <w:t xml:space="preserve">. </w:t>
      </w:r>
      <w:proofErr w:type="spellStart"/>
      <w:r w:rsidRPr="001445F9">
        <w:rPr>
          <w:lang w:val="uk-UA"/>
        </w:rPr>
        <w:t>Overweight</w:t>
      </w:r>
      <w:proofErr w:type="spellEnd"/>
      <w:r w:rsidRPr="001445F9">
        <w:rPr>
          <w:lang w:val="uk-UA"/>
        </w:rPr>
        <w:t xml:space="preserve">, </w:t>
      </w:r>
      <w:proofErr w:type="spellStart"/>
      <w:r w:rsidRPr="001445F9">
        <w:rPr>
          <w:lang w:val="uk-UA"/>
        </w:rPr>
        <w:t>obesity</w:t>
      </w:r>
      <w:proofErr w:type="spellEnd"/>
      <w:r w:rsidRPr="001445F9">
        <w:rPr>
          <w:lang w:val="uk-UA"/>
        </w:rPr>
        <w:t xml:space="preserve"> </w:t>
      </w:r>
      <w:proofErr w:type="spellStart"/>
      <w:r w:rsidRPr="001445F9">
        <w:rPr>
          <w:lang w:val="uk-UA"/>
        </w:rPr>
        <w:t>and</w:t>
      </w:r>
      <w:proofErr w:type="spellEnd"/>
      <w:r w:rsidRPr="001445F9">
        <w:rPr>
          <w:lang w:val="uk-UA"/>
        </w:rPr>
        <w:t xml:space="preserve"> </w:t>
      </w:r>
      <w:proofErr w:type="spellStart"/>
      <w:r w:rsidRPr="001445F9">
        <w:rPr>
          <w:lang w:val="uk-UA"/>
        </w:rPr>
        <w:t>health</w:t>
      </w:r>
      <w:proofErr w:type="spellEnd"/>
      <w:r w:rsidRPr="001445F9">
        <w:rPr>
          <w:lang w:val="uk-UA"/>
        </w:rPr>
        <w:t xml:space="preserve"> </w:t>
      </w:r>
      <w:proofErr w:type="spellStart"/>
      <w:r w:rsidRPr="001445F9">
        <w:rPr>
          <w:lang w:val="uk-UA"/>
        </w:rPr>
        <w:t>risk</w:t>
      </w:r>
      <w:proofErr w:type="spellEnd"/>
      <w:r w:rsidRPr="001445F9">
        <w:rPr>
          <w:lang w:val="uk-UA"/>
        </w:rPr>
        <w:t xml:space="preserve"> // </w:t>
      </w:r>
      <w:proofErr w:type="spellStart"/>
      <w:r w:rsidRPr="001445F9">
        <w:rPr>
          <w:lang w:val="uk-UA"/>
        </w:rPr>
        <w:t>Arch</w:t>
      </w:r>
      <w:proofErr w:type="spellEnd"/>
      <w:r w:rsidRPr="001445F9">
        <w:rPr>
          <w:lang w:val="uk-UA"/>
        </w:rPr>
        <w:t xml:space="preserve">. </w:t>
      </w:r>
      <w:proofErr w:type="spellStart"/>
      <w:r w:rsidRPr="001445F9">
        <w:rPr>
          <w:lang w:val="uk-UA"/>
        </w:rPr>
        <w:t>Іntern</w:t>
      </w:r>
      <w:proofErr w:type="spellEnd"/>
      <w:r w:rsidRPr="001445F9">
        <w:rPr>
          <w:lang w:val="uk-UA"/>
        </w:rPr>
        <w:t xml:space="preserve">. </w:t>
      </w:r>
      <w:proofErr w:type="spellStart"/>
      <w:r w:rsidRPr="001445F9">
        <w:rPr>
          <w:lang w:val="uk-UA"/>
        </w:rPr>
        <w:t>Med</w:t>
      </w:r>
      <w:proofErr w:type="spellEnd"/>
      <w:r w:rsidRPr="001445F9">
        <w:rPr>
          <w:lang w:val="uk-UA"/>
        </w:rPr>
        <w:t xml:space="preserve">. – 2000. – </w:t>
      </w:r>
      <w:proofErr w:type="spellStart"/>
      <w:r w:rsidRPr="001445F9">
        <w:rPr>
          <w:lang w:val="uk-UA"/>
        </w:rPr>
        <w:t>Vol</w:t>
      </w:r>
      <w:proofErr w:type="spellEnd"/>
      <w:r w:rsidRPr="001445F9">
        <w:rPr>
          <w:lang w:val="uk-UA"/>
        </w:rPr>
        <w:t>. 160. – P. 898–904.</w:t>
      </w:r>
    </w:p>
    <w:p w:rsidR="00A92062" w:rsidRPr="001445F9" w:rsidRDefault="00A92062" w:rsidP="00915CA4">
      <w:pPr>
        <w:numPr>
          <w:ilvl w:val="0"/>
          <w:numId w:val="1"/>
        </w:numPr>
        <w:spacing w:line="360" w:lineRule="auto"/>
        <w:ind w:hanging="720"/>
        <w:jc w:val="both"/>
        <w:rPr>
          <w:lang w:val="uk-UA"/>
        </w:rPr>
      </w:pPr>
      <w:proofErr w:type="spellStart"/>
      <w:r w:rsidRPr="001445F9">
        <w:rPr>
          <w:lang w:val="uk-UA"/>
        </w:rPr>
        <w:t>Obesity</w:t>
      </w:r>
      <w:proofErr w:type="spellEnd"/>
      <w:r w:rsidRPr="001445F9">
        <w:rPr>
          <w:lang w:val="uk-UA"/>
        </w:rPr>
        <w:t xml:space="preserve"> </w:t>
      </w:r>
      <w:proofErr w:type="spellStart"/>
      <w:r w:rsidRPr="001445F9">
        <w:rPr>
          <w:lang w:val="uk-UA"/>
        </w:rPr>
        <w:t>as</w:t>
      </w:r>
      <w:proofErr w:type="spellEnd"/>
      <w:r w:rsidRPr="001445F9">
        <w:rPr>
          <w:lang w:val="uk-UA"/>
        </w:rPr>
        <w:t xml:space="preserve"> </w:t>
      </w:r>
      <w:proofErr w:type="spellStart"/>
      <w:r w:rsidRPr="001445F9">
        <w:rPr>
          <w:lang w:val="uk-UA"/>
        </w:rPr>
        <w:t>an</w:t>
      </w:r>
      <w:proofErr w:type="spellEnd"/>
      <w:r w:rsidRPr="001445F9">
        <w:rPr>
          <w:lang w:val="uk-UA"/>
        </w:rPr>
        <w:t xml:space="preserve"> </w:t>
      </w:r>
      <w:proofErr w:type="spellStart"/>
      <w:r w:rsidRPr="001445F9">
        <w:rPr>
          <w:lang w:val="uk-UA"/>
        </w:rPr>
        <w:t>independent</w:t>
      </w:r>
      <w:proofErr w:type="spellEnd"/>
      <w:r w:rsidRPr="001445F9">
        <w:rPr>
          <w:lang w:val="uk-UA"/>
        </w:rPr>
        <w:t xml:space="preserve"> </w:t>
      </w:r>
      <w:proofErr w:type="spellStart"/>
      <w:r w:rsidRPr="001445F9">
        <w:rPr>
          <w:lang w:val="uk-UA"/>
        </w:rPr>
        <w:t>risk</w:t>
      </w:r>
      <w:proofErr w:type="spellEnd"/>
      <w:r w:rsidRPr="001445F9">
        <w:rPr>
          <w:lang w:val="uk-UA"/>
        </w:rPr>
        <w:t xml:space="preserve"> </w:t>
      </w:r>
      <w:proofErr w:type="spellStart"/>
      <w:r w:rsidRPr="001445F9">
        <w:rPr>
          <w:lang w:val="uk-UA"/>
        </w:rPr>
        <w:t>factor</w:t>
      </w:r>
      <w:proofErr w:type="spellEnd"/>
      <w:r w:rsidRPr="001445F9">
        <w:rPr>
          <w:lang w:val="uk-UA"/>
        </w:rPr>
        <w:t xml:space="preserve"> </w:t>
      </w:r>
      <w:proofErr w:type="spellStart"/>
      <w:r w:rsidRPr="001445F9">
        <w:rPr>
          <w:lang w:val="uk-UA"/>
        </w:rPr>
        <w:t>for</w:t>
      </w:r>
      <w:proofErr w:type="spellEnd"/>
      <w:r w:rsidRPr="001445F9">
        <w:rPr>
          <w:lang w:val="uk-UA"/>
        </w:rPr>
        <w:t xml:space="preserve"> </w:t>
      </w:r>
      <w:proofErr w:type="spellStart"/>
      <w:r w:rsidRPr="001445F9">
        <w:rPr>
          <w:lang w:val="uk-UA"/>
        </w:rPr>
        <w:t>cardiovascular</w:t>
      </w:r>
      <w:proofErr w:type="spellEnd"/>
      <w:r w:rsidRPr="001445F9">
        <w:rPr>
          <w:lang w:val="uk-UA"/>
        </w:rPr>
        <w:t xml:space="preserve"> </w:t>
      </w:r>
      <w:proofErr w:type="spellStart"/>
      <w:r w:rsidRPr="001445F9">
        <w:rPr>
          <w:lang w:val="uk-UA"/>
        </w:rPr>
        <w:t>disease</w:t>
      </w:r>
      <w:proofErr w:type="spellEnd"/>
      <w:r w:rsidRPr="001445F9">
        <w:rPr>
          <w:lang w:val="uk-UA"/>
        </w:rPr>
        <w:t xml:space="preserve">. A 26 </w:t>
      </w:r>
      <w:proofErr w:type="spellStart"/>
      <w:r w:rsidRPr="001445F9">
        <w:rPr>
          <w:lang w:val="uk-UA"/>
        </w:rPr>
        <w:t>year</w:t>
      </w:r>
      <w:proofErr w:type="spellEnd"/>
      <w:r w:rsidRPr="001445F9">
        <w:rPr>
          <w:lang w:val="uk-UA"/>
        </w:rPr>
        <w:t xml:space="preserve"> </w:t>
      </w:r>
      <w:proofErr w:type="spellStart"/>
      <w:r w:rsidRPr="001445F9">
        <w:rPr>
          <w:lang w:val="uk-UA"/>
        </w:rPr>
        <w:t>follow</w:t>
      </w:r>
      <w:proofErr w:type="spellEnd"/>
      <w:r w:rsidRPr="001445F9">
        <w:rPr>
          <w:lang w:val="uk-UA"/>
        </w:rPr>
        <w:t xml:space="preserve"> </w:t>
      </w:r>
      <w:proofErr w:type="spellStart"/>
      <w:r w:rsidRPr="001445F9">
        <w:rPr>
          <w:lang w:val="uk-UA"/>
        </w:rPr>
        <w:t>up</w:t>
      </w:r>
      <w:proofErr w:type="spellEnd"/>
      <w:r w:rsidRPr="001445F9">
        <w:rPr>
          <w:lang w:val="uk-UA"/>
        </w:rPr>
        <w:t xml:space="preserve"> </w:t>
      </w:r>
      <w:proofErr w:type="spellStart"/>
      <w:r w:rsidRPr="001445F9">
        <w:rPr>
          <w:lang w:val="uk-UA"/>
        </w:rPr>
        <w:t>of</w:t>
      </w:r>
      <w:proofErr w:type="spellEnd"/>
      <w:r w:rsidRPr="001445F9">
        <w:rPr>
          <w:lang w:val="uk-UA"/>
        </w:rPr>
        <w:t xml:space="preserve"> </w:t>
      </w:r>
      <w:proofErr w:type="spellStart"/>
      <w:r w:rsidRPr="001445F9">
        <w:rPr>
          <w:lang w:val="uk-UA"/>
        </w:rPr>
        <w:t>participants</w:t>
      </w:r>
      <w:proofErr w:type="spellEnd"/>
      <w:r w:rsidRPr="001445F9">
        <w:rPr>
          <w:lang w:val="uk-UA"/>
        </w:rPr>
        <w:t xml:space="preserve"> </w:t>
      </w:r>
      <w:proofErr w:type="spellStart"/>
      <w:r w:rsidRPr="001445F9">
        <w:rPr>
          <w:lang w:val="uk-UA"/>
        </w:rPr>
        <w:t>in</w:t>
      </w:r>
      <w:proofErr w:type="spellEnd"/>
      <w:r w:rsidRPr="001445F9">
        <w:rPr>
          <w:lang w:val="uk-UA"/>
        </w:rPr>
        <w:t xml:space="preserve"> </w:t>
      </w:r>
      <w:proofErr w:type="spellStart"/>
      <w:r w:rsidRPr="001445F9">
        <w:rPr>
          <w:lang w:val="uk-UA"/>
        </w:rPr>
        <w:t>the</w:t>
      </w:r>
      <w:proofErr w:type="spellEnd"/>
      <w:r w:rsidRPr="001445F9">
        <w:rPr>
          <w:lang w:val="uk-UA"/>
        </w:rPr>
        <w:t xml:space="preserve"> </w:t>
      </w:r>
      <w:proofErr w:type="spellStart"/>
      <w:r w:rsidRPr="001445F9">
        <w:rPr>
          <w:lang w:val="uk-UA"/>
        </w:rPr>
        <w:t>Framingham</w:t>
      </w:r>
      <w:proofErr w:type="spellEnd"/>
      <w:r w:rsidRPr="001445F9">
        <w:rPr>
          <w:lang w:val="uk-UA"/>
        </w:rPr>
        <w:t xml:space="preserve"> </w:t>
      </w:r>
      <w:proofErr w:type="spellStart"/>
      <w:r w:rsidRPr="001445F9">
        <w:rPr>
          <w:lang w:val="uk-UA"/>
        </w:rPr>
        <w:t>heart</w:t>
      </w:r>
      <w:proofErr w:type="spellEnd"/>
      <w:r w:rsidRPr="001445F9">
        <w:rPr>
          <w:lang w:val="uk-UA"/>
        </w:rPr>
        <w:t xml:space="preserve"> </w:t>
      </w:r>
      <w:proofErr w:type="spellStart"/>
      <w:r w:rsidRPr="001445F9">
        <w:rPr>
          <w:lang w:val="uk-UA"/>
        </w:rPr>
        <w:t>study</w:t>
      </w:r>
      <w:proofErr w:type="spellEnd"/>
      <w:r w:rsidRPr="001445F9">
        <w:rPr>
          <w:lang w:val="uk-UA"/>
        </w:rPr>
        <w:t xml:space="preserve"> // H.B. </w:t>
      </w:r>
      <w:proofErr w:type="spellStart"/>
      <w:r w:rsidRPr="001445F9">
        <w:rPr>
          <w:lang w:val="uk-UA"/>
        </w:rPr>
        <w:t>Hubert</w:t>
      </w:r>
      <w:proofErr w:type="spellEnd"/>
      <w:r w:rsidRPr="001445F9">
        <w:rPr>
          <w:lang w:val="uk-UA"/>
        </w:rPr>
        <w:t xml:space="preserve">, </w:t>
      </w:r>
      <w:r w:rsidRPr="001445F9">
        <w:rPr>
          <w:lang w:val="en-US"/>
        </w:rPr>
        <w:br/>
      </w:r>
      <w:r w:rsidRPr="001445F9">
        <w:rPr>
          <w:lang w:val="uk-UA"/>
        </w:rPr>
        <w:t xml:space="preserve">M. </w:t>
      </w:r>
      <w:proofErr w:type="spellStart"/>
      <w:r w:rsidRPr="001445F9">
        <w:rPr>
          <w:lang w:val="uk-UA"/>
        </w:rPr>
        <w:t>Feinleib</w:t>
      </w:r>
      <w:proofErr w:type="spellEnd"/>
      <w:r w:rsidRPr="001445F9">
        <w:rPr>
          <w:lang w:val="uk-UA"/>
        </w:rPr>
        <w:t xml:space="preserve">, P.M. </w:t>
      </w:r>
      <w:proofErr w:type="spellStart"/>
      <w:r w:rsidRPr="001445F9">
        <w:rPr>
          <w:lang w:val="uk-UA"/>
        </w:rPr>
        <w:t>McNamara</w:t>
      </w:r>
      <w:proofErr w:type="spellEnd"/>
      <w:r w:rsidRPr="001445F9">
        <w:rPr>
          <w:lang w:val="uk-UA"/>
        </w:rPr>
        <w:t xml:space="preserve"> [</w:t>
      </w:r>
      <w:proofErr w:type="spellStart"/>
      <w:r w:rsidRPr="001445F9">
        <w:rPr>
          <w:lang w:val="uk-UA"/>
        </w:rPr>
        <w:t>et</w:t>
      </w:r>
      <w:proofErr w:type="spellEnd"/>
      <w:r w:rsidRPr="001445F9">
        <w:rPr>
          <w:lang w:val="uk-UA"/>
        </w:rPr>
        <w:t xml:space="preserve"> </w:t>
      </w:r>
      <w:proofErr w:type="spellStart"/>
      <w:r w:rsidRPr="001445F9">
        <w:rPr>
          <w:lang w:val="uk-UA"/>
        </w:rPr>
        <w:t>al</w:t>
      </w:r>
      <w:proofErr w:type="spellEnd"/>
      <w:r w:rsidRPr="001445F9">
        <w:rPr>
          <w:lang w:val="uk-UA"/>
        </w:rPr>
        <w:t xml:space="preserve">.] / </w:t>
      </w:r>
      <w:proofErr w:type="spellStart"/>
      <w:r w:rsidRPr="001445F9">
        <w:rPr>
          <w:lang w:val="uk-UA"/>
        </w:rPr>
        <w:t>Circulation</w:t>
      </w:r>
      <w:proofErr w:type="spellEnd"/>
      <w:r w:rsidRPr="001445F9">
        <w:rPr>
          <w:lang w:val="uk-UA"/>
        </w:rPr>
        <w:t xml:space="preserve">. – 1983. – </w:t>
      </w:r>
      <w:proofErr w:type="spellStart"/>
      <w:r w:rsidRPr="001445F9">
        <w:rPr>
          <w:lang w:val="uk-UA"/>
        </w:rPr>
        <w:t>Vol</w:t>
      </w:r>
      <w:proofErr w:type="spellEnd"/>
      <w:r w:rsidRPr="001445F9">
        <w:rPr>
          <w:lang w:val="uk-UA"/>
        </w:rPr>
        <w:t>. 67. – P. 968–977.</w:t>
      </w:r>
    </w:p>
    <w:p w:rsidR="00F41937" w:rsidRDefault="00F41937" w:rsidP="00915CA4">
      <w:pPr>
        <w:numPr>
          <w:ilvl w:val="0"/>
          <w:numId w:val="1"/>
        </w:numPr>
        <w:spacing w:line="360" w:lineRule="auto"/>
        <w:ind w:hanging="720"/>
        <w:jc w:val="both"/>
        <w:rPr>
          <w:lang w:val="uk-UA"/>
        </w:rPr>
      </w:pPr>
      <w:r>
        <w:rPr>
          <w:lang w:val="en-US"/>
        </w:rPr>
        <w:lastRenderedPageBreak/>
        <w:t>Sacks</w:t>
      </w:r>
      <w:r w:rsidRPr="00F41937">
        <w:rPr>
          <w:lang w:val="uk-UA"/>
        </w:rPr>
        <w:t xml:space="preserve"> </w:t>
      </w:r>
      <w:r>
        <w:rPr>
          <w:lang w:val="en-US"/>
        </w:rPr>
        <w:t>F</w:t>
      </w:r>
      <w:r w:rsidRPr="00F41937">
        <w:rPr>
          <w:lang w:val="uk-UA"/>
        </w:rPr>
        <w:t>.</w:t>
      </w:r>
      <w:r>
        <w:rPr>
          <w:lang w:val="en-US"/>
        </w:rPr>
        <w:t>M</w:t>
      </w:r>
      <w:r w:rsidRPr="00F41937">
        <w:rPr>
          <w:lang w:val="uk-UA"/>
        </w:rPr>
        <w:t xml:space="preserve">., </w:t>
      </w:r>
      <w:proofErr w:type="spellStart"/>
      <w:r>
        <w:rPr>
          <w:lang w:val="en-US"/>
        </w:rPr>
        <w:t>Svetkey</w:t>
      </w:r>
      <w:proofErr w:type="spellEnd"/>
      <w:r w:rsidRPr="00F41937">
        <w:rPr>
          <w:lang w:val="uk-UA"/>
        </w:rPr>
        <w:t xml:space="preserve"> </w:t>
      </w:r>
      <w:r>
        <w:rPr>
          <w:lang w:val="en-US"/>
        </w:rPr>
        <w:t>L</w:t>
      </w:r>
      <w:r w:rsidRPr="00F41937">
        <w:rPr>
          <w:lang w:val="uk-UA"/>
        </w:rPr>
        <w:t>.</w:t>
      </w:r>
      <w:r>
        <w:rPr>
          <w:lang w:val="en-US"/>
        </w:rPr>
        <w:t>P</w:t>
      </w:r>
      <w:r w:rsidRPr="00F41937">
        <w:rPr>
          <w:lang w:val="uk-UA"/>
        </w:rPr>
        <w:t xml:space="preserve">., </w:t>
      </w:r>
      <w:r>
        <w:rPr>
          <w:lang w:val="en-US"/>
        </w:rPr>
        <w:t>Vollmer</w:t>
      </w:r>
      <w:r w:rsidRPr="00F41937">
        <w:rPr>
          <w:lang w:val="uk-UA"/>
        </w:rPr>
        <w:t xml:space="preserve"> </w:t>
      </w:r>
      <w:r>
        <w:rPr>
          <w:lang w:val="en-US"/>
        </w:rPr>
        <w:t>W</w:t>
      </w:r>
      <w:r w:rsidRPr="00F41937">
        <w:rPr>
          <w:lang w:val="uk-UA"/>
        </w:rPr>
        <w:t>.</w:t>
      </w:r>
      <w:r>
        <w:rPr>
          <w:lang w:val="en-US"/>
        </w:rPr>
        <w:t>M</w:t>
      </w:r>
      <w:r w:rsidRPr="00F41937">
        <w:rPr>
          <w:lang w:val="uk-UA"/>
        </w:rPr>
        <w:t xml:space="preserve">. </w:t>
      </w:r>
      <w:r>
        <w:rPr>
          <w:lang w:val="en-US"/>
        </w:rPr>
        <w:t>et</w:t>
      </w:r>
      <w:r w:rsidRPr="00F41937">
        <w:rPr>
          <w:lang w:val="uk-UA"/>
        </w:rPr>
        <w:t xml:space="preserve"> </w:t>
      </w:r>
      <w:r>
        <w:rPr>
          <w:lang w:val="en-US"/>
        </w:rPr>
        <w:t>al</w:t>
      </w:r>
      <w:r w:rsidRPr="00F41937">
        <w:rPr>
          <w:lang w:val="uk-UA"/>
        </w:rPr>
        <w:t xml:space="preserve">. </w:t>
      </w:r>
      <w:r>
        <w:rPr>
          <w:lang w:val="en-US"/>
        </w:rPr>
        <w:t>DASH-Sodium Collaborative Re</w:t>
      </w:r>
      <w:r w:rsidR="000E70E4">
        <w:rPr>
          <w:lang w:val="en-US"/>
        </w:rPr>
        <w:t xml:space="preserve">search Group. Effects on blood pressure of reduced dietary sodium and the Dietary Approaches to Stop Hypertension (DASH) diet // N. Engl. </w:t>
      </w:r>
      <w:proofErr w:type="spellStart"/>
      <w:r w:rsidR="000E70E4">
        <w:rPr>
          <w:lang w:val="en-US"/>
        </w:rPr>
        <w:t>J.Med</w:t>
      </w:r>
      <w:proofErr w:type="spellEnd"/>
      <w:r w:rsidR="000E70E4">
        <w:rPr>
          <w:lang w:val="en-US"/>
        </w:rPr>
        <w:t>. – 2001. – Vol.344. – P. 3–10.</w:t>
      </w:r>
    </w:p>
    <w:p w:rsidR="00A92062" w:rsidRPr="000B78C8" w:rsidRDefault="00A92062" w:rsidP="00915CA4">
      <w:pPr>
        <w:numPr>
          <w:ilvl w:val="0"/>
          <w:numId w:val="1"/>
        </w:numPr>
        <w:spacing w:line="360" w:lineRule="auto"/>
        <w:ind w:hanging="720"/>
        <w:jc w:val="both"/>
        <w:rPr>
          <w:lang w:val="uk-UA"/>
        </w:rPr>
      </w:pPr>
      <w:proofErr w:type="spellStart"/>
      <w:r w:rsidRPr="000B78C8">
        <w:rPr>
          <w:lang w:val="uk-UA"/>
        </w:rPr>
        <w:t>Standl</w:t>
      </w:r>
      <w:proofErr w:type="spellEnd"/>
      <w:r w:rsidRPr="000B78C8">
        <w:rPr>
          <w:lang w:val="uk-UA"/>
        </w:rPr>
        <w:t xml:space="preserve"> E. </w:t>
      </w:r>
      <w:proofErr w:type="spellStart"/>
      <w:r w:rsidRPr="000B78C8">
        <w:rPr>
          <w:lang w:val="uk-UA"/>
        </w:rPr>
        <w:t>Aetiology</w:t>
      </w:r>
      <w:proofErr w:type="spellEnd"/>
      <w:r w:rsidRPr="000B78C8">
        <w:rPr>
          <w:lang w:val="uk-UA"/>
        </w:rPr>
        <w:t xml:space="preserve"> </w:t>
      </w:r>
      <w:proofErr w:type="spellStart"/>
      <w:r w:rsidRPr="000B78C8">
        <w:rPr>
          <w:lang w:val="uk-UA"/>
        </w:rPr>
        <w:t>and</w:t>
      </w:r>
      <w:proofErr w:type="spellEnd"/>
      <w:r w:rsidRPr="000B78C8">
        <w:rPr>
          <w:lang w:val="uk-UA"/>
        </w:rPr>
        <w:t xml:space="preserve"> </w:t>
      </w:r>
      <w:proofErr w:type="spellStart"/>
      <w:r w:rsidRPr="000B78C8">
        <w:rPr>
          <w:lang w:val="uk-UA"/>
        </w:rPr>
        <w:t>consequences</w:t>
      </w:r>
      <w:proofErr w:type="spellEnd"/>
      <w:r w:rsidRPr="000B78C8">
        <w:rPr>
          <w:lang w:val="uk-UA"/>
        </w:rPr>
        <w:t xml:space="preserve"> </w:t>
      </w:r>
      <w:proofErr w:type="spellStart"/>
      <w:r w:rsidRPr="000B78C8">
        <w:rPr>
          <w:lang w:val="uk-UA"/>
        </w:rPr>
        <w:t>of</w:t>
      </w:r>
      <w:proofErr w:type="spellEnd"/>
      <w:r w:rsidRPr="000B78C8">
        <w:rPr>
          <w:lang w:val="uk-UA"/>
        </w:rPr>
        <w:t xml:space="preserve"> </w:t>
      </w:r>
      <w:proofErr w:type="spellStart"/>
      <w:r w:rsidRPr="000B78C8">
        <w:rPr>
          <w:lang w:val="uk-UA"/>
        </w:rPr>
        <w:t>the</w:t>
      </w:r>
      <w:proofErr w:type="spellEnd"/>
      <w:r w:rsidRPr="000B78C8">
        <w:rPr>
          <w:lang w:val="uk-UA"/>
        </w:rPr>
        <w:t xml:space="preserve"> </w:t>
      </w:r>
      <w:proofErr w:type="spellStart"/>
      <w:r w:rsidRPr="000B78C8">
        <w:rPr>
          <w:lang w:val="uk-UA"/>
        </w:rPr>
        <w:t>metabolic</w:t>
      </w:r>
      <w:proofErr w:type="spellEnd"/>
      <w:r w:rsidRPr="000B78C8">
        <w:rPr>
          <w:lang w:val="uk-UA"/>
        </w:rPr>
        <w:t xml:space="preserve"> </w:t>
      </w:r>
      <w:proofErr w:type="spellStart"/>
      <w:r w:rsidRPr="000B78C8">
        <w:rPr>
          <w:lang w:val="uk-UA"/>
        </w:rPr>
        <w:t>syndrome</w:t>
      </w:r>
      <w:proofErr w:type="spellEnd"/>
      <w:r w:rsidRPr="000B78C8">
        <w:rPr>
          <w:lang w:val="uk-UA"/>
        </w:rPr>
        <w:t xml:space="preserve"> / E. </w:t>
      </w:r>
      <w:proofErr w:type="spellStart"/>
      <w:r w:rsidRPr="000B78C8">
        <w:rPr>
          <w:lang w:val="uk-UA"/>
        </w:rPr>
        <w:t>Standl</w:t>
      </w:r>
      <w:proofErr w:type="spellEnd"/>
      <w:r w:rsidRPr="000B78C8">
        <w:rPr>
          <w:lang w:val="uk-UA"/>
        </w:rPr>
        <w:t xml:space="preserve"> // </w:t>
      </w:r>
      <w:proofErr w:type="spellStart"/>
      <w:r w:rsidRPr="000B78C8">
        <w:rPr>
          <w:lang w:val="uk-UA"/>
        </w:rPr>
        <w:t>European</w:t>
      </w:r>
      <w:proofErr w:type="spellEnd"/>
      <w:r w:rsidRPr="000B78C8">
        <w:rPr>
          <w:lang w:val="uk-UA"/>
        </w:rPr>
        <w:t xml:space="preserve"> </w:t>
      </w:r>
      <w:proofErr w:type="spellStart"/>
      <w:r w:rsidRPr="000B78C8">
        <w:rPr>
          <w:lang w:val="uk-UA"/>
        </w:rPr>
        <w:t>Heart</w:t>
      </w:r>
      <w:proofErr w:type="spellEnd"/>
      <w:r w:rsidRPr="000B78C8">
        <w:rPr>
          <w:lang w:val="uk-UA"/>
        </w:rPr>
        <w:t xml:space="preserve"> </w:t>
      </w:r>
      <w:proofErr w:type="spellStart"/>
      <w:r w:rsidRPr="000B78C8">
        <w:rPr>
          <w:lang w:val="uk-UA"/>
        </w:rPr>
        <w:t>Journal</w:t>
      </w:r>
      <w:proofErr w:type="spellEnd"/>
      <w:r w:rsidRPr="000B78C8">
        <w:rPr>
          <w:lang w:val="uk-UA"/>
        </w:rPr>
        <w:t xml:space="preserve">. – 2005. – </w:t>
      </w:r>
      <w:proofErr w:type="spellStart"/>
      <w:r w:rsidRPr="000B78C8">
        <w:rPr>
          <w:lang w:val="uk-UA"/>
        </w:rPr>
        <w:t>Vol</w:t>
      </w:r>
      <w:proofErr w:type="spellEnd"/>
      <w:r w:rsidRPr="000B78C8">
        <w:rPr>
          <w:lang w:val="uk-UA"/>
        </w:rPr>
        <w:t>. 7 (D). – P. 10–13.</w:t>
      </w:r>
    </w:p>
    <w:p w:rsidR="00086334" w:rsidRPr="00F41937" w:rsidRDefault="00086334" w:rsidP="00915CA4">
      <w:pPr>
        <w:numPr>
          <w:ilvl w:val="0"/>
          <w:numId w:val="1"/>
        </w:numPr>
        <w:tabs>
          <w:tab w:val="left" w:pos="1080"/>
        </w:tabs>
        <w:spacing w:line="360" w:lineRule="auto"/>
        <w:ind w:hanging="720"/>
        <w:jc w:val="both"/>
        <w:rPr>
          <w:lang w:val="uk-UA"/>
        </w:rPr>
      </w:pPr>
      <w:proofErr w:type="spellStart"/>
      <w:r w:rsidRPr="00F41937">
        <w:rPr>
          <w:lang w:val="uk-UA"/>
        </w:rPr>
        <w:t>Visceral</w:t>
      </w:r>
      <w:proofErr w:type="spellEnd"/>
      <w:r w:rsidRPr="00F41937">
        <w:rPr>
          <w:lang w:val="uk-UA"/>
        </w:rPr>
        <w:t xml:space="preserve"> </w:t>
      </w:r>
      <w:proofErr w:type="spellStart"/>
      <w:r w:rsidRPr="00F41937">
        <w:rPr>
          <w:lang w:val="uk-UA"/>
        </w:rPr>
        <w:t>adiposity</w:t>
      </w:r>
      <w:proofErr w:type="spellEnd"/>
      <w:r w:rsidRPr="00F41937">
        <w:rPr>
          <w:lang w:val="uk-UA"/>
        </w:rPr>
        <w:t xml:space="preserve"> </w:t>
      </w:r>
      <w:proofErr w:type="spellStart"/>
      <w:r w:rsidRPr="00F41937">
        <w:rPr>
          <w:lang w:val="uk-UA"/>
        </w:rPr>
        <w:t>and</w:t>
      </w:r>
      <w:proofErr w:type="spellEnd"/>
      <w:r w:rsidRPr="00F41937">
        <w:rPr>
          <w:lang w:val="uk-UA"/>
        </w:rPr>
        <w:t xml:space="preserve"> </w:t>
      </w:r>
      <w:proofErr w:type="spellStart"/>
      <w:r w:rsidRPr="00F41937">
        <w:rPr>
          <w:lang w:val="uk-UA"/>
        </w:rPr>
        <w:t>risk</w:t>
      </w:r>
      <w:proofErr w:type="spellEnd"/>
      <w:r w:rsidRPr="00F41937">
        <w:rPr>
          <w:lang w:val="uk-UA"/>
        </w:rPr>
        <w:t xml:space="preserve"> </w:t>
      </w:r>
      <w:proofErr w:type="spellStart"/>
      <w:r w:rsidRPr="00F41937">
        <w:rPr>
          <w:lang w:val="uk-UA"/>
        </w:rPr>
        <w:t>of</w:t>
      </w:r>
      <w:proofErr w:type="spellEnd"/>
      <w:r w:rsidRPr="00F41937">
        <w:rPr>
          <w:lang w:val="uk-UA"/>
        </w:rPr>
        <w:t xml:space="preserve"> </w:t>
      </w:r>
      <w:proofErr w:type="spellStart"/>
      <w:r w:rsidRPr="00F41937">
        <w:rPr>
          <w:lang w:val="uk-UA"/>
        </w:rPr>
        <w:t>impaired</w:t>
      </w:r>
      <w:proofErr w:type="spellEnd"/>
      <w:r w:rsidRPr="00F41937">
        <w:rPr>
          <w:lang w:val="uk-UA"/>
        </w:rPr>
        <w:t xml:space="preserve"> </w:t>
      </w:r>
      <w:proofErr w:type="spellStart"/>
      <w:r w:rsidRPr="00F41937">
        <w:rPr>
          <w:lang w:val="uk-UA"/>
        </w:rPr>
        <w:t>glucose</w:t>
      </w:r>
      <w:proofErr w:type="spellEnd"/>
      <w:r w:rsidRPr="00F41937">
        <w:rPr>
          <w:lang w:val="uk-UA"/>
        </w:rPr>
        <w:t xml:space="preserve"> </w:t>
      </w:r>
      <w:proofErr w:type="spellStart"/>
      <w:r w:rsidRPr="00F41937">
        <w:rPr>
          <w:lang w:val="uk-UA"/>
        </w:rPr>
        <w:t>tolerance</w:t>
      </w:r>
      <w:proofErr w:type="spellEnd"/>
      <w:r w:rsidRPr="00F41937">
        <w:rPr>
          <w:lang w:val="uk-UA"/>
        </w:rPr>
        <w:t xml:space="preserve">: a </w:t>
      </w:r>
      <w:proofErr w:type="spellStart"/>
      <w:r w:rsidRPr="00F41937">
        <w:rPr>
          <w:lang w:val="uk-UA"/>
        </w:rPr>
        <w:t>prospective</w:t>
      </w:r>
      <w:proofErr w:type="spellEnd"/>
      <w:r w:rsidRPr="00F41937">
        <w:rPr>
          <w:lang w:val="uk-UA"/>
        </w:rPr>
        <w:t xml:space="preserve"> </w:t>
      </w:r>
      <w:proofErr w:type="spellStart"/>
      <w:r w:rsidRPr="00F41937">
        <w:rPr>
          <w:lang w:val="uk-UA"/>
        </w:rPr>
        <w:t>study</w:t>
      </w:r>
      <w:proofErr w:type="spellEnd"/>
      <w:r w:rsidRPr="00F41937">
        <w:rPr>
          <w:lang w:val="uk-UA"/>
        </w:rPr>
        <w:t xml:space="preserve"> </w:t>
      </w:r>
      <w:proofErr w:type="spellStart"/>
      <w:r w:rsidRPr="00F41937">
        <w:rPr>
          <w:lang w:val="uk-UA"/>
        </w:rPr>
        <w:t>among</w:t>
      </w:r>
      <w:proofErr w:type="spellEnd"/>
      <w:r w:rsidRPr="00F41937">
        <w:rPr>
          <w:lang w:val="uk-UA"/>
        </w:rPr>
        <w:t xml:space="preserve"> </w:t>
      </w:r>
      <w:proofErr w:type="spellStart"/>
      <w:r w:rsidRPr="00F41937">
        <w:rPr>
          <w:lang w:val="uk-UA"/>
        </w:rPr>
        <w:t>Japanessricans</w:t>
      </w:r>
      <w:proofErr w:type="spellEnd"/>
      <w:r w:rsidRPr="00F41937">
        <w:rPr>
          <w:lang w:val="uk-UA"/>
        </w:rPr>
        <w:t xml:space="preserve"> / T. </w:t>
      </w:r>
      <w:proofErr w:type="spellStart"/>
      <w:r w:rsidRPr="00F41937">
        <w:rPr>
          <w:lang w:val="uk-UA"/>
        </w:rPr>
        <w:t>Hayashi</w:t>
      </w:r>
      <w:proofErr w:type="spellEnd"/>
      <w:r w:rsidRPr="00F41937">
        <w:rPr>
          <w:lang w:val="uk-UA"/>
        </w:rPr>
        <w:t xml:space="preserve">, E.J. </w:t>
      </w:r>
      <w:proofErr w:type="spellStart"/>
      <w:r w:rsidRPr="00F41937">
        <w:rPr>
          <w:lang w:val="uk-UA"/>
        </w:rPr>
        <w:t>Boyko</w:t>
      </w:r>
      <w:proofErr w:type="spellEnd"/>
      <w:r w:rsidRPr="00F41937">
        <w:rPr>
          <w:lang w:val="uk-UA"/>
        </w:rPr>
        <w:t xml:space="preserve">, D.L. </w:t>
      </w:r>
      <w:proofErr w:type="spellStart"/>
      <w:r w:rsidRPr="00F41937">
        <w:rPr>
          <w:lang w:val="uk-UA"/>
        </w:rPr>
        <w:t>Leonetti</w:t>
      </w:r>
      <w:proofErr w:type="spellEnd"/>
      <w:r w:rsidRPr="00F41937">
        <w:rPr>
          <w:lang w:val="uk-UA"/>
        </w:rPr>
        <w:t xml:space="preserve"> [</w:t>
      </w:r>
      <w:proofErr w:type="spellStart"/>
      <w:r w:rsidRPr="00F41937">
        <w:rPr>
          <w:lang w:val="uk-UA"/>
        </w:rPr>
        <w:t>et</w:t>
      </w:r>
      <w:proofErr w:type="spellEnd"/>
      <w:r w:rsidRPr="00F41937">
        <w:rPr>
          <w:lang w:val="uk-UA"/>
        </w:rPr>
        <w:t xml:space="preserve"> </w:t>
      </w:r>
      <w:proofErr w:type="spellStart"/>
      <w:r w:rsidRPr="00F41937">
        <w:rPr>
          <w:lang w:val="uk-UA"/>
        </w:rPr>
        <w:t>al</w:t>
      </w:r>
      <w:proofErr w:type="spellEnd"/>
      <w:r w:rsidRPr="00F41937">
        <w:rPr>
          <w:lang w:val="uk-UA"/>
        </w:rPr>
        <w:t xml:space="preserve">.] // </w:t>
      </w:r>
      <w:proofErr w:type="spellStart"/>
      <w:r w:rsidRPr="00F41937">
        <w:rPr>
          <w:lang w:val="uk-UA"/>
        </w:rPr>
        <w:t>Diabetes</w:t>
      </w:r>
      <w:proofErr w:type="spellEnd"/>
      <w:r w:rsidRPr="00F41937">
        <w:rPr>
          <w:lang w:val="uk-UA"/>
        </w:rPr>
        <w:t xml:space="preserve"> </w:t>
      </w:r>
      <w:proofErr w:type="spellStart"/>
      <w:r w:rsidRPr="00F41937">
        <w:rPr>
          <w:lang w:val="uk-UA"/>
        </w:rPr>
        <w:t>Care</w:t>
      </w:r>
      <w:proofErr w:type="spellEnd"/>
      <w:r w:rsidRPr="00F41937">
        <w:rPr>
          <w:lang w:val="uk-UA"/>
        </w:rPr>
        <w:t xml:space="preserve">. – 2003. – </w:t>
      </w:r>
      <w:proofErr w:type="spellStart"/>
      <w:r w:rsidRPr="00F41937">
        <w:rPr>
          <w:lang w:val="uk-UA"/>
        </w:rPr>
        <w:t>Vol</w:t>
      </w:r>
      <w:proofErr w:type="spellEnd"/>
      <w:r w:rsidRPr="00F41937">
        <w:rPr>
          <w:lang w:val="uk-UA"/>
        </w:rPr>
        <w:t>. 26. – P. 650–655.</w:t>
      </w:r>
    </w:p>
    <w:p w:rsidR="00A92062" w:rsidRDefault="00A92062" w:rsidP="00915CA4">
      <w:pPr>
        <w:tabs>
          <w:tab w:val="left" w:pos="1080"/>
        </w:tabs>
        <w:spacing w:line="360" w:lineRule="auto"/>
        <w:jc w:val="both"/>
        <w:rPr>
          <w:iCs/>
          <w:color w:val="333333"/>
          <w:lang w:val="uk-UA"/>
        </w:rPr>
      </w:pPr>
    </w:p>
    <w:p w:rsidR="00A61EEB" w:rsidRDefault="00A61EEB" w:rsidP="00915CA4">
      <w:pPr>
        <w:spacing w:line="360" w:lineRule="auto"/>
        <w:jc w:val="center"/>
        <w:rPr>
          <w:b/>
          <w:lang w:val="uk-UA"/>
        </w:rPr>
      </w:pPr>
    </w:p>
    <w:p w:rsidR="00A61EEB" w:rsidRDefault="00A61EEB" w:rsidP="00915CA4">
      <w:pPr>
        <w:spacing w:line="360" w:lineRule="auto"/>
        <w:jc w:val="center"/>
        <w:rPr>
          <w:b/>
          <w:lang w:val="uk-UA"/>
        </w:rPr>
      </w:pPr>
    </w:p>
    <w:p w:rsidR="00A61EEB" w:rsidRDefault="00A61EEB" w:rsidP="00915CA4">
      <w:pPr>
        <w:spacing w:line="360" w:lineRule="auto"/>
        <w:jc w:val="center"/>
        <w:rPr>
          <w:b/>
          <w:lang w:val="uk-UA"/>
        </w:rPr>
      </w:pPr>
    </w:p>
    <w:p w:rsidR="00A61EEB" w:rsidRDefault="00A61EEB" w:rsidP="00915CA4">
      <w:pPr>
        <w:spacing w:line="360" w:lineRule="auto"/>
        <w:jc w:val="center"/>
        <w:rPr>
          <w:b/>
          <w:lang w:val="uk-UA"/>
        </w:rPr>
      </w:pPr>
    </w:p>
    <w:p w:rsidR="00A61EEB" w:rsidRDefault="00A61EEB" w:rsidP="00915CA4">
      <w:pPr>
        <w:spacing w:line="360" w:lineRule="auto"/>
        <w:jc w:val="center"/>
        <w:rPr>
          <w:b/>
          <w:lang w:val="uk-UA"/>
        </w:rPr>
      </w:pPr>
    </w:p>
    <w:p w:rsidR="00A61EEB" w:rsidRDefault="00A61EEB" w:rsidP="00915CA4">
      <w:pPr>
        <w:spacing w:line="360" w:lineRule="auto"/>
        <w:jc w:val="center"/>
        <w:rPr>
          <w:b/>
          <w:lang w:val="uk-UA"/>
        </w:rPr>
      </w:pPr>
    </w:p>
    <w:p w:rsidR="00A61EEB" w:rsidRDefault="00A61EEB" w:rsidP="00915CA4">
      <w:pPr>
        <w:spacing w:line="360" w:lineRule="auto"/>
        <w:jc w:val="center"/>
        <w:rPr>
          <w:b/>
          <w:lang w:val="uk-UA"/>
        </w:rPr>
      </w:pPr>
    </w:p>
    <w:p w:rsidR="00A61EEB" w:rsidRDefault="00A61EEB" w:rsidP="00915CA4">
      <w:pPr>
        <w:spacing w:line="360" w:lineRule="auto"/>
        <w:jc w:val="center"/>
        <w:rPr>
          <w:b/>
          <w:lang w:val="uk-UA"/>
        </w:rPr>
      </w:pPr>
    </w:p>
    <w:p w:rsidR="00A61EEB" w:rsidRDefault="00A61EEB" w:rsidP="00915CA4">
      <w:pPr>
        <w:spacing w:line="360" w:lineRule="auto"/>
        <w:jc w:val="center"/>
        <w:rPr>
          <w:b/>
          <w:lang w:val="uk-UA"/>
        </w:rPr>
      </w:pPr>
    </w:p>
    <w:p w:rsidR="00A61EEB" w:rsidRDefault="00A61EEB" w:rsidP="00915CA4">
      <w:pPr>
        <w:spacing w:line="360" w:lineRule="auto"/>
        <w:jc w:val="center"/>
        <w:rPr>
          <w:b/>
          <w:lang w:val="uk-UA"/>
        </w:rPr>
      </w:pPr>
    </w:p>
    <w:p w:rsidR="00A61EEB" w:rsidRDefault="00A61EEB" w:rsidP="00915CA4">
      <w:pPr>
        <w:spacing w:line="360" w:lineRule="auto"/>
        <w:jc w:val="center"/>
        <w:rPr>
          <w:b/>
          <w:lang w:val="uk-UA"/>
        </w:rPr>
      </w:pPr>
    </w:p>
    <w:p w:rsidR="00A61EEB" w:rsidRDefault="00A61EEB" w:rsidP="00915CA4">
      <w:pPr>
        <w:spacing w:line="360" w:lineRule="auto"/>
        <w:jc w:val="center"/>
        <w:rPr>
          <w:b/>
          <w:lang w:val="uk-UA"/>
        </w:rPr>
      </w:pPr>
    </w:p>
    <w:p w:rsidR="00A61EEB" w:rsidRDefault="00A61EEB" w:rsidP="00915CA4">
      <w:pPr>
        <w:spacing w:line="360" w:lineRule="auto"/>
        <w:jc w:val="center"/>
        <w:rPr>
          <w:b/>
          <w:lang w:val="uk-UA"/>
        </w:rPr>
      </w:pPr>
    </w:p>
    <w:p w:rsidR="00A61EEB" w:rsidRDefault="00A61EEB" w:rsidP="00915CA4">
      <w:pPr>
        <w:spacing w:line="360" w:lineRule="auto"/>
        <w:jc w:val="center"/>
        <w:rPr>
          <w:b/>
          <w:lang w:val="uk-UA"/>
        </w:rPr>
      </w:pPr>
    </w:p>
    <w:p w:rsidR="00A61EEB" w:rsidRDefault="00A61EEB" w:rsidP="00915CA4">
      <w:pPr>
        <w:spacing w:line="360" w:lineRule="auto"/>
        <w:jc w:val="center"/>
        <w:rPr>
          <w:b/>
          <w:lang w:val="uk-UA"/>
        </w:rPr>
      </w:pPr>
    </w:p>
    <w:p w:rsidR="00A61EEB" w:rsidRDefault="00A61EEB" w:rsidP="00915CA4">
      <w:pPr>
        <w:spacing w:line="360" w:lineRule="auto"/>
        <w:jc w:val="center"/>
        <w:rPr>
          <w:b/>
          <w:lang w:val="uk-UA"/>
        </w:rPr>
      </w:pPr>
    </w:p>
    <w:p w:rsidR="00A61EEB" w:rsidRDefault="00A61EEB" w:rsidP="00915CA4">
      <w:pPr>
        <w:spacing w:line="360" w:lineRule="auto"/>
        <w:jc w:val="center"/>
        <w:rPr>
          <w:b/>
          <w:lang w:val="uk-UA"/>
        </w:rPr>
      </w:pPr>
    </w:p>
    <w:p w:rsidR="00A61EEB" w:rsidRDefault="00A61EEB" w:rsidP="00915CA4">
      <w:pPr>
        <w:spacing w:line="360" w:lineRule="auto"/>
        <w:jc w:val="center"/>
        <w:rPr>
          <w:b/>
          <w:lang w:val="uk-UA"/>
        </w:rPr>
      </w:pPr>
    </w:p>
    <w:p w:rsidR="00A61EEB" w:rsidRDefault="00A61EEB" w:rsidP="00915CA4">
      <w:pPr>
        <w:spacing w:line="360" w:lineRule="auto"/>
        <w:jc w:val="center"/>
        <w:rPr>
          <w:b/>
          <w:lang w:val="uk-UA"/>
        </w:rPr>
      </w:pPr>
    </w:p>
    <w:p w:rsidR="00A61EEB" w:rsidRDefault="00A61EEB" w:rsidP="00915CA4">
      <w:pPr>
        <w:spacing w:line="360" w:lineRule="auto"/>
        <w:jc w:val="center"/>
        <w:rPr>
          <w:b/>
          <w:lang w:val="uk-UA"/>
        </w:rPr>
      </w:pPr>
    </w:p>
    <w:p w:rsidR="00A61EEB" w:rsidRDefault="00A61EEB" w:rsidP="00915CA4">
      <w:pPr>
        <w:spacing w:line="360" w:lineRule="auto"/>
        <w:jc w:val="center"/>
        <w:rPr>
          <w:b/>
          <w:lang w:val="uk-UA"/>
        </w:rPr>
      </w:pPr>
    </w:p>
    <w:p w:rsidR="00A61EEB" w:rsidRDefault="00A61EEB" w:rsidP="00915CA4">
      <w:pPr>
        <w:spacing w:line="360" w:lineRule="auto"/>
        <w:jc w:val="center"/>
        <w:rPr>
          <w:b/>
          <w:lang w:val="uk-UA"/>
        </w:rPr>
      </w:pPr>
    </w:p>
    <w:p w:rsidR="00A61EEB" w:rsidRDefault="00A61EEB" w:rsidP="00915CA4">
      <w:pPr>
        <w:spacing w:line="360" w:lineRule="auto"/>
        <w:jc w:val="center"/>
        <w:rPr>
          <w:b/>
          <w:lang w:val="uk-UA"/>
        </w:rPr>
      </w:pPr>
    </w:p>
    <w:p w:rsidR="00A61EEB" w:rsidRDefault="00A61EEB" w:rsidP="00915CA4">
      <w:pPr>
        <w:spacing w:line="360" w:lineRule="auto"/>
        <w:jc w:val="center"/>
        <w:rPr>
          <w:b/>
          <w:lang w:val="uk-UA"/>
        </w:rPr>
      </w:pPr>
    </w:p>
    <w:p w:rsidR="00A61EEB" w:rsidRDefault="00A61EEB" w:rsidP="00915CA4">
      <w:pPr>
        <w:spacing w:line="360" w:lineRule="auto"/>
        <w:jc w:val="center"/>
        <w:rPr>
          <w:b/>
          <w:lang w:val="uk-UA"/>
        </w:rPr>
      </w:pPr>
    </w:p>
    <w:sectPr w:rsidR="00A61EEB" w:rsidSect="00CD0080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1331"/>
    <w:multiLevelType w:val="hybridMultilevel"/>
    <w:tmpl w:val="8BE6A192"/>
    <w:lvl w:ilvl="0" w:tplc="C6321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2578FF"/>
    <w:multiLevelType w:val="hybridMultilevel"/>
    <w:tmpl w:val="2FCC07D2"/>
    <w:lvl w:ilvl="0" w:tplc="4EF0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225130"/>
    <w:multiLevelType w:val="hybridMultilevel"/>
    <w:tmpl w:val="F630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EB4"/>
    <w:rsid w:val="00001639"/>
    <w:rsid w:val="00023FBE"/>
    <w:rsid w:val="00026C30"/>
    <w:rsid w:val="000350F3"/>
    <w:rsid w:val="00053589"/>
    <w:rsid w:val="00070D6B"/>
    <w:rsid w:val="00074EF2"/>
    <w:rsid w:val="000761BD"/>
    <w:rsid w:val="0008191F"/>
    <w:rsid w:val="00086334"/>
    <w:rsid w:val="00095791"/>
    <w:rsid w:val="000B02E0"/>
    <w:rsid w:val="000B78C8"/>
    <w:rsid w:val="000C0C65"/>
    <w:rsid w:val="000E70E4"/>
    <w:rsid w:val="000F53CA"/>
    <w:rsid w:val="000F7940"/>
    <w:rsid w:val="00136AF7"/>
    <w:rsid w:val="001379C1"/>
    <w:rsid w:val="001445F9"/>
    <w:rsid w:val="00190D41"/>
    <w:rsid w:val="00197E4F"/>
    <w:rsid w:val="001A7B1B"/>
    <w:rsid w:val="001B7022"/>
    <w:rsid w:val="001C13E6"/>
    <w:rsid w:val="001C6BF2"/>
    <w:rsid w:val="001C76D9"/>
    <w:rsid w:val="001F2787"/>
    <w:rsid w:val="001F3C6A"/>
    <w:rsid w:val="00207D73"/>
    <w:rsid w:val="002155E5"/>
    <w:rsid w:val="00215F65"/>
    <w:rsid w:val="00230683"/>
    <w:rsid w:val="00236DFD"/>
    <w:rsid w:val="002375D0"/>
    <w:rsid w:val="00265D96"/>
    <w:rsid w:val="00297253"/>
    <w:rsid w:val="002A6433"/>
    <w:rsid w:val="002D2BCE"/>
    <w:rsid w:val="002D3584"/>
    <w:rsid w:val="003008E2"/>
    <w:rsid w:val="00300E97"/>
    <w:rsid w:val="003063A7"/>
    <w:rsid w:val="003118EC"/>
    <w:rsid w:val="00314716"/>
    <w:rsid w:val="00315F5F"/>
    <w:rsid w:val="00332E04"/>
    <w:rsid w:val="00333B33"/>
    <w:rsid w:val="003543F1"/>
    <w:rsid w:val="00363579"/>
    <w:rsid w:val="00364723"/>
    <w:rsid w:val="00385324"/>
    <w:rsid w:val="0038547A"/>
    <w:rsid w:val="003A1BB8"/>
    <w:rsid w:val="003B0FEC"/>
    <w:rsid w:val="003B4256"/>
    <w:rsid w:val="003C4D40"/>
    <w:rsid w:val="003E00D1"/>
    <w:rsid w:val="003E4CBD"/>
    <w:rsid w:val="003F030C"/>
    <w:rsid w:val="003F4044"/>
    <w:rsid w:val="00401AA1"/>
    <w:rsid w:val="00411903"/>
    <w:rsid w:val="00416954"/>
    <w:rsid w:val="00417861"/>
    <w:rsid w:val="00420A1D"/>
    <w:rsid w:val="00425ABF"/>
    <w:rsid w:val="00435FA3"/>
    <w:rsid w:val="00457218"/>
    <w:rsid w:val="004678F1"/>
    <w:rsid w:val="00487304"/>
    <w:rsid w:val="00493E29"/>
    <w:rsid w:val="004961EF"/>
    <w:rsid w:val="004A0F45"/>
    <w:rsid w:val="004A1A6D"/>
    <w:rsid w:val="004C449F"/>
    <w:rsid w:val="004E3F74"/>
    <w:rsid w:val="00526DC1"/>
    <w:rsid w:val="00527678"/>
    <w:rsid w:val="00551816"/>
    <w:rsid w:val="00562B72"/>
    <w:rsid w:val="00573D10"/>
    <w:rsid w:val="0059490B"/>
    <w:rsid w:val="005B5D6F"/>
    <w:rsid w:val="005D0047"/>
    <w:rsid w:val="005E17D1"/>
    <w:rsid w:val="005F4BE6"/>
    <w:rsid w:val="00605C6B"/>
    <w:rsid w:val="00614F1C"/>
    <w:rsid w:val="00623ABA"/>
    <w:rsid w:val="0063270D"/>
    <w:rsid w:val="00633796"/>
    <w:rsid w:val="0063557F"/>
    <w:rsid w:val="00646F87"/>
    <w:rsid w:val="006476B0"/>
    <w:rsid w:val="00682545"/>
    <w:rsid w:val="006935B3"/>
    <w:rsid w:val="006971B6"/>
    <w:rsid w:val="006B13F9"/>
    <w:rsid w:val="006B73AD"/>
    <w:rsid w:val="006C6154"/>
    <w:rsid w:val="006C750F"/>
    <w:rsid w:val="006D1C17"/>
    <w:rsid w:val="006D544B"/>
    <w:rsid w:val="006D706F"/>
    <w:rsid w:val="006F5D59"/>
    <w:rsid w:val="00705EA1"/>
    <w:rsid w:val="00722CD5"/>
    <w:rsid w:val="00767BEA"/>
    <w:rsid w:val="00784962"/>
    <w:rsid w:val="00794A9A"/>
    <w:rsid w:val="007A3759"/>
    <w:rsid w:val="007D25F4"/>
    <w:rsid w:val="007D3D32"/>
    <w:rsid w:val="007D3EEA"/>
    <w:rsid w:val="0081372B"/>
    <w:rsid w:val="008357BD"/>
    <w:rsid w:val="00855EE9"/>
    <w:rsid w:val="008656D6"/>
    <w:rsid w:val="008748FB"/>
    <w:rsid w:val="008A03D8"/>
    <w:rsid w:val="008A2AEB"/>
    <w:rsid w:val="008A2AFC"/>
    <w:rsid w:val="008F0EB4"/>
    <w:rsid w:val="00901BAF"/>
    <w:rsid w:val="0090474E"/>
    <w:rsid w:val="00915CA4"/>
    <w:rsid w:val="00964461"/>
    <w:rsid w:val="00980226"/>
    <w:rsid w:val="009927D6"/>
    <w:rsid w:val="009A34C3"/>
    <w:rsid w:val="009A36B0"/>
    <w:rsid w:val="009A679A"/>
    <w:rsid w:val="009B32AA"/>
    <w:rsid w:val="009C22F8"/>
    <w:rsid w:val="009C68F8"/>
    <w:rsid w:val="009D1B9A"/>
    <w:rsid w:val="009D6F8D"/>
    <w:rsid w:val="009D7571"/>
    <w:rsid w:val="009F0A06"/>
    <w:rsid w:val="009F1781"/>
    <w:rsid w:val="009F3E33"/>
    <w:rsid w:val="009F599B"/>
    <w:rsid w:val="009F70DE"/>
    <w:rsid w:val="00A041EF"/>
    <w:rsid w:val="00A1795C"/>
    <w:rsid w:val="00A32EA7"/>
    <w:rsid w:val="00A50184"/>
    <w:rsid w:val="00A61EEB"/>
    <w:rsid w:val="00A65898"/>
    <w:rsid w:val="00A92062"/>
    <w:rsid w:val="00AA4739"/>
    <w:rsid w:val="00AB177B"/>
    <w:rsid w:val="00AC381D"/>
    <w:rsid w:val="00B6115D"/>
    <w:rsid w:val="00B75F3E"/>
    <w:rsid w:val="00B872E0"/>
    <w:rsid w:val="00B954EF"/>
    <w:rsid w:val="00BE497D"/>
    <w:rsid w:val="00C010CE"/>
    <w:rsid w:val="00C3408E"/>
    <w:rsid w:val="00C43DD8"/>
    <w:rsid w:val="00C5158D"/>
    <w:rsid w:val="00CA32C4"/>
    <w:rsid w:val="00CB244C"/>
    <w:rsid w:val="00CB3313"/>
    <w:rsid w:val="00CB4445"/>
    <w:rsid w:val="00CB56C6"/>
    <w:rsid w:val="00CC3D2D"/>
    <w:rsid w:val="00CD0080"/>
    <w:rsid w:val="00D1091C"/>
    <w:rsid w:val="00D12C40"/>
    <w:rsid w:val="00D25444"/>
    <w:rsid w:val="00D35B0D"/>
    <w:rsid w:val="00D471DD"/>
    <w:rsid w:val="00D578BE"/>
    <w:rsid w:val="00D6786F"/>
    <w:rsid w:val="00D733E6"/>
    <w:rsid w:val="00D904EA"/>
    <w:rsid w:val="00D96265"/>
    <w:rsid w:val="00DA0189"/>
    <w:rsid w:val="00DA27BB"/>
    <w:rsid w:val="00DE2024"/>
    <w:rsid w:val="00DE7F73"/>
    <w:rsid w:val="00E1127D"/>
    <w:rsid w:val="00E22737"/>
    <w:rsid w:val="00E40D6B"/>
    <w:rsid w:val="00E4654F"/>
    <w:rsid w:val="00E635FB"/>
    <w:rsid w:val="00E64645"/>
    <w:rsid w:val="00E76FA3"/>
    <w:rsid w:val="00E95925"/>
    <w:rsid w:val="00EA0A99"/>
    <w:rsid w:val="00EA63E2"/>
    <w:rsid w:val="00EB3B6C"/>
    <w:rsid w:val="00EB7612"/>
    <w:rsid w:val="00ED4085"/>
    <w:rsid w:val="00ED55BF"/>
    <w:rsid w:val="00EF0ABF"/>
    <w:rsid w:val="00F03721"/>
    <w:rsid w:val="00F145A6"/>
    <w:rsid w:val="00F30237"/>
    <w:rsid w:val="00F3617F"/>
    <w:rsid w:val="00F36F9F"/>
    <w:rsid w:val="00F37C3C"/>
    <w:rsid w:val="00F41937"/>
    <w:rsid w:val="00F44FB4"/>
    <w:rsid w:val="00F575A8"/>
    <w:rsid w:val="00F77DAA"/>
    <w:rsid w:val="00F85B50"/>
    <w:rsid w:val="00FA2739"/>
    <w:rsid w:val="00FA4D41"/>
    <w:rsid w:val="00FD35D3"/>
    <w:rsid w:val="00FE1398"/>
    <w:rsid w:val="00FF5DDA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B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3647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6472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DA27BB"/>
    <w:pPr>
      <w:spacing w:before="100" w:beforeAutospacing="1" w:after="100" w:afterAutospacing="1"/>
    </w:pPr>
  </w:style>
  <w:style w:type="character" w:styleId="a4">
    <w:name w:val="Emphasis"/>
    <w:basedOn w:val="a0"/>
    <w:uiPriority w:val="99"/>
    <w:qFormat/>
    <w:rsid w:val="00DA27BB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DA27BB"/>
    <w:rPr>
      <w:rFonts w:cs="Times New Roman"/>
    </w:rPr>
  </w:style>
  <w:style w:type="paragraph" w:customStyle="1" w:styleId="Default">
    <w:name w:val="Default"/>
    <w:uiPriority w:val="99"/>
    <w:rsid w:val="009D6F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ody Text Indent"/>
    <w:basedOn w:val="a"/>
    <w:link w:val="a6"/>
    <w:uiPriority w:val="99"/>
    <w:rsid w:val="0036357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635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basedOn w:val="a0"/>
    <w:uiPriority w:val="99"/>
    <w:rsid w:val="00363579"/>
    <w:rPr>
      <w:rFonts w:ascii="Arial" w:hAnsi="Arial" w:cs="Arial"/>
      <w:color w:val="000000"/>
      <w:sz w:val="17"/>
      <w:szCs w:val="17"/>
      <w:u w:val="none"/>
      <w:effect w:val="none"/>
    </w:rPr>
  </w:style>
  <w:style w:type="paragraph" w:styleId="a7">
    <w:name w:val="Body Text"/>
    <w:basedOn w:val="a"/>
    <w:link w:val="a8"/>
    <w:uiPriority w:val="99"/>
    <w:rsid w:val="00A041E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A041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1A7B1B"/>
    <w:pPr>
      <w:spacing w:before="100" w:beforeAutospacing="1" w:after="100" w:afterAutospacing="1"/>
    </w:pPr>
  </w:style>
  <w:style w:type="character" w:customStyle="1" w:styleId="grame">
    <w:name w:val="grame"/>
    <w:basedOn w:val="a0"/>
    <w:uiPriority w:val="99"/>
    <w:rsid w:val="001A7B1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F37C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37C3C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7D3D32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CB4445"/>
    <w:pPr>
      <w:ind w:left="720"/>
      <w:contextualSpacing/>
    </w:pPr>
  </w:style>
  <w:style w:type="table" w:styleId="ad">
    <w:name w:val="Table Grid"/>
    <w:basedOn w:val="a1"/>
    <w:locked/>
    <w:rsid w:val="00CD0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9C22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7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7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37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1023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3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09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7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3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7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37102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37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5"/>
      <c:hPercent val="55"/>
      <c:rotY val="44"/>
      <c:depthPercent val="100"/>
      <c:rAngAx val="1"/>
    </c:view3D>
    <c:floor>
      <c:spPr>
        <a:gradFill rotWithShape="0">
          <a:gsLst>
            <a:gs pos="0">
              <a:srgbClr val="FFCC99"/>
            </a:gs>
            <a:gs pos="50000">
              <a:srgbClr val="FFCC99">
                <a:gamma/>
                <a:shade val="46275"/>
                <a:invGamma/>
              </a:srgbClr>
            </a:gs>
            <a:gs pos="100000">
              <a:srgbClr val="FFCC99"/>
            </a:gs>
          </a:gsLst>
          <a:lin ang="5400000" scaled="1"/>
        </a:gradFill>
        <a:ln w="3175">
          <a:solidFill>
            <a:srgbClr val="000000"/>
          </a:solidFill>
          <a:prstDash val="solid"/>
        </a:ln>
      </c:spPr>
    </c:floor>
    <c:sideWall>
      <c:spPr>
        <a:gradFill rotWithShape="0">
          <a:gsLst>
            <a:gs pos="0">
              <a:srgbClr val="FFFFCC"/>
            </a:gs>
            <a:gs pos="50000">
              <a:srgbClr val="FFFFCC">
                <a:gamma/>
                <a:shade val="46275"/>
                <a:invGamma/>
              </a:srgbClr>
            </a:gs>
            <a:gs pos="100000">
              <a:srgbClr val="FFFFCC"/>
            </a:gs>
          </a:gsLst>
          <a:lin ang="5400000" scaled="1"/>
        </a:gradFill>
        <a:ln w="25400">
          <a:noFill/>
        </a:ln>
      </c:spPr>
    </c:sideWall>
    <c:backWall>
      <c:spPr>
        <a:gradFill rotWithShape="0">
          <a:gsLst>
            <a:gs pos="0">
              <a:srgbClr val="FFFFCC"/>
            </a:gs>
            <a:gs pos="50000">
              <a:srgbClr val="FFFFCC">
                <a:gamma/>
                <a:shade val="46275"/>
                <a:invGamma/>
              </a:srgbClr>
            </a:gs>
            <a:gs pos="100000">
              <a:srgbClr val="FFFFCC"/>
            </a:gs>
          </a:gsLst>
          <a:lin ang="5400000" scaled="1"/>
        </a:gra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4.7457627118644596E-2"/>
          <c:y val="0"/>
          <c:w val="0.95254237288135557"/>
          <c:h val="0.91092269716285468"/>
        </c:manualLayout>
      </c:layout>
      <c:bar3DChart>
        <c:barDir val="col"/>
        <c:grouping val="standard"/>
        <c:ser>
          <c:idx val="0"/>
          <c:order val="0"/>
          <c:tx>
            <c:strRef>
              <c:f>Sheet1!$A$3</c:f>
              <c:strCache>
                <c:ptCount val="1"/>
                <c:pt idx="0">
                  <c:v>Чоловіки</c:v>
                </c:pt>
              </c:strCache>
            </c:strRef>
          </c:tx>
          <c:spPr>
            <a:solidFill>
              <a:srgbClr val="00008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Нормальна маса</c:v>
                </c:pt>
                <c:pt idx="1">
                  <c:v>Надлишкова маса</c:v>
                </c:pt>
                <c:pt idx="2">
                  <c:v>Ожиріння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25</c:v>
                </c:pt>
                <c:pt idx="1">
                  <c:v>50</c:v>
                </c:pt>
                <c:pt idx="2">
                  <c:v>25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Жінки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Нормальна маса</c:v>
                </c:pt>
                <c:pt idx="1">
                  <c:v>Надлишкова маса</c:v>
                </c:pt>
                <c:pt idx="2">
                  <c:v>Ожиріння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12.9</c:v>
                </c:pt>
                <c:pt idx="1">
                  <c:v>37.1</c:v>
                </c:pt>
                <c:pt idx="2">
                  <c:v>50</c:v>
                </c:pt>
              </c:numCache>
            </c:numRef>
          </c:val>
        </c:ser>
        <c:ser>
          <c:idx val="2"/>
          <c:order val="2"/>
          <c:tx>
            <c:strRef>
              <c:f>Sheet1!$A$2</c:f>
              <c:strCache>
                <c:ptCount val="1"/>
                <c:pt idx="0">
                  <c:v>Всі</c:v>
                </c:pt>
              </c:strCache>
            </c:strRef>
          </c:tx>
          <c:spPr>
            <a:gradFill rotWithShape="0">
              <a:gsLst>
                <a:gs pos="0">
                  <a:srgbClr val="FFFFCC">
                    <a:gamma/>
                    <a:shade val="46275"/>
                    <a:invGamma/>
                  </a:srgbClr>
                </a:gs>
                <a:gs pos="50000">
                  <a:srgbClr val="FFFFCC"/>
                </a:gs>
                <a:gs pos="100000">
                  <a:srgbClr val="FFFFCC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Нормальна маса</c:v>
                </c:pt>
                <c:pt idx="1">
                  <c:v>Надлишкова маса</c:v>
                </c:pt>
                <c:pt idx="2">
                  <c:v>Ожиріння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14.860000000000024</c:v>
                </c:pt>
                <c:pt idx="1">
                  <c:v>39.190000000000012</c:v>
                </c:pt>
                <c:pt idx="2">
                  <c:v>45.9</c:v>
                </c:pt>
              </c:numCache>
            </c:numRef>
          </c:val>
        </c:ser>
        <c:shape val="cone"/>
        <c:axId val="77527296"/>
        <c:axId val="81133952"/>
        <c:axId val="82704576"/>
      </c:bar3DChart>
      <c:catAx>
        <c:axId val="77527296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1.2491494118790701E-3"/>
              <c:y val="0.28719784152855021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1133952"/>
        <c:crosses val="autoZero"/>
        <c:auto val="1"/>
        <c:lblAlgn val="ctr"/>
        <c:lblOffset val="100"/>
        <c:tickLblSkip val="1"/>
        <c:tickMarkSkip val="1"/>
      </c:catAx>
      <c:valAx>
        <c:axId val="8113395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7527296"/>
        <c:crosses val="autoZero"/>
        <c:crossBetween val="between"/>
      </c:valAx>
      <c:serAx>
        <c:axId val="82704576"/>
        <c:scaling>
          <c:orientation val="minMax"/>
        </c:scaling>
        <c:delete val="1"/>
        <c:axPos val="b"/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ckLblPos val="none"/>
        <c:crossAx val="81133952"/>
        <c:crosses val="autoZero"/>
      </c:ser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386993925108833"/>
          <c:y val="0.77938439513242619"/>
          <c:w val="0.2072241664236415"/>
          <c:h val="0.18711656441717794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blipFill dpi="0" rotWithShape="0">
      <a:blip xmlns:r="http://schemas.openxmlformats.org/officeDocument/2006/relationships" r:embed="rId1"/>
      <a:srcRect/>
      <a:tile tx="0" ty="0" sx="100000" sy="100000" flip="none" algn="tl"/>
    </a:blip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5"/>
      <c:hPercent val="55"/>
      <c:rotY val="44"/>
      <c:depthPercent val="100"/>
      <c:rAngAx val="1"/>
    </c:view3D>
    <c:floor>
      <c:spPr>
        <a:gradFill rotWithShape="0">
          <a:gsLst>
            <a:gs pos="0">
              <a:srgbClr val="FFCC99"/>
            </a:gs>
            <a:gs pos="50000">
              <a:srgbClr val="FFCC99">
                <a:gamma/>
                <a:shade val="46275"/>
                <a:invGamma/>
              </a:srgbClr>
            </a:gs>
            <a:gs pos="100000">
              <a:srgbClr val="FFCC99"/>
            </a:gs>
          </a:gsLst>
          <a:lin ang="5400000" scaled="1"/>
        </a:gradFill>
        <a:ln w="3175">
          <a:solidFill>
            <a:srgbClr val="000000"/>
          </a:solidFill>
          <a:prstDash val="solid"/>
        </a:ln>
      </c:spPr>
    </c:floor>
    <c:sideWall>
      <c:spPr>
        <a:gradFill rotWithShape="0">
          <a:gsLst>
            <a:gs pos="0">
              <a:srgbClr val="FFFFCC"/>
            </a:gs>
            <a:gs pos="50000">
              <a:srgbClr val="FFFFCC">
                <a:gamma/>
                <a:shade val="46275"/>
                <a:invGamma/>
              </a:srgbClr>
            </a:gs>
            <a:gs pos="100000">
              <a:srgbClr val="FFFFCC"/>
            </a:gs>
          </a:gsLst>
          <a:lin ang="5400000" scaled="1"/>
        </a:gradFill>
        <a:ln w="25400">
          <a:noFill/>
        </a:ln>
      </c:spPr>
    </c:sideWall>
    <c:backWall>
      <c:spPr>
        <a:gradFill rotWithShape="0">
          <a:gsLst>
            <a:gs pos="0">
              <a:srgbClr val="FFFFCC"/>
            </a:gs>
            <a:gs pos="50000">
              <a:srgbClr val="FFFFCC">
                <a:gamma/>
                <a:shade val="46275"/>
                <a:invGamma/>
              </a:srgbClr>
            </a:gs>
            <a:gs pos="100000">
              <a:srgbClr val="FFFFCC"/>
            </a:gs>
          </a:gsLst>
          <a:lin ang="5400000" scaled="1"/>
        </a:gra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4.7457627118644541E-2"/>
          <c:y val="0"/>
          <c:w val="0.95254237288135557"/>
          <c:h val="0.91092269716285468"/>
        </c:manualLayout>
      </c:layout>
      <c:bar3DChart>
        <c:barDir val="col"/>
        <c:grouping val="standard"/>
        <c:ser>
          <c:idx val="0"/>
          <c:order val="0"/>
          <c:tx>
            <c:strRef>
              <c:f>Sheet1!$A$4</c:f>
              <c:strCache>
                <c:ptCount val="1"/>
                <c:pt idx="0">
                  <c:v>Чоловіки</c:v>
                </c:pt>
              </c:strCache>
            </c:strRef>
          </c:tx>
          <c:spPr>
            <a:solidFill>
              <a:srgbClr val="00008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Проміжний ТРЖТ</c:v>
                </c:pt>
                <c:pt idx="1">
                  <c:v>Андроїдний ТРЖТ</c:v>
                </c:pt>
                <c:pt idx="2">
                  <c:v>Гіноїдний ТРЖТ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25</c:v>
                </c:pt>
                <c:pt idx="1">
                  <c:v>75</c:v>
                </c:pt>
              </c:numCache>
            </c:numRef>
          </c:val>
        </c:ser>
        <c:ser>
          <c:idx val="1"/>
          <c:order val="1"/>
          <c:tx>
            <c:strRef>
              <c:f>Sheet1!$A$5</c:f>
              <c:strCache>
                <c:ptCount val="1"/>
                <c:pt idx="0">
                  <c:v>Жінки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Проміжний ТРЖТ</c:v>
                </c:pt>
                <c:pt idx="1">
                  <c:v>Андроїдний ТРЖТ</c:v>
                </c:pt>
                <c:pt idx="2">
                  <c:v>Гіноїдний ТРЖТ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27.4</c:v>
                </c:pt>
                <c:pt idx="1">
                  <c:v>46.8</c:v>
                </c:pt>
                <c:pt idx="2">
                  <c:v>25.8</c:v>
                </c:pt>
              </c:numCache>
            </c:numRef>
          </c:val>
        </c:ser>
        <c:ser>
          <c:idx val="2"/>
          <c:order val="2"/>
          <c:tx>
            <c:strRef>
              <c:f>Sheet1!$A$3</c:f>
              <c:strCache>
                <c:ptCount val="1"/>
                <c:pt idx="0">
                  <c:v>Всі</c:v>
                </c:pt>
              </c:strCache>
            </c:strRef>
          </c:tx>
          <c:spPr>
            <a:gradFill rotWithShape="0">
              <a:gsLst>
                <a:gs pos="0">
                  <a:srgbClr val="FFFFCC">
                    <a:gamma/>
                    <a:shade val="46275"/>
                    <a:invGamma/>
                  </a:srgbClr>
                </a:gs>
                <a:gs pos="50000">
                  <a:srgbClr val="FFFFCC"/>
                </a:gs>
                <a:gs pos="100000">
                  <a:srgbClr val="FFFFCC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Проміжний ТРЖТ</c:v>
                </c:pt>
                <c:pt idx="1">
                  <c:v>Андроїдний ТРЖТ</c:v>
                </c:pt>
                <c:pt idx="2">
                  <c:v>Гіноїдний ТРЖТ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27.1</c:v>
                </c:pt>
                <c:pt idx="1">
                  <c:v>51.3</c:v>
                </c:pt>
                <c:pt idx="2">
                  <c:v>21.6</c:v>
                </c:pt>
              </c:numCache>
            </c:numRef>
          </c:val>
        </c:ser>
        <c:shape val="cone"/>
        <c:axId val="81160832"/>
        <c:axId val="81175296"/>
        <c:axId val="62332416"/>
      </c:bar3DChart>
      <c:catAx>
        <c:axId val="81160832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3.4908136482939747E-3"/>
              <c:y val="0.2802575406229561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1175296"/>
        <c:crosses val="autoZero"/>
        <c:auto val="1"/>
        <c:lblAlgn val="ctr"/>
        <c:lblOffset val="100"/>
        <c:tickLblSkip val="1"/>
        <c:tickMarkSkip val="1"/>
      </c:catAx>
      <c:valAx>
        <c:axId val="8117529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1160832"/>
        <c:crosses val="autoZero"/>
        <c:crossBetween val="between"/>
      </c:valAx>
      <c:serAx>
        <c:axId val="62332416"/>
        <c:scaling>
          <c:orientation val="minMax"/>
        </c:scaling>
        <c:delete val="1"/>
        <c:axPos val="b"/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ckLblPos val="none"/>
        <c:crossAx val="81175296"/>
        <c:crosses val="autoZero"/>
      </c:ser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7206088142376461"/>
          <c:y val="0.74675036249839832"/>
          <c:w val="0.17636002241292928"/>
          <c:h val="0.18711656441717794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blipFill dpi="0" rotWithShape="0">
      <a:blip xmlns:r="http://schemas.openxmlformats.org/officeDocument/2006/relationships" r:embed="rId1"/>
      <a:srcRect/>
      <a:tile tx="0" ty="0" sx="100000" sy="100000" flip="none" algn="tl"/>
    </a:blip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8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Home-PC</cp:lastModifiedBy>
  <cp:revision>56</cp:revision>
  <cp:lastPrinted>2016-03-04T09:11:00Z</cp:lastPrinted>
  <dcterms:created xsi:type="dcterms:W3CDTF">2016-03-04T09:12:00Z</dcterms:created>
  <dcterms:modified xsi:type="dcterms:W3CDTF">2016-10-09T23:20:00Z</dcterms:modified>
</cp:coreProperties>
</file>