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A0D" w:rsidRPr="00FB3A0D" w:rsidRDefault="00FB3A0D" w:rsidP="00FB3A0D">
      <w:pPr>
        <w:pStyle w:val="FR1"/>
        <w:spacing w:line="360" w:lineRule="auto"/>
        <w:jc w:val="left"/>
        <w:rPr>
          <w:rFonts w:ascii="Times New Roman" w:hAnsi="Times New Roman" w:cs="Times New Roman"/>
          <w:sz w:val="28"/>
          <w:szCs w:val="28"/>
          <w:lang w:val="uk-UA"/>
        </w:rPr>
      </w:pPr>
      <w:bookmarkStart w:id="0" w:name="_Toc82268943"/>
      <w:proofErr w:type="gramStart"/>
      <w:r w:rsidRPr="006028AA">
        <w:rPr>
          <w:rFonts w:ascii="Times New Roman" w:hAnsi="Times New Roman" w:cs="Times New Roman"/>
          <w:sz w:val="28"/>
          <w:szCs w:val="28"/>
        </w:rPr>
        <w:t>УДК</w:t>
      </w:r>
      <w:r>
        <w:rPr>
          <w:rFonts w:ascii="Times New Roman" w:hAnsi="Times New Roman" w:cs="Times New Roman"/>
          <w:sz w:val="28"/>
          <w:szCs w:val="28"/>
        </w:rPr>
        <w:t>.:</w:t>
      </w:r>
      <w:proofErr w:type="gramEnd"/>
      <w:r>
        <w:rPr>
          <w:rFonts w:ascii="Times New Roman" w:hAnsi="Times New Roman" w:cs="Times New Roman"/>
          <w:sz w:val="28"/>
          <w:szCs w:val="28"/>
        </w:rPr>
        <w:t xml:space="preserve"> 616.12-008.331.1-053.81:</w:t>
      </w:r>
      <w:r>
        <w:rPr>
          <w:rFonts w:ascii="Times New Roman" w:hAnsi="Times New Roman" w:cs="Times New Roman"/>
          <w:sz w:val="28"/>
          <w:szCs w:val="28"/>
          <w:lang w:val="uk-UA"/>
        </w:rPr>
        <w:t>372</w:t>
      </w:r>
      <w:r>
        <w:rPr>
          <w:rFonts w:ascii="Times New Roman" w:hAnsi="Times New Roman" w:cs="Times New Roman"/>
          <w:sz w:val="28"/>
          <w:szCs w:val="28"/>
        </w:rPr>
        <w:t>.</w:t>
      </w:r>
      <w:r>
        <w:rPr>
          <w:rFonts w:ascii="Times New Roman" w:hAnsi="Times New Roman" w:cs="Times New Roman"/>
          <w:sz w:val="28"/>
          <w:szCs w:val="28"/>
          <w:lang w:val="uk-UA"/>
        </w:rPr>
        <w:t>8</w:t>
      </w:r>
    </w:p>
    <w:p w:rsidR="00370C39" w:rsidRDefault="00370C39" w:rsidP="00EE66DE">
      <w:pPr>
        <w:pStyle w:val="1"/>
      </w:pPr>
      <w:r>
        <w:t>особенности развития эндотелиальной дисфункции при нарушениях сердечного ритма у больных хнзл и способы ее коррекции с использованием этмозина и</w:t>
      </w:r>
      <w:r w:rsidR="00FB24F2">
        <w:t xml:space="preserve"> </w:t>
      </w:r>
      <w:r>
        <w:t>ауфок</w:t>
      </w:r>
      <w:bookmarkEnd w:id="0"/>
    </w:p>
    <w:p w:rsidR="00F92E8D" w:rsidRPr="008F1476" w:rsidRDefault="00F92E8D" w:rsidP="00F92E8D">
      <w:pPr>
        <w:spacing w:line="360" w:lineRule="auto"/>
        <w:jc w:val="center"/>
        <w:rPr>
          <w:sz w:val="28"/>
          <w:szCs w:val="28"/>
        </w:rPr>
      </w:pPr>
      <w:r w:rsidRPr="008F1476">
        <w:rPr>
          <w:sz w:val="28"/>
          <w:szCs w:val="28"/>
        </w:rPr>
        <w:t>Харьковский национальный медицинский университет</w:t>
      </w:r>
    </w:p>
    <w:p w:rsidR="00557123" w:rsidRPr="00D655CA" w:rsidRDefault="00557123" w:rsidP="00557123">
      <w:pPr>
        <w:spacing w:line="360" w:lineRule="auto"/>
        <w:jc w:val="center"/>
        <w:rPr>
          <w:sz w:val="28"/>
          <w:szCs w:val="28"/>
        </w:rPr>
      </w:pPr>
      <w:r w:rsidRPr="008F1476">
        <w:rPr>
          <w:sz w:val="28"/>
          <w:szCs w:val="28"/>
        </w:rPr>
        <w:t>Латогуз С.И.</w:t>
      </w:r>
    </w:p>
    <w:p w:rsidR="00CD7CB5" w:rsidRDefault="00CD7CB5" w:rsidP="00CD7CB5">
      <w:pPr>
        <w:pStyle w:val="10"/>
        <w:rPr>
          <w:rStyle w:val="a8"/>
        </w:rPr>
      </w:pPr>
      <w:r w:rsidRPr="00CD7CB5">
        <w:rPr>
          <w:lang w:val="ru-RU"/>
        </w:rPr>
        <w:t>Избранное направление исследования является составной частью научно-исследовательской работы кафедры физической реабилитации, спортивной медицины с курсом физического воспитания и здоровья Харьковского национального медицинского университета «Разработка, апробация и внедрение критериев оценки адаптационных возможностей и их коррекцию соответственно физическим нагрузкам, оценка физической работоспособности» №</w:t>
      </w:r>
      <w:r w:rsidRPr="00782B3E">
        <w:rPr>
          <w:lang w:val="uk-UA"/>
        </w:rPr>
        <w:t xml:space="preserve"> </w:t>
      </w:r>
      <w:r w:rsidRPr="00CD7CB5">
        <w:rPr>
          <w:lang w:val="ru-RU"/>
        </w:rPr>
        <w:t>0112у001821.</w:t>
      </w:r>
    </w:p>
    <w:p w:rsidR="00370C39" w:rsidRPr="00557123" w:rsidRDefault="00F92E8D" w:rsidP="00FC04E3">
      <w:pPr>
        <w:pStyle w:val="10"/>
        <w:rPr>
          <w:lang w:val="ru-RU"/>
        </w:rPr>
      </w:pPr>
      <w:r w:rsidRPr="00B15E01">
        <w:rPr>
          <w:rStyle w:val="a8"/>
        </w:rPr>
        <w:t>Ввведение</w:t>
      </w:r>
      <w:r w:rsidRPr="00557123">
        <w:rPr>
          <w:lang w:val="ru-RU"/>
        </w:rPr>
        <w:t xml:space="preserve">. </w:t>
      </w:r>
      <w:r w:rsidR="00370C39" w:rsidRPr="00557123">
        <w:rPr>
          <w:lang w:val="ru-RU"/>
        </w:rPr>
        <w:t>В настоящее время наблюдается значительный рост числа больных с хроническими неспецифическими заболевания</w:t>
      </w:r>
      <w:r w:rsidR="000B4763" w:rsidRPr="00557123">
        <w:rPr>
          <w:lang w:val="ru-RU"/>
        </w:rPr>
        <w:t>ми легких [</w:t>
      </w:r>
      <w:r w:rsidR="000B4763" w:rsidRPr="000B4763">
        <w:rPr>
          <w:lang w:val="ru-RU"/>
        </w:rPr>
        <w:t>8</w:t>
      </w:r>
      <w:r w:rsidR="00370C39" w:rsidRPr="00557123">
        <w:rPr>
          <w:lang w:val="ru-RU"/>
        </w:rPr>
        <w:t xml:space="preserve">]. Они нередко развиваются у больных </w:t>
      </w:r>
      <w:r w:rsidR="00EB738C">
        <w:rPr>
          <w:lang w:val="ru-RU"/>
        </w:rPr>
        <w:t>ишемической болезнью сердца (</w:t>
      </w:r>
      <w:r w:rsidR="00370C39" w:rsidRPr="00557123">
        <w:rPr>
          <w:lang w:val="ru-RU"/>
        </w:rPr>
        <w:t>ИБС</w:t>
      </w:r>
      <w:r w:rsidR="00EB738C">
        <w:rPr>
          <w:lang w:val="ru-RU"/>
        </w:rPr>
        <w:t>)</w:t>
      </w:r>
      <w:r w:rsidR="00370C39" w:rsidRPr="00557123">
        <w:rPr>
          <w:lang w:val="ru-RU"/>
        </w:rPr>
        <w:t>, особенно при наличии у них такого фактора риска коронарного ате</w:t>
      </w:r>
      <w:r w:rsidR="000B4763" w:rsidRPr="00557123">
        <w:rPr>
          <w:lang w:val="ru-RU"/>
        </w:rPr>
        <w:t>росклероза, как курение [</w:t>
      </w:r>
      <w:r w:rsidR="000B4763" w:rsidRPr="000B4763">
        <w:rPr>
          <w:lang w:val="ru-RU"/>
        </w:rPr>
        <w:t>5</w:t>
      </w:r>
      <w:r w:rsidR="00370C39" w:rsidRPr="00557123">
        <w:rPr>
          <w:lang w:val="ru-RU"/>
        </w:rPr>
        <w:t>].</w:t>
      </w:r>
    </w:p>
    <w:p w:rsidR="00370C39" w:rsidRPr="00557123" w:rsidRDefault="00370C39" w:rsidP="00FC04E3">
      <w:pPr>
        <w:pStyle w:val="10"/>
        <w:rPr>
          <w:lang w:val="ru-RU"/>
        </w:rPr>
      </w:pPr>
      <w:r w:rsidRPr="00557123">
        <w:rPr>
          <w:lang w:val="ru-RU"/>
        </w:rPr>
        <w:t>Курение приводит к развитию хронического бронхита, а в последующем, к легочной артериальной гипертензии, хроническому легочному сердцу. Следует отметить, что курение оказывает существенное влияние на энд</w:t>
      </w:r>
      <w:r w:rsidR="000B4763" w:rsidRPr="00557123">
        <w:rPr>
          <w:lang w:val="ru-RU"/>
        </w:rPr>
        <w:t>отелиальную функцию [</w:t>
      </w:r>
      <w:r w:rsidR="000B4763" w:rsidRPr="000B4763">
        <w:rPr>
          <w:lang w:val="ru-RU"/>
        </w:rPr>
        <w:t>6</w:t>
      </w:r>
      <w:r w:rsidR="000B4763" w:rsidRPr="00557123">
        <w:rPr>
          <w:lang w:val="ru-RU"/>
        </w:rPr>
        <w:t xml:space="preserve">, </w:t>
      </w:r>
      <w:r w:rsidR="000B4763" w:rsidRPr="000B4763">
        <w:rPr>
          <w:lang w:val="ru-RU"/>
        </w:rPr>
        <w:t>8</w:t>
      </w:r>
      <w:r w:rsidRPr="00557123">
        <w:rPr>
          <w:lang w:val="ru-RU"/>
        </w:rPr>
        <w:t xml:space="preserve">]. При табакокурении, как правило, подавляется выработка </w:t>
      </w:r>
      <w:r>
        <w:t>NO</w:t>
      </w:r>
      <w:r w:rsidRPr="00557123">
        <w:rPr>
          <w:lang w:val="ru-RU"/>
        </w:rPr>
        <w:t>, повышаетс</w:t>
      </w:r>
      <w:r w:rsidR="0039238D" w:rsidRPr="00557123">
        <w:rPr>
          <w:lang w:val="ru-RU"/>
        </w:rPr>
        <w:t>я</w:t>
      </w:r>
      <w:r w:rsidR="000B4763" w:rsidRPr="00557123">
        <w:rPr>
          <w:lang w:val="ru-RU"/>
        </w:rPr>
        <w:t xml:space="preserve"> агрегация тромбоцитов [</w:t>
      </w:r>
      <w:r w:rsidR="000B4763" w:rsidRPr="000B4763">
        <w:rPr>
          <w:lang w:val="ru-RU"/>
        </w:rPr>
        <w:t>6</w:t>
      </w:r>
      <w:r w:rsidRPr="00557123">
        <w:rPr>
          <w:lang w:val="ru-RU"/>
        </w:rPr>
        <w:t>]. Курение сопровождается снижением эндотелийзависимой дилатации, являющейся</w:t>
      </w:r>
      <w:r w:rsidR="000B4763" w:rsidRPr="00557123">
        <w:rPr>
          <w:lang w:val="ru-RU"/>
        </w:rPr>
        <w:t xml:space="preserve"> потенциально-обратимой [</w:t>
      </w:r>
      <w:r w:rsidR="000B4763" w:rsidRPr="000B4763">
        <w:rPr>
          <w:lang w:val="ru-RU"/>
        </w:rPr>
        <w:t>7</w:t>
      </w:r>
      <w:r w:rsidRPr="00557123">
        <w:rPr>
          <w:lang w:val="ru-RU"/>
        </w:rPr>
        <w:t xml:space="preserve">]. При проведении функциональной пробы у курильщиков, страдающих </w:t>
      </w:r>
      <w:r w:rsidR="00FB24F2" w:rsidRPr="00FB24F2">
        <w:rPr>
          <w:lang w:val="ru-RU"/>
        </w:rPr>
        <w:t>хроническими неспецифическими заболеваниями легких</w:t>
      </w:r>
      <w:r w:rsidR="00FB24F2" w:rsidRPr="00557123">
        <w:rPr>
          <w:lang w:val="ru-RU"/>
        </w:rPr>
        <w:t xml:space="preserve"> </w:t>
      </w:r>
      <w:r w:rsidR="00FB24F2">
        <w:rPr>
          <w:lang w:val="ru-RU"/>
        </w:rPr>
        <w:t>(</w:t>
      </w:r>
      <w:r w:rsidRPr="00557123">
        <w:rPr>
          <w:lang w:val="ru-RU"/>
        </w:rPr>
        <w:t>ХНЗЛ</w:t>
      </w:r>
      <w:r w:rsidR="00FB24F2">
        <w:rPr>
          <w:lang w:val="ru-RU"/>
        </w:rPr>
        <w:t>)</w:t>
      </w:r>
      <w:r w:rsidRPr="00557123">
        <w:rPr>
          <w:lang w:val="ru-RU"/>
        </w:rPr>
        <w:t>, отмечается более значимое снижение кровотока в плечевой артерии, т.е. базальная секреция оксид</w:t>
      </w:r>
      <w:r w:rsidR="000B4763" w:rsidRPr="00557123">
        <w:rPr>
          <w:lang w:val="ru-RU"/>
        </w:rPr>
        <w:t>а азота снижена [</w:t>
      </w:r>
      <w:r w:rsidR="000B4763" w:rsidRPr="000B4763">
        <w:rPr>
          <w:lang w:val="ru-RU"/>
        </w:rPr>
        <w:t>5</w:t>
      </w:r>
      <w:r w:rsidRPr="00557123">
        <w:rPr>
          <w:lang w:val="ru-RU"/>
        </w:rPr>
        <w:t>]. При этом степень нарушения дилатации плечевой артерии коррегирует с количеств</w:t>
      </w:r>
      <w:r w:rsidR="000B4763" w:rsidRPr="00557123">
        <w:rPr>
          <w:lang w:val="ru-RU"/>
        </w:rPr>
        <w:t>ом выкуриваемых сигарет [</w:t>
      </w:r>
      <w:r w:rsidR="000B4763" w:rsidRPr="000B4763">
        <w:rPr>
          <w:lang w:val="ru-RU"/>
        </w:rPr>
        <w:t>9</w:t>
      </w:r>
      <w:r w:rsidRPr="00557123">
        <w:rPr>
          <w:lang w:val="ru-RU"/>
        </w:rPr>
        <w:t>]. Кровоток зависимая дилатация плечевой артерии у бывших курильщиков выше, чем у лиц, которые продолжают курить, помень</w:t>
      </w:r>
      <w:r w:rsidR="000B4763" w:rsidRPr="00557123">
        <w:rPr>
          <w:lang w:val="ru-RU"/>
        </w:rPr>
        <w:t>ше, чем у некурящих [</w:t>
      </w:r>
      <w:r w:rsidR="000B4763" w:rsidRPr="000B4763">
        <w:rPr>
          <w:lang w:val="ru-RU"/>
        </w:rPr>
        <w:t>7</w:t>
      </w:r>
      <w:r w:rsidRPr="00557123">
        <w:rPr>
          <w:lang w:val="ru-RU"/>
        </w:rPr>
        <w:t>].</w:t>
      </w:r>
    </w:p>
    <w:p w:rsidR="00370C39" w:rsidRPr="00557123" w:rsidRDefault="00370C39" w:rsidP="00FC04E3">
      <w:pPr>
        <w:pStyle w:val="10"/>
        <w:rPr>
          <w:lang w:val="ru-RU"/>
        </w:rPr>
      </w:pPr>
      <w:r w:rsidRPr="00557123">
        <w:rPr>
          <w:lang w:val="ru-RU"/>
        </w:rPr>
        <w:lastRenderedPageBreak/>
        <w:t>Важную роль в развитии и прогрессирования легочной артериальной гипертензии у больных ХНЗЛ может стать гипоксемия, которая является достаточно м</w:t>
      </w:r>
      <w:r w:rsidR="000B4763" w:rsidRPr="00557123">
        <w:rPr>
          <w:lang w:val="ru-RU"/>
        </w:rPr>
        <w:t>ощным вазоконстриктором [</w:t>
      </w:r>
      <w:r w:rsidR="000B4763" w:rsidRPr="000B4763">
        <w:rPr>
          <w:lang w:val="ru-RU"/>
        </w:rPr>
        <w:t>8</w:t>
      </w:r>
      <w:r w:rsidRPr="00557123">
        <w:rPr>
          <w:lang w:val="ru-RU"/>
        </w:rPr>
        <w:t>]. Таким образом, необходимо, что степень насыщения крови кислородом необходимо поддерживать на уровне 90%, что может быть затруднительным при наличии ХНЗЛ.</w:t>
      </w:r>
    </w:p>
    <w:p w:rsidR="00370C39" w:rsidRPr="00557123" w:rsidRDefault="00370C39" w:rsidP="00FC04E3">
      <w:pPr>
        <w:pStyle w:val="10"/>
        <w:rPr>
          <w:lang w:val="ru-RU"/>
        </w:rPr>
      </w:pPr>
      <w:r w:rsidRPr="00557123">
        <w:rPr>
          <w:lang w:val="ru-RU"/>
        </w:rPr>
        <w:t xml:space="preserve">Легочная артериальная гипертония сопровождается увеличением в плазме крови </w:t>
      </w:r>
      <w:r w:rsidR="00D32D1E" w:rsidRPr="007413B6">
        <w:rPr>
          <w:rStyle w:val="a8"/>
          <w:b w:val="0"/>
          <w:lang w:val="ru-RU"/>
        </w:rPr>
        <w:t>ангиотензин-II</w:t>
      </w:r>
      <w:r w:rsidR="00D32D1E" w:rsidRPr="00D32D1E">
        <w:rPr>
          <w:lang w:val="ru-RU"/>
        </w:rPr>
        <w:t xml:space="preserve"> </w:t>
      </w:r>
      <w:r w:rsidR="00D32D1E">
        <w:rPr>
          <w:lang w:val="ru-RU"/>
        </w:rPr>
        <w:t>(</w:t>
      </w:r>
      <w:r>
        <w:t>AngII</w:t>
      </w:r>
      <w:r w:rsidR="00D32D1E">
        <w:rPr>
          <w:lang w:val="ru-RU"/>
        </w:rPr>
        <w:t>)</w:t>
      </w:r>
      <w:r w:rsidRPr="00557123">
        <w:rPr>
          <w:lang w:val="ru-RU"/>
        </w:rPr>
        <w:t>, уве</w:t>
      </w:r>
      <w:r w:rsidR="000B4763" w:rsidRPr="00557123">
        <w:rPr>
          <w:lang w:val="ru-RU"/>
        </w:rPr>
        <w:t xml:space="preserve">личением активности </w:t>
      </w:r>
      <w:r w:rsidR="00D32D1E" w:rsidRPr="007413B6">
        <w:rPr>
          <w:lang w:val="ru-RU"/>
        </w:rPr>
        <w:t>ангиотензин-превращающий фермент</w:t>
      </w:r>
      <w:r w:rsidR="00D32D1E" w:rsidRPr="00557123">
        <w:rPr>
          <w:lang w:val="ru-RU"/>
        </w:rPr>
        <w:t xml:space="preserve"> </w:t>
      </w:r>
      <w:r w:rsidR="00D32D1E">
        <w:rPr>
          <w:lang w:val="ru-RU"/>
        </w:rPr>
        <w:t>(</w:t>
      </w:r>
      <w:r w:rsidR="000B4763" w:rsidRPr="00557123">
        <w:rPr>
          <w:lang w:val="ru-RU"/>
        </w:rPr>
        <w:t>АПФ</w:t>
      </w:r>
      <w:r w:rsidR="00D32D1E">
        <w:rPr>
          <w:lang w:val="ru-RU"/>
        </w:rPr>
        <w:t>)</w:t>
      </w:r>
      <w:r w:rsidR="000B4763" w:rsidRPr="00557123">
        <w:rPr>
          <w:lang w:val="ru-RU"/>
        </w:rPr>
        <w:t xml:space="preserve"> [</w:t>
      </w:r>
      <w:r w:rsidR="000B4763" w:rsidRPr="000B4763">
        <w:rPr>
          <w:lang w:val="ru-RU"/>
        </w:rPr>
        <w:t>10</w:t>
      </w:r>
      <w:r w:rsidRPr="00557123">
        <w:rPr>
          <w:lang w:val="ru-RU"/>
        </w:rPr>
        <w:t>].</w:t>
      </w:r>
    </w:p>
    <w:p w:rsidR="00370C39" w:rsidRPr="00557123" w:rsidRDefault="00370C39" w:rsidP="00FC04E3">
      <w:pPr>
        <w:pStyle w:val="10"/>
        <w:rPr>
          <w:lang w:val="ru-RU"/>
        </w:rPr>
      </w:pPr>
      <w:r w:rsidRPr="00557123">
        <w:rPr>
          <w:lang w:val="ru-RU"/>
        </w:rPr>
        <w:t>На фоне ХНЗЛ и развития легочной артериальной гипертензии, хронического легочного сердца могут часто наблюдаться застойные явления в большом круге кровообращения (периферические отеки), нередко наблюдаются аритмии, как предсерд</w:t>
      </w:r>
      <w:r w:rsidR="000B4763" w:rsidRPr="00557123">
        <w:rPr>
          <w:lang w:val="ru-RU"/>
        </w:rPr>
        <w:t>ные, так и желудочковые [</w:t>
      </w:r>
      <w:r w:rsidR="000B4763" w:rsidRPr="000B4763">
        <w:rPr>
          <w:lang w:val="ru-RU"/>
        </w:rPr>
        <w:t>11</w:t>
      </w:r>
      <w:r w:rsidRPr="00557123">
        <w:rPr>
          <w:lang w:val="ru-RU"/>
        </w:rPr>
        <w:t>].</w:t>
      </w:r>
    </w:p>
    <w:p w:rsidR="00370C39" w:rsidRPr="00557123" w:rsidRDefault="00370C39" w:rsidP="00FC04E3">
      <w:pPr>
        <w:pStyle w:val="10"/>
        <w:rPr>
          <w:lang w:val="ru-RU"/>
        </w:rPr>
      </w:pPr>
      <w:r w:rsidRPr="00557123">
        <w:rPr>
          <w:lang w:val="ru-RU"/>
        </w:rPr>
        <w:t>При суправентрикулярных нарушениях сердечного ритма целесообразно использо</w:t>
      </w:r>
      <w:r w:rsidR="00320004">
        <w:rPr>
          <w:lang w:val="ru-RU"/>
        </w:rPr>
        <w:t xml:space="preserve">вать дигоксин </w:t>
      </w:r>
      <w:r w:rsidR="000B4763" w:rsidRPr="00557123">
        <w:rPr>
          <w:lang w:val="ru-RU"/>
        </w:rPr>
        <w:t>или дилтиазем [</w:t>
      </w:r>
      <w:r w:rsidR="000B4763" w:rsidRPr="000B4763">
        <w:rPr>
          <w:lang w:val="ru-RU"/>
        </w:rPr>
        <w:t>2</w:t>
      </w:r>
      <w:r w:rsidR="000B4763" w:rsidRPr="00557123">
        <w:rPr>
          <w:lang w:val="ru-RU"/>
        </w:rPr>
        <w:t>, 1</w:t>
      </w:r>
      <w:r w:rsidR="000B4763" w:rsidRPr="000B4763">
        <w:rPr>
          <w:lang w:val="ru-RU"/>
        </w:rPr>
        <w:t>4</w:t>
      </w:r>
      <w:r w:rsidRPr="00557123">
        <w:rPr>
          <w:lang w:val="ru-RU"/>
        </w:rPr>
        <w:t>]. При проведении лечения дилтиаземом целесообразно подбирать дозу с учетом</w:t>
      </w:r>
      <w:r w:rsidR="0019380A" w:rsidRPr="00557123">
        <w:rPr>
          <w:lang w:val="ru-RU"/>
        </w:rPr>
        <w:t xml:space="preserve"> переносимости преп</w:t>
      </w:r>
      <w:r w:rsidR="000B4763" w:rsidRPr="00557123">
        <w:rPr>
          <w:lang w:val="ru-RU"/>
        </w:rPr>
        <w:t>арата [</w:t>
      </w:r>
      <w:r w:rsidR="000B4763" w:rsidRPr="00853ECE">
        <w:rPr>
          <w:lang w:val="ru-RU"/>
        </w:rPr>
        <w:t>2</w:t>
      </w:r>
      <w:r w:rsidRPr="00557123">
        <w:rPr>
          <w:lang w:val="ru-RU"/>
        </w:rPr>
        <w:t xml:space="preserve">]. С учетом того, что у пациентов с ХНЗЛ и легочной артериальной гипертензией обнаружено повышение уровней эндотелина-1 как в плазме крови, так и легких, перспективным представляется применение антогонистов рецепторов эндотелина-1 или препаратов, которые уменьшают вазоконстрикторные </w:t>
      </w:r>
      <w:r w:rsidR="00853ECE" w:rsidRPr="00557123">
        <w:rPr>
          <w:lang w:val="ru-RU"/>
        </w:rPr>
        <w:t>эффекты ЭТ-1 косвенным путем [</w:t>
      </w:r>
      <w:r w:rsidR="00853ECE" w:rsidRPr="00853ECE">
        <w:rPr>
          <w:lang w:val="ru-RU"/>
        </w:rPr>
        <w:t>8</w:t>
      </w:r>
      <w:r w:rsidRPr="00557123">
        <w:rPr>
          <w:lang w:val="ru-RU"/>
        </w:rPr>
        <w:t>].</w:t>
      </w:r>
    </w:p>
    <w:p w:rsidR="00370C39" w:rsidRPr="00557123" w:rsidRDefault="00370C39" w:rsidP="00FC04E3">
      <w:pPr>
        <w:pStyle w:val="10"/>
        <w:rPr>
          <w:lang w:val="ru-RU"/>
        </w:rPr>
      </w:pPr>
      <w:r w:rsidRPr="00557123">
        <w:rPr>
          <w:lang w:val="ru-RU"/>
        </w:rPr>
        <w:t>Речь идет об аналогах простациклина и ингибитора фос</w:t>
      </w:r>
      <w:r w:rsidR="00853ECE" w:rsidRPr="00557123">
        <w:rPr>
          <w:lang w:val="ru-RU"/>
        </w:rPr>
        <w:t>фодиэтеразы силденафила [</w:t>
      </w:r>
      <w:r w:rsidR="00853ECE" w:rsidRPr="00853ECE">
        <w:rPr>
          <w:lang w:val="ru-RU"/>
        </w:rPr>
        <w:t>5</w:t>
      </w:r>
      <w:r w:rsidRPr="00557123">
        <w:rPr>
          <w:lang w:val="ru-RU"/>
        </w:rPr>
        <w:t>]. Обоснованием для применения последнего препарата получил тот факт, что при легочной артериальной гипертонии у больных ХНЗЛ в тканях легких повышается экспрессия фосфодиэтеразы-5, которая разрушается цГМФ. Неудевительно, что это создает предпосылки для развития нарушений сердечного ритма как суправентрикуля</w:t>
      </w:r>
      <w:r w:rsidR="00853ECE" w:rsidRPr="00557123">
        <w:rPr>
          <w:lang w:val="ru-RU"/>
        </w:rPr>
        <w:t>рных, так и желудочковых [</w:t>
      </w:r>
      <w:r w:rsidR="00853ECE" w:rsidRPr="00853ECE">
        <w:rPr>
          <w:lang w:val="ru-RU"/>
        </w:rPr>
        <w:t>1</w:t>
      </w:r>
      <w:r w:rsidRPr="00557123">
        <w:rPr>
          <w:lang w:val="ru-RU"/>
        </w:rPr>
        <w:t>].</w:t>
      </w:r>
    </w:p>
    <w:p w:rsidR="00370C39" w:rsidRPr="00557123" w:rsidRDefault="00370C39" w:rsidP="00FC04E3">
      <w:pPr>
        <w:pStyle w:val="10"/>
        <w:rPr>
          <w:lang w:val="ru-RU"/>
        </w:rPr>
      </w:pPr>
      <w:r w:rsidRPr="00557123">
        <w:rPr>
          <w:lang w:val="ru-RU"/>
        </w:rPr>
        <w:t xml:space="preserve">При гипоксии у больных ХНЗЛ страдает не только миокард, но и проводящая система сердца, возникает гетерогенность различных участков миокарда, что создает условия для развития нарушений ритма по механизму </w:t>
      </w:r>
      <w:r>
        <w:t>re</w:t>
      </w:r>
      <w:r w:rsidRPr="00557123">
        <w:rPr>
          <w:lang w:val="ru-RU"/>
        </w:rPr>
        <w:t>-</w:t>
      </w:r>
      <w:r>
        <w:t>entry</w:t>
      </w:r>
      <w:r w:rsidR="00853ECE" w:rsidRPr="00557123">
        <w:rPr>
          <w:lang w:val="ru-RU"/>
        </w:rPr>
        <w:t xml:space="preserve"> [</w:t>
      </w:r>
      <w:r w:rsidR="00853ECE" w:rsidRPr="00853ECE">
        <w:rPr>
          <w:lang w:val="ru-RU"/>
        </w:rPr>
        <w:t>2</w:t>
      </w:r>
      <w:r w:rsidRPr="00557123">
        <w:rPr>
          <w:lang w:val="ru-RU"/>
        </w:rPr>
        <w:t>]. Косвенное аритмогенное действие гипоксии обусловлено активацией симпатоадре</w:t>
      </w:r>
      <w:r w:rsidRPr="00557123">
        <w:rPr>
          <w:lang w:val="ru-RU"/>
        </w:rPr>
        <w:lastRenderedPageBreak/>
        <w:t xml:space="preserve">наловой системы, влиянием уровня </w:t>
      </w:r>
      <w:r w:rsidR="00997AD3">
        <w:rPr>
          <w:lang w:val="ru-RU"/>
        </w:rPr>
        <w:t>эндотелина-1 (</w:t>
      </w:r>
      <w:r w:rsidRPr="00557123">
        <w:rPr>
          <w:lang w:val="ru-RU"/>
        </w:rPr>
        <w:t>ЭТ-1</w:t>
      </w:r>
      <w:r w:rsidR="00997AD3">
        <w:rPr>
          <w:lang w:val="ru-RU"/>
        </w:rPr>
        <w:t>)</w:t>
      </w:r>
      <w:r w:rsidRPr="00557123">
        <w:rPr>
          <w:lang w:val="ru-RU"/>
        </w:rPr>
        <w:t xml:space="preserve">, </w:t>
      </w:r>
      <w:r w:rsidR="00997AD3" w:rsidRPr="007413B6">
        <w:rPr>
          <w:lang w:val="ru-RU"/>
        </w:rPr>
        <w:t>система ренин-ангиотензин-альдостерон</w:t>
      </w:r>
      <w:r w:rsidR="00997AD3" w:rsidRPr="00997AD3">
        <w:rPr>
          <w:lang w:val="ru-RU"/>
        </w:rPr>
        <w:t xml:space="preserve"> </w:t>
      </w:r>
      <w:r w:rsidR="00997AD3">
        <w:rPr>
          <w:lang w:val="ru-RU"/>
        </w:rPr>
        <w:t>(</w:t>
      </w:r>
      <w:r>
        <w:t>RAAS</w:t>
      </w:r>
      <w:r w:rsidR="00997AD3">
        <w:rPr>
          <w:lang w:val="ru-RU"/>
        </w:rPr>
        <w:t>)</w:t>
      </w:r>
      <w:r w:rsidRPr="00557123">
        <w:rPr>
          <w:lang w:val="ru-RU"/>
        </w:rPr>
        <w:t xml:space="preserve"> </w:t>
      </w:r>
      <w:r w:rsidR="00853ECE" w:rsidRPr="00557123">
        <w:rPr>
          <w:lang w:val="ru-RU"/>
        </w:rPr>
        <w:t>[</w:t>
      </w:r>
      <w:r w:rsidR="00853ECE" w:rsidRPr="00853ECE">
        <w:rPr>
          <w:lang w:val="ru-RU"/>
        </w:rPr>
        <w:t>3</w:t>
      </w:r>
      <w:r w:rsidR="00853ECE" w:rsidRPr="00557123">
        <w:rPr>
          <w:lang w:val="ru-RU"/>
        </w:rPr>
        <w:t>, 1</w:t>
      </w:r>
      <w:r w:rsidR="00853ECE" w:rsidRPr="00853ECE">
        <w:rPr>
          <w:lang w:val="ru-RU"/>
        </w:rPr>
        <w:t>3</w:t>
      </w:r>
      <w:r w:rsidRPr="00557123">
        <w:rPr>
          <w:lang w:val="ru-RU"/>
        </w:rPr>
        <w:t xml:space="preserve">]. Накопление продуктов </w:t>
      </w:r>
      <w:r w:rsidR="00997AD3">
        <w:rPr>
          <w:lang w:val="ru-RU"/>
        </w:rPr>
        <w:t>перикисного окисления липидов (</w:t>
      </w:r>
      <w:r w:rsidRPr="00557123">
        <w:rPr>
          <w:lang w:val="ru-RU"/>
        </w:rPr>
        <w:t>ПОЛ</w:t>
      </w:r>
      <w:r w:rsidR="00997AD3">
        <w:rPr>
          <w:lang w:val="ru-RU"/>
        </w:rPr>
        <w:t>)</w:t>
      </w:r>
      <w:r w:rsidRPr="00557123">
        <w:rPr>
          <w:lang w:val="ru-RU"/>
        </w:rPr>
        <w:t xml:space="preserve"> еще один фактор, способствующ</w:t>
      </w:r>
      <w:r w:rsidR="00853ECE" w:rsidRPr="00557123">
        <w:rPr>
          <w:lang w:val="ru-RU"/>
        </w:rPr>
        <w:t>ий развитию аритмий при ХНЗЛ [</w:t>
      </w:r>
      <w:r w:rsidR="00853ECE" w:rsidRPr="00853ECE">
        <w:rPr>
          <w:lang w:val="ru-RU"/>
        </w:rPr>
        <w:t>4</w:t>
      </w:r>
      <w:r w:rsidRPr="00557123">
        <w:rPr>
          <w:lang w:val="ru-RU"/>
        </w:rPr>
        <w:t>].</w:t>
      </w:r>
    </w:p>
    <w:p w:rsidR="00370C39" w:rsidRPr="00557123" w:rsidRDefault="00370C39" w:rsidP="00FC04E3">
      <w:pPr>
        <w:pStyle w:val="10"/>
        <w:rPr>
          <w:lang w:val="ru-RU"/>
        </w:rPr>
      </w:pPr>
      <w:r w:rsidRPr="00557123">
        <w:rPr>
          <w:lang w:val="ru-RU"/>
        </w:rPr>
        <w:t>Введение антиоксидантов, наоборот, оказыва</w:t>
      </w:r>
      <w:r w:rsidR="00853ECE" w:rsidRPr="00557123">
        <w:rPr>
          <w:lang w:val="ru-RU"/>
        </w:rPr>
        <w:t>ет антиаритмическое действие [</w:t>
      </w:r>
      <w:r w:rsidR="00853ECE" w:rsidRPr="00853ECE">
        <w:rPr>
          <w:lang w:val="ru-RU"/>
        </w:rPr>
        <w:t>5</w:t>
      </w:r>
      <w:r w:rsidRPr="00557123">
        <w:rPr>
          <w:lang w:val="ru-RU"/>
        </w:rPr>
        <w:t>]. Вышеназванные факторы имеют важное значение для развития аритмий у б</w:t>
      </w:r>
      <w:r w:rsidR="00853ECE" w:rsidRPr="00557123">
        <w:rPr>
          <w:lang w:val="ru-RU"/>
        </w:rPr>
        <w:t>ольных ХНЗЛ [</w:t>
      </w:r>
      <w:r w:rsidR="00853ECE" w:rsidRPr="00C06BA5">
        <w:rPr>
          <w:lang w:val="ru-RU"/>
        </w:rPr>
        <w:t>4</w:t>
      </w:r>
      <w:r w:rsidRPr="00557123">
        <w:rPr>
          <w:lang w:val="ru-RU"/>
        </w:rPr>
        <w:t xml:space="preserve">]. Желудочковые </w:t>
      </w:r>
      <w:r w:rsidR="00FB24F2">
        <w:rPr>
          <w:lang w:val="ru-RU"/>
        </w:rPr>
        <w:t>нарушения сердечного ритма (</w:t>
      </w:r>
      <w:r w:rsidRPr="00557123">
        <w:rPr>
          <w:lang w:val="ru-RU"/>
        </w:rPr>
        <w:t>НРС</w:t>
      </w:r>
      <w:r w:rsidR="00FB24F2">
        <w:rPr>
          <w:lang w:val="ru-RU"/>
        </w:rPr>
        <w:t>)</w:t>
      </w:r>
      <w:r w:rsidRPr="00557123">
        <w:rPr>
          <w:lang w:val="ru-RU"/>
        </w:rPr>
        <w:t xml:space="preserve"> у больных ХНЗЛ являются предикторами внезапной смерти.</w:t>
      </w:r>
    </w:p>
    <w:p w:rsidR="00370C39" w:rsidRPr="00557123" w:rsidRDefault="00370C39" w:rsidP="00FC04E3">
      <w:pPr>
        <w:pStyle w:val="10"/>
        <w:rPr>
          <w:lang w:val="ru-RU"/>
        </w:rPr>
      </w:pPr>
      <w:r w:rsidRPr="00557123">
        <w:rPr>
          <w:lang w:val="ru-RU"/>
        </w:rPr>
        <w:t>Нарушения сердечного ритма обнаружены у 82% больных с дыхательной недостаточностью,</w:t>
      </w:r>
      <w:r w:rsidR="00F92E8D" w:rsidRPr="00F92E8D">
        <w:rPr>
          <w:lang w:val="ru-RU"/>
        </w:rPr>
        <w:t xml:space="preserve"> </w:t>
      </w:r>
      <w:r w:rsidRPr="00557123">
        <w:rPr>
          <w:lang w:val="ru-RU"/>
        </w:rPr>
        <w:t>а частота жизненно-опасных аритмий составляет 47% при тяжелой дыхательной недостато</w:t>
      </w:r>
      <w:r w:rsidR="00C06BA5" w:rsidRPr="00557123">
        <w:rPr>
          <w:lang w:val="ru-RU"/>
        </w:rPr>
        <w:t>чности [</w:t>
      </w:r>
      <w:r w:rsidR="00C06BA5" w:rsidRPr="00C06BA5">
        <w:rPr>
          <w:lang w:val="ru-RU"/>
        </w:rPr>
        <w:t>4</w:t>
      </w:r>
      <w:r w:rsidR="00C06BA5" w:rsidRPr="00557123">
        <w:rPr>
          <w:lang w:val="ru-RU"/>
        </w:rPr>
        <w:t xml:space="preserve">, </w:t>
      </w:r>
      <w:r w:rsidR="00C06BA5" w:rsidRPr="00C06BA5">
        <w:rPr>
          <w:lang w:val="ru-RU"/>
        </w:rPr>
        <w:t>8</w:t>
      </w:r>
      <w:r w:rsidRPr="00557123">
        <w:rPr>
          <w:lang w:val="ru-RU"/>
        </w:rPr>
        <w:t>].</w:t>
      </w:r>
    </w:p>
    <w:p w:rsidR="00370C39" w:rsidRPr="00557123" w:rsidRDefault="00370C39" w:rsidP="00FC04E3">
      <w:pPr>
        <w:pStyle w:val="10"/>
        <w:rPr>
          <w:lang w:val="ru-RU"/>
        </w:rPr>
      </w:pPr>
      <w:r w:rsidRPr="00557123">
        <w:rPr>
          <w:lang w:val="ru-RU"/>
        </w:rPr>
        <w:t>В настоящее время аритмии при ХНЗЛ рекомендую</w:t>
      </w:r>
      <w:r w:rsidR="0039238D" w:rsidRPr="00557123">
        <w:rPr>
          <w:lang w:val="ru-RU"/>
        </w:rPr>
        <w:t>т разд</w:t>
      </w:r>
      <w:r w:rsidR="00C06BA5" w:rsidRPr="00557123">
        <w:rPr>
          <w:lang w:val="ru-RU"/>
        </w:rPr>
        <w:t>елить на 3 группы [</w:t>
      </w:r>
      <w:r w:rsidR="00C06BA5" w:rsidRPr="00C06BA5">
        <w:rPr>
          <w:lang w:val="ru-RU"/>
        </w:rPr>
        <w:t>8</w:t>
      </w:r>
      <w:r w:rsidRPr="00557123">
        <w:rPr>
          <w:lang w:val="ru-RU"/>
        </w:rPr>
        <w:t>]:</w:t>
      </w:r>
    </w:p>
    <w:p w:rsidR="00370C39" w:rsidRPr="00557123" w:rsidRDefault="00370C39" w:rsidP="00FC04E3">
      <w:pPr>
        <w:pStyle w:val="10"/>
        <w:rPr>
          <w:lang w:val="ru-RU"/>
        </w:rPr>
      </w:pPr>
      <w:r w:rsidRPr="00557123">
        <w:rPr>
          <w:lang w:val="ru-RU"/>
        </w:rPr>
        <w:t>1) часто встречающиеся синусовая тахикардия, суправентрикулярная и желудочковая экстрасистолия, мерцание и трепетание предсердий;</w:t>
      </w:r>
    </w:p>
    <w:p w:rsidR="00370C39" w:rsidRPr="00557123" w:rsidRDefault="00370C39" w:rsidP="00FC04E3">
      <w:pPr>
        <w:pStyle w:val="10"/>
        <w:rPr>
          <w:lang w:val="ru-RU"/>
        </w:rPr>
      </w:pPr>
      <w:r w:rsidRPr="00557123">
        <w:rPr>
          <w:lang w:val="ru-RU"/>
        </w:rPr>
        <w:t>2) менее часто встречающиеся аллоритмии, фибрилляция желудочков, асистолия;</w:t>
      </w:r>
    </w:p>
    <w:p w:rsidR="00370C39" w:rsidRPr="00557123" w:rsidRDefault="00370C39" w:rsidP="00FC04E3">
      <w:pPr>
        <w:pStyle w:val="10"/>
        <w:rPr>
          <w:lang w:val="ru-RU"/>
        </w:rPr>
      </w:pPr>
      <w:r w:rsidRPr="00557123">
        <w:rPr>
          <w:lang w:val="ru-RU"/>
        </w:rPr>
        <w:t xml:space="preserve">3) редко встречающиеся синусовая брадикардия, </w:t>
      </w:r>
      <w:r>
        <w:t>α</w:t>
      </w:r>
      <w:r w:rsidRPr="00557123">
        <w:rPr>
          <w:lang w:val="ru-RU"/>
        </w:rPr>
        <w:t>-</w:t>
      </w:r>
      <w:r>
        <w:sym w:font="Symbol" w:char="F062"/>
      </w:r>
      <w:r w:rsidRPr="00557123">
        <w:rPr>
          <w:lang w:val="ru-RU"/>
        </w:rPr>
        <w:t>-блокады, желудочковая тахикардия.</w:t>
      </w:r>
    </w:p>
    <w:p w:rsidR="00370C39" w:rsidRPr="00557123" w:rsidRDefault="00370C39" w:rsidP="00FC04E3">
      <w:pPr>
        <w:pStyle w:val="10"/>
        <w:rPr>
          <w:lang w:val="ru-RU"/>
        </w:rPr>
      </w:pPr>
      <w:r w:rsidRPr="00557123">
        <w:rPr>
          <w:lang w:val="ru-RU"/>
        </w:rPr>
        <w:t>Известно, что лечение современными антиаритмическими препаратами недостаточно эффективное у больных ХНЗЛ и не лишено побочных</w:t>
      </w:r>
      <w:r w:rsidR="00C06BA5" w:rsidRPr="00557123">
        <w:rPr>
          <w:lang w:val="ru-RU"/>
        </w:rPr>
        <w:t xml:space="preserve"> действий [</w:t>
      </w:r>
      <w:r w:rsidR="00C06BA5" w:rsidRPr="00C06BA5">
        <w:rPr>
          <w:lang w:val="ru-RU"/>
        </w:rPr>
        <w:t>7</w:t>
      </w:r>
      <w:r w:rsidRPr="00557123">
        <w:rPr>
          <w:lang w:val="ru-RU"/>
        </w:rPr>
        <w:t>]. Именно по этой причине продолжается поиск новых средств и способов лечения аритмий. Одним из таких новых методов лечения является применение аутотрансфузий облученной ультрафиол</w:t>
      </w:r>
      <w:r w:rsidR="00C06BA5" w:rsidRPr="00557123">
        <w:rPr>
          <w:lang w:val="ru-RU"/>
        </w:rPr>
        <w:t>етовыми лучами крови (АУФОК) [</w:t>
      </w:r>
      <w:r w:rsidR="00C06BA5" w:rsidRPr="00C06BA5">
        <w:rPr>
          <w:lang w:val="ru-RU"/>
        </w:rPr>
        <w:t>12</w:t>
      </w:r>
      <w:r w:rsidRPr="00557123">
        <w:rPr>
          <w:lang w:val="ru-RU"/>
        </w:rPr>
        <w:t>].</w:t>
      </w:r>
    </w:p>
    <w:p w:rsidR="00370C39" w:rsidRPr="00557123" w:rsidRDefault="00370C39" w:rsidP="00FC04E3">
      <w:pPr>
        <w:pStyle w:val="10"/>
        <w:rPr>
          <w:lang w:val="ru-RU"/>
        </w:rPr>
      </w:pPr>
      <w:r w:rsidRPr="00557123">
        <w:rPr>
          <w:lang w:val="ru-RU"/>
        </w:rPr>
        <w:t>Известно, что АУФОК вызывает быстрое улучшение реологических свойств крови, микроциркуляции, способствует нормализации гемостаза, газообменной и детоксикационной функции крови, активирует факторы неспеци</w:t>
      </w:r>
      <w:r w:rsidR="00C06BA5" w:rsidRPr="00557123">
        <w:rPr>
          <w:lang w:val="ru-RU"/>
        </w:rPr>
        <w:t>фической защиты, регенерация [</w:t>
      </w:r>
      <w:r w:rsidR="00C06BA5" w:rsidRPr="00C06BA5">
        <w:rPr>
          <w:lang w:val="ru-RU"/>
        </w:rPr>
        <w:t>8</w:t>
      </w:r>
      <w:r w:rsidRPr="00557123">
        <w:rPr>
          <w:lang w:val="ru-RU"/>
        </w:rPr>
        <w:t>].</w:t>
      </w:r>
    </w:p>
    <w:p w:rsidR="00370C39" w:rsidRPr="00557123" w:rsidRDefault="00370C39" w:rsidP="00FC04E3">
      <w:pPr>
        <w:pStyle w:val="10"/>
        <w:rPr>
          <w:lang w:val="ru-RU"/>
        </w:rPr>
      </w:pPr>
      <w:r w:rsidRPr="00557123">
        <w:rPr>
          <w:lang w:val="ru-RU"/>
        </w:rPr>
        <w:t xml:space="preserve">В настоящее время установлено, что фомотодифицированная кровь с одной стороны несет в себе активные формы кислорода, а с другой стороны - приводит </w:t>
      </w:r>
      <w:r w:rsidRPr="00557123">
        <w:rPr>
          <w:lang w:val="ru-RU"/>
        </w:rPr>
        <w:lastRenderedPageBreak/>
        <w:t>к повышению конце</w:t>
      </w:r>
      <w:r w:rsidR="00C06BA5" w:rsidRPr="00557123">
        <w:rPr>
          <w:lang w:val="ru-RU"/>
        </w:rPr>
        <w:t>нтрации стероидных гормонов [</w:t>
      </w:r>
      <w:r w:rsidR="00C06BA5" w:rsidRPr="00C06BA5">
        <w:rPr>
          <w:lang w:val="ru-RU"/>
        </w:rPr>
        <w:t>14</w:t>
      </w:r>
      <w:r w:rsidRPr="00557123">
        <w:rPr>
          <w:lang w:val="ru-RU"/>
        </w:rPr>
        <w:t>]. Сейчас доказана клиническая эффективность АУФОК при лечении больных с заболеваниями легких, сердечной п</w:t>
      </w:r>
      <w:r w:rsidR="00C06BA5" w:rsidRPr="00557123">
        <w:rPr>
          <w:lang w:val="ru-RU"/>
        </w:rPr>
        <w:t>атологией [</w:t>
      </w:r>
      <w:r w:rsidR="00C06BA5" w:rsidRPr="00C06BA5">
        <w:rPr>
          <w:lang w:val="ru-RU"/>
        </w:rPr>
        <w:t>8</w:t>
      </w:r>
      <w:r w:rsidRPr="00557123">
        <w:rPr>
          <w:lang w:val="ru-RU"/>
        </w:rPr>
        <w:t>]. Малоизученным остается вопрос о целесообразности применения АУФОК в комплексной терапии нарушений сердечного ритма у больных ХНЗЛ.</w:t>
      </w:r>
    </w:p>
    <w:p w:rsidR="00F92E8D" w:rsidRPr="00557123" w:rsidRDefault="00F92E8D" w:rsidP="00FC04E3">
      <w:pPr>
        <w:pStyle w:val="10"/>
        <w:rPr>
          <w:lang w:val="ru-RU"/>
        </w:rPr>
      </w:pPr>
      <w:r w:rsidRPr="00F22DD1">
        <w:rPr>
          <w:rStyle w:val="a8"/>
        </w:rPr>
        <w:t>Цель исследования</w:t>
      </w:r>
      <w:r w:rsidRPr="00557123">
        <w:rPr>
          <w:lang w:val="ru-RU"/>
        </w:rPr>
        <w:t xml:space="preserve">. </w:t>
      </w:r>
      <w:r w:rsidR="00370C39" w:rsidRPr="00557123">
        <w:rPr>
          <w:lang w:val="ru-RU"/>
        </w:rPr>
        <w:t xml:space="preserve">Нами изучено влияние АУФОК на эндотелиальную дисфункцию и течение нарушений сердечного ритма у больных ХНЗЛ. </w:t>
      </w:r>
    </w:p>
    <w:p w:rsidR="00370C39" w:rsidRPr="00557123" w:rsidRDefault="00F92E8D" w:rsidP="00FC04E3">
      <w:pPr>
        <w:pStyle w:val="10"/>
        <w:rPr>
          <w:lang w:val="ru-RU"/>
        </w:rPr>
      </w:pPr>
      <w:r w:rsidRPr="00712DCA">
        <w:rPr>
          <w:rStyle w:val="a8"/>
        </w:rPr>
        <w:t>Материалы и методы исследования</w:t>
      </w:r>
      <w:r w:rsidRPr="00557123">
        <w:rPr>
          <w:lang w:val="ru-RU"/>
        </w:rPr>
        <w:t>.</w:t>
      </w:r>
      <w:r w:rsidRPr="00F92E8D">
        <w:rPr>
          <w:lang w:val="ru-RU"/>
        </w:rPr>
        <w:t xml:space="preserve"> </w:t>
      </w:r>
      <w:r w:rsidR="00370C39" w:rsidRPr="00557123">
        <w:rPr>
          <w:lang w:val="ru-RU"/>
        </w:rPr>
        <w:t xml:space="preserve">Для этого обследовано 39 больных, страдающих хроническим обструктивным бронхитом и аритмиями в динамике лечения этмозином 19 больных (1-я группа) и этмозином и АУФОК – 20 больных (2-я группа). У обследованных больных регистрировалась желудочковая экстрасистолия (ЖЭ), соответствующая </w:t>
      </w:r>
      <w:r w:rsidR="00370C39">
        <w:t>I</w:t>
      </w:r>
      <w:r w:rsidR="00370C39" w:rsidRPr="00557123">
        <w:rPr>
          <w:lang w:val="ru-RU"/>
        </w:rPr>
        <w:t>-</w:t>
      </w:r>
      <w:r w:rsidR="00370C39">
        <w:t>II</w:t>
      </w:r>
      <w:r w:rsidR="00370C39" w:rsidRPr="00557123">
        <w:rPr>
          <w:lang w:val="ru-RU"/>
        </w:rPr>
        <w:t xml:space="preserve"> градации по </w:t>
      </w:r>
      <w:r w:rsidR="00370C39">
        <w:t>Jawn</w:t>
      </w:r>
      <w:r w:rsidR="00370C39" w:rsidRPr="00557123">
        <w:rPr>
          <w:lang w:val="ru-RU"/>
        </w:rPr>
        <w:t xml:space="preserve"> </w:t>
      </w:r>
      <w:r w:rsidR="00C06BA5" w:rsidRPr="00557123">
        <w:rPr>
          <w:lang w:val="ru-RU"/>
        </w:rPr>
        <w:t>[1</w:t>
      </w:r>
      <w:r w:rsidR="00C06BA5" w:rsidRPr="00C06BA5">
        <w:rPr>
          <w:lang w:val="ru-RU"/>
        </w:rPr>
        <w:t>4</w:t>
      </w:r>
      <w:r w:rsidR="00370C39" w:rsidRPr="00557123">
        <w:rPr>
          <w:lang w:val="ru-RU"/>
        </w:rPr>
        <w:t>]. Все больные находились на стационарном лечении.</w:t>
      </w:r>
    </w:p>
    <w:p w:rsidR="00370C39" w:rsidRPr="00557123" w:rsidRDefault="00370C39" w:rsidP="00FC04E3">
      <w:pPr>
        <w:pStyle w:val="10"/>
        <w:rPr>
          <w:lang w:val="ru-RU"/>
        </w:rPr>
      </w:pPr>
      <w:r w:rsidRPr="00557123">
        <w:rPr>
          <w:lang w:val="ru-RU"/>
        </w:rPr>
        <w:t xml:space="preserve">Для ультрафиолетового облучения крови использовали аппарат «Изольда» МД-73М. Забор венозной крови и ее облучение проводили из расчета 1 мл на </w:t>
      </w:r>
      <w:smartTag w:uri="urn:schemas-microsoft-com:office:smarttags" w:element="metricconverter">
        <w:smartTagPr>
          <w:attr w:name="ProductID" w:val="1 кг"/>
        </w:smartTagPr>
        <w:r w:rsidRPr="00557123">
          <w:rPr>
            <w:lang w:val="ru-RU"/>
          </w:rPr>
          <w:t>1 кг</w:t>
        </w:r>
      </w:smartTag>
      <w:r w:rsidRPr="00557123">
        <w:rPr>
          <w:lang w:val="ru-RU"/>
        </w:rPr>
        <w:t xml:space="preserve"> массы тела. Скорость движения через кювету равнялась 12 мл/пн. Курс лечения состоял из 7 ежедневных сеансов, обеспечивающих стандартную дозу, рекомендуемой инструкцией по применению препарата.</w:t>
      </w:r>
    </w:p>
    <w:p w:rsidR="00010827" w:rsidRPr="00557123" w:rsidRDefault="00370C39" w:rsidP="00FC04E3">
      <w:pPr>
        <w:pStyle w:val="10"/>
        <w:rPr>
          <w:lang w:val="ru-RU"/>
        </w:rPr>
      </w:pPr>
      <w:r w:rsidRPr="00557123">
        <w:rPr>
          <w:lang w:val="ru-RU"/>
        </w:rPr>
        <w:t xml:space="preserve">Этмозин больным 1-й и 2-й групп назначали по 100 мг х 3 раза в день. Продолжительность лечения составила 7 дней. До и после лечения определяли уровень ЭТ-1, </w:t>
      </w:r>
      <w:r>
        <w:t>AngII</w:t>
      </w:r>
      <w:r w:rsidRPr="00557123">
        <w:rPr>
          <w:lang w:val="ru-RU"/>
        </w:rPr>
        <w:t>, цГМФ, малоновый диальдегид (мДА), уровень аскорбата (с помощью лингвального теста), проводили суточное мониторирование ЭКГ, определяли артериальное давление, регистрировали Эхо</w:t>
      </w:r>
      <w:r w:rsidR="0019380A" w:rsidRPr="00557123">
        <w:rPr>
          <w:lang w:val="ru-RU"/>
        </w:rPr>
        <w:t xml:space="preserve">КГ. </w:t>
      </w:r>
    </w:p>
    <w:p w:rsidR="00370C39" w:rsidRPr="00010827" w:rsidRDefault="00010827" w:rsidP="00FC04E3">
      <w:pPr>
        <w:pStyle w:val="10"/>
        <w:rPr>
          <w:lang w:val="ru-RU"/>
        </w:rPr>
      </w:pPr>
      <w:r w:rsidRPr="009A2445">
        <w:rPr>
          <w:rStyle w:val="a8"/>
        </w:rPr>
        <w:t>Результаты исследования и их обсуждение</w:t>
      </w:r>
      <w:r w:rsidRPr="00557123">
        <w:rPr>
          <w:lang w:val="ru-RU"/>
        </w:rPr>
        <w:t>.</w:t>
      </w:r>
      <w:r w:rsidRPr="00010827">
        <w:rPr>
          <w:lang w:val="ru-RU"/>
        </w:rPr>
        <w:t xml:space="preserve"> </w:t>
      </w:r>
      <w:r w:rsidR="0019380A" w:rsidRPr="00557123">
        <w:rPr>
          <w:lang w:val="ru-RU"/>
        </w:rPr>
        <w:t xml:space="preserve">Результаты лечения больных </w:t>
      </w:r>
      <w:r w:rsidR="00370C39" w:rsidRPr="00557123">
        <w:rPr>
          <w:lang w:val="ru-RU"/>
        </w:rPr>
        <w:t>этмозином, этмозином и</w:t>
      </w:r>
      <w:r w:rsidR="003E6EB5" w:rsidRPr="00557123">
        <w:rPr>
          <w:lang w:val="ru-RU"/>
        </w:rPr>
        <w:t xml:space="preserve"> АУФОК представлены в табл. </w:t>
      </w:r>
      <w:r w:rsidR="003E6EB5">
        <w:t>1</w:t>
      </w:r>
      <w:r w:rsidR="003E6EB5" w:rsidRPr="00010827">
        <w:rPr>
          <w:lang w:val="ru-RU"/>
        </w:rPr>
        <w:t>.</w:t>
      </w:r>
    </w:p>
    <w:p w:rsidR="00370C39" w:rsidRPr="007413B6" w:rsidRDefault="003E6EB5" w:rsidP="00FC04E3">
      <w:pPr>
        <w:pStyle w:val="ae"/>
      </w:pPr>
      <w:r>
        <w:t>Таблица 1.</w:t>
      </w:r>
      <w:r w:rsidR="00370C39" w:rsidRPr="007413B6">
        <w:t xml:space="preserve"> </w:t>
      </w:r>
    </w:p>
    <w:p w:rsidR="00370C39" w:rsidRPr="00D817A0" w:rsidRDefault="00370C39" w:rsidP="00FC04E3">
      <w:pPr>
        <w:pStyle w:val="af0"/>
        <w:rPr>
          <w:lang w:val="ru-RU"/>
        </w:rPr>
      </w:pPr>
      <w:r>
        <w:t xml:space="preserve">Результаты суточного мониторирования ЭКГ в динамике лечения </w:t>
      </w:r>
      <w:r w:rsidR="00D817A0">
        <w:rPr>
          <w:lang w:val="ru-RU"/>
        </w:rPr>
        <w:t>этмозином</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1985"/>
        <w:gridCol w:w="2976"/>
        <w:gridCol w:w="2977"/>
      </w:tblGrid>
      <w:tr w:rsidR="00370C39" w:rsidRPr="00810970" w:rsidTr="006C65A8">
        <w:trPr>
          <w:trHeight w:val="134"/>
        </w:trPr>
        <w:tc>
          <w:tcPr>
            <w:tcW w:w="1813" w:type="dxa"/>
            <w:vMerge w:val="restart"/>
            <w:tcBorders>
              <w:top w:val="threeDEmboss" w:sz="12" w:space="0" w:color="auto"/>
              <w:left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b/>
                <w:color w:val="000000"/>
                <w:lang w:val="ru-RU"/>
              </w:rPr>
            </w:pPr>
            <w:r w:rsidRPr="00810970">
              <w:rPr>
                <w:b/>
                <w:color w:val="000000"/>
                <w:lang w:val="ru-RU"/>
              </w:rPr>
              <w:t>Показатели</w:t>
            </w:r>
          </w:p>
        </w:tc>
        <w:tc>
          <w:tcPr>
            <w:tcW w:w="1985" w:type="dxa"/>
            <w:vMerge w:val="restart"/>
            <w:tcBorders>
              <w:top w:val="threeDEmboss" w:sz="12" w:space="0" w:color="auto"/>
              <w:left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b/>
                <w:color w:val="000000"/>
                <w:lang w:val="ru-RU"/>
              </w:rPr>
            </w:pPr>
            <w:r w:rsidRPr="00810970">
              <w:rPr>
                <w:b/>
                <w:color w:val="000000"/>
                <w:lang w:val="ru-RU"/>
              </w:rPr>
              <w:t>Период наблюдения</w:t>
            </w:r>
          </w:p>
        </w:tc>
        <w:tc>
          <w:tcPr>
            <w:tcW w:w="5953" w:type="dxa"/>
            <w:gridSpan w:val="2"/>
            <w:tcBorders>
              <w:top w:val="threeDEmboss" w:sz="12" w:space="0" w:color="auto"/>
              <w:left w:val="threeDEmboss" w:sz="6" w:space="0" w:color="auto"/>
              <w:bottom w:val="threeDEmboss" w:sz="12"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b/>
                <w:color w:val="000000"/>
                <w:lang w:val="ru-RU"/>
              </w:rPr>
            </w:pPr>
            <w:r w:rsidRPr="00810970">
              <w:rPr>
                <w:b/>
                <w:color w:val="000000"/>
                <w:lang w:val="ru-RU"/>
              </w:rPr>
              <w:t>Группы больных</w:t>
            </w:r>
          </w:p>
        </w:tc>
      </w:tr>
      <w:tr w:rsidR="00370C39" w:rsidRPr="00810970" w:rsidTr="006C65A8">
        <w:trPr>
          <w:trHeight w:val="240"/>
        </w:trPr>
        <w:tc>
          <w:tcPr>
            <w:tcW w:w="1813" w:type="dxa"/>
            <w:vMerge/>
            <w:tcBorders>
              <w:left w:val="threeDEmboss" w:sz="12" w:space="0" w:color="auto"/>
              <w:bottom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b/>
                <w:color w:val="000000"/>
                <w:lang w:val="ru-RU"/>
              </w:rPr>
            </w:pPr>
          </w:p>
        </w:tc>
        <w:tc>
          <w:tcPr>
            <w:tcW w:w="1985" w:type="dxa"/>
            <w:vMerge/>
            <w:tcBorders>
              <w:left w:val="threeDEmboss" w:sz="6" w:space="0" w:color="auto"/>
              <w:bottom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b/>
                <w:color w:val="000000"/>
                <w:lang w:val="ru-RU"/>
              </w:rPr>
            </w:pPr>
          </w:p>
        </w:tc>
        <w:tc>
          <w:tcPr>
            <w:tcW w:w="2976" w:type="dxa"/>
            <w:tcBorders>
              <w:top w:val="threeDEmboss" w:sz="12" w:space="0" w:color="auto"/>
              <w:left w:val="threeDEmboss" w:sz="6" w:space="0" w:color="auto"/>
              <w:bottom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b/>
                <w:color w:val="000000"/>
                <w:lang w:val="ru-RU"/>
              </w:rPr>
            </w:pPr>
            <w:r w:rsidRPr="00810970">
              <w:rPr>
                <w:b/>
                <w:color w:val="000000"/>
                <w:lang w:val="ru-RU"/>
              </w:rPr>
              <w:t>1-я, этмозин</w:t>
            </w:r>
          </w:p>
        </w:tc>
        <w:tc>
          <w:tcPr>
            <w:tcW w:w="2977" w:type="dxa"/>
            <w:tcBorders>
              <w:top w:val="threeDEmboss" w:sz="12" w:space="0" w:color="auto"/>
              <w:left w:val="threeDEmboss" w:sz="6" w:space="0" w:color="auto"/>
              <w:bottom w:val="threeDEmboss" w:sz="12"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b/>
                <w:color w:val="000000"/>
                <w:lang w:val="ru-RU"/>
              </w:rPr>
            </w:pPr>
            <w:r w:rsidRPr="00810970">
              <w:rPr>
                <w:b/>
                <w:color w:val="000000"/>
                <w:lang w:val="ru-RU"/>
              </w:rPr>
              <w:t>2-я, этмозин + АУФОК</w:t>
            </w:r>
          </w:p>
        </w:tc>
      </w:tr>
      <w:tr w:rsidR="00370C39" w:rsidRPr="00810970" w:rsidTr="006C65A8">
        <w:trPr>
          <w:trHeight w:val="227"/>
        </w:trPr>
        <w:tc>
          <w:tcPr>
            <w:tcW w:w="1813" w:type="dxa"/>
            <w:vMerge w:val="restart"/>
            <w:tcBorders>
              <w:top w:val="threeDEmboss" w:sz="12" w:space="0" w:color="auto"/>
              <w:left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lastRenderedPageBreak/>
              <w:t>ЭТ-1, нг/мл</w:t>
            </w:r>
          </w:p>
        </w:tc>
        <w:tc>
          <w:tcPr>
            <w:tcW w:w="1985" w:type="dxa"/>
            <w:tcBorders>
              <w:top w:val="threeDEmboss" w:sz="12"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До лечения</w:t>
            </w:r>
          </w:p>
        </w:tc>
        <w:tc>
          <w:tcPr>
            <w:tcW w:w="2976" w:type="dxa"/>
            <w:tcBorders>
              <w:top w:val="threeDEmboss" w:sz="12"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16,28±1,01 р</w:t>
            </w:r>
            <w:r w:rsidRPr="00810970">
              <w:rPr>
                <w:rStyle w:val="afd"/>
                <w:color w:val="000000"/>
                <w:lang w:val="ru-RU"/>
              </w:rPr>
              <w:footnoteReference w:id="1"/>
            </w:r>
            <w:r w:rsidRPr="00810970">
              <w:rPr>
                <w:color w:val="000000"/>
                <w:lang w:val="ru-RU"/>
              </w:rPr>
              <w:t>&gt;0,05</w:t>
            </w:r>
          </w:p>
        </w:tc>
        <w:tc>
          <w:tcPr>
            <w:tcW w:w="2977" w:type="dxa"/>
            <w:tcBorders>
              <w:top w:val="threeDEmboss" w:sz="12"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16,57±0,63 р&gt;0,05 р</w:t>
            </w:r>
            <w:r w:rsidRPr="00810970">
              <w:rPr>
                <w:color w:val="000000"/>
                <w:vertAlign w:val="subscript"/>
                <w:lang w:val="ru-RU"/>
              </w:rPr>
              <w:t>1</w:t>
            </w:r>
            <w:r w:rsidRPr="00810970">
              <w:rPr>
                <w:color w:val="000000"/>
                <w:lang w:val="ru-RU"/>
              </w:rPr>
              <w:t>&gt;0,05</w:t>
            </w:r>
          </w:p>
        </w:tc>
      </w:tr>
      <w:tr w:rsidR="00370C39" w:rsidRPr="00810970" w:rsidTr="006C65A8">
        <w:trPr>
          <w:trHeight w:val="320"/>
        </w:trPr>
        <w:tc>
          <w:tcPr>
            <w:tcW w:w="1813" w:type="dxa"/>
            <w:vMerge/>
            <w:tcBorders>
              <w:left w:val="threeDEmboss" w:sz="12"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p>
        </w:tc>
        <w:tc>
          <w:tcPr>
            <w:tcW w:w="198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После лечения</w:t>
            </w:r>
          </w:p>
        </w:tc>
        <w:tc>
          <w:tcPr>
            <w:tcW w:w="2976"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13,91±0,24 р</w:t>
            </w:r>
            <w:r w:rsidRPr="00810970">
              <w:rPr>
                <w:color w:val="000000"/>
                <w:vertAlign w:val="subscript"/>
                <w:lang w:val="ru-RU"/>
              </w:rPr>
              <w:t>1</w:t>
            </w:r>
            <w:r w:rsidRPr="00810970">
              <w:rPr>
                <w:color w:val="000000"/>
                <w:lang w:val="ru-RU"/>
              </w:rPr>
              <w:t>&gt;0,05</w:t>
            </w:r>
          </w:p>
        </w:tc>
        <w:tc>
          <w:tcPr>
            <w:tcW w:w="2977"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12,97±0,41 р</w:t>
            </w:r>
            <w:r w:rsidRPr="00810970">
              <w:rPr>
                <w:color w:val="000000"/>
                <w:vertAlign w:val="subscript"/>
                <w:lang w:val="ru-RU"/>
              </w:rPr>
              <w:t>1</w:t>
            </w:r>
            <w:r w:rsidRPr="00810970">
              <w:rPr>
                <w:color w:val="000000"/>
                <w:lang w:val="ru-RU"/>
              </w:rPr>
              <w:t>&gt;0,05 р</w:t>
            </w:r>
            <w:r w:rsidRPr="00810970">
              <w:rPr>
                <w:color w:val="000000"/>
                <w:vertAlign w:val="subscript"/>
                <w:lang w:val="ru-RU"/>
              </w:rPr>
              <w:t>2</w:t>
            </w:r>
            <w:r w:rsidRPr="00810970">
              <w:rPr>
                <w:rStyle w:val="afd"/>
                <w:color w:val="000000"/>
                <w:lang w:val="ru-RU"/>
              </w:rPr>
              <w:footnoteReference w:id="2"/>
            </w:r>
            <w:r w:rsidRPr="00810970">
              <w:rPr>
                <w:color w:val="000000"/>
                <w:lang w:val="ru-RU"/>
              </w:rPr>
              <w:t>&gt;0,05</w:t>
            </w:r>
          </w:p>
        </w:tc>
      </w:tr>
      <w:tr w:rsidR="00370C39" w:rsidRPr="00810970" w:rsidTr="006C65A8">
        <w:trPr>
          <w:trHeight w:val="240"/>
        </w:trPr>
        <w:tc>
          <w:tcPr>
            <w:tcW w:w="1813" w:type="dxa"/>
            <w:vMerge w:val="restart"/>
            <w:tcBorders>
              <w:top w:val="threeDEmboss" w:sz="6" w:space="0" w:color="auto"/>
              <w:left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en-US"/>
              </w:rPr>
              <w:t>AngII</w:t>
            </w:r>
            <w:r w:rsidRPr="00810970">
              <w:rPr>
                <w:color w:val="000000"/>
                <w:lang w:val="ru-RU"/>
              </w:rPr>
              <w:t>,</w:t>
            </w:r>
            <w:r w:rsidRPr="00810970">
              <w:rPr>
                <w:color w:val="000000"/>
                <w:lang w:val="en-US"/>
              </w:rPr>
              <w:t xml:space="preserve"> </w:t>
            </w:r>
            <w:r w:rsidRPr="00810970">
              <w:rPr>
                <w:color w:val="000000"/>
                <w:lang w:val="ru-RU"/>
              </w:rPr>
              <w:t>нг/мл</w:t>
            </w:r>
          </w:p>
        </w:tc>
        <w:tc>
          <w:tcPr>
            <w:tcW w:w="198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До лечения</w:t>
            </w:r>
          </w:p>
        </w:tc>
        <w:tc>
          <w:tcPr>
            <w:tcW w:w="2976"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18,4±1,3 р&gt;0,05</w:t>
            </w:r>
          </w:p>
        </w:tc>
        <w:tc>
          <w:tcPr>
            <w:tcW w:w="2977"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19,1±1,4 р&gt;0,05</w:t>
            </w:r>
          </w:p>
        </w:tc>
      </w:tr>
      <w:tr w:rsidR="00370C39" w:rsidRPr="00810970" w:rsidTr="006C65A8">
        <w:trPr>
          <w:trHeight w:val="280"/>
        </w:trPr>
        <w:tc>
          <w:tcPr>
            <w:tcW w:w="1813" w:type="dxa"/>
            <w:vMerge/>
            <w:tcBorders>
              <w:left w:val="threeDEmboss" w:sz="12"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p>
        </w:tc>
        <w:tc>
          <w:tcPr>
            <w:tcW w:w="198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После лечения</w:t>
            </w:r>
          </w:p>
        </w:tc>
        <w:tc>
          <w:tcPr>
            <w:tcW w:w="2976"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17,9±2,2 р</w:t>
            </w:r>
            <w:r w:rsidRPr="00810970">
              <w:rPr>
                <w:color w:val="000000"/>
                <w:vertAlign w:val="subscript"/>
                <w:lang w:val="ru-RU"/>
              </w:rPr>
              <w:t>1</w:t>
            </w:r>
            <w:r w:rsidRPr="00810970">
              <w:rPr>
                <w:color w:val="000000"/>
                <w:lang w:val="ru-RU"/>
              </w:rPr>
              <w:t>&gt;0,05</w:t>
            </w:r>
          </w:p>
        </w:tc>
        <w:tc>
          <w:tcPr>
            <w:tcW w:w="2977"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18,3±1,5 р</w:t>
            </w:r>
            <w:r w:rsidRPr="00810970">
              <w:rPr>
                <w:color w:val="000000"/>
                <w:vertAlign w:val="subscript"/>
                <w:lang w:val="ru-RU"/>
              </w:rPr>
              <w:t>1</w:t>
            </w:r>
            <w:r w:rsidRPr="00810970">
              <w:rPr>
                <w:color w:val="000000"/>
                <w:lang w:val="ru-RU"/>
              </w:rPr>
              <w:t>&gt;0,05 р</w:t>
            </w:r>
            <w:r w:rsidRPr="00810970">
              <w:rPr>
                <w:color w:val="000000"/>
                <w:vertAlign w:val="subscript"/>
                <w:lang w:val="ru-RU"/>
              </w:rPr>
              <w:t>2</w:t>
            </w:r>
            <w:r w:rsidRPr="00810970">
              <w:rPr>
                <w:color w:val="000000"/>
                <w:lang w:val="ru-RU"/>
              </w:rPr>
              <w:t>&gt;0,05 р</w:t>
            </w:r>
            <w:r w:rsidRPr="00810970">
              <w:rPr>
                <w:color w:val="000000"/>
                <w:vertAlign w:val="subscript"/>
                <w:lang w:val="ru-RU"/>
              </w:rPr>
              <w:t>3</w:t>
            </w:r>
            <w:r w:rsidRPr="00810970">
              <w:rPr>
                <w:rStyle w:val="afd"/>
                <w:color w:val="000000"/>
                <w:lang w:val="ru-RU"/>
              </w:rPr>
              <w:footnoteReference w:id="3"/>
            </w:r>
            <w:r w:rsidRPr="00810970">
              <w:rPr>
                <w:color w:val="000000"/>
                <w:lang w:val="ru-RU"/>
              </w:rPr>
              <w:t>&gt;0,05</w:t>
            </w:r>
          </w:p>
        </w:tc>
      </w:tr>
      <w:tr w:rsidR="00370C39" w:rsidRPr="00810970" w:rsidTr="006C65A8">
        <w:trPr>
          <w:trHeight w:val="267"/>
        </w:trPr>
        <w:tc>
          <w:tcPr>
            <w:tcW w:w="1813" w:type="dxa"/>
            <w:vMerge w:val="restart"/>
            <w:tcBorders>
              <w:left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цГМФ, нмоль</w:t>
            </w:r>
          </w:p>
        </w:tc>
        <w:tc>
          <w:tcPr>
            <w:tcW w:w="198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До лечения</w:t>
            </w:r>
          </w:p>
        </w:tc>
        <w:tc>
          <w:tcPr>
            <w:tcW w:w="2976"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6,68±0,41 р&gt;0,05</w:t>
            </w:r>
          </w:p>
        </w:tc>
        <w:tc>
          <w:tcPr>
            <w:tcW w:w="2977"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6,54±0,34 р&gt;0,05 р</w:t>
            </w:r>
            <w:r w:rsidRPr="00810970">
              <w:rPr>
                <w:color w:val="000000"/>
                <w:vertAlign w:val="subscript"/>
                <w:lang w:val="ru-RU"/>
              </w:rPr>
              <w:t>2</w:t>
            </w:r>
            <w:r w:rsidRPr="00810970">
              <w:rPr>
                <w:color w:val="000000"/>
                <w:lang w:val="ru-RU"/>
              </w:rPr>
              <w:t>&gt;0,05</w:t>
            </w:r>
          </w:p>
        </w:tc>
      </w:tr>
      <w:tr w:rsidR="00370C39" w:rsidRPr="00810970" w:rsidTr="006C65A8">
        <w:trPr>
          <w:trHeight w:val="253"/>
        </w:trPr>
        <w:tc>
          <w:tcPr>
            <w:tcW w:w="1813" w:type="dxa"/>
            <w:vMerge/>
            <w:tcBorders>
              <w:left w:val="threeDEmboss" w:sz="12"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p>
        </w:tc>
        <w:tc>
          <w:tcPr>
            <w:tcW w:w="198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После лечения</w:t>
            </w:r>
          </w:p>
        </w:tc>
        <w:tc>
          <w:tcPr>
            <w:tcW w:w="2976"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8,96±0,21 р</w:t>
            </w:r>
            <w:r w:rsidRPr="00810970">
              <w:rPr>
                <w:color w:val="000000"/>
                <w:vertAlign w:val="subscript"/>
                <w:lang w:val="ru-RU"/>
              </w:rPr>
              <w:t>1</w:t>
            </w:r>
            <w:r w:rsidRPr="00810970">
              <w:rPr>
                <w:color w:val="000000"/>
                <w:lang w:val="ru-RU"/>
              </w:rPr>
              <w:t>&gt;0,05</w:t>
            </w:r>
          </w:p>
        </w:tc>
        <w:tc>
          <w:tcPr>
            <w:tcW w:w="2977"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9,01±0,42 р</w:t>
            </w:r>
            <w:r w:rsidRPr="00810970">
              <w:rPr>
                <w:color w:val="000000"/>
                <w:vertAlign w:val="subscript"/>
                <w:lang w:val="ru-RU"/>
              </w:rPr>
              <w:t>2</w:t>
            </w:r>
            <w:r w:rsidRPr="00810970">
              <w:rPr>
                <w:color w:val="000000"/>
                <w:lang w:val="ru-RU"/>
              </w:rPr>
              <w:t>&lt;0,05 р</w:t>
            </w:r>
            <w:r w:rsidRPr="00810970">
              <w:rPr>
                <w:color w:val="000000"/>
                <w:vertAlign w:val="subscript"/>
                <w:lang w:val="ru-RU"/>
              </w:rPr>
              <w:t>3</w:t>
            </w:r>
            <w:r w:rsidRPr="00810970">
              <w:rPr>
                <w:color w:val="000000"/>
                <w:lang w:val="ru-RU"/>
              </w:rPr>
              <w:t>&gt;0,05</w:t>
            </w:r>
          </w:p>
        </w:tc>
      </w:tr>
      <w:tr w:rsidR="00370C39" w:rsidRPr="00810970" w:rsidTr="006C65A8">
        <w:trPr>
          <w:trHeight w:val="347"/>
        </w:trPr>
        <w:tc>
          <w:tcPr>
            <w:tcW w:w="1813" w:type="dxa"/>
            <w:vMerge w:val="restart"/>
            <w:tcBorders>
              <w:left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мДА, мкмоль/мл</w:t>
            </w:r>
          </w:p>
        </w:tc>
        <w:tc>
          <w:tcPr>
            <w:tcW w:w="198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До лечения</w:t>
            </w:r>
          </w:p>
        </w:tc>
        <w:tc>
          <w:tcPr>
            <w:tcW w:w="2976"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14,02±1,8 р&gt;0,05</w:t>
            </w:r>
          </w:p>
        </w:tc>
        <w:tc>
          <w:tcPr>
            <w:tcW w:w="2977"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14,121±0,83 р&gt;0,05 р</w:t>
            </w:r>
            <w:r w:rsidRPr="00810970">
              <w:rPr>
                <w:color w:val="000000"/>
                <w:vertAlign w:val="subscript"/>
                <w:lang w:val="ru-RU"/>
              </w:rPr>
              <w:t>2</w:t>
            </w:r>
            <w:r w:rsidRPr="00810970">
              <w:rPr>
                <w:color w:val="000000"/>
                <w:lang w:val="ru-RU"/>
              </w:rPr>
              <w:t>&gt;0,05</w:t>
            </w:r>
          </w:p>
        </w:tc>
      </w:tr>
      <w:tr w:rsidR="00370C39" w:rsidRPr="00810970" w:rsidTr="006C65A8">
        <w:trPr>
          <w:trHeight w:val="173"/>
        </w:trPr>
        <w:tc>
          <w:tcPr>
            <w:tcW w:w="1813" w:type="dxa"/>
            <w:vMerge/>
            <w:tcBorders>
              <w:left w:val="threeDEmboss" w:sz="12"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p>
        </w:tc>
        <w:tc>
          <w:tcPr>
            <w:tcW w:w="198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После лечения</w:t>
            </w:r>
          </w:p>
        </w:tc>
        <w:tc>
          <w:tcPr>
            <w:tcW w:w="2976"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13,91±1,7 р</w:t>
            </w:r>
            <w:r w:rsidRPr="00810970">
              <w:rPr>
                <w:color w:val="000000"/>
                <w:vertAlign w:val="subscript"/>
                <w:lang w:val="ru-RU"/>
              </w:rPr>
              <w:t>1</w:t>
            </w:r>
            <w:r w:rsidRPr="00810970">
              <w:rPr>
                <w:color w:val="000000"/>
                <w:lang w:val="ru-RU"/>
              </w:rPr>
              <w:t>&gt;0,05</w:t>
            </w:r>
          </w:p>
        </w:tc>
        <w:tc>
          <w:tcPr>
            <w:tcW w:w="2977"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10,82±0,46 р</w:t>
            </w:r>
            <w:r w:rsidRPr="00810970">
              <w:rPr>
                <w:color w:val="000000"/>
                <w:vertAlign w:val="subscript"/>
                <w:lang w:val="ru-RU"/>
              </w:rPr>
              <w:t>1</w:t>
            </w:r>
            <w:r w:rsidRPr="00810970">
              <w:rPr>
                <w:color w:val="000000"/>
                <w:lang w:val="ru-RU"/>
              </w:rPr>
              <w:t>&gt;0,05 р&gt;0,05</w:t>
            </w:r>
          </w:p>
        </w:tc>
      </w:tr>
      <w:tr w:rsidR="00370C39" w:rsidRPr="00810970" w:rsidTr="006C65A8">
        <w:trPr>
          <w:trHeight w:val="320"/>
        </w:trPr>
        <w:tc>
          <w:tcPr>
            <w:tcW w:w="1813" w:type="dxa"/>
            <w:vMerge w:val="restart"/>
            <w:tcBorders>
              <w:top w:val="threeDEmboss" w:sz="6" w:space="0" w:color="auto"/>
              <w:left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Лингвальный тест, сек</w:t>
            </w:r>
          </w:p>
        </w:tc>
        <w:tc>
          <w:tcPr>
            <w:tcW w:w="198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До лечения</w:t>
            </w:r>
          </w:p>
        </w:tc>
        <w:tc>
          <w:tcPr>
            <w:tcW w:w="2976"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46,2±2,2 р</w:t>
            </w:r>
            <w:r w:rsidRPr="00810970">
              <w:rPr>
                <w:color w:val="000000"/>
                <w:vertAlign w:val="subscript"/>
                <w:lang w:val="ru-RU"/>
              </w:rPr>
              <w:t>1</w:t>
            </w:r>
            <w:r w:rsidRPr="00810970">
              <w:rPr>
                <w:color w:val="000000"/>
                <w:lang w:val="ru-RU"/>
              </w:rPr>
              <w:t>&gt;0,05</w:t>
            </w:r>
          </w:p>
        </w:tc>
        <w:tc>
          <w:tcPr>
            <w:tcW w:w="2977"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44,9±0,83 р&gt;0,05 р</w:t>
            </w:r>
            <w:r w:rsidRPr="00810970">
              <w:rPr>
                <w:color w:val="000000"/>
                <w:vertAlign w:val="subscript"/>
                <w:lang w:val="ru-RU"/>
              </w:rPr>
              <w:t>2</w:t>
            </w:r>
            <w:r w:rsidRPr="00810970">
              <w:rPr>
                <w:color w:val="000000"/>
                <w:lang w:val="ru-RU"/>
              </w:rPr>
              <w:t>&gt;0,05</w:t>
            </w:r>
          </w:p>
        </w:tc>
      </w:tr>
      <w:tr w:rsidR="00370C39" w:rsidRPr="00810970" w:rsidTr="006C65A8">
        <w:trPr>
          <w:trHeight w:val="200"/>
        </w:trPr>
        <w:tc>
          <w:tcPr>
            <w:tcW w:w="1813" w:type="dxa"/>
            <w:vMerge/>
            <w:tcBorders>
              <w:left w:val="threeDEmboss" w:sz="12"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p>
        </w:tc>
        <w:tc>
          <w:tcPr>
            <w:tcW w:w="198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После лечения</w:t>
            </w:r>
          </w:p>
        </w:tc>
        <w:tc>
          <w:tcPr>
            <w:tcW w:w="2976"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44,8±1,9 р</w:t>
            </w:r>
            <w:r w:rsidRPr="00810970">
              <w:rPr>
                <w:color w:val="000000"/>
                <w:vertAlign w:val="subscript"/>
                <w:lang w:val="ru-RU"/>
              </w:rPr>
              <w:t>1</w:t>
            </w:r>
            <w:r w:rsidRPr="00810970">
              <w:rPr>
                <w:color w:val="000000"/>
                <w:lang w:val="ru-RU"/>
              </w:rPr>
              <w:t>&gt;0,05</w:t>
            </w:r>
          </w:p>
        </w:tc>
        <w:tc>
          <w:tcPr>
            <w:tcW w:w="2977"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30,1±0,96 р&gt;0,05</w:t>
            </w:r>
            <w:r w:rsidRPr="00810970">
              <w:rPr>
                <w:color w:val="000000"/>
                <w:vertAlign w:val="subscript"/>
                <w:lang w:val="ru-RU"/>
              </w:rPr>
              <w:t xml:space="preserve"> </w:t>
            </w:r>
            <w:r w:rsidRPr="00810970">
              <w:rPr>
                <w:color w:val="000000"/>
                <w:lang w:val="ru-RU"/>
              </w:rPr>
              <w:t>р</w:t>
            </w:r>
            <w:r w:rsidRPr="00810970">
              <w:rPr>
                <w:color w:val="000000"/>
                <w:vertAlign w:val="subscript"/>
                <w:lang w:val="ru-RU"/>
              </w:rPr>
              <w:t>1</w:t>
            </w:r>
            <w:r w:rsidRPr="00810970">
              <w:rPr>
                <w:color w:val="000000"/>
                <w:lang w:val="ru-RU"/>
              </w:rPr>
              <w:t>&gt;0,05</w:t>
            </w:r>
          </w:p>
        </w:tc>
      </w:tr>
      <w:tr w:rsidR="00370C39" w:rsidRPr="00810970" w:rsidTr="006C65A8">
        <w:trPr>
          <w:trHeight w:val="188"/>
        </w:trPr>
        <w:tc>
          <w:tcPr>
            <w:tcW w:w="1813" w:type="dxa"/>
            <w:vMerge w:val="restart"/>
            <w:tcBorders>
              <w:top w:val="threeDEmboss" w:sz="6" w:space="0" w:color="auto"/>
              <w:left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Частота ЖЭ за сутки</w:t>
            </w:r>
          </w:p>
        </w:tc>
        <w:tc>
          <w:tcPr>
            <w:tcW w:w="198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До лечения</w:t>
            </w:r>
          </w:p>
        </w:tc>
        <w:tc>
          <w:tcPr>
            <w:tcW w:w="2976"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796,5±13,4 р&gt;0,05</w:t>
            </w:r>
          </w:p>
        </w:tc>
        <w:tc>
          <w:tcPr>
            <w:tcW w:w="2977"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802,9±11,8 р&gt;0,05</w:t>
            </w:r>
          </w:p>
        </w:tc>
      </w:tr>
      <w:tr w:rsidR="00370C39" w:rsidRPr="00810970" w:rsidTr="006C65A8">
        <w:trPr>
          <w:trHeight w:val="693"/>
        </w:trPr>
        <w:tc>
          <w:tcPr>
            <w:tcW w:w="1813" w:type="dxa"/>
            <w:vMerge/>
            <w:tcBorders>
              <w:left w:val="threeDEmboss" w:sz="12" w:space="0" w:color="auto"/>
              <w:bottom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p>
        </w:tc>
        <w:tc>
          <w:tcPr>
            <w:tcW w:w="1985" w:type="dxa"/>
            <w:tcBorders>
              <w:top w:val="threeDEmboss" w:sz="6" w:space="0" w:color="auto"/>
              <w:left w:val="threeDEmboss" w:sz="6" w:space="0" w:color="auto"/>
              <w:bottom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После лечения</w:t>
            </w:r>
          </w:p>
        </w:tc>
        <w:tc>
          <w:tcPr>
            <w:tcW w:w="2976" w:type="dxa"/>
            <w:tcBorders>
              <w:top w:val="threeDEmboss" w:sz="6" w:space="0" w:color="auto"/>
              <w:left w:val="threeDEmboss" w:sz="6" w:space="0" w:color="auto"/>
              <w:bottom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153,4±12,3</w:t>
            </w:r>
          </w:p>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р</w:t>
            </w:r>
            <w:r w:rsidRPr="00810970">
              <w:rPr>
                <w:color w:val="000000"/>
                <w:vertAlign w:val="subscript"/>
                <w:lang w:val="ru-RU"/>
              </w:rPr>
              <w:t>2</w:t>
            </w:r>
            <w:r w:rsidRPr="00810970">
              <w:rPr>
                <w:color w:val="000000"/>
                <w:lang w:val="ru-RU"/>
              </w:rPr>
              <w:t>&gt;0,05</w:t>
            </w:r>
          </w:p>
        </w:tc>
        <w:tc>
          <w:tcPr>
            <w:tcW w:w="2977" w:type="dxa"/>
            <w:tcBorders>
              <w:top w:val="threeDEmboss" w:sz="6" w:space="0" w:color="auto"/>
              <w:left w:val="threeDEmboss" w:sz="6" w:space="0" w:color="auto"/>
              <w:bottom w:val="threeDEmboss" w:sz="12"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97,1±10,2 р</w:t>
            </w:r>
            <w:r w:rsidRPr="00810970">
              <w:rPr>
                <w:color w:val="000000"/>
                <w:vertAlign w:val="subscript"/>
                <w:lang w:val="ru-RU"/>
              </w:rPr>
              <w:t>1</w:t>
            </w:r>
            <w:r w:rsidRPr="00810970">
              <w:rPr>
                <w:color w:val="000000"/>
                <w:lang w:val="ru-RU"/>
              </w:rPr>
              <w:t>&gt;0,05 р</w:t>
            </w:r>
            <w:r w:rsidRPr="00810970">
              <w:rPr>
                <w:color w:val="000000"/>
                <w:vertAlign w:val="subscript"/>
                <w:lang w:val="ru-RU"/>
              </w:rPr>
              <w:t>3</w:t>
            </w:r>
            <w:r w:rsidRPr="00810970">
              <w:rPr>
                <w:color w:val="000000"/>
                <w:lang w:val="ru-RU"/>
              </w:rPr>
              <w:t>&gt;0,05</w:t>
            </w:r>
          </w:p>
        </w:tc>
      </w:tr>
    </w:tbl>
    <w:p w:rsidR="00370C39" w:rsidRPr="00557123" w:rsidRDefault="00370C39" w:rsidP="00FC04E3">
      <w:pPr>
        <w:pStyle w:val="10"/>
        <w:rPr>
          <w:lang w:val="ru-RU"/>
        </w:rPr>
      </w:pPr>
      <w:r w:rsidRPr="00557123">
        <w:rPr>
          <w:lang w:val="ru-RU"/>
        </w:rPr>
        <w:t>Как видно их приведенных данных при проведении лечения этмозином на фоне урежения ЖЭ с 796,5±13,4 до 153,1±12,2 за сутки отмечалось статистически достоверное снижение уровня ЭТ-1 с 16,28±1,01 нг/мл до 13,01±0,24 нг/мл (р</w:t>
      </w:r>
      <w:r>
        <w:sym w:font="Symbol" w:char="F03C"/>
      </w:r>
      <w:r w:rsidRPr="00557123">
        <w:rPr>
          <w:lang w:val="ru-RU"/>
        </w:rPr>
        <w:t>0,05), увеличение уровня цГМФ с 6,68±0,41 нмоль/л до 8,96±0,21 нмоль/л (р</w:t>
      </w:r>
      <w:r>
        <w:sym w:font="Symbol" w:char="F03C"/>
      </w:r>
      <w:r w:rsidRPr="00557123">
        <w:rPr>
          <w:lang w:val="ru-RU"/>
        </w:rPr>
        <w:t>0,05).</w:t>
      </w:r>
    </w:p>
    <w:p w:rsidR="00370C39" w:rsidRPr="003E29D4" w:rsidRDefault="00370C39" w:rsidP="00FC04E3">
      <w:pPr>
        <w:pStyle w:val="10"/>
        <w:rPr>
          <w:lang w:val="ru-RU"/>
        </w:rPr>
      </w:pPr>
      <w:r w:rsidRPr="003E29D4">
        <w:rPr>
          <w:lang w:val="ru-RU"/>
        </w:rPr>
        <w:t xml:space="preserve">При этом не отмечалось существенного изменения уровня </w:t>
      </w:r>
      <w:r>
        <w:t>AngII</w:t>
      </w:r>
      <w:r w:rsidRPr="003E29D4">
        <w:rPr>
          <w:lang w:val="ru-RU"/>
        </w:rPr>
        <w:t>, мДА; продолжительность лингвального теста также осталась прежней 46,2±2,2 сек до лечения и 44,8±1,9 сек после лечения (р</w:t>
      </w:r>
      <w:r>
        <w:sym w:font="Symbol" w:char="F03E"/>
      </w:r>
      <w:r w:rsidRPr="003E29D4">
        <w:rPr>
          <w:lang w:val="ru-RU"/>
        </w:rPr>
        <w:t>0,05).</w:t>
      </w:r>
    </w:p>
    <w:p w:rsidR="00370C39" w:rsidRPr="003E29D4" w:rsidRDefault="00370C39" w:rsidP="00FC04E3">
      <w:pPr>
        <w:pStyle w:val="10"/>
        <w:rPr>
          <w:lang w:val="ru-RU"/>
        </w:rPr>
      </w:pPr>
      <w:r w:rsidRPr="003E29D4">
        <w:rPr>
          <w:lang w:val="ru-RU"/>
        </w:rPr>
        <w:t>При проведении комбинированного лечения этмозином и АУФОК (2-я группа больных) наблюдалось существенное уменьшение числа ЖЭ с 802,9±11,8 до 97,1±10,1 за сутки. Кроме того, отмечалось снижение уровня ЭТ-1 с 16,57±0,63 нг/мл до 12,97±0,41 нг/мл (р</w:t>
      </w:r>
      <w:r>
        <w:sym w:font="Symbol" w:char="F03C"/>
      </w:r>
      <w:r w:rsidRPr="003E29D4">
        <w:rPr>
          <w:lang w:val="ru-RU"/>
        </w:rPr>
        <w:t xml:space="preserve">0,05). Не отмечалось изменение уровня </w:t>
      </w:r>
      <w:r>
        <w:t>AngII</w:t>
      </w:r>
      <w:r w:rsidRPr="003E29D4">
        <w:rPr>
          <w:lang w:val="ru-RU"/>
        </w:rPr>
        <w:t xml:space="preserve"> (р&gt;0,05). Уровень цГМФ возрос с 6,54±0,34 нмоль/л до 9,01±0,42 нмоль/л (р</w:t>
      </w:r>
      <w:r>
        <w:sym w:font="Symbol" w:char="F03C"/>
      </w:r>
      <w:r w:rsidRPr="003E29D4">
        <w:rPr>
          <w:lang w:val="ru-RU"/>
        </w:rPr>
        <w:t>0,05).</w:t>
      </w:r>
    </w:p>
    <w:p w:rsidR="00370C39" w:rsidRPr="003E29D4" w:rsidRDefault="00370C39" w:rsidP="00FC04E3">
      <w:pPr>
        <w:pStyle w:val="10"/>
        <w:rPr>
          <w:lang w:val="ru-RU"/>
        </w:rPr>
      </w:pPr>
      <w:r w:rsidRPr="003E29D4">
        <w:rPr>
          <w:lang w:val="ru-RU"/>
        </w:rPr>
        <w:t>Кроме того, отмечалось значимое снижение содержания МДА с 14,11±0,82 мкмоль/л до 10,82±0,46 мкмоль/мл (р</w:t>
      </w:r>
      <w:r>
        <w:sym w:font="Symbol" w:char="F03C"/>
      </w:r>
      <w:r w:rsidRPr="003E29D4">
        <w:rPr>
          <w:lang w:val="ru-RU"/>
        </w:rPr>
        <w:t>0,05), продолжительность лингвального теста уменьшилась с 44,9±0,83 сек до 30,1±0,96 сек (р</w:t>
      </w:r>
      <w:r>
        <w:sym w:font="Symbol" w:char="F03C"/>
      </w:r>
      <w:r w:rsidRPr="003E29D4">
        <w:rPr>
          <w:lang w:val="ru-RU"/>
        </w:rPr>
        <w:t>0,05).</w:t>
      </w:r>
    </w:p>
    <w:p w:rsidR="00370C39" w:rsidRPr="003E29D4" w:rsidRDefault="00370C39" w:rsidP="00FC04E3">
      <w:pPr>
        <w:pStyle w:val="10"/>
        <w:rPr>
          <w:lang w:val="ru-RU"/>
        </w:rPr>
      </w:pPr>
      <w:r w:rsidRPr="003E29D4">
        <w:rPr>
          <w:lang w:val="ru-RU"/>
        </w:rPr>
        <w:lastRenderedPageBreak/>
        <w:t>Обращало на себя внимание то, что число экстрасистол после лечения у больных, леченных этмозином и АУФОК было достоверно меньше, чем у больных, которым проводилось лечение только этмозином. Показатели соответсвенно равны 153,4±12,3 и 197,1±10,4 экстрасистол за сутки (р</w:t>
      </w:r>
      <w:r w:rsidRPr="003E29D4">
        <w:rPr>
          <w:vertAlign w:val="subscript"/>
          <w:lang w:val="ru-RU"/>
        </w:rPr>
        <w:t>3</w:t>
      </w:r>
      <w:r>
        <w:sym w:font="Symbol" w:char="F03C"/>
      </w:r>
      <w:r w:rsidRPr="003E29D4">
        <w:rPr>
          <w:lang w:val="ru-RU"/>
        </w:rPr>
        <w:t xml:space="preserve">0,05). Это связано в первую очередь с тем, что лечение этмозином в сочетании с АУФОК сопровождалось существенным снижением активности процессов перекисного окисления липидов, о чем свидетельствует значимое снижение уровня МДА. </w:t>
      </w:r>
    </w:p>
    <w:p w:rsidR="00370C39" w:rsidRPr="003E29D4" w:rsidRDefault="00370C39" w:rsidP="00FC04E3">
      <w:pPr>
        <w:pStyle w:val="10"/>
        <w:rPr>
          <w:lang w:val="ru-RU"/>
        </w:rPr>
      </w:pPr>
      <w:r w:rsidRPr="003E29D4">
        <w:rPr>
          <w:lang w:val="ru-RU"/>
        </w:rPr>
        <w:t xml:space="preserve">Известно, что ПОЛ – важный фактор, способтвующий развитию аритмий. При оценке влияния этмозина на показатели кардиогемодинамики у больных ХНЗЛ и ЖЭ было установлено, что препарат не оказывает существенного влияния на ЧСС, АДс, АДд, УО, ФВ, </w:t>
      </w:r>
      <w:r>
        <w:t>Vcf</w:t>
      </w:r>
      <w:r w:rsidRPr="003E29D4">
        <w:rPr>
          <w:lang w:val="ru-RU"/>
        </w:rPr>
        <w:t>, %</w:t>
      </w:r>
      <w:r>
        <w:t>ΔS</w:t>
      </w:r>
      <w:r w:rsidR="003654EA" w:rsidRPr="003E29D4">
        <w:rPr>
          <w:lang w:val="ru-RU"/>
        </w:rPr>
        <w:t xml:space="preserve">, ОПСС (табл. </w:t>
      </w:r>
      <w:r w:rsidRPr="003E29D4">
        <w:rPr>
          <w:lang w:val="ru-RU"/>
        </w:rPr>
        <w:t>2).</w:t>
      </w:r>
    </w:p>
    <w:p w:rsidR="00370C39" w:rsidRPr="003E29D4" w:rsidRDefault="003654EA" w:rsidP="00FC04E3">
      <w:pPr>
        <w:pStyle w:val="ae"/>
        <w:rPr>
          <w:lang w:val="ru-RU"/>
        </w:rPr>
      </w:pPr>
      <w:r w:rsidRPr="003E29D4">
        <w:rPr>
          <w:lang w:val="ru-RU"/>
        </w:rPr>
        <w:t xml:space="preserve">Таблица </w:t>
      </w:r>
      <w:r w:rsidR="00370C39" w:rsidRPr="003E29D4">
        <w:rPr>
          <w:lang w:val="ru-RU"/>
        </w:rPr>
        <w:t xml:space="preserve">2. </w:t>
      </w:r>
    </w:p>
    <w:p w:rsidR="00370C39" w:rsidRPr="003E29D4" w:rsidRDefault="00370C39" w:rsidP="00FC04E3">
      <w:pPr>
        <w:pStyle w:val="af0"/>
        <w:rPr>
          <w:lang w:val="ru-RU"/>
        </w:rPr>
      </w:pPr>
      <w:r w:rsidRPr="003E29D4">
        <w:rPr>
          <w:lang w:val="ru-RU"/>
        </w:rPr>
        <w:t>Влияние этмозина и АУФОК на показатели кардиогемодинамики у больных ХНЗЛ и ЖЭ</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800"/>
        <w:gridCol w:w="2700"/>
        <w:gridCol w:w="2700"/>
      </w:tblGrid>
      <w:tr w:rsidR="00370C39" w:rsidRPr="00810970" w:rsidTr="009E2BF4">
        <w:trPr>
          <w:trHeight w:val="134"/>
          <w:jc w:val="center"/>
        </w:trPr>
        <w:tc>
          <w:tcPr>
            <w:tcW w:w="2520" w:type="dxa"/>
            <w:vMerge w:val="restart"/>
            <w:tcBorders>
              <w:top w:val="threeDEmboss" w:sz="12" w:space="0" w:color="auto"/>
              <w:left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b/>
                <w:color w:val="000000"/>
                <w:lang w:val="ru-RU"/>
              </w:rPr>
            </w:pPr>
            <w:r w:rsidRPr="00810970">
              <w:rPr>
                <w:b/>
                <w:color w:val="000000"/>
                <w:lang w:val="ru-RU"/>
              </w:rPr>
              <w:t>Показатели</w:t>
            </w:r>
          </w:p>
        </w:tc>
        <w:tc>
          <w:tcPr>
            <w:tcW w:w="1800" w:type="dxa"/>
            <w:vMerge w:val="restart"/>
            <w:tcBorders>
              <w:top w:val="threeDEmboss" w:sz="12" w:space="0" w:color="auto"/>
              <w:left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b/>
                <w:color w:val="000000"/>
                <w:lang w:val="ru-RU"/>
              </w:rPr>
            </w:pPr>
            <w:r w:rsidRPr="00810970">
              <w:rPr>
                <w:b/>
                <w:color w:val="000000"/>
                <w:lang w:val="ru-RU"/>
              </w:rPr>
              <w:t>Период наблюдения</w:t>
            </w:r>
          </w:p>
        </w:tc>
        <w:tc>
          <w:tcPr>
            <w:tcW w:w="5400" w:type="dxa"/>
            <w:gridSpan w:val="2"/>
            <w:tcBorders>
              <w:top w:val="threeDEmboss" w:sz="12" w:space="0" w:color="auto"/>
              <w:left w:val="threeDEmboss" w:sz="6" w:space="0" w:color="auto"/>
              <w:bottom w:val="threeDEmboss" w:sz="12"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b/>
                <w:color w:val="000000"/>
                <w:lang w:val="ru-RU"/>
              </w:rPr>
            </w:pPr>
            <w:r w:rsidRPr="00810970">
              <w:rPr>
                <w:b/>
                <w:color w:val="000000"/>
                <w:lang w:val="ru-RU"/>
              </w:rPr>
              <w:t>Группы обследованных</w:t>
            </w:r>
          </w:p>
        </w:tc>
      </w:tr>
      <w:tr w:rsidR="00370C39" w:rsidRPr="00810970" w:rsidTr="009E2BF4">
        <w:trPr>
          <w:trHeight w:val="240"/>
          <w:jc w:val="center"/>
        </w:trPr>
        <w:tc>
          <w:tcPr>
            <w:tcW w:w="2520" w:type="dxa"/>
            <w:vMerge/>
            <w:tcBorders>
              <w:left w:val="threeDEmboss" w:sz="12" w:space="0" w:color="auto"/>
              <w:bottom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b/>
                <w:color w:val="000000"/>
                <w:lang w:val="ru-RU"/>
              </w:rPr>
            </w:pPr>
          </w:p>
        </w:tc>
        <w:tc>
          <w:tcPr>
            <w:tcW w:w="1800" w:type="dxa"/>
            <w:vMerge/>
            <w:tcBorders>
              <w:left w:val="threeDEmboss" w:sz="6" w:space="0" w:color="auto"/>
              <w:bottom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b/>
                <w:color w:val="000000"/>
                <w:lang w:val="ru-RU"/>
              </w:rPr>
            </w:pPr>
          </w:p>
        </w:tc>
        <w:tc>
          <w:tcPr>
            <w:tcW w:w="2700" w:type="dxa"/>
            <w:tcBorders>
              <w:top w:val="threeDEmboss" w:sz="12" w:space="0" w:color="auto"/>
              <w:left w:val="threeDEmboss" w:sz="6" w:space="0" w:color="auto"/>
              <w:bottom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b/>
                <w:color w:val="000000"/>
                <w:lang w:val="ru-RU"/>
              </w:rPr>
            </w:pPr>
            <w:r w:rsidRPr="00810970">
              <w:rPr>
                <w:b/>
                <w:color w:val="000000"/>
                <w:lang w:val="ru-RU"/>
              </w:rPr>
              <w:t>1-я (этмозин)</w:t>
            </w:r>
          </w:p>
        </w:tc>
        <w:tc>
          <w:tcPr>
            <w:tcW w:w="2700" w:type="dxa"/>
            <w:tcBorders>
              <w:top w:val="threeDEmboss" w:sz="12" w:space="0" w:color="auto"/>
              <w:left w:val="threeDEmboss" w:sz="6" w:space="0" w:color="auto"/>
              <w:bottom w:val="threeDEmboss" w:sz="12"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b/>
                <w:color w:val="000000"/>
                <w:lang w:val="ru-RU"/>
              </w:rPr>
            </w:pPr>
            <w:r w:rsidRPr="00810970">
              <w:rPr>
                <w:b/>
                <w:color w:val="000000"/>
                <w:lang w:val="ru-RU"/>
              </w:rPr>
              <w:t>2-я (этмозин+АУФОК)</w:t>
            </w:r>
          </w:p>
        </w:tc>
      </w:tr>
      <w:tr w:rsidR="00370C39" w:rsidRPr="00810970" w:rsidTr="009E2BF4">
        <w:trPr>
          <w:trHeight w:val="227"/>
          <w:jc w:val="center"/>
        </w:trPr>
        <w:tc>
          <w:tcPr>
            <w:tcW w:w="2520" w:type="dxa"/>
            <w:vMerge w:val="restart"/>
            <w:tcBorders>
              <w:top w:val="threeDEmboss" w:sz="12" w:space="0" w:color="auto"/>
              <w:left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ЧСС, уд/мин</w:t>
            </w:r>
          </w:p>
        </w:tc>
        <w:tc>
          <w:tcPr>
            <w:tcW w:w="1800" w:type="dxa"/>
            <w:tcBorders>
              <w:top w:val="threeDEmboss" w:sz="12"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До лечения</w:t>
            </w:r>
          </w:p>
        </w:tc>
        <w:tc>
          <w:tcPr>
            <w:tcW w:w="2700" w:type="dxa"/>
            <w:tcBorders>
              <w:top w:val="threeDEmboss" w:sz="12"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72,3±4,3</w:t>
            </w:r>
          </w:p>
        </w:tc>
        <w:tc>
          <w:tcPr>
            <w:tcW w:w="2700" w:type="dxa"/>
            <w:tcBorders>
              <w:top w:val="threeDEmboss" w:sz="12"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71,8±2,2 р</w:t>
            </w:r>
            <w:r w:rsidRPr="00810970">
              <w:rPr>
                <w:color w:val="000000"/>
                <w:vertAlign w:val="subscript"/>
                <w:lang w:val="ru-RU"/>
              </w:rPr>
              <w:t>1</w:t>
            </w:r>
            <w:r w:rsidRPr="00810970">
              <w:rPr>
                <w:rStyle w:val="afd"/>
                <w:color w:val="000000"/>
                <w:lang w:val="ru-RU"/>
              </w:rPr>
              <w:footnoteReference w:id="4"/>
            </w:r>
            <w:r w:rsidRPr="00810970">
              <w:rPr>
                <w:color w:val="000000"/>
                <w:lang w:val="ru-RU"/>
              </w:rPr>
              <w:t>&gt;0,05</w:t>
            </w:r>
          </w:p>
        </w:tc>
      </w:tr>
      <w:tr w:rsidR="00370C39" w:rsidRPr="00810970" w:rsidTr="009E2BF4">
        <w:trPr>
          <w:trHeight w:val="320"/>
          <w:jc w:val="center"/>
        </w:trPr>
        <w:tc>
          <w:tcPr>
            <w:tcW w:w="2520" w:type="dxa"/>
            <w:vMerge/>
            <w:tcBorders>
              <w:left w:val="threeDEmboss" w:sz="12"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p>
        </w:tc>
        <w:tc>
          <w:tcPr>
            <w:tcW w:w="18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После лечения</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70,4±2,8 р</w:t>
            </w:r>
            <w:r w:rsidRPr="00810970">
              <w:rPr>
                <w:rStyle w:val="afd"/>
                <w:color w:val="000000"/>
                <w:lang w:val="ru-RU"/>
              </w:rPr>
              <w:footnoteReference w:id="5"/>
            </w:r>
            <w:r w:rsidRPr="00810970">
              <w:rPr>
                <w:color w:val="000000"/>
                <w:lang w:val="ru-RU"/>
              </w:rPr>
              <w:t>&gt;0,05</w:t>
            </w:r>
          </w:p>
        </w:tc>
        <w:tc>
          <w:tcPr>
            <w:tcW w:w="2700"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69,4±1,9 р&gt;0,05 р</w:t>
            </w:r>
            <w:r w:rsidRPr="00810970">
              <w:rPr>
                <w:color w:val="000000"/>
                <w:vertAlign w:val="subscript"/>
                <w:lang w:val="ru-RU"/>
              </w:rPr>
              <w:t>2</w:t>
            </w:r>
            <w:r w:rsidRPr="00810970">
              <w:rPr>
                <w:rStyle w:val="afd"/>
                <w:color w:val="000000"/>
                <w:lang w:val="ru-RU"/>
              </w:rPr>
              <w:footnoteReference w:id="6"/>
            </w:r>
            <w:r w:rsidRPr="00810970">
              <w:rPr>
                <w:color w:val="000000"/>
                <w:lang w:val="ru-RU"/>
              </w:rPr>
              <w:t>&gt;0,05</w:t>
            </w:r>
          </w:p>
        </w:tc>
      </w:tr>
      <w:tr w:rsidR="00370C39" w:rsidRPr="00810970" w:rsidTr="009E2BF4">
        <w:trPr>
          <w:trHeight w:val="240"/>
          <w:jc w:val="center"/>
        </w:trPr>
        <w:tc>
          <w:tcPr>
            <w:tcW w:w="2520" w:type="dxa"/>
            <w:vMerge w:val="restart"/>
            <w:tcBorders>
              <w:left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АДс мм.рт.ст.</w:t>
            </w:r>
          </w:p>
        </w:tc>
        <w:tc>
          <w:tcPr>
            <w:tcW w:w="18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До лечения</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134,3±7,2</w:t>
            </w:r>
          </w:p>
        </w:tc>
        <w:tc>
          <w:tcPr>
            <w:tcW w:w="2700"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137,3±6,3 р</w:t>
            </w:r>
            <w:r w:rsidRPr="00810970">
              <w:rPr>
                <w:color w:val="000000"/>
                <w:vertAlign w:val="subscript"/>
                <w:lang w:val="ru-RU"/>
              </w:rPr>
              <w:t>1</w:t>
            </w:r>
            <w:r w:rsidRPr="00810970">
              <w:rPr>
                <w:color w:val="000000"/>
                <w:lang w:val="ru-RU"/>
              </w:rPr>
              <w:t>&gt;0,05</w:t>
            </w:r>
          </w:p>
        </w:tc>
      </w:tr>
      <w:tr w:rsidR="00370C39" w:rsidRPr="00810970" w:rsidTr="009E2BF4">
        <w:trPr>
          <w:trHeight w:val="267"/>
          <w:jc w:val="center"/>
        </w:trPr>
        <w:tc>
          <w:tcPr>
            <w:tcW w:w="2520" w:type="dxa"/>
            <w:vMerge/>
            <w:tcBorders>
              <w:left w:val="threeDEmboss" w:sz="12"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p>
        </w:tc>
        <w:tc>
          <w:tcPr>
            <w:tcW w:w="18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После лечения</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132,7±5,9</w:t>
            </w:r>
          </w:p>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р&gt;0,05</w:t>
            </w:r>
          </w:p>
        </w:tc>
        <w:tc>
          <w:tcPr>
            <w:tcW w:w="2700"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128,4±5,2 р&gt;0,05 р</w:t>
            </w:r>
            <w:r w:rsidRPr="00810970">
              <w:rPr>
                <w:color w:val="000000"/>
                <w:vertAlign w:val="subscript"/>
                <w:lang w:val="ru-RU"/>
              </w:rPr>
              <w:t>2</w:t>
            </w:r>
            <w:r w:rsidRPr="00810970">
              <w:rPr>
                <w:color w:val="000000"/>
                <w:lang w:val="ru-RU"/>
              </w:rPr>
              <w:t>&gt;0,05</w:t>
            </w:r>
          </w:p>
        </w:tc>
      </w:tr>
      <w:tr w:rsidR="00370C39" w:rsidRPr="00810970" w:rsidTr="009E2BF4">
        <w:trPr>
          <w:trHeight w:val="267"/>
          <w:jc w:val="center"/>
        </w:trPr>
        <w:tc>
          <w:tcPr>
            <w:tcW w:w="2520" w:type="dxa"/>
            <w:vMerge w:val="restart"/>
            <w:tcBorders>
              <w:left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АДд мм.рт.ст.</w:t>
            </w:r>
          </w:p>
        </w:tc>
        <w:tc>
          <w:tcPr>
            <w:tcW w:w="18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До лечения</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71,5±4,3</w:t>
            </w:r>
          </w:p>
        </w:tc>
        <w:tc>
          <w:tcPr>
            <w:tcW w:w="2700"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72,7±3,9 р</w:t>
            </w:r>
            <w:r w:rsidRPr="00810970">
              <w:rPr>
                <w:color w:val="000000"/>
                <w:vertAlign w:val="subscript"/>
                <w:lang w:val="ru-RU"/>
              </w:rPr>
              <w:t>1</w:t>
            </w:r>
            <w:r w:rsidRPr="00810970">
              <w:rPr>
                <w:color w:val="000000"/>
                <w:lang w:val="ru-RU"/>
              </w:rPr>
              <w:t>&gt;0,05</w:t>
            </w:r>
          </w:p>
        </w:tc>
      </w:tr>
      <w:tr w:rsidR="00370C39" w:rsidRPr="00810970" w:rsidTr="009E2BF4">
        <w:trPr>
          <w:trHeight w:val="267"/>
          <w:jc w:val="center"/>
        </w:trPr>
        <w:tc>
          <w:tcPr>
            <w:tcW w:w="2520" w:type="dxa"/>
            <w:vMerge/>
            <w:tcBorders>
              <w:left w:val="threeDEmboss" w:sz="12"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p>
        </w:tc>
        <w:tc>
          <w:tcPr>
            <w:tcW w:w="18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После лечения</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70,4±1,7 р&gt;0,05</w:t>
            </w:r>
          </w:p>
        </w:tc>
        <w:tc>
          <w:tcPr>
            <w:tcW w:w="2700"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65,4±2,7 р&gt;0,05 р</w:t>
            </w:r>
            <w:r w:rsidRPr="00810970">
              <w:rPr>
                <w:color w:val="000000"/>
                <w:vertAlign w:val="subscript"/>
                <w:lang w:val="ru-RU"/>
              </w:rPr>
              <w:t>2</w:t>
            </w:r>
            <w:r w:rsidRPr="00810970">
              <w:rPr>
                <w:color w:val="000000"/>
                <w:lang w:val="ru-RU"/>
              </w:rPr>
              <w:t>&gt;0,05</w:t>
            </w:r>
          </w:p>
        </w:tc>
      </w:tr>
      <w:tr w:rsidR="00370C39" w:rsidRPr="00810970" w:rsidTr="009E2BF4">
        <w:trPr>
          <w:trHeight w:val="267"/>
          <w:jc w:val="center"/>
        </w:trPr>
        <w:tc>
          <w:tcPr>
            <w:tcW w:w="2520" w:type="dxa"/>
            <w:vMerge w:val="restart"/>
            <w:tcBorders>
              <w:left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КСО, см</w:t>
            </w:r>
            <w:r w:rsidRPr="00810970">
              <w:rPr>
                <w:color w:val="000000"/>
                <w:vertAlign w:val="superscript"/>
                <w:lang w:val="ru-RU"/>
              </w:rPr>
              <w:t>3</w:t>
            </w:r>
          </w:p>
        </w:tc>
        <w:tc>
          <w:tcPr>
            <w:tcW w:w="18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До лечения</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70,1±2,8</w:t>
            </w:r>
          </w:p>
        </w:tc>
        <w:tc>
          <w:tcPr>
            <w:tcW w:w="2700"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73,9±3,2 р</w:t>
            </w:r>
            <w:r w:rsidRPr="00810970">
              <w:rPr>
                <w:color w:val="000000"/>
                <w:vertAlign w:val="subscript"/>
                <w:lang w:val="ru-RU"/>
              </w:rPr>
              <w:t>1</w:t>
            </w:r>
            <w:r w:rsidRPr="00810970">
              <w:rPr>
                <w:color w:val="000000"/>
                <w:lang w:val="ru-RU"/>
              </w:rPr>
              <w:t>&gt;0,05</w:t>
            </w:r>
          </w:p>
        </w:tc>
      </w:tr>
      <w:tr w:rsidR="00370C39" w:rsidRPr="00810970" w:rsidTr="009E2BF4">
        <w:trPr>
          <w:trHeight w:val="267"/>
          <w:jc w:val="center"/>
        </w:trPr>
        <w:tc>
          <w:tcPr>
            <w:tcW w:w="2520" w:type="dxa"/>
            <w:vMerge/>
            <w:tcBorders>
              <w:left w:val="threeDEmboss" w:sz="12"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p>
        </w:tc>
        <w:tc>
          <w:tcPr>
            <w:tcW w:w="18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После лечения</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69,8±3,3 р&gt;0,05</w:t>
            </w:r>
          </w:p>
        </w:tc>
        <w:tc>
          <w:tcPr>
            <w:tcW w:w="2700"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69,1±4,1 р&gt;0,05 р</w:t>
            </w:r>
            <w:r w:rsidRPr="00810970">
              <w:rPr>
                <w:color w:val="000000"/>
                <w:vertAlign w:val="subscript"/>
                <w:lang w:val="ru-RU"/>
              </w:rPr>
              <w:t>2</w:t>
            </w:r>
            <w:r w:rsidRPr="00810970">
              <w:rPr>
                <w:color w:val="000000"/>
                <w:lang w:val="ru-RU"/>
              </w:rPr>
              <w:t>&gt;0,05</w:t>
            </w:r>
          </w:p>
        </w:tc>
      </w:tr>
      <w:tr w:rsidR="00370C39" w:rsidRPr="00810970" w:rsidTr="009E2BF4">
        <w:trPr>
          <w:trHeight w:val="240"/>
          <w:jc w:val="center"/>
        </w:trPr>
        <w:tc>
          <w:tcPr>
            <w:tcW w:w="2520" w:type="dxa"/>
            <w:vMerge w:val="restart"/>
            <w:tcBorders>
              <w:top w:val="threeDEmboss" w:sz="6" w:space="0" w:color="auto"/>
              <w:left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КДО, см</w:t>
            </w:r>
            <w:r w:rsidRPr="00810970">
              <w:rPr>
                <w:color w:val="000000"/>
                <w:vertAlign w:val="superscript"/>
                <w:lang w:val="ru-RU"/>
              </w:rPr>
              <w:t>3</w:t>
            </w:r>
          </w:p>
        </w:tc>
        <w:tc>
          <w:tcPr>
            <w:tcW w:w="18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До лечения</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134,2±8,8</w:t>
            </w:r>
          </w:p>
        </w:tc>
        <w:tc>
          <w:tcPr>
            <w:tcW w:w="2700"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134,9±3,7 р</w:t>
            </w:r>
            <w:r w:rsidRPr="00810970">
              <w:rPr>
                <w:color w:val="000000"/>
                <w:vertAlign w:val="subscript"/>
                <w:lang w:val="ru-RU"/>
              </w:rPr>
              <w:t>1</w:t>
            </w:r>
            <w:r w:rsidRPr="00810970">
              <w:rPr>
                <w:color w:val="000000"/>
                <w:lang w:val="ru-RU"/>
              </w:rPr>
              <w:t>&gt;0,05</w:t>
            </w:r>
          </w:p>
        </w:tc>
      </w:tr>
      <w:tr w:rsidR="00370C39" w:rsidRPr="00810970" w:rsidTr="009E2BF4">
        <w:trPr>
          <w:trHeight w:val="280"/>
          <w:jc w:val="center"/>
        </w:trPr>
        <w:tc>
          <w:tcPr>
            <w:tcW w:w="2520" w:type="dxa"/>
            <w:vMerge/>
            <w:tcBorders>
              <w:left w:val="threeDEmboss" w:sz="12"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p>
        </w:tc>
        <w:tc>
          <w:tcPr>
            <w:tcW w:w="18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После лечения</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134,6±5,2</w:t>
            </w:r>
          </w:p>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р&gt;0,05</w:t>
            </w:r>
          </w:p>
        </w:tc>
        <w:tc>
          <w:tcPr>
            <w:tcW w:w="2700"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135,2±6,9 р&gt;0,05 р</w:t>
            </w:r>
            <w:r w:rsidRPr="00810970">
              <w:rPr>
                <w:color w:val="000000"/>
                <w:vertAlign w:val="subscript"/>
                <w:lang w:val="ru-RU"/>
              </w:rPr>
              <w:t>2</w:t>
            </w:r>
            <w:r w:rsidRPr="00810970">
              <w:rPr>
                <w:color w:val="000000"/>
                <w:lang w:val="ru-RU"/>
              </w:rPr>
              <w:t>&gt;0,05</w:t>
            </w:r>
          </w:p>
        </w:tc>
      </w:tr>
      <w:tr w:rsidR="00370C39" w:rsidRPr="00810970" w:rsidTr="009E2BF4">
        <w:trPr>
          <w:trHeight w:val="267"/>
          <w:jc w:val="center"/>
        </w:trPr>
        <w:tc>
          <w:tcPr>
            <w:tcW w:w="2520" w:type="dxa"/>
            <w:vMerge w:val="restart"/>
            <w:tcBorders>
              <w:left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УО, см</w:t>
            </w:r>
            <w:r w:rsidRPr="00810970">
              <w:rPr>
                <w:color w:val="000000"/>
                <w:vertAlign w:val="superscript"/>
                <w:lang w:val="ru-RU"/>
              </w:rPr>
              <w:t>3</w:t>
            </w:r>
          </w:p>
        </w:tc>
        <w:tc>
          <w:tcPr>
            <w:tcW w:w="18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До лечения</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64,1±4,9</w:t>
            </w:r>
          </w:p>
        </w:tc>
        <w:tc>
          <w:tcPr>
            <w:tcW w:w="2700"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61,4±3,9 р</w:t>
            </w:r>
            <w:r w:rsidRPr="00810970">
              <w:rPr>
                <w:color w:val="000000"/>
                <w:vertAlign w:val="subscript"/>
                <w:lang w:val="ru-RU"/>
              </w:rPr>
              <w:t>1</w:t>
            </w:r>
            <w:r w:rsidRPr="00810970">
              <w:rPr>
                <w:color w:val="000000"/>
                <w:lang w:val="ru-RU"/>
              </w:rPr>
              <w:t>&gt;0,05</w:t>
            </w:r>
          </w:p>
        </w:tc>
      </w:tr>
      <w:tr w:rsidR="00370C39" w:rsidRPr="00810970" w:rsidTr="009E2BF4">
        <w:trPr>
          <w:trHeight w:val="253"/>
          <w:jc w:val="center"/>
        </w:trPr>
        <w:tc>
          <w:tcPr>
            <w:tcW w:w="2520" w:type="dxa"/>
            <w:vMerge/>
            <w:tcBorders>
              <w:left w:val="threeDEmboss" w:sz="12"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p>
        </w:tc>
        <w:tc>
          <w:tcPr>
            <w:tcW w:w="18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После лечения</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64,8±5,3</w:t>
            </w:r>
          </w:p>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р&gt;0,05</w:t>
            </w:r>
          </w:p>
        </w:tc>
        <w:tc>
          <w:tcPr>
            <w:tcW w:w="2700"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68,8±4,1 р&gt;0,05 р</w:t>
            </w:r>
            <w:r w:rsidRPr="00810970">
              <w:rPr>
                <w:color w:val="000000"/>
                <w:vertAlign w:val="subscript"/>
                <w:lang w:val="ru-RU"/>
              </w:rPr>
              <w:t>2</w:t>
            </w:r>
            <w:r w:rsidRPr="00810970">
              <w:rPr>
                <w:color w:val="000000"/>
                <w:lang w:val="ru-RU"/>
              </w:rPr>
              <w:t>&lt;0,05</w:t>
            </w:r>
          </w:p>
        </w:tc>
      </w:tr>
      <w:tr w:rsidR="00370C39" w:rsidRPr="00810970" w:rsidTr="009E2BF4">
        <w:trPr>
          <w:trHeight w:val="253"/>
          <w:jc w:val="center"/>
        </w:trPr>
        <w:tc>
          <w:tcPr>
            <w:tcW w:w="2520" w:type="dxa"/>
            <w:vMerge w:val="restart"/>
            <w:tcBorders>
              <w:left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ФВ, %</w:t>
            </w:r>
          </w:p>
        </w:tc>
        <w:tc>
          <w:tcPr>
            <w:tcW w:w="18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До лечения</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47,8±3,9</w:t>
            </w:r>
          </w:p>
        </w:tc>
        <w:tc>
          <w:tcPr>
            <w:tcW w:w="2700"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45,5±2,9 р&gt;0,05 р</w:t>
            </w:r>
            <w:r w:rsidRPr="00810970">
              <w:rPr>
                <w:color w:val="000000"/>
                <w:vertAlign w:val="subscript"/>
                <w:lang w:val="ru-RU"/>
              </w:rPr>
              <w:t>1</w:t>
            </w:r>
            <w:r w:rsidRPr="00810970">
              <w:rPr>
                <w:color w:val="000000"/>
                <w:lang w:val="ru-RU"/>
              </w:rPr>
              <w:t>&gt;0,05</w:t>
            </w:r>
          </w:p>
        </w:tc>
      </w:tr>
      <w:tr w:rsidR="00370C39" w:rsidRPr="00810970" w:rsidTr="009E2BF4">
        <w:trPr>
          <w:trHeight w:val="253"/>
          <w:jc w:val="center"/>
        </w:trPr>
        <w:tc>
          <w:tcPr>
            <w:tcW w:w="2520" w:type="dxa"/>
            <w:vMerge/>
            <w:tcBorders>
              <w:left w:val="threeDEmboss" w:sz="12"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p>
        </w:tc>
        <w:tc>
          <w:tcPr>
            <w:tcW w:w="18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После лечения</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48,1±2,7 р&gt;0,05</w:t>
            </w:r>
          </w:p>
        </w:tc>
        <w:tc>
          <w:tcPr>
            <w:tcW w:w="2700"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48,9±4,3 р</w:t>
            </w:r>
            <w:r w:rsidRPr="00810970">
              <w:rPr>
                <w:color w:val="000000"/>
                <w:vertAlign w:val="subscript"/>
                <w:lang w:val="ru-RU"/>
              </w:rPr>
              <w:t>2</w:t>
            </w:r>
            <w:r w:rsidRPr="00810970">
              <w:rPr>
                <w:color w:val="000000"/>
                <w:lang w:val="ru-RU"/>
              </w:rPr>
              <w:t>&lt;0,05</w:t>
            </w:r>
          </w:p>
        </w:tc>
      </w:tr>
      <w:tr w:rsidR="00370C39" w:rsidRPr="00810970" w:rsidTr="009E2BF4">
        <w:trPr>
          <w:trHeight w:val="253"/>
          <w:jc w:val="center"/>
        </w:trPr>
        <w:tc>
          <w:tcPr>
            <w:tcW w:w="2520" w:type="dxa"/>
            <w:vMerge w:val="restart"/>
            <w:tcBorders>
              <w:left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%Δ</w:t>
            </w:r>
            <w:r w:rsidRPr="00810970">
              <w:rPr>
                <w:color w:val="000000"/>
                <w:lang w:val="en-US"/>
              </w:rPr>
              <w:t>S</w:t>
            </w:r>
          </w:p>
        </w:tc>
        <w:tc>
          <w:tcPr>
            <w:tcW w:w="18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До лечения</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23,1±1,3</w:t>
            </w:r>
          </w:p>
        </w:tc>
        <w:tc>
          <w:tcPr>
            <w:tcW w:w="2700"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22,6±1,8 р</w:t>
            </w:r>
            <w:r w:rsidRPr="00810970">
              <w:rPr>
                <w:color w:val="000000"/>
                <w:vertAlign w:val="subscript"/>
                <w:lang w:val="ru-RU"/>
              </w:rPr>
              <w:t>1</w:t>
            </w:r>
            <w:r w:rsidRPr="00810970">
              <w:rPr>
                <w:color w:val="000000"/>
                <w:lang w:val="ru-RU"/>
              </w:rPr>
              <w:t>&gt;0,05 р</w:t>
            </w:r>
            <w:r w:rsidRPr="00810970">
              <w:rPr>
                <w:color w:val="000000"/>
                <w:vertAlign w:val="subscript"/>
                <w:lang w:val="ru-RU"/>
              </w:rPr>
              <w:t>2</w:t>
            </w:r>
            <w:r w:rsidRPr="00810970">
              <w:rPr>
                <w:color w:val="000000"/>
                <w:lang w:val="ru-RU"/>
              </w:rPr>
              <w:t>&gt;0,05</w:t>
            </w:r>
          </w:p>
        </w:tc>
      </w:tr>
      <w:tr w:rsidR="00370C39" w:rsidRPr="00810970" w:rsidTr="009E2BF4">
        <w:trPr>
          <w:trHeight w:val="253"/>
          <w:jc w:val="center"/>
        </w:trPr>
        <w:tc>
          <w:tcPr>
            <w:tcW w:w="2520" w:type="dxa"/>
            <w:vMerge/>
            <w:tcBorders>
              <w:left w:val="threeDEmboss" w:sz="12"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p>
        </w:tc>
        <w:tc>
          <w:tcPr>
            <w:tcW w:w="18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После лечения</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24,3±1,4 р&gt;0,05</w:t>
            </w:r>
          </w:p>
        </w:tc>
        <w:tc>
          <w:tcPr>
            <w:tcW w:w="2700"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24,5±2,2 р&gt;0,05</w:t>
            </w:r>
          </w:p>
        </w:tc>
      </w:tr>
      <w:tr w:rsidR="00370C39" w:rsidRPr="00810970" w:rsidTr="009E2BF4">
        <w:trPr>
          <w:trHeight w:val="253"/>
          <w:jc w:val="center"/>
        </w:trPr>
        <w:tc>
          <w:tcPr>
            <w:tcW w:w="2520" w:type="dxa"/>
            <w:vMerge w:val="restart"/>
            <w:tcBorders>
              <w:left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en-US"/>
              </w:rPr>
            </w:pPr>
            <w:r w:rsidRPr="00810970">
              <w:rPr>
                <w:color w:val="000000"/>
                <w:lang w:val="en-US"/>
              </w:rPr>
              <w:lastRenderedPageBreak/>
              <w:t>Vefc</w:t>
            </w:r>
            <w:r w:rsidRPr="00810970">
              <w:rPr>
                <w:color w:val="000000"/>
                <w:vertAlign w:val="superscript"/>
                <w:lang w:val="en-US"/>
              </w:rPr>
              <w:t>-1</w:t>
            </w:r>
          </w:p>
        </w:tc>
        <w:tc>
          <w:tcPr>
            <w:tcW w:w="18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До лечения</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0,96±0,05</w:t>
            </w:r>
          </w:p>
        </w:tc>
        <w:tc>
          <w:tcPr>
            <w:tcW w:w="2700"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0,94±0,05 р</w:t>
            </w:r>
            <w:r w:rsidRPr="00810970">
              <w:rPr>
                <w:color w:val="000000"/>
                <w:vertAlign w:val="subscript"/>
                <w:lang w:val="ru-RU"/>
              </w:rPr>
              <w:t>1</w:t>
            </w:r>
            <w:r w:rsidRPr="00810970">
              <w:rPr>
                <w:color w:val="000000"/>
                <w:lang w:val="ru-RU"/>
              </w:rPr>
              <w:t>&gt;0,05</w:t>
            </w:r>
          </w:p>
        </w:tc>
      </w:tr>
      <w:tr w:rsidR="00370C39" w:rsidRPr="00810970" w:rsidTr="009E2BF4">
        <w:trPr>
          <w:trHeight w:val="253"/>
          <w:jc w:val="center"/>
        </w:trPr>
        <w:tc>
          <w:tcPr>
            <w:tcW w:w="2520" w:type="dxa"/>
            <w:vMerge/>
            <w:tcBorders>
              <w:left w:val="threeDEmboss" w:sz="12"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p>
        </w:tc>
        <w:tc>
          <w:tcPr>
            <w:tcW w:w="18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После лечения</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1,01±0,03 р&gt;0,05</w:t>
            </w:r>
          </w:p>
        </w:tc>
        <w:tc>
          <w:tcPr>
            <w:tcW w:w="2700"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1,03±0,04 р&gt;0,05 р</w:t>
            </w:r>
            <w:r w:rsidRPr="00810970">
              <w:rPr>
                <w:color w:val="000000"/>
                <w:vertAlign w:val="subscript"/>
                <w:lang w:val="ru-RU"/>
              </w:rPr>
              <w:t>2</w:t>
            </w:r>
            <w:r w:rsidRPr="00810970">
              <w:rPr>
                <w:color w:val="000000"/>
                <w:lang w:val="ru-RU"/>
              </w:rPr>
              <w:t>&gt;0,05</w:t>
            </w:r>
          </w:p>
        </w:tc>
      </w:tr>
      <w:tr w:rsidR="00370C39" w:rsidRPr="00810970" w:rsidTr="009E2BF4">
        <w:trPr>
          <w:trHeight w:val="188"/>
          <w:jc w:val="center"/>
        </w:trPr>
        <w:tc>
          <w:tcPr>
            <w:tcW w:w="2520" w:type="dxa"/>
            <w:vMerge w:val="restart"/>
            <w:tcBorders>
              <w:top w:val="threeDEmboss" w:sz="6" w:space="0" w:color="auto"/>
              <w:left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en-US"/>
              </w:rPr>
            </w:pPr>
            <w:r w:rsidRPr="00810970">
              <w:rPr>
                <w:color w:val="000000"/>
                <w:lang w:val="ru-RU"/>
              </w:rPr>
              <w:t>ОПСС, дин/с/см</w:t>
            </w:r>
            <w:r w:rsidRPr="00810970">
              <w:rPr>
                <w:color w:val="000000"/>
                <w:vertAlign w:val="superscript"/>
                <w:lang w:val="ru-RU"/>
              </w:rPr>
              <w:t>-5</w:t>
            </w:r>
          </w:p>
        </w:tc>
        <w:tc>
          <w:tcPr>
            <w:tcW w:w="18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До лечения</w:t>
            </w:r>
          </w:p>
        </w:tc>
        <w:tc>
          <w:tcPr>
            <w:tcW w:w="270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1788,4±100,4</w:t>
            </w:r>
          </w:p>
        </w:tc>
        <w:tc>
          <w:tcPr>
            <w:tcW w:w="2700" w:type="dxa"/>
            <w:tcBorders>
              <w:top w:val="threeDEmboss" w:sz="6" w:space="0" w:color="auto"/>
              <w:left w:val="threeDEmboss" w:sz="6" w:space="0" w:color="auto"/>
              <w:bottom w:val="threeDEmboss" w:sz="6"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1811,04±76,2 р</w:t>
            </w:r>
            <w:r w:rsidRPr="00810970">
              <w:rPr>
                <w:color w:val="000000"/>
                <w:vertAlign w:val="subscript"/>
                <w:lang w:val="ru-RU"/>
              </w:rPr>
              <w:t>1</w:t>
            </w:r>
            <w:r w:rsidRPr="00810970">
              <w:rPr>
                <w:color w:val="000000"/>
                <w:lang w:val="ru-RU"/>
              </w:rPr>
              <w:t>&gt;0,05</w:t>
            </w:r>
          </w:p>
        </w:tc>
      </w:tr>
      <w:tr w:rsidR="00370C39" w:rsidRPr="00810970" w:rsidTr="009E2BF4">
        <w:trPr>
          <w:trHeight w:val="693"/>
          <w:jc w:val="center"/>
        </w:trPr>
        <w:tc>
          <w:tcPr>
            <w:tcW w:w="2520" w:type="dxa"/>
            <w:vMerge/>
            <w:tcBorders>
              <w:left w:val="threeDEmboss" w:sz="12" w:space="0" w:color="auto"/>
              <w:bottom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p>
        </w:tc>
        <w:tc>
          <w:tcPr>
            <w:tcW w:w="1800" w:type="dxa"/>
            <w:tcBorders>
              <w:top w:val="threeDEmboss" w:sz="6" w:space="0" w:color="auto"/>
              <w:left w:val="threeDEmboss" w:sz="6" w:space="0" w:color="auto"/>
              <w:bottom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После лечения</w:t>
            </w:r>
          </w:p>
        </w:tc>
        <w:tc>
          <w:tcPr>
            <w:tcW w:w="2700" w:type="dxa"/>
            <w:tcBorders>
              <w:top w:val="threeDEmboss" w:sz="6" w:space="0" w:color="auto"/>
              <w:left w:val="threeDEmboss" w:sz="6" w:space="0" w:color="auto"/>
              <w:bottom w:val="threeDEmboss" w:sz="12" w:space="0" w:color="auto"/>
              <w:right w:val="threeDEmboss" w:sz="6"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1692,3±82,1 р&gt;0,05</w:t>
            </w:r>
          </w:p>
        </w:tc>
        <w:tc>
          <w:tcPr>
            <w:tcW w:w="2700" w:type="dxa"/>
            <w:tcBorders>
              <w:top w:val="threeDEmboss" w:sz="6" w:space="0" w:color="auto"/>
              <w:left w:val="threeDEmboss" w:sz="6" w:space="0" w:color="auto"/>
              <w:bottom w:val="threeDEmboss" w:sz="12" w:space="0" w:color="auto"/>
              <w:right w:val="threeDEmboss" w:sz="12" w:space="0" w:color="auto"/>
            </w:tcBorders>
            <w:shd w:val="clear" w:color="auto" w:fill="auto"/>
            <w:vAlign w:val="center"/>
          </w:tcPr>
          <w:p w:rsidR="00370C39" w:rsidRPr="00810970" w:rsidRDefault="00370C39" w:rsidP="009E2BF4">
            <w:pPr>
              <w:widowControl w:val="0"/>
              <w:autoSpaceDE w:val="0"/>
              <w:autoSpaceDN w:val="0"/>
              <w:adjustRightInd w:val="0"/>
              <w:jc w:val="center"/>
              <w:rPr>
                <w:color w:val="000000"/>
                <w:lang w:val="ru-RU"/>
              </w:rPr>
            </w:pPr>
            <w:r w:rsidRPr="00810970">
              <w:rPr>
                <w:color w:val="000000"/>
                <w:lang w:val="ru-RU"/>
              </w:rPr>
              <w:t>1537,4±53,9 р&lt;0,05 р</w:t>
            </w:r>
            <w:r w:rsidRPr="00810970">
              <w:rPr>
                <w:color w:val="000000"/>
                <w:vertAlign w:val="subscript"/>
                <w:lang w:val="ru-RU"/>
              </w:rPr>
              <w:t>2</w:t>
            </w:r>
            <w:r w:rsidRPr="00810970">
              <w:rPr>
                <w:color w:val="000000"/>
                <w:lang w:val="ru-RU"/>
              </w:rPr>
              <w:t>&gt;0,05</w:t>
            </w:r>
          </w:p>
        </w:tc>
      </w:tr>
    </w:tbl>
    <w:p w:rsidR="00370C39" w:rsidRPr="003E29D4" w:rsidRDefault="00370C39" w:rsidP="00FC04E3">
      <w:pPr>
        <w:pStyle w:val="10"/>
        <w:rPr>
          <w:lang w:val="ru-RU"/>
        </w:rPr>
      </w:pPr>
      <w:r w:rsidRPr="003E29D4">
        <w:rPr>
          <w:lang w:val="ru-RU"/>
        </w:rPr>
        <w:t>При использовании этмозина и АУФОК у больных ХНЗЛ и ЖЭ были сходные изменения большинства кардиогемодинамических показателей. Однако, обращает на себя внимание статистически достоверное уменьшение ОПСС с 1811,04±76,2 дин/с/см</w:t>
      </w:r>
      <w:r w:rsidRPr="003E29D4">
        <w:rPr>
          <w:vertAlign w:val="superscript"/>
          <w:lang w:val="ru-RU"/>
        </w:rPr>
        <w:t>3</w:t>
      </w:r>
      <w:r w:rsidRPr="003E29D4">
        <w:rPr>
          <w:lang w:val="ru-RU"/>
        </w:rPr>
        <w:t xml:space="preserve"> до 1537,4±53,9 дин/с/см</w:t>
      </w:r>
      <w:r w:rsidRPr="003E29D4">
        <w:rPr>
          <w:vertAlign w:val="superscript"/>
          <w:lang w:val="ru-RU"/>
        </w:rPr>
        <w:t>3</w:t>
      </w:r>
      <w:r w:rsidRPr="003E29D4">
        <w:rPr>
          <w:lang w:val="ru-RU"/>
        </w:rPr>
        <w:t xml:space="preserve"> (р</w:t>
      </w:r>
      <w:r>
        <w:sym w:font="Symbol" w:char="F03C"/>
      </w:r>
      <w:r w:rsidRPr="003E29D4">
        <w:rPr>
          <w:lang w:val="ru-RU"/>
        </w:rPr>
        <w:t>0,05). Периферическая вазодилатация оказывает положительное влияние на коронарное кровообращение, повышает коронарный резерв, создавая более благоприятные условия для эффективного лечения нарушений се</w:t>
      </w:r>
      <w:r w:rsidR="00C06BA5" w:rsidRPr="003E29D4">
        <w:rPr>
          <w:lang w:val="ru-RU"/>
        </w:rPr>
        <w:t>рдечного ритма [</w:t>
      </w:r>
      <w:r w:rsidR="00C06BA5" w:rsidRPr="00C06BA5">
        <w:rPr>
          <w:lang w:val="ru-RU"/>
        </w:rPr>
        <w:t>5</w:t>
      </w:r>
      <w:r w:rsidR="00C06BA5" w:rsidRPr="003E29D4">
        <w:rPr>
          <w:lang w:val="ru-RU"/>
        </w:rPr>
        <w:t xml:space="preserve">, </w:t>
      </w:r>
      <w:r w:rsidR="00C06BA5" w:rsidRPr="00C06BA5">
        <w:rPr>
          <w:lang w:val="ru-RU"/>
        </w:rPr>
        <w:t>8</w:t>
      </w:r>
      <w:r w:rsidR="00C06BA5" w:rsidRPr="003E29D4">
        <w:rPr>
          <w:lang w:val="ru-RU"/>
        </w:rPr>
        <w:t>, 1</w:t>
      </w:r>
      <w:r w:rsidR="00C06BA5" w:rsidRPr="00C06BA5">
        <w:rPr>
          <w:lang w:val="ru-RU"/>
        </w:rPr>
        <w:t>4</w:t>
      </w:r>
      <w:r w:rsidRPr="003E29D4">
        <w:rPr>
          <w:lang w:val="ru-RU"/>
        </w:rPr>
        <w:t>].</w:t>
      </w:r>
    </w:p>
    <w:p w:rsidR="00010827" w:rsidRPr="00010827" w:rsidRDefault="00010827" w:rsidP="00FC04E3">
      <w:pPr>
        <w:pStyle w:val="10"/>
        <w:rPr>
          <w:lang w:val="ru-RU"/>
        </w:rPr>
      </w:pPr>
      <w:r w:rsidRPr="00B96C4C">
        <w:rPr>
          <w:rStyle w:val="a8"/>
        </w:rPr>
        <w:t>Выводы</w:t>
      </w:r>
      <w:r w:rsidRPr="00010827">
        <w:rPr>
          <w:lang w:val="ru-RU"/>
        </w:rPr>
        <w:t>:</w:t>
      </w:r>
    </w:p>
    <w:p w:rsidR="00C3005B" w:rsidRPr="003E29D4" w:rsidRDefault="00C3005B" w:rsidP="00FC04E3">
      <w:pPr>
        <w:pStyle w:val="10"/>
        <w:rPr>
          <w:lang w:val="ru-RU"/>
        </w:rPr>
      </w:pPr>
      <w:r w:rsidRPr="00C3005B">
        <w:rPr>
          <w:lang w:val="ru-RU"/>
        </w:rPr>
        <w:t xml:space="preserve">1. </w:t>
      </w:r>
      <w:r w:rsidR="00370C39" w:rsidRPr="003E29D4">
        <w:rPr>
          <w:lang w:val="ru-RU"/>
        </w:rPr>
        <w:t xml:space="preserve">Таким образом, можно отметить, что включение в комплексную антиаритмическую терапию АУФОК позволяет получить дополнительный положительный клинический эффект у больных ХНЗЛ и сопутсвующими нарушениями сердечного ритма. </w:t>
      </w:r>
    </w:p>
    <w:p w:rsidR="00E7536F" w:rsidRPr="003E29D4" w:rsidRDefault="00C3005B" w:rsidP="00FC04E3">
      <w:pPr>
        <w:pStyle w:val="10"/>
        <w:rPr>
          <w:lang w:val="ru-RU"/>
        </w:rPr>
      </w:pPr>
      <w:r w:rsidRPr="00C3005B">
        <w:rPr>
          <w:lang w:val="ru-RU"/>
        </w:rPr>
        <w:t xml:space="preserve">2. </w:t>
      </w:r>
      <w:r w:rsidR="00370C39" w:rsidRPr="003E29D4">
        <w:rPr>
          <w:lang w:val="ru-RU"/>
        </w:rPr>
        <w:t xml:space="preserve">Дополнительное антиаритмическое действие обусловлено, в первую очередь, способностью АУФОК уменьшать активность ПОЛ. </w:t>
      </w:r>
    </w:p>
    <w:p w:rsidR="00370C39" w:rsidRDefault="00E7536F" w:rsidP="00FC04E3">
      <w:pPr>
        <w:pStyle w:val="10"/>
        <w:rPr>
          <w:lang w:val="ru-RU"/>
        </w:rPr>
      </w:pPr>
      <w:r w:rsidRPr="00E7536F">
        <w:rPr>
          <w:lang w:val="ru-RU"/>
        </w:rPr>
        <w:t xml:space="preserve">3. </w:t>
      </w:r>
      <w:r w:rsidR="00370C39" w:rsidRPr="003E29D4">
        <w:rPr>
          <w:lang w:val="ru-RU"/>
        </w:rPr>
        <w:t>Об улучшении функции эндотелия также косвенно свидетельствует снижение уровня ЭТ-1 на фоне проведения комбинированной терапии.</w:t>
      </w:r>
    </w:p>
    <w:p w:rsidR="0052408D" w:rsidRPr="0052408D" w:rsidRDefault="0052408D" w:rsidP="00FC04E3">
      <w:pPr>
        <w:pStyle w:val="10"/>
        <w:rPr>
          <w:lang w:val="ru-RU"/>
        </w:rPr>
      </w:pPr>
      <w:r w:rsidRPr="0052408D">
        <w:rPr>
          <w:lang w:val="ru-RU"/>
        </w:rPr>
        <w:t>Изучение</w:t>
      </w:r>
      <w:r w:rsidRPr="00557123">
        <w:rPr>
          <w:lang w:val="ru-RU"/>
        </w:rPr>
        <w:t xml:space="preserve"> влияние АУФОК на эндотелиальную дисфункцию и течение нарушений сердечного ритма у больных ХНЗЛ</w:t>
      </w:r>
      <w:r w:rsidRPr="0052408D">
        <w:rPr>
          <w:lang w:val="ru-RU"/>
        </w:rPr>
        <w:t xml:space="preserve"> будет продолжено и изучено в последующих научных разработках.</w:t>
      </w:r>
    </w:p>
    <w:p w:rsidR="00445DD5" w:rsidRDefault="00445DD5" w:rsidP="00EE66DE">
      <w:pPr>
        <w:pStyle w:val="1"/>
      </w:pPr>
      <w:r>
        <w:t>Список литературы</w:t>
      </w:r>
    </w:p>
    <w:p w:rsidR="007C3B1F" w:rsidRPr="00C33118" w:rsidRDefault="007C3B1F" w:rsidP="007C3B1F">
      <w:pPr>
        <w:spacing w:line="360" w:lineRule="auto"/>
        <w:ind w:firstLine="397"/>
        <w:jc w:val="both"/>
        <w:rPr>
          <w:sz w:val="28"/>
          <w:szCs w:val="28"/>
          <w:lang w:val="ru-RU"/>
        </w:rPr>
      </w:pPr>
      <w:bookmarkStart w:id="1" w:name="_Toc26541926"/>
      <w:bookmarkStart w:id="2" w:name="_Toc74740656"/>
      <w:bookmarkStart w:id="3" w:name="_Toc82268947"/>
      <w:r w:rsidRPr="00C33118">
        <w:rPr>
          <w:sz w:val="28"/>
          <w:szCs w:val="28"/>
          <w:lang w:val="ru-RU"/>
        </w:rPr>
        <w:t xml:space="preserve">1. </w:t>
      </w:r>
      <w:r w:rsidR="00EE08BB">
        <w:rPr>
          <w:rStyle w:val="aa"/>
          <w:i w:val="0"/>
        </w:rPr>
        <w:t>Беленков Ю.Н.</w:t>
      </w:r>
      <w:r w:rsidRPr="00C33118">
        <w:rPr>
          <w:sz w:val="28"/>
          <w:szCs w:val="28"/>
          <w:lang w:val="ru-RU"/>
        </w:rPr>
        <w:t xml:space="preserve"> Эпидемиология и прогноз хронической сер</w:t>
      </w:r>
      <w:r w:rsidRPr="00C33118">
        <w:rPr>
          <w:sz w:val="28"/>
          <w:szCs w:val="28"/>
          <w:lang w:val="ru-RU"/>
        </w:rPr>
        <w:softHyphen/>
        <w:t xml:space="preserve">дечной недостаточности </w:t>
      </w:r>
      <w:r w:rsidR="0049551F">
        <w:rPr>
          <w:sz w:val="28"/>
          <w:szCs w:val="28"/>
          <w:lang w:val="ru-RU"/>
        </w:rPr>
        <w:t>/ Ю.Н. Беленков</w:t>
      </w:r>
      <w:r w:rsidR="00EE08BB">
        <w:rPr>
          <w:sz w:val="28"/>
          <w:szCs w:val="28"/>
          <w:lang w:val="ru-RU"/>
        </w:rPr>
        <w:t>, Ф.Т. Агеев</w:t>
      </w:r>
      <w:r w:rsidR="0049551F">
        <w:rPr>
          <w:sz w:val="28"/>
          <w:szCs w:val="28"/>
          <w:lang w:val="ru-RU"/>
        </w:rPr>
        <w:t xml:space="preserve"> </w:t>
      </w:r>
      <w:r w:rsidRPr="00C33118">
        <w:rPr>
          <w:sz w:val="28"/>
          <w:szCs w:val="28"/>
          <w:lang w:val="ru-RU"/>
        </w:rPr>
        <w:t>// Русский медици</w:t>
      </w:r>
      <w:r w:rsidR="0049551F">
        <w:rPr>
          <w:sz w:val="28"/>
          <w:szCs w:val="28"/>
          <w:lang w:val="ru-RU"/>
        </w:rPr>
        <w:t>нский журнал. - 1999. - № 2. - С</w:t>
      </w:r>
      <w:r w:rsidRPr="00C33118">
        <w:rPr>
          <w:sz w:val="28"/>
          <w:szCs w:val="28"/>
          <w:lang w:val="ru-RU"/>
        </w:rPr>
        <w:t>. 5</w:t>
      </w:r>
      <w:r w:rsidRPr="00C33118">
        <w:rPr>
          <w:sz w:val="28"/>
          <w:szCs w:val="28"/>
        </w:rPr>
        <w:t>I</w:t>
      </w:r>
      <w:r w:rsidRPr="00C33118">
        <w:rPr>
          <w:sz w:val="28"/>
          <w:szCs w:val="28"/>
          <w:lang w:val="ru-RU"/>
        </w:rPr>
        <w:t>-55.</w:t>
      </w:r>
    </w:p>
    <w:p w:rsidR="007C3B1F" w:rsidRPr="00C33118" w:rsidRDefault="007C3B1F" w:rsidP="007C3B1F">
      <w:pPr>
        <w:spacing w:line="360" w:lineRule="auto"/>
        <w:ind w:firstLine="397"/>
        <w:jc w:val="both"/>
        <w:rPr>
          <w:sz w:val="28"/>
          <w:szCs w:val="28"/>
          <w:lang w:val="ru-RU"/>
        </w:rPr>
      </w:pPr>
      <w:r w:rsidRPr="00C33118">
        <w:rPr>
          <w:sz w:val="28"/>
          <w:szCs w:val="28"/>
          <w:lang w:val="ru-RU"/>
        </w:rPr>
        <w:t>2</w:t>
      </w:r>
      <w:r w:rsidRPr="00C33118">
        <w:rPr>
          <w:i/>
          <w:sz w:val="28"/>
          <w:szCs w:val="28"/>
          <w:lang w:val="ru-RU"/>
        </w:rPr>
        <w:t xml:space="preserve">. </w:t>
      </w:r>
      <w:r w:rsidR="00EE08BB">
        <w:rPr>
          <w:rStyle w:val="aa"/>
          <w:i w:val="0"/>
        </w:rPr>
        <w:t>Беленков Ю.Н.</w:t>
      </w:r>
      <w:r w:rsidRPr="00C33118">
        <w:rPr>
          <w:i/>
          <w:spacing w:val="3"/>
          <w:sz w:val="28"/>
          <w:szCs w:val="28"/>
          <w:lang w:val="ru-RU"/>
        </w:rPr>
        <w:t xml:space="preserve"> </w:t>
      </w:r>
      <w:r w:rsidRPr="00C33118">
        <w:rPr>
          <w:spacing w:val="3"/>
          <w:sz w:val="28"/>
          <w:szCs w:val="28"/>
          <w:lang w:val="ru-RU"/>
        </w:rPr>
        <w:t>Принципы рационального лечения сер</w:t>
      </w:r>
      <w:r w:rsidRPr="00C33118">
        <w:rPr>
          <w:spacing w:val="3"/>
          <w:sz w:val="28"/>
          <w:szCs w:val="28"/>
          <w:lang w:val="ru-RU"/>
        </w:rPr>
        <w:softHyphen/>
      </w:r>
      <w:r w:rsidR="009B731E">
        <w:rPr>
          <w:sz w:val="28"/>
          <w:szCs w:val="28"/>
          <w:lang w:val="ru-RU"/>
        </w:rPr>
        <w:t>дечной недостаточности / Ю.Н. Беленков, В.Ю. Мареев.</w:t>
      </w:r>
      <w:r w:rsidRPr="00C33118">
        <w:rPr>
          <w:sz w:val="28"/>
          <w:szCs w:val="28"/>
          <w:lang w:val="ru-RU"/>
        </w:rPr>
        <w:t xml:space="preserve"> - М: Медиа Медика, 2000. – 266 с.</w:t>
      </w:r>
    </w:p>
    <w:p w:rsidR="007C3B1F" w:rsidRPr="00C33118" w:rsidRDefault="007C3B1F" w:rsidP="007C3B1F">
      <w:pPr>
        <w:spacing w:line="360" w:lineRule="auto"/>
        <w:ind w:firstLine="397"/>
        <w:jc w:val="both"/>
        <w:rPr>
          <w:sz w:val="28"/>
          <w:szCs w:val="28"/>
          <w:lang w:val="ru-RU"/>
        </w:rPr>
      </w:pPr>
      <w:r w:rsidRPr="00C33118">
        <w:rPr>
          <w:sz w:val="28"/>
          <w:szCs w:val="28"/>
          <w:lang w:val="ru-RU"/>
        </w:rPr>
        <w:lastRenderedPageBreak/>
        <w:t xml:space="preserve">3. </w:t>
      </w:r>
      <w:r w:rsidRPr="00C33118">
        <w:rPr>
          <w:rStyle w:val="aa"/>
          <w:i w:val="0"/>
        </w:rPr>
        <w:t>Визир В.А.</w:t>
      </w:r>
      <w:r w:rsidRPr="00C33118">
        <w:rPr>
          <w:i/>
          <w:spacing w:val="6"/>
          <w:sz w:val="28"/>
          <w:szCs w:val="28"/>
          <w:lang w:val="ru-RU"/>
        </w:rPr>
        <w:t xml:space="preserve"> </w:t>
      </w:r>
      <w:r w:rsidRPr="00C33118">
        <w:rPr>
          <w:spacing w:val="6"/>
          <w:sz w:val="28"/>
          <w:szCs w:val="28"/>
          <w:lang w:val="ru-RU"/>
        </w:rPr>
        <w:t xml:space="preserve">Роль эндотелина-1 в прогрессировании </w:t>
      </w:r>
      <w:r w:rsidRPr="00C33118">
        <w:rPr>
          <w:sz w:val="28"/>
          <w:szCs w:val="28"/>
          <w:lang w:val="ru-RU"/>
        </w:rPr>
        <w:t xml:space="preserve">сердечной недостаточности </w:t>
      </w:r>
      <w:r w:rsidR="001F687F">
        <w:rPr>
          <w:sz w:val="28"/>
          <w:szCs w:val="28"/>
          <w:lang w:val="ru-RU"/>
        </w:rPr>
        <w:t xml:space="preserve">/ В.А. Визир, О.Е. Березин </w:t>
      </w:r>
      <w:r w:rsidRPr="00C33118">
        <w:rPr>
          <w:sz w:val="28"/>
          <w:szCs w:val="28"/>
          <w:lang w:val="ru-RU"/>
        </w:rPr>
        <w:t>// Укра</w:t>
      </w:r>
      <w:r w:rsidRPr="00C33118">
        <w:rPr>
          <w:bCs/>
          <w:sz w:val="28"/>
          <w:szCs w:val="28"/>
          <w:lang w:val="ru-RU"/>
        </w:rPr>
        <w:t>ї</w:t>
      </w:r>
      <w:r w:rsidRPr="00C33118">
        <w:rPr>
          <w:sz w:val="28"/>
          <w:szCs w:val="28"/>
          <w:lang w:val="ru-RU"/>
        </w:rPr>
        <w:t>нський</w:t>
      </w:r>
      <w:r w:rsidRPr="00C33118">
        <w:rPr>
          <w:spacing w:val="2"/>
          <w:sz w:val="28"/>
          <w:szCs w:val="28"/>
          <w:lang w:val="ru-RU"/>
        </w:rPr>
        <w:t xml:space="preserve"> медичний часо</w:t>
      </w:r>
      <w:r w:rsidRPr="00C33118">
        <w:rPr>
          <w:spacing w:val="4"/>
          <w:sz w:val="28"/>
          <w:szCs w:val="28"/>
          <w:lang w:val="ru-RU"/>
        </w:rPr>
        <w:t>пис.</w:t>
      </w:r>
      <w:r w:rsidRPr="00C33118">
        <w:rPr>
          <w:sz w:val="28"/>
          <w:szCs w:val="28"/>
          <w:lang w:val="ru-RU"/>
        </w:rPr>
        <w:t xml:space="preserve"> - 2003. - № 3(35). </w:t>
      </w:r>
      <w:r w:rsidR="001F687F">
        <w:rPr>
          <w:spacing w:val="13"/>
          <w:sz w:val="28"/>
          <w:szCs w:val="28"/>
          <w:lang w:val="ru-RU"/>
        </w:rPr>
        <w:t>- С</w:t>
      </w:r>
      <w:r w:rsidRPr="00C33118">
        <w:rPr>
          <w:spacing w:val="13"/>
          <w:sz w:val="28"/>
          <w:szCs w:val="28"/>
          <w:lang w:val="ru-RU"/>
        </w:rPr>
        <w:t>. 5-16.</w:t>
      </w:r>
    </w:p>
    <w:p w:rsidR="007C3B1F" w:rsidRPr="00557123" w:rsidRDefault="007C3B1F" w:rsidP="00010827">
      <w:pPr>
        <w:pStyle w:val="af5"/>
        <w:rPr>
          <w:lang w:val="ru-RU"/>
        </w:rPr>
      </w:pPr>
      <w:r w:rsidRPr="00557123">
        <w:rPr>
          <w:lang w:val="ru-RU"/>
        </w:rPr>
        <w:t xml:space="preserve">4. </w:t>
      </w:r>
      <w:r w:rsidRPr="00C33118">
        <w:rPr>
          <w:rStyle w:val="aa"/>
          <w:i w:val="0"/>
        </w:rPr>
        <w:t>Корнейчук Н.Н.</w:t>
      </w:r>
      <w:r w:rsidRPr="00557123">
        <w:rPr>
          <w:i/>
          <w:lang w:val="ru-RU"/>
        </w:rPr>
        <w:t xml:space="preserve"> </w:t>
      </w:r>
      <w:r w:rsidRPr="00557123">
        <w:rPr>
          <w:lang w:val="ru-RU"/>
        </w:rPr>
        <w:t xml:space="preserve">Клинико-гемодинамическая эффективность престариума и его роль в лечении хронического легочного сердца </w:t>
      </w:r>
      <w:r w:rsidR="001F687F">
        <w:rPr>
          <w:lang w:val="ru-RU"/>
        </w:rPr>
        <w:t xml:space="preserve">/ Н.Н. Корнейчук, И.В. Буторов, О.Н. Вербитский [и др.] </w:t>
      </w:r>
      <w:r w:rsidRPr="00557123">
        <w:rPr>
          <w:lang w:val="ru-RU"/>
        </w:rPr>
        <w:t xml:space="preserve">// Терапевтический архив. - </w:t>
      </w:r>
      <w:r w:rsidR="001F687F">
        <w:rPr>
          <w:spacing w:val="4"/>
          <w:lang w:val="ru-RU"/>
        </w:rPr>
        <w:t>2003, - Том 75, № 10. - С</w:t>
      </w:r>
      <w:r w:rsidRPr="00557123">
        <w:rPr>
          <w:spacing w:val="4"/>
          <w:lang w:val="ru-RU"/>
        </w:rPr>
        <w:t>. 83-87.</w:t>
      </w:r>
    </w:p>
    <w:p w:rsidR="007C3B1F" w:rsidRPr="00C33118" w:rsidRDefault="007C3B1F" w:rsidP="007C3B1F">
      <w:pPr>
        <w:spacing w:line="360" w:lineRule="auto"/>
        <w:ind w:firstLine="397"/>
        <w:jc w:val="both"/>
        <w:rPr>
          <w:sz w:val="28"/>
          <w:szCs w:val="28"/>
          <w:lang w:val="ru-RU"/>
        </w:rPr>
      </w:pPr>
      <w:r w:rsidRPr="00C33118">
        <w:rPr>
          <w:sz w:val="28"/>
          <w:szCs w:val="28"/>
          <w:lang w:val="ru-RU"/>
        </w:rPr>
        <w:t xml:space="preserve">5. </w:t>
      </w:r>
      <w:r w:rsidRPr="00C33118">
        <w:rPr>
          <w:rStyle w:val="aa"/>
          <w:i w:val="0"/>
        </w:rPr>
        <w:t>Малая Л.Т.</w:t>
      </w:r>
      <w:r w:rsidRPr="00C33118">
        <w:rPr>
          <w:i/>
          <w:spacing w:val="4"/>
          <w:sz w:val="28"/>
          <w:szCs w:val="28"/>
          <w:lang w:val="ru-RU"/>
        </w:rPr>
        <w:t xml:space="preserve"> </w:t>
      </w:r>
      <w:r w:rsidRPr="00C33118">
        <w:rPr>
          <w:spacing w:val="4"/>
          <w:sz w:val="28"/>
          <w:szCs w:val="28"/>
          <w:lang w:val="ru-RU"/>
        </w:rPr>
        <w:t>Эндотели</w:t>
      </w:r>
      <w:r w:rsidRPr="00C33118">
        <w:rPr>
          <w:spacing w:val="4"/>
          <w:sz w:val="28"/>
          <w:szCs w:val="28"/>
        </w:rPr>
        <w:t>альная дисфункция</w:t>
      </w:r>
      <w:r w:rsidRPr="00C33118">
        <w:rPr>
          <w:spacing w:val="4"/>
          <w:sz w:val="28"/>
          <w:szCs w:val="28"/>
          <w:lang w:val="ru-RU"/>
        </w:rPr>
        <w:t xml:space="preserve"> </w:t>
      </w:r>
      <w:r w:rsidRPr="00C33118">
        <w:rPr>
          <w:sz w:val="28"/>
          <w:szCs w:val="28"/>
          <w:lang w:val="ru-RU"/>
        </w:rPr>
        <w:t>при заболеваниях сердечно-сосудистой систе</w:t>
      </w:r>
      <w:r w:rsidR="001F687F">
        <w:rPr>
          <w:sz w:val="28"/>
          <w:szCs w:val="28"/>
        </w:rPr>
        <w:t>мы</w:t>
      </w:r>
      <w:r w:rsidR="001F687F">
        <w:rPr>
          <w:sz w:val="28"/>
          <w:szCs w:val="28"/>
          <w:lang w:val="ru-RU"/>
        </w:rPr>
        <w:t xml:space="preserve"> </w:t>
      </w:r>
      <w:r w:rsidR="001F687F">
        <w:rPr>
          <w:sz w:val="28"/>
          <w:szCs w:val="28"/>
        </w:rPr>
        <w:t>/</w:t>
      </w:r>
      <w:r w:rsidR="001F687F">
        <w:rPr>
          <w:sz w:val="28"/>
          <w:szCs w:val="28"/>
          <w:lang w:val="ru-RU"/>
        </w:rPr>
        <w:t xml:space="preserve"> Л.Т. Малая, А.Н. Корж, Л.В. Балковая.</w:t>
      </w:r>
      <w:r w:rsidR="001F687F">
        <w:rPr>
          <w:sz w:val="28"/>
          <w:szCs w:val="28"/>
        </w:rPr>
        <w:t xml:space="preserve"> - Харьков; Тор</w:t>
      </w:r>
      <w:r w:rsidRPr="00C33118">
        <w:rPr>
          <w:sz w:val="28"/>
          <w:szCs w:val="28"/>
        </w:rPr>
        <w:t>син</w:t>
      </w:r>
      <w:r w:rsidR="001F687F">
        <w:rPr>
          <w:sz w:val="28"/>
          <w:szCs w:val="28"/>
          <w:lang w:val="ru-RU"/>
        </w:rPr>
        <w:t>г</w:t>
      </w:r>
      <w:r w:rsidRPr="00C33118">
        <w:rPr>
          <w:sz w:val="28"/>
          <w:szCs w:val="28"/>
        </w:rPr>
        <w:t>, 2002. -</w:t>
      </w:r>
      <w:r w:rsidRPr="00C33118">
        <w:rPr>
          <w:sz w:val="28"/>
          <w:szCs w:val="28"/>
          <w:lang w:val="ru-RU"/>
        </w:rPr>
        <w:t xml:space="preserve"> 356 с.</w:t>
      </w:r>
    </w:p>
    <w:p w:rsidR="007C3B1F" w:rsidRPr="00C33118" w:rsidRDefault="007C3B1F" w:rsidP="007C3B1F">
      <w:pPr>
        <w:spacing w:line="360" w:lineRule="auto"/>
        <w:ind w:firstLine="397"/>
        <w:jc w:val="both"/>
        <w:rPr>
          <w:sz w:val="28"/>
          <w:szCs w:val="28"/>
          <w:lang w:val="ru-RU"/>
        </w:rPr>
      </w:pPr>
      <w:r w:rsidRPr="00C33118">
        <w:rPr>
          <w:sz w:val="28"/>
          <w:szCs w:val="28"/>
          <w:lang w:val="ru-RU"/>
        </w:rPr>
        <w:t xml:space="preserve">6. </w:t>
      </w:r>
      <w:r w:rsidRPr="00C33118">
        <w:rPr>
          <w:rStyle w:val="aa"/>
          <w:i w:val="0"/>
        </w:rPr>
        <w:t>Мареев В.Ю.</w:t>
      </w:r>
      <w:r w:rsidRPr="00C33118">
        <w:rPr>
          <w:sz w:val="28"/>
          <w:szCs w:val="28"/>
          <w:lang w:val="ru-RU"/>
        </w:rPr>
        <w:t xml:space="preserve"> Ингибиторы анги</w:t>
      </w:r>
      <w:r w:rsidRPr="00C33118">
        <w:rPr>
          <w:sz w:val="28"/>
          <w:szCs w:val="28"/>
        </w:rPr>
        <w:t>отензинпревращающего фермента в</w:t>
      </w:r>
      <w:r w:rsidRPr="00C33118">
        <w:rPr>
          <w:sz w:val="28"/>
          <w:szCs w:val="28"/>
          <w:lang w:val="ru-RU"/>
        </w:rPr>
        <w:t xml:space="preserve"> </w:t>
      </w:r>
      <w:r w:rsidRPr="00C33118">
        <w:rPr>
          <w:spacing w:val="3"/>
          <w:sz w:val="28"/>
          <w:szCs w:val="28"/>
          <w:lang w:val="ru-RU"/>
        </w:rPr>
        <w:t xml:space="preserve">лечении больных коронарной болезнью сердца. </w:t>
      </w:r>
      <w:r w:rsidRPr="00C33118">
        <w:rPr>
          <w:spacing w:val="3"/>
          <w:sz w:val="28"/>
          <w:szCs w:val="28"/>
        </w:rPr>
        <w:t xml:space="preserve">Взгляд 2003 года </w:t>
      </w:r>
      <w:r w:rsidR="00FD4120">
        <w:rPr>
          <w:spacing w:val="3"/>
          <w:sz w:val="28"/>
          <w:szCs w:val="28"/>
          <w:lang w:val="ru-RU"/>
        </w:rPr>
        <w:t xml:space="preserve">/ В.Ю. Мареев </w:t>
      </w:r>
      <w:r w:rsidRPr="00C33118">
        <w:rPr>
          <w:spacing w:val="3"/>
          <w:sz w:val="28"/>
          <w:szCs w:val="28"/>
        </w:rPr>
        <w:t xml:space="preserve">// </w:t>
      </w:r>
      <w:r w:rsidRPr="00C33118">
        <w:rPr>
          <w:sz w:val="28"/>
          <w:szCs w:val="28"/>
        </w:rPr>
        <w:t>Кардиология</w:t>
      </w:r>
      <w:r w:rsidR="00FD4120">
        <w:rPr>
          <w:sz w:val="28"/>
          <w:szCs w:val="28"/>
        </w:rPr>
        <w:t>. - 2003. - Том. № 43, № 12. - С</w:t>
      </w:r>
      <w:r w:rsidRPr="00C33118">
        <w:rPr>
          <w:sz w:val="28"/>
          <w:szCs w:val="28"/>
        </w:rPr>
        <w:t>. 4-14.</w:t>
      </w:r>
    </w:p>
    <w:p w:rsidR="007C3B1F" w:rsidRPr="00C33118" w:rsidRDefault="007C3B1F" w:rsidP="007C3B1F">
      <w:pPr>
        <w:spacing w:line="360" w:lineRule="auto"/>
        <w:ind w:firstLine="397"/>
        <w:jc w:val="both"/>
        <w:rPr>
          <w:sz w:val="28"/>
          <w:szCs w:val="28"/>
          <w:lang w:val="ru-RU"/>
        </w:rPr>
      </w:pPr>
      <w:r w:rsidRPr="00C33118">
        <w:rPr>
          <w:sz w:val="28"/>
          <w:szCs w:val="28"/>
          <w:lang w:val="ru-RU"/>
        </w:rPr>
        <w:t xml:space="preserve">7. </w:t>
      </w:r>
      <w:r w:rsidRPr="00C33118">
        <w:rPr>
          <w:rStyle w:val="aa"/>
          <w:i w:val="0"/>
        </w:rPr>
        <w:t>Метелица В.И.</w:t>
      </w:r>
      <w:r w:rsidRPr="00C33118">
        <w:rPr>
          <w:sz w:val="28"/>
          <w:szCs w:val="28"/>
          <w:lang w:val="ru-RU"/>
        </w:rPr>
        <w:t xml:space="preserve"> Справочник по клин</w:t>
      </w:r>
      <w:r w:rsidRPr="00C33118">
        <w:rPr>
          <w:sz w:val="28"/>
          <w:szCs w:val="28"/>
        </w:rPr>
        <w:t>ической фармакологии сердечно</w:t>
      </w:r>
      <w:r w:rsidRPr="00C33118">
        <w:rPr>
          <w:sz w:val="28"/>
          <w:szCs w:val="28"/>
        </w:rPr>
        <w:softHyphen/>
        <w:t>-</w:t>
      </w:r>
      <w:r w:rsidRPr="00C33118">
        <w:rPr>
          <w:sz w:val="28"/>
          <w:szCs w:val="28"/>
          <w:lang w:val="ru-RU"/>
        </w:rPr>
        <w:t>с</w:t>
      </w:r>
      <w:r w:rsidR="00FD4120">
        <w:rPr>
          <w:sz w:val="28"/>
          <w:szCs w:val="28"/>
          <w:lang w:val="ru-RU"/>
        </w:rPr>
        <w:t>осудистых лекарственных средств / В.И. Метелица.</w:t>
      </w:r>
      <w:r w:rsidR="00645A0E">
        <w:rPr>
          <w:sz w:val="28"/>
          <w:szCs w:val="28"/>
          <w:lang w:val="ru-RU"/>
        </w:rPr>
        <w:t xml:space="preserve"> - Москва; Бином, 2002. - С</w:t>
      </w:r>
      <w:r w:rsidRPr="00C33118">
        <w:rPr>
          <w:sz w:val="28"/>
          <w:szCs w:val="28"/>
          <w:lang w:val="ru-RU"/>
        </w:rPr>
        <w:t>. 515-518.</w:t>
      </w:r>
    </w:p>
    <w:p w:rsidR="007C3B1F" w:rsidRPr="00C33118" w:rsidRDefault="007C3B1F" w:rsidP="007C3B1F">
      <w:pPr>
        <w:spacing w:line="360" w:lineRule="auto"/>
        <w:ind w:firstLine="397"/>
        <w:jc w:val="both"/>
        <w:rPr>
          <w:sz w:val="28"/>
          <w:szCs w:val="28"/>
          <w:lang w:val="ru-RU"/>
        </w:rPr>
      </w:pPr>
      <w:r w:rsidRPr="00C33118">
        <w:rPr>
          <w:sz w:val="28"/>
          <w:szCs w:val="28"/>
          <w:lang w:val="ru-RU"/>
        </w:rPr>
        <w:t xml:space="preserve">8. </w:t>
      </w:r>
      <w:r w:rsidRPr="00C33118">
        <w:rPr>
          <w:rStyle w:val="aa"/>
          <w:i w:val="0"/>
        </w:rPr>
        <w:t>Нестеренко Л.Ю.</w:t>
      </w:r>
      <w:r w:rsidRPr="00C33118">
        <w:rPr>
          <w:i/>
          <w:sz w:val="28"/>
          <w:szCs w:val="28"/>
          <w:lang w:val="ru-RU"/>
        </w:rPr>
        <w:t xml:space="preserve"> </w:t>
      </w:r>
      <w:r w:rsidRPr="00C33118">
        <w:rPr>
          <w:sz w:val="28"/>
          <w:szCs w:val="28"/>
          <w:lang w:val="ru-RU"/>
        </w:rPr>
        <w:t>Факторы, определяющие эффективность длительной антиаритмической терапии при жизнеугрожающих желудочковых аритмиях</w:t>
      </w:r>
      <w:r w:rsidRPr="00C33118">
        <w:rPr>
          <w:spacing w:val="9"/>
          <w:sz w:val="28"/>
          <w:szCs w:val="28"/>
          <w:lang w:val="ru-RU"/>
        </w:rPr>
        <w:t xml:space="preserve"> </w:t>
      </w:r>
      <w:r w:rsidR="00645A0E">
        <w:rPr>
          <w:spacing w:val="9"/>
          <w:sz w:val="28"/>
          <w:szCs w:val="28"/>
          <w:lang w:val="ru-RU"/>
        </w:rPr>
        <w:t xml:space="preserve">/ Л.Ю. Нестеренко, М.Н. Ковешникова, С.П. Голицын </w:t>
      </w:r>
      <w:r w:rsidRPr="00C33118">
        <w:rPr>
          <w:spacing w:val="9"/>
          <w:sz w:val="28"/>
          <w:szCs w:val="28"/>
          <w:lang w:val="ru-RU"/>
        </w:rPr>
        <w:t xml:space="preserve">// </w:t>
      </w:r>
      <w:r w:rsidRPr="00C33118">
        <w:rPr>
          <w:sz w:val="28"/>
          <w:szCs w:val="28"/>
          <w:lang w:val="ru-RU"/>
        </w:rPr>
        <w:t>Фарматека</w:t>
      </w:r>
      <w:r w:rsidRPr="00C33118">
        <w:rPr>
          <w:spacing w:val="4"/>
          <w:sz w:val="28"/>
          <w:szCs w:val="28"/>
          <w:lang w:val="ru-RU"/>
        </w:rPr>
        <w:t>.</w:t>
      </w:r>
      <w:r w:rsidRPr="00C33118">
        <w:rPr>
          <w:spacing w:val="9"/>
          <w:sz w:val="28"/>
          <w:szCs w:val="28"/>
          <w:lang w:val="ru-RU"/>
        </w:rPr>
        <w:t xml:space="preserve"> - 2005. - </w:t>
      </w:r>
      <w:r w:rsidR="00645A0E">
        <w:rPr>
          <w:spacing w:val="4"/>
          <w:sz w:val="28"/>
          <w:szCs w:val="28"/>
          <w:lang w:val="ru-RU"/>
        </w:rPr>
        <w:t>№ 8. - С</w:t>
      </w:r>
      <w:r w:rsidRPr="00C33118">
        <w:rPr>
          <w:spacing w:val="4"/>
          <w:sz w:val="28"/>
          <w:szCs w:val="28"/>
          <w:lang w:val="ru-RU"/>
        </w:rPr>
        <w:t>. 54-58.</w:t>
      </w:r>
    </w:p>
    <w:p w:rsidR="007C3B1F" w:rsidRPr="00C33118" w:rsidRDefault="007C3B1F" w:rsidP="007C3B1F">
      <w:pPr>
        <w:spacing w:line="360" w:lineRule="auto"/>
        <w:ind w:firstLine="397"/>
        <w:jc w:val="both"/>
        <w:rPr>
          <w:sz w:val="28"/>
          <w:szCs w:val="28"/>
          <w:lang w:val="ru-RU"/>
        </w:rPr>
      </w:pPr>
      <w:r w:rsidRPr="00C33118">
        <w:rPr>
          <w:sz w:val="28"/>
          <w:szCs w:val="28"/>
          <w:lang w:val="ru-RU"/>
        </w:rPr>
        <w:t xml:space="preserve">9. </w:t>
      </w:r>
      <w:r w:rsidRPr="00C33118">
        <w:rPr>
          <w:rStyle w:val="aa"/>
          <w:i w:val="0"/>
        </w:rPr>
        <w:t>Моисеев В.С.</w:t>
      </w:r>
      <w:r w:rsidRPr="00C33118">
        <w:rPr>
          <w:i/>
          <w:spacing w:val="3"/>
          <w:sz w:val="28"/>
          <w:szCs w:val="28"/>
          <w:lang w:val="ru-RU"/>
        </w:rPr>
        <w:t xml:space="preserve"> </w:t>
      </w:r>
      <w:r w:rsidRPr="00C33118">
        <w:rPr>
          <w:spacing w:val="3"/>
          <w:sz w:val="28"/>
          <w:szCs w:val="28"/>
          <w:lang w:val="ru-RU"/>
        </w:rPr>
        <w:t>Должен ли терапевт лечить нарушения углеводного обмена</w:t>
      </w:r>
      <w:r w:rsidRPr="00C33118">
        <w:rPr>
          <w:sz w:val="28"/>
          <w:szCs w:val="28"/>
          <w:lang w:val="ru-RU"/>
        </w:rPr>
        <w:t xml:space="preserve">. </w:t>
      </w:r>
      <w:r w:rsidR="00F70060">
        <w:rPr>
          <w:sz w:val="28"/>
          <w:szCs w:val="28"/>
          <w:lang w:val="ru-RU"/>
        </w:rPr>
        <w:t xml:space="preserve">/ </w:t>
      </w:r>
      <w:r w:rsidR="00F70060">
        <w:rPr>
          <w:sz w:val="28"/>
          <w:szCs w:val="28"/>
          <w:lang w:val="ru-RU"/>
        </w:rPr>
        <w:tab/>
        <w:t xml:space="preserve">В.С. Моисеев </w:t>
      </w:r>
      <w:r w:rsidRPr="00C33118">
        <w:rPr>
          <w:sz w:val="28"/>
          <w:szCs w:val="28"/>
          <w:lang w:val="ru-RU"/>
        </w:rPr>
        <w:t xml:space="preserve">// Клиническая фармакология и терапия. </w:t>
      </w:r>
      <w:r w:rsidR="00F70060">
        <w:rPr>
          <w:sz w:val="28"/>
          <w:szCs w:val="28"/>
        </w:rPr>
        <w:t>Том 14, № 2. - С</w:t>
      </w:r>
      <w:r w:rsidRPr="00C33118">
        <w:rPr>
          <w:sz w:val="28"/>
          <w:szCs w:val="28"/>
        </w:rPr>
        <w:t>. 40-44.</w:t>
      </w:r>
    </w:p>
    <w:p w:rsidR="007C3B1F" w:rsidRPr="002F6D54" w:rsidRDefault="007C3B1F" w:rsidP="007C3B1F">
      <w:pPr>
        <w:spacing w:line="360" w:lineRule="auto"/>
        <w:ind w:firstLine="397"/>
        <w:jc w:val="both"/>
        <w:rPr>
          <w:sz w:val="28"/>
          <w:szCs w:val="28"/>
          <w:lang w:val="ru-RU"/>
        </w:rPr>
      </w:pPr>
      <w:r w:rsidRPr="00C33118">
        <w:rPr>
          <w:sz w:val="28"/>
          <w:szCs w:val="28"/>
          <w:lang w:val="ru-RU"/>
        </w:rPr>
        <w:t xml:space="preserve">10. </w:t>
      </w:r>
      <w:r w:rsidRPr="00C33118">
        <w:rPr>
          <w:rStyle w:val="aa"/>
          <w:i w:val="0"/>
        </w:rPr>
        <w:t>Ольбинская Л.Й.</w:t>
      </w:r>
      <w:r w:rsidRPr="00C33118">
        <w:rPr>
          <w:spacing w:val="3"/>
          <w:sz w:val="28"/>
          <w:szCs w:val="28"/>
          <w:lang w:val="ru-RU"/>
        </w:rPr>
        <w:t xml:space="preserve"> Желудочковые нару</w:t>
      </w:r>
      <w:r w:rsidRPr="00C33118">
        <w:rPr>
          <w:spacing w:val="3"/>
          <w:sz w:val="28"/>
          <w:szCs w:val="28"/>
          <w:lang w:val="ru-RU"/>
        </w:rPr>
        <w:softHyphen/>
      </w:r>
      <w:r w:rsidRPr="00C33118">
        <w:rPr>
          <w:sz w:val="28"/>
          <w:szCs w:val="28"/>
          <w:lang w:val="ru-RU"/>
        </w:rPr>
        <w:t>шения ритма сердца у больных хронической сердечной недостаточностью –</w:t>
      </w:r>
      <w:r w:rsidR="00EE08BB">
        <w:rPr>
          <w:sz w:val="28"/>
          <w:szCs w:val="28"/>
          <w:lang w:val="ru-RU"/>
        </w:rPr>
        <w:t xml:space="preserve"> </w:t>
      </w:r>
      <w:r w:rsidRPr="00C33118">
        <w:rPr>
          <w:spacing w:val="1"/>
          <w:sz w:val="28"/>
          <w:szCs w:val="28"/>
          <w:lang w:val="ru-RU"/>
        </w:rPr>
        <w:t xml:space="preserve">возможности ингибиторов ангиотензинпревращающего фермента </w:t>
      </w:r>
      <w:r w:rsidR="002F6D54">
        <w:rPr>
          <w:spacing w:val="1"/>
          <w:sz w:val="28"/>
          <w:szCs w:val="28"/>
          <w:lang w:val="ru-RU"/>
        </w:rPr>
        <w:t xml:space="preserve">/ Л.Й. Ольбинская, И.А. Царькова, Ж.М. Сизова </w:t>
      </w:r>
      <w:r w:rsidRPr="00C33118">
        <w:rPr>
          <w:spacing w:val="1"/>
          <w:sz w:val="28"/>
          <w:szCs w:val="28"/>
          <w:lang w:val="ru-RU"/>
        </w:rPr>
        <w:t>// Сердечная</w:t>
      </w:r>
      <w:r w:rsidR="002F6D54">
        <w:rPr>
          <w:spacing w:val="1"/>
          <w:sz w:val="28"/>
          <w:szCs w:val="28"/>
          <w:lang w:val="ru-RU"/>
        </w:rPr>
        <w:t xml:space="preserve"> </w:t>
      </w:r>
      <w:r w:rsidRPr="00C33118">
        <w:rPr>
          <w:spacing w:val="2"/>
          <w:sz w:val="28"/>
          <w:szCs w:val="28"/>
          <w:lang w:val="ru-RU"/>
        </w:rPr>
        <w:t xml:space="preserve">недостаточность. - 2001. </w:t>
      </w:r>
      <w:r w:rsidR="002F6D54">
        <w:rPr>
          <w:spacing w:val="2"/>
          <w:sz w:val="28"/>
          <w:szCs w:val="28"/>
        </w:rPr>
        <w:t>№ 2. - С</w:t>
      </w:r>
      <w:r w:rsidRPr="00C33118">
        <w:rPr>
          <w:spacing w:val="2"/>
          <w:sz w:val="28"/>
          <w:szCs w:val="28"/>
        </w:rPr>
        <w:t>. 211-213.</w:t>
      </w:r>
    </w:p>
    <w:p w:rsidR="007C3B1F" w:rsidRPr="00557123" w:rsidRDefault="007C3B1F" w:rsidP="00010827">
      <w:pPr>
        <w:pStyle w:val="af5"/>
        <w:rPr>
          <w:lang w:val="ru-RU"/>
        </w:rPr>
      </w:pPr>
      <w:r w:rsidRPr="00557123">
        <w:rPr>
          <w:lang w:val="ru-RU"/>
        </w:rPr>
        <w:t xml:space="preserve">11. </w:t>
      </w:r>
      <w:r w:rsidRPr="00C33118">
        <w:rPr>
          <w:rStyle w:val="aa"/>
          <w:i w:val="0"/>
        </w:rPr>
        <w:t>Руксин В.В.</w:t>
      </w:r>
      <w:r w:rsidR="002F6D54">
        <w:rPr>
          <w:lang w:val="ru-RU"/>
        </w:rPr>
        <w:t xml:space="preserve"> Неотложная кардиология / В.В. Руксин.</w:t>
      </w:r>
      <w:r w:rsidRPr="00557123">
        <w:rPr>
          <w:lang w:val="ru-RU"/>
        </w:rPr>
        <w:t xml:space="preserve"> - СПб.: «</w:t>
      </w:r>
      <w:r w:rsidR="00DE6B63">
        <w:rPr>
          <w:lang w:val="ru-RU"/>
        </w:rPr>
        <w:t xml:space="preserve">Невский Диалект», </w:t>
      </w:r>
      <w:r w:rsidR="00DE6B63">
        <w:rPr>
          <w:spacing w:val="1"/>
          <w:lang w:val="ru-RU"/>
        </w:rPr>
        <w:t>М.: «Бином», 1999. - С</w:t>
      </w:r>
      <w:r w:rsidRPr="00557123">
        <w:rPr>
          <w:spacing w:val="1"/>
          <w:lang w:val="ru-RU"/>
        </w:rPr>
        <w:t>. 253-260.</w:t>
      </w:r>
    </w:p>
    <w:p w:rsidR="007C3B1F" w:rsidRPr="00C33118" w:rsidRDefault="007C3B1F" w:rsidP="007C3B1F">
      <w:pPr>
        <w:spacing w:line="360" w:lineRule="auto"/>
        <w:ind w:firstLine="397"/>
        <w:jc w:val="both"/>
        <w:rPr>
          <w:sz w:val="28"/>
          <w:szCs w:val="28"/>
          <w:lang w:val="ru-RU"/>
        </w:rPr>
      </w:pPr>
      <w:r w:rsidRPr="00C33118">
        <w:rPr>
          <w:sz w:val="28"/>
          <w:szCs w:val="28"/>
          <w:lang w:val="ru-RU"/>
        </w:rPr>
        <w:lastRenderedPageBreak/>
        <w:t xml:space="preserve">12. </w:t>
      </w:r>
      <w:r w:rsidRPr="00C33118">
        <w:rPr>
          <w:rStyle w:val="aa"/>
          <w:i w:val="0"/>
        </w:rPr>
        <w:t>Сумароков А.В.</w:t>
      </w:r>
      <w:r w:rsidRPr="00C33118">
        <w:rPr>
          <w:i/>
          <w:sz w:val="28"/>
          <w:szCs w:val="28"/>
          <w:lang w:val="ru-RU"/>
        </w:rPr>
        <w:t xml:space="preserve"> </w:t>
      </w:r>
      <w:r w:rsidRPr="00C33118">
        <w:rPr>
          <w:sz w:val="28"/>
          <w:szCs w:val="28"/>
          <w:lang w:val="ru-RU"/>
        </w:rPr>
        <w:t>Клиническая кардиология: Руководство для врачей</w:t>
      </w:r>
      <w:r w:rsidR="005F052D">
        <w:rPr>
          <w:sz w:val="28"/>
          <w:szCs w:val="28"/>
          <w:lang w:val="ru-RU"/>
        </w:rPr>
        <w:t xml:space="preserve"> / А.В. Сумароков, В.С. Моисеев</w:t>
      </w:r>
      <w:r w:rsidRPr="00C33118">
        <w:rPr>
          <w:sz w:val="28"/>
          <w:szCs w:val="28"/>
          <w:lang w:val="ru-RU"/>
        </w:rPr>
        <w:t>. - М.: Универсум, 1996. - 389 с.</w:t>
      </w:r>
    </w:p>
    <w:p w:rsidR="007C3B1F" w:rsidRPr="00C33118" w:rsidRDefault="007C3B1F" w:rsidP="007C3B1F">
      <w:pPr>
        <w:spacing w:line="360" w:lineRule="auto"/>
        <w:ind w:firstLine="397"/>
        <w:jc w:val="both"/>
        <w:rPr>
          <w:spacing w:val="4"/>
          <w:sz w:val="28"/>
          <w:szCs w:val="28"/>
          <w:lang w:val="en-US"/>
        </w:rPr>
      </w:pPr>
      <w:r w:rsidRPr="00C33118">
        <w:rPr>
          <w:sz w:val="28"/>
          <w:szCs w:val="28"/>
          <w:lang w:val="en-US"/>
        </w:rPr>
        <w:t xml:space="preserve">13. </w:t>
      </w:r>
      <w:r w:rsidRPr="00C33118">
        <w:rPr>
          <w:rStyle w:val="aa"/>
          <w:i w:val="0"/>
          <w:lang w:val="en-US"/>
        </w:rPr>
        <w:t>Han X.</w:t>
      </w:r>
      <w:r w:rsidRPr="00C33118">
        <w:rPr>
          <w:spacing w:val="2"/>
          <w:sz w:val="28"/>
          <w:szCs w:val="28"/>
          <w:lang w:val="en-US"/>
        </w:rPr>
        <w:t xml:space="preserve"> Identification and properties </w:t>
      </w:r>
      <w:r w:rsidRPr="00C33118">
        <w:rPr>
          <w:sz w:val="28"/>
          <w:szCs w:val="28"/>
          <w:lang w:val="en-US"/>
        </w:rPr>
        <w:t>of an ATP-sensitive K</w:t>
      </w:r>
      <w:r w:rsidRPr="00C33118">
        <w:rPr>
          <w:sz w:val="28"/>
          <w:szCs w:val="28"/>
          <w:vertAlign w:val="superscript"/>
          <w:lang w:val="en-US"/>
        </w:rPr>
        <w:t>+</w:t>
      </w:r>
      <w:r w:rsidRPr="00C33118">
        <w:rPr>
          <w:sz w:val="28"/>
          <w:szCs w:val="28"/>
          <w:lang w:val="en-US"/>
        </w:rPr>
        <w:t xml:space="preserve">-current in rabbit sinoatrial node pacemaker cells - </w:t>
      </w:r>
      <w:r w:rsidR="00EE08BB">
        <w:rPr>
          <w:sz w:val="28"/>
          <w:szCs w:val="28"/>
          <w:lang w:val="en-US"/>
        </w:rPr>
        <w:t xml:space="preserve">/ X. Han, P.E. Light, W.R. Giles, R.J. French </w:t>
      </w:r>
      <w:r w:rsidRPr="00C33118">
        <w:rPr>
          <w:sz w:val="28"/>
          <w:szCs w:val="28"/>
          <w:lang w:val="en-US"/>
        </w:rPr>
        <w:t>// J.</w:t>
      </w:r>
      <w:r w:rsidRPr="00C33118">
        <w:rPr>
          <w:spacing w:val="4"/>
          <w:sz w:val="28"/>
          <w:szCs w:val="28"/>
          <w:lang w:val="en-US"/>
        </w:rPr>
        <w:t xml:space="preserve">Physiol. - 1999. - № 490(2). - </w:t>
      </w:r>
      <w:r w:rsidR="00EE08BB">
        <w:rPr>
          <w:spacing w:val="4"/>
          <w:sz w:val="28"/>
          <w:szCs w:val="28"/>
          <w:lang w:val="en-US"/>
        </w:rPr>
        <w:t>P</w:t>
      </w:r>
      <w:r w:rsidRPr="00C33118">
        <w:rPr>
          <w:spacing w:val="4"/>
          <w:sz w:val="28"/>
          <w:szCs w:val="28"/>
          <w:lang w:val="en-US"/>
        </w:rPr>
        <w:t>. 337-350.</w:t>
      </w:r>
    </w:p>
    <w:p w:rsidR="007C3B1F" w:rsidRDefault="007C3B1F" w:rsidP="007C3B1F">
      <w:pPr>
        <w:spacing w:line="360" w:lineRule="auto"/>
        <w:ind w:firstLine="397"/>
        <w:jc w:val="both"/>
        <w:rPr>
          <w:spacing w:val="8"/>
          <w:sz w:val="28"/>
          <w:szCs w:val="28"/>
          <w:lang w:val="en-US"/>
        </w:rPr>
      </w:pPr>
      <w:r w:rsidRPr="00C33118">
        <w:rPr>
          <w:spacing w:val="4"/>
          <w:sz w:val="28"/>
          <w:szCs w:val="28"/>
          <w:lang w:val="en-US"/>
        </w:rPr>
        <w:t xml:space="preserve">14. </w:t>
      </w:r>
      <w:r w:rsidRPr="00C33118">
        <w:rPr>
          <w:rStyle w:val="aa"/>
          <w:i w:val="0"/>
          <w:lang w:val="en-US"/>
        </w:rPr>
        <w:t>Khan M.G.</w:t>
      </w:r>
      <w:r w:rsidRPr="00C33118">
        <w:rPr>
          <w:sz w:val="28"/>
          <w:szCs w:val="28"/>
          <w:lang w:val="en-US"/>
        </w:rPr>
        <w:t xml:space="preserve"> Cardiac drug therapy</w:t>
      </w:r>
      <w:r w:rsidR="00EE08BB">
        <w:rPr>
          <w:sz w:val="28"/>
          <w:szCs w:val="28"/>
          <w:lang w:val="en-US"/>
        </w:rPr>
        <w:t xml:space="preserve"> / M.G. Khan</w:t>
      </w:r>
      <w:r w:rsidRPr="00C33118">
        <w:rPr>
          <w:sz w:val="28"/>
          <w:szCs w:val="28"/>
          <w:lang w:val="en-US"/>
        </w:rPr>
        <w:t xml:space="preserve">. - London: W.B. Sanders Company, </w:t>
      </w:r>
      <w:r w:rsidRPr="00C33118">
        <w:rPr>
          <w:spacing w:val="8"/>
          <w:sz w:val="28"/>
          <w:szCs w:val="28"/>
          <w:lang w:val="en-US"/>
        </w:rPr>
        <w:t xml:space="preserve">1995. - </w:t>
      </w:r>
      <w:r w:rsidR="00EE08BB">
        <w:rPr>
          <w:spacing w:val="8"/>
          <w:sz w:val="28"/>
          <w:szCs w:val="28"/>
        </w:rPr>
        <w:t>P</w:t>
      </w:r>
      <w:r w:rsidRPr="00C33118">
        <w:rPr>
          <w:spacing w:val="8"/>
          <w:sz w:val="28"/>
          <w:szCs w:val="28"/>
          <w:lang w:val="en-US"/>
        </w:rPr>
        <w:t>. 149-175.</w:t>
      </w:r>
    </w:p>
    <w:p w:rsidR="00FE08B2" w:rsidRPr="00DB7711" w:rsidRDefault="00FE08B2" w:rsidP="00EE66DE">
      <w:pPr>
        <w:pStyle w:val="1"/>
      </w:pPr>
      <w:r w:rsidRPr="00DB7711">
        <w:t>РЕЗЮМЕ</w:t>
      </w:r>
    </w:p>
    <w:p w:rsidR="00FE08B2" w:rsidRPr="00DB7711" w:rsidRDefault="00805191" w:rsidP="00EE66DE">
      <w:pPr>
        <w:pStyle w:val="1"/>
      </w:pPr>
      <w:r>
        <w:t>особенности развития эндотелиальной дисфункции при нарушениях сердечного ритма у больных хнзл и способы ее коррекции с использованием этмозина и ауфок</w:t>
      </w:r>
    </w:p>
    <w:p w:rsidR="003E29D4" w:rsidRPr="00D94DC5" w:rsidRDefault="003E29D4" w:rsidP="003E29D4">
      <w:pPr>
        <w:spacing w:line="360" w:lineRule="auto"/>
        <w:jc w:val="center"/>
        <w:rPr>
          <w:sz w:val="28"/>
          <w:szCs w:val="28"/>
        </w:rPr>
      </w:pPr>
      <w:r w:rsidRPr="008F1476">
        <w:rPr>
          <w:sz w:val="28"/>
          <w:szCs w:val="28"/>
        </w:rPr>
        <w:t>Латогуз С.И.</w:t>
      </w:r>
    </w:p>
    <w:p w:rsidR="00785A17" w:rsidRDefault="00FE08B2" w:rsidP="00785A17">
      <w:pPr>
        <w:pStyle w:val="10"/>
        <w:rPr>
          <w:lang w:val="ru-RU"/>
        </w:rPr>
      </w:pPr>
      <w:r w:rsidRPr="00DB7711">
        <w:rPr>
          <w:lang w:val="ru-RU"/>
        </w:rPr>
        <w:t>Был</w:t>
      </w:r>
      <w:r w:rsidR="00220632" w:rsidRPr="003E29D4">
        <w:rPr>
          <w:lang w:val="ru-RU"/>
        </w:rPr>
        <w:t xml:space="preserve">о </w:t>
      </w:r>
      <w:r w:rsidRPr="00DB7711">
        <w:rPr>
          <w:lang w:val="ru-RU"/>
        </w:rPr>
        <w:t>и</w:t>
      </w:r>
      <w:r w:rsidRPr="003E29D4">
        <w:rPr>
          <w:lang w:val="ru-RU"/>
        </w:rPr>
        <w:t>зучен</w:t>
      </w:r>
      <w:r w:rsidR="00220632" w:rsidRPr="003E29D4">
        <w:rPr>
          <w:lang w:val="ru-RU"/>
        </w:rPr>
        <w:t>о влияние АУФОК на эндотелиальную дисфункцию и течение нарушений сердечного ритма у больных ХНЗЛ.</w:t>
      </w:r>
      <w:r w:rsidRPr="003E29D4">
        <w:rPr>
          <w:lang w:val="ru-RU"/>
        </w:rPr>
        <w:t xml:space="preserve"> </w:t>
      </w:r>
      <w:r w:rsidR="00785A17" w:rsidRPr="00557123">
        <w:rPr>
          <w:lang w:val="ru-RU"/>
        </w:rPr>
        <w:t xml:space="preserve">Для этого обследовано 39 больных, страдающих хроническим обструктивным бронхитом и аритмиями в динамике лечения этмозином 19 больных (1-я группа) и этмозином и АУФОК – 20 больных (2-я группа). У обследованных больных регистрировалась </w:t>
      </w:r>
      <w:r w:rsidR="00E91D82">
        <w:rPr>
          <w:lang w:val="ru-RU"/>
        </w:rPr>
        <w:t>желудочковая экстрасистолия</w:t>
      </w:r>
      <w:r w:rsidR="00785A17" w:rsidRPr="00557123">
        <w:rPr>
          <w:lang w:val="ru-RU"/>
        </w:rPr>
        <w:t xml:space="preserve">, соответствующая </w:t>
      </w:r>
      <w:r w:rsidR="00785A17">
        <w:t>I</w:t>
      </w:r>
      <w:r w:rsidR="00785A17" w:rsidRPr="00557123">
        <w:rPr>
          <w:lang w:val="ru-RU"/>
        </w:rPr>
        <w:t>-</w:t>
      </w:r>
      <w:r w:rsidR="00785A17">
        <w:t>II</w:t>
      </w:r>
      <w:r w:rsidR="00785A17" w:rsidRPr="00557123">
        <w:rPr>
          <w:lang w:val="ru-RU"/>
        </w:rPr>
        <w:t xml:space="preserve"> градации по </w:t>
      </w:r>
      <w:r w:rsidR="00785A17">
        <w:t>Jawn</w:t>
      </w:r>
      <w:r w:rsidR="00785A17" w:rsidRPr="00557123">
        <w:rPr>
          <w:lang w:val="ru-RU"/>
        </w:rPr>
        <w:t>. Все больные находились на стационарном лечении.</w:t>
      </w:r>
    </w:p>
    <w:p w:rsidR="00EE66DE" w:rsidRPr="003E29D4" w:rsidRDefault="00EE66DE" w:rsidP="00FC04E3">
      <w:pPr>
        <w:pStyle w:val="10"/>
        <w:rPr>
          <w:lang w:val="ru-RU"/>
        </w:rPr>
      </w:pPr>
      <w:r w:rsidRPr="003E29D4">
        <w:rPr>
          <w:lang w:val="ru-RU"/>
        </w:rPr>
        <w:t xml:space="preserve">Можно отметить, что включение в комплексную антиаритмическую терапию АУФОК позволяет получить дополнительный положительный клинический эффект у больных ХНЗЛ и сопутсвующими нарушениями сердечного ритма. </w:t>
      </w:r>
    </w:p>
    <w:p w:rsidR="00FE08B2" w:rsidRPr="00EE66DE" w:rsidRDefault="00FE08B2" w:rsidP="00FE08B2">
      <w:pPr>
        <w:spacing w:line="360" w:lineRule="auto"/>
        <w:ind w:firstLine="397"/>
        <w:jc w:val="both"/>
        <w:rPr>
          <w:sz w:val="28"/>
          <w:szCs w:val="28"/>
          <w:lang w:val="ru-RU"/>
        </w:rPr>
      </w:pPr>
      <w:r w:rsidRPr="00DB7711">
        <w:rPr>
          <w:b/>
          <w:sz w:val="28"/>
          <w:szCs w:val="28"/>
        </w:rPr>
        <w:t>Ключевые слова:</w:t>
      </w:r>
      <w:r w:rsidRPr="00DB7711">
        <w:rPr>
          <w:sz w:val="28"/>
          <w:szCs w:val="28"/>
        </w:rPr>
        <w:t xml:space="preserve"> </w:t>
      </w:r>
      <w:r w:rsidR="00EE66DE">
        <w:rPr>
          <w:sz w:val="28"/>
          <w:szCs w:val="28"/>
          <w:lang w:val="ru-RU"/>
        </w:rPr>
        <w:t>АУФОК</w:t>
      </w:r>
      <w:r w:rsidR="00EE66DE" w:rsidRPr="00DB7711">
        <w:rPr>
          <w:sz w:val="28"/>
          <w:szCs w:val="28"/>
        </w:rPr>
        <w:t>,</w:t>
      </w:r>
      <w:r w:rsidR="00EE66DE">
        <w:rPr>
          <w:sz w:val="28"/>
          <w:szCs w:val="28"/>
          <w:lang w:val="ru-RU"/>
        </w:rPr>
        <w:t xml:space="preserve"> хронические неспецифические заболевания легких</w:t>
      </w:r>
      <w:r w:rsidR="00EE66DE" w:rsidRPr="00DB7711">
        <w:rPr>
          <w:sz w:val="28"/>
          <w:szCs w:val="28"/>
        </w:rPr>
        <w:t>,</w:t>
      </w:r>
      <w:r w:rsidR="00EE66DE">
        <w:rPr>
          <w:sz w:val="28"/>
          <w:szCs w:val="28"/>
          <w:lang w:val="ru-RU"/>
        </w:rPr>
        <w:t xml:space="preserve"> </w:t>
      </w:r>
      <w:r w:rsidRPr="00DB7711">
        <w:rPr>
          <w:sz w:val="28"/>
          <w:szCs w:val="28"/>
          <w:lang w:val="ru-RU"/>
        </w:rPr>
        <w:t>аритмии</w:t>
      </w:r>
      <w:r w:rsidRPr="00DB7711">
        <w:rPr>
          <w:sz w:val="28"/>
          <w:szCs w:val="28"/>
        </w:rPr>
        <w:t>,</w:t>
      </w:r>
      <w:r w:rsidRPr="00DB7711">
        <w:rPr>
          <w:sz w:val="28"/>
          <w:szCs w:val="28"/>
          <w:lang w:val="ru-RU"/>
        </w:rPr>
        <w:t xml:space="preserve"> </w:t>
      </w:r>
      <w:r w:rsidR="00EE66DE">
        <w:rPr>
          <w:sz w:val="28"/>
          <w:szCs w:val="28"/>
          <w:lang w:val="ru-RU"/>
        </w:rPr>
        <w:t>этмозин</w:t>
      </w:r>
      <w:r w:rsidRPr="00DB7711">
        <w:rPr>
          <w:sz w:val="28"/>
          <w:szCs w:val="28"/>
        </w:rPr>
        <w:t>,</w:t>
      </w:r>
      <w:r w:rsidRPr="00DB7711">
        <w:rPr>
          <w:sz w:val="28"/>
          <w:szCs w:val="28"/>
          <w:lang w:val="ru-RU"/>
        </w:rPr>
        <w:t xml:space="preserve"> </w:t>
      </w:r>
      <w:r w:rsidR="00EE66DE">
        <w:rPr>
          <w:sz w:val="28"/>
          <w:szCs w:val="28"/>
          <w:lang w:val="ru-RU"/>
        </w:rPr>
        <w:t>эндотелиалоьная дисфункция</w:t>
      </w:r>
      <w:r w:rsidR="00EE66DE" w:rsidRPr="00EE66DE">
        <w:rPr>
          <w:sz w:val="28"/>
          <w:szCs w:val="28"/>
          <w:lang w:val="ru-RU"/>
        </w:rPr>
        <w:t>.</w:t>
      </w:r>
    </w:p>
    <w:p w:rsidR="00FE08B2" w:rsidRPr="00DB7711" w:rsidRDefault="00FE08B2" w:rsidP="00EE66DE">
      <w:pPr>
        <w:pStyle w:val="1"/>
      </w:pPr>
      <w:r w:rsidRPr="00DB7711">
        <w:t>Резюме</w:t>
      </w:r>
    </w:p>
    <w:p w:rsidR="00FE08B2" w:rsidRPr="00EE66DE" w:rsidRDefault="00EE66DE" w:rsidP="00EE66DE">
      <w:pPr>
        <w:pStyle w:val="1"/>
        <w:rPr>
          <w:lang w:val="uk-UA"/>
        </w:rPr>
      </w:pPr>
      <w:r w:rsidRPr="00EE66DE">
        <w:t>ОСОБЛИВОСТІ РОЗВИТКУ ЕНДОТЕЛІАЛЬНОЇ ДИСФУНКЦІЇ ПРИ ПОРУШЕННЯХ СЕРЦЕВОГО РИТМУ У ХВОРИХ НА ХНЗЛ І СПОСОБИ ЇЇ КОРЕКЦІЇ З ВИКОРИСТАННЯМ ЕТМОЗІН</w:t>
      </w:r>
      <w:r>
        <w:t>у</w:t>
      </w:r>
      <w:r w:rsidRPr="00EE66DE">
        <w:t xml:space="preserve"> ТА АУФОК</w:t>
      </w:r>
    </w:p>
    <w:p w:rsidR="00BE7A5B" w:rsidRPr="00A24B52" w:rsidRDefault="00BE7A5B" w:rsidP="00BE7A5B">
      <w:pPr>
        <w:spacing w:line="360" w:lineRule="auto"/>
        <w:jc w:val="center"/>
        <w:rPr>
          <w:sz w:val="28"/>
          <w:szCs w:val="28"/>
        </w:rPr>
      </w:pPr>
      <w:r>
        <w:rPr>
          <w:sz w:val="28"/>
          <w:szCs w:val="28"/>
        </w:rPr>
        <w:t>Латогуз С.І</w:t>
      </w:r>
      <w:r w:rsidRPr="008F1476">
        <w:rPr>
          <w:sz w:val="28"/>
          <w:szCs w:val="28"/>
        </w:rPr>
        <w:t>.</w:t>
      </w:r>
    </w:p>
    <w:p w:rsidR="004A40E2" w:rsidRDefault="00EE66DE" w:rsidP="00FE08B2">
      <w:pPr>
        <w:spacing w:line="360" w:lineRule="auto"/>
        <w:ind w:firstLine="397"/>
        <w:jc w:val="both"/>
        <w:rPr>
          <w:color w:val="000000"/>
          <w:sz w:val="28"/>
          <w:szCs w:val="28"/>
          <w:shd w:val="clear" w:color="auto" w:fill="FFFFFF"/>
        </w:rPr>
      </w:pPr>
      <w:r w:rsidRPr="00EE66DE">
        <w:rPr>
          <w:color w:val="000000"/>
          <w:sz w:val="28"/>
          <w:szCs w:val="28"/>
          <w:shd w:val="clear" w:color="auto" w:fill="FFFFFF"/>
        </w:rPr>
        <w:lastRenderedPageBreak/>
        <w:t>Було вивчено вплив АУФОК</w:t>
      </w:r>
      <w:r>
        <w:rPr>
          <w:color w:val="000000"/>
          <w:sz w:val="28"/>
          <w:szCs w:val="28"/>
          <w:shd w:val="clear" w:color="auto" w:fill="FFFFFF"/>
        </w:rPr>
        <w:t xml:space="preserve"> на ендотеліальну дисфункцію і перебіг</w:t>
      </w:r>
      <w:r w:rsidRPr="00EE66DE">
        <w:rPr>
          <w:color w:val="000000"/>
          <w:sz w:val="28"/>
          <w:szCs w:val="28"/>
          <w:shd w:val="clear" w:color="auto" w:fill="FFFFFF"/>
        </w:rPr>
        <w:t xml:space="preserve"> порушень серцевого ритму у хворих на ХНЗЛ. </w:t>
      </w:r>
      <w:r w:rsidR="004A40E2" w:rsidRPr="004A40E2">
        <w:rPr>
          <w:color w:val="000000"/>
          <w:sz w:val="28"/>
          <w:szCs w:val="28"/>
          <w:shd w:val="clear" w:color="auto" w:fill="FFFFFF"/>
        </w:rPr>
        <w:t>Для цього обстежене 39 хворих, страждаючих хронічним обструктивним бронхітом і аритміями в динаміці лікування етмозіном 19 хворих (1-я група) і етмозіном і АУФОК – 20 хворих (2-я група). У обстежених хворих реєструвалася шлуночкова екстрасистолія, відповідна I-II градації по Jawn. Всі хворі знаходилися на стаціонарному лікуванні.</w:t>
      </w:r>
    </w:p>
    <w:p w:rsidR="00FE08B2" w:rsidRPr="00EE66DE" w:rsidRDefault="00EE66DE" w:rsidP="00FE08B2">
      <w:pPr>
        <w:spacing w:line="360" w:lineRule="auto"/>
        <w:ind w:firstLine="397"/>
        <w:jc w:val="both"/>
        <w:rPr>
          <w:color w:val="000000"/>
          <w:sz w:val="28"/>
          <w:szCs w:val="28"/>
          <w:shd w:val="clear" w:color="auto" w:fill="FFFFFF"/>
        </w:rPr>
      </w:pPr>
      <w:r w:rsidRPr="00EE66DE">
        <w:rPr>
          <w:color w:val="000000"/>
          <w:sz w:val="28"/>
          <w:szCs w:val="28"/>
          <w:shd w:val="clear" w:color="auto" w:fill="FFFFFF"/>
        </w:rPr>
        <w:t>Можна відмітити, що включення у комплексну антиаритмічну терапію АУФОК дозволяє отримати додатковий позитивний клінічний ефект у хворих на ХНЗЛ та супутніми порушеннями серцевого ритму.</w:t>
      </w:r>
    </w:p>
    <w:p w:rsidR="00FE08B2" w:rsidRPr="00EE66DE" w:rsidRDefault="00EE66DE" w:rsidP="00FE08B2">
      <w:pPr>
        <w:spacing w:line="360" w:lineRule="auto"/>
        <w:ind w:firstLine="397"/>
        <w:jc w:val="both"/>
        <w:rPr>
          <w:sz w:val="28"/>
          <w:szCs w:val="28"/>
        </w:rPr>
      </w:pPr>
      <w:r w:rsidRPr="00EE66DE">
        <w:rPr>
          <w:b/>
          <w:color w:val="000000"/>
          <w:sz w:val="28"/>
          <w:szCs w:val="28"/>
          <w:shd w:val="clear" w:color="auto" w:fill="FFFFFF"/>
        </w:rPr>
        <w:t>Ключові слова:</w:t>
      </w:r>
      <w:r w:rsidRPr="00EE66DE">
        <w:rPr>
          <w:color w:val="000000"/>
          <w:sz w:val="28"/>
          <w:szCs w:val="28"/>
          <w:shd w:val="clear" w:color="auto" w:fill="FFFFFF"/>
        </w:rPr>
        <w:t xml:space="preserve"> АУФОК, хронічні неспецифічні захворювання легенів, аритмії, етмозин, </w:t>
      </w:r>
      <w:r>
        <w:rPr>
          <w:color w:val="000000"/>
          <w:sz w:val="28"/>
          <w:szCs w:val="28"/>
          <w:shd w:val="clear" w:color="auto" w:fill="FFFFFF"/>
        </w:rPr>
        <w:t>ендотеліальна</w:t>
      </w:r>
      <w:r w:rsidRPr="00EE66DE">
        <w:rPr>
          <w:color w:val="000000"/>
          <w:sz w:val="28"/>
          <w:szCs w:val="28"/>
          <w:shd w:val="clear" w:color="auto" w:fill="FFFFFF"/>
        </w:rPr>
        <w:t xml:space="preserve"> дисфункція.</w:t>
      </w:r>
    </w:p>
    <w:p w:rsidR="00FE08B2" w:rsidRPr="00EE66DE" w:rsidRDefault="00FE08B2" w:rsidP="00EE66DE">
      <w:pPr>
        <w:pStyle w:val="1"/>
        <w:rPr>
          <w:lang w:val="uk-UA"/>
        </w:rPr>
      </w:pPr>
      <w:r w:rsidRPr="00D706D6">
        <w:rPr>
          <w:lang w:val="en-US"/>
        </w:rPr>
        <w:t>abstra</w:t>
      </w:r>
      <w:bookmarkStart w:id="4" w:name="_GoBack"/>
      <w:bookmarkEnd w:id="4"/>
      <w:r w:rsidRPr="00D706D6">
        <w:rPr>
          <w:lang w:val="en-US"/>
        </w:rPr>
        <w:t>ct</w:t>
      </w:r>
    </w:p>
    <w:p w:rsidR="00FE08B2" w:rsidRPr="00D706D6" w:rsidRDefault="00D706D6" w:rsidP="00FE08B2">
      <w:pPr>
        <w:spacing w:line="360" w:lineRule="auto"/>
        <w:jc w:val="center"/>
        <w:rPr>
          <w:b/>
          <w:color w:val="000000"/>
          <w:sz w:val="28"/>
          <w:szCs w:val="28"/>
          <w:shd w:val="clear" w:color="auto" w:fill="FFFFFF"/>
          <w:lang w:val="en-US"/>
        </w:rPr>
      </w:pPr>
      <w:r w:rsidRPr="00D706D6">
        <w:rPr>
          <w:b/>
          <w:color w:val="000000"/>
          <w:sz w:val="28"/>
          <w:szCs w:val="28"/>
          <w:shd w:val="clear" w:color="auto" w:fill="FFFFFF"/>
        </w:rPr>
        <w:t xml:space="preserve">FEATURES OF DEVELOPMENT OF ENDOTHELIAL DYSFUNCTION IN HEART RHYTHM IN </w:t>
      </w:r>
      <w:r w:rsidRPr="00825BE8">
        <w:rPr>
          <w:b/>
          <w:color w:val="000000"/>
          <w:sz w:val="28"/>
          <w:szCs w:val="28"/>
          <w:shd w:val="clear" w:color="auto" w:fill="FFFFFF"/>
        </w:rPr>
        <w:t xml:space="preserve">PATIENTS WITH </w:t>
      </w:r>
      <w:r w:rsidR="00820F25" w:rsidRPr="00820F25">
        <w:rPr>
          <w:b/>
          <w:caps/>
          <w:sz w:val="28"/>
          <w:szCs w:val="28"/>
        </w:rPr>
        <w:t>chronic obstruction lung diseases</w:t>
      </w:r>
      <w:r w:rsidRPr="00825BE8">
        <w:rPr>
          <w:b/>
          <w:color w:val="000000"/>
          <w:sz w:val="28"/>
          <w:szCs w:val="28"/>
          <w:shd w:val="clear" w:color="auto" w:fill="FFFFFF"/>
        </w:rPr>
        <w:t xml:space="preserve"> AND WAYS OF ITS COR</w:t>
      </w:r>
      <w:r w:rsidR="00825BE8" w:rsidRPr="00825BE8">
        <w:rPr>
          <w:b/>
          <w:color w:val="000000"/>
          <w:sz w:val="28"/>
          <w:szCs w:val="28"/>
          <w:shd w:val="clear" w:color="auto" w:fill="FFFFFF"/>
        </w:rPr>
        <w:t xml:space="preserve">RECTION WITH THE USE OF ETMOZIN AND </w:t>
      </w:r>
      <w:r w:rsidR="00D75F31" w:rsidRPr="00D75F31">
        <w:rPr>
          <w:b/>
          <w:caps/>
          <w:sz w:val="28"/>
          <w:szCs w:val="28"/>
        </w:rPr>
        <w:t>autotransfusion of ultraviolet-irradiated blood</w:t>
      </w:r>
    </w:p>
    <w:p w:rsidR="00184138" w:rsidRPr="00FF30A8" w:rsidRDefault="00184138" w:rsidP="00184138">
      <w:pPr>
        <w:spacing w:line="360" w:lineRule="auto"/>
        <w:jc w:val="center"/>
        <w:rPr>
          <w:sz w:val="28"/>
          <w:szCs w:val="28"/>
          <w:lang w:val="ru-RU"/>
        </w:rPr>
      </w:pPr>
      <w:r w:rsidRPr="00C52DCD">
        <w:rPr>
          <w:sz w:val="28"/>
          <w:szCs w:val="28"/>
          <w:lang w:val="en-US"/>
        </w:rPr>
        <w:t>Latoguz</w:t>
      </w:r>
      <w:r w:rsidRPr="00C52DCD">
        <w:rPr>
          <w:sz w:val="28"/>
          <w:szCs w:val="28"/>
        </w:rPr>
        <w:t xml:space="preserve"> </w:t>
      </w:r>
      <w:r w:rsidRPr="00C52DCD">
        <w:rPr>
          <w:sz w:val="28"/>
          <w:szCs w:val="28"/>
          <w:lang w:val="en-US"/>
        </w:rPr>
        <w:t>S</w:t>
      </w:r>
      <w:r w:rsidRPr="00C52DCD">
        <w:rPr>
          <w:sz w:val="28"/>
          <w:szCs w:val="28"/>
        </w:rPr>
        <w:t>.</w:t>
      </w:r>
      <w:r w:rsidRPr="00C52DCD">
        <w:rPr>
          <w:sz w:val="28"/>
          <w:szCs w:val="28"/>
          <w:lang w:val="en-US"/>
        </w:rPr>
        <w:t>I</w:t>
      </w:r>
      <w:r w:rsidR="00D94DC5">
        <w:rPr>
          <w:sz w:val="28"/>
          <w:szCs w:val="28"/>
        </w:rPr>
        <w:t>.</w:t>
      </w:r>
    </w:p>
    <w:p w:rsidR="00D75F31" w:rsidRPr="00C91AAF" w:rsidRDefault="00D75F31" w:rsidP="00D75F31">
      <w:pPr>
        <w:pStyle w:val="10"/>
      </w:pPr>
      <w:r w:rsidRPr="00C91AAF">
        <w:t>Nowadays we can observe a considerable increase of number of patients with chronic obstruction lung diseases. Often they are progressed in patients suffering from coronary heart disease</w:t>
      </w:r>
      <w:r>
        <w:t>s</w:t>
      </w:r>
      <w:r w:rsidRPr="00C91AAF">
        <w:t xml:space="preserve"> (CHD), especially if they have such a risk factor of coronary atherosclerosis as smoking.</w:t>
      </w:r>
    </w:p>
    <w:p w:rsidR="00D75F31" w:rsidRPr="00C91AAF" w:rsidRDefault="00D75F31" w:rsidP="00D75F31">
      <w:pPr>
        <w:pStyle w:val="10"/>
      </w:pPr>
      <w:r w:rsidRPr="00C91AAF">
        <w:t xml:space="preserve">Smoking leads to progression of chronic bronchitis, and henceforth, to pulmonary arterial hypertension, chronic cor pulmonale. It </w:t>
      </w:r>
      <w:proofErr w:type="gramStart"/>
      <w:r w:rsidRPr="00C91AAF">
        <w:t>should be noted</w:t>
      </w:r>
      <w:proofErr w:type="gramEnd"/>
      <w:r w:rsidRPr="00C91AAF">
        <w:t xml:space="preserve"> that smoking significantly influences the endothelial function. </w:t>
      </w:r>
      <w:r>
        <w:t xml:space="preserve">In case of </w:t>
      </w:r>
      <w:r w:rsidRPr="00C91AAF">
        <w:t xml:space="preserve">tobacco smoking as a rule NO production </w:t>
      </w:r>
      <w:proofErr w:type="gramStart"/>
      <w:r w:rsidRPr="00C91AAF">
        <w:t>is suppressed</w:t>
      </w:r>
      <w:proofErr w:type="gramEnd"/>
      <w:r w:rsidRPr="00C91AAF">
        <w:t xml:space="preserve">, thrombocyte aggregation is increased. Smoking </w:t>
      </w:r>
      <w:proofErr w:type="gramStart"/>
      <w:r w:rsidRPr="00C91AAF">
        <w:t>is accompanied</w:t>
      </w:r>
      <w:proofErr w:type="gramEnd"/>
      <w:r w:rsidRPr="00C91AAF">
        <w:t xml:space="preserve"> by the reduction of endothelium depending dilatation being potentially invertible. When conducting functional test among smokers suffering from chronic obstruction lung disease</w:t>
      </w:r>
      <w:r>
        <w:t>s</w:t>
      </w:r>
      <w:r w:rsidRPr="00C91AAF">
        <w:t xml:space="preserve"> more significant blood flow reduction in brachial artery </w:t>
      </w:r>
      <w:proofErr w:type="gramStart"/>
      <w:r w:rsidRPr="00C91AAF">
        <w:t>is mentioned</w:t>
      </w:r>
      <w:proofErr w:type="gramEnd"/>
      <w:r w:rsidRPr="00C91AAF">
        <w:t xml:space="preserve">, in other words, basal release of nitrogen oxide is lowered. In this </w:t>
      </w:r>
      <w:proofErr w:type="gramStart"/>
      <w:r w:rsidRPr="00C91AAF">
        <w:t>regard</w:t>
      </w:r>
      <w:proofErr w:type="gramEnd"/>
      <w:r w:rsidRPr="00C91AAF">
        <w:t xml:space="preserve"> a level of dila</w:t>
      </w:r>
      <w:r w:rsidRPr="00C91AAF">
        <w:lastRenderedPageBreak/>
        <w:t>tion disorder of brachial artery resolves with a number of cigarettes being smoked. Dilatation of brachial artery depending on blood flow among former smokers is higher than people who continue to smoke, less than among nonsmokers.</w:t>
      </w:r>
    </w:p>
    <w:p w:rsidR="00D75F31" w:rsidRPr="00C91AAF" w:rsidRDefault="00D75F31" w:rsidP="00D75F31">
      <w:pPr>
        <w:pStyle w:val="10"/>
      </w:pPr>
      <w:r w:rsidRPr="00C91AAF">
        <w:t xml:space="preserve">A vital role in the development and progression of pulmonary arterial hypertension among patients with chronic obstruction lung diseases can play hypoxemia that is quite powerful vasoconstrictor. </w:t>
      </w:r>
      <w:proofErr w:type="gramStart"/>
      <w:r w:rsidRPr="00C91AAF">
        <w:t>Thus</w:t>
      </w:r>
      <w:proofErr w:type="gramEnd"/>
      <w:r w:rsidRPr="00C91AAF">
        <w:t xml:space="preserve"> it is necessary that the level of blood saturation shall be kept at the level of 90% that can be difficult having chronic obstruction lung diseases.</w:t>
      </w:r>
    </w:p>
    <w:p w:rsidR="00D75F31" w:rsidRPr="00C91AAF" w:rsidRDefault="00D75F31" w:rsidP="00D75F31">
      <w:pPr>
        <w:pStyle w:val="10"/>
      </w:pPr>
      <w:r w:rsidRPr="00C91AAF">
        <w:t xml:space="preserve">Pulmonary arterial hypertension </w:t>
      </w:r>
      <w:proofErr w:type="gramStart"/>
      <w:r w:rsidRPr="00C91AAF">
        <w:t>is followed</w:t>
      </w:r>
      <w:proofErr w:type="gramEnd"/>
      <w:r w:rsidRPr="00C91AAF">
        <w:t xml:space="preserve"> by the increase of angiotonin-II in blood plasma, increase of activity of angiotonin-converting ferment.</w:t>
      </w:r>
    </w:p>
    <w:p w:rsidR="00D75F31" w:rsidRPr="00C91AAF" w:rsidRDefault="00D75F31" w:rsidP="00D75F31">
      <w:pPr>
        <w:pStyle w:val="10"/>
      </w:pPr>
      <w:r w:rsidRPr="00C91AAF">
        <w:t xml:space="preserve">Against chronic obstruction lung diseases and development of arterial hypertension, </w:t>
      </w:r>
      <w:r>
        <w:t>chronic cor pulmonale</w:t>
      </w:r>
      <w:r w:rsidRPr="00C91AAF">
        <w:t xml:space="preserve"> we can often observe engorgements in the systemic circulatory system (peripheral edema), in many cases we can see anisorhythmia both atrial and ventricula</w:t>
      </w:r>
      <w:r>
        <w:t>r</w:t>
      </w:r>
      <w:r w:rsidRPr="00C91AAF">
        <w:t>.</w:t>
      </w:r>
    </w:p>
    <w:p w:rsidR="00D75F31" w:rsidRPr="00C91AAF" w:rsidRDefault="00D75F31" w:rsidP="00D75F31">
      <w:pPr>
        <w:pStyle w:val="10"/>
      </w:pPr>
      <w:r w:rsidRPr="00C91AAF">
        <w:t xml:space="preserve">It </w:t>
      </w:r>
      <w:proofErr w:type="gramStart"/>
      <w:r w:rsidRPr="00C91AAF">
        <w:t>has been known</w:t>
      </w:r>
      <w:proofErr w:type="gramEnd"/>
      <w:r w:rsidRPr="00C91AAF">
        <w:t xml:space="preserve"> that treatment with modern </w:t>
      </w:r>
      <w:r w:rsidRPr="00C91AAF">
        <w:tab/>
        <w:t>antiarrhythmics is not efficient in patients with chronic obstruction lung diseases and is followed by side effects. Particularly, for this reason search of new drugs is going on as well as new methods of cure. One of such new methods of treatment is application of autotransfusion of ultraviolet-irradiated blood.</w:t>
      </w:r>
    </w:p>
    <w:p w:rsidR="00D75F31" w:rsidRPr="00C91AAF" w:rsidRDefault="00D75F31" w:rsidP="00D75F31">
      <w:pPr>
        <w:pStyle w:val="10"/>
      </w:pPr>
      <w:r w:rsidRPr="00C91AAF">
        <w:t>It has been studied the influence of autotransfusion of ultraviolet-irradiated blood on the endothelial dysfunction and course of heart rhythm disorder among patients with chronic obstruction lung diseases. For this purpose 39 patients were e</w:t>
      </w:r>
      <w:r>
        <w:t xml:space="preserve">xamined suffering from chronic </w:t>
      </w:r>
      <w:r w:rsidRPr="00C91AAF">
        <w:t>obstructive bronchitis and anisorhythmia during the treatment of 19 patients with etmozin (group 1) and etmozin and autotransfusion of ultraviolet-irradiated blood - 20 patients (group 2). There was ventricular arrhythmia among the patients examined corresponding to I-II gradation according to Jawn. All patients were in inpatient treatment.</w:t>
      </w:r>
    </w:p>
    <w:p w:rsidR="00D75F31" w:rsidRPr="00C91AAF" w:rsidRDefault="00D75F31" w:rsidP="00D75F31">
      <w:pPr>
        <w:pStyle w:val="10"/>
      </w:pPr>
      <w:r w:rsidRPr="00C91AAF">
        <w:t xml:space="preserve">“Izolda” MD-73M apparatus was used for blood ultraviolet irradiation. Dark-red blood sampling and its irradiation </w:t>
      </w:r>
      <w:proofErr w:type="gramStart"/>
      <w:r w:rsidRPr="00C91AAF">
        <w:t>was conducted</w:t>
      </w:r>
      <w:proofErr w:type="gramEnd"/>
      <w:r w:rsidRPr="00C91AAF">
        <w:t xml:space="preserve"> on the basis 1 ml per 1 kg of body weight. Movement rate through the cuvet was equal to 12 ml/pn. </w:t>
      </w:r>
      <w:r>
        <w:t>T</w:t>
      </w:r>
      <w:r w:rsidRPr="00C91AAF">
        <w:t>he course of treat</w:t>
      </w:r>
      <w:r w:rsidRPr="00C91AAF">
        <w:lastRenderedPageBreak/>
        <w:t>ment consisted of seven daily sessions providing a standard dose recommended in patient information leaflet.</w:t>
      </w:r>
    </w:p>
    <w:p w:rsidR="00D75F31" w:rsidRPr="00C91AAF" w:rsidRDefault="00D75F31" w:rsidP="00D75F31">
      <w:pPr>
        <w:pStyle w:val="10"/>
      </w:pPr>
      <w:r w:rsidRPr="00C91AAF">
        <w:t xml:space="preserve">Etmozin for the patients of </w:t>
      </w:r>
      <w:proofErr w:type="gramStart"/>
      <w:r w:rsidRPr="00C91AAF">
        <w:t>1</w:t>
      </w:r>
      <w:r w:rsidRPr="00C91AAF">
        <w:rPr>
          <w:vertAlign w:val="superscript"/>
        </w:rPr>
        <w:t>st</w:t>
      </w:r>
      <w:proofErr w:type="gramEnd"/>
      <w:r w:rsidRPr="00C91AAF">
        <w:t xml:space="preserve"> and 2</w:t>
      </w:r>
      <w:r w:rsidRPr="00C91AAF">
        <w:rPr>
          <w:vertAlign w:val="superscript"/>
        </w:rPr>
        <w:t>nd</w:t>
      </w:r>
      <w:r w:rsidRPr="00C91AAF">
        <w:t xml:space="preserve"> groups was prescribed as 100 mg х 3 times a day. The treatment duration made up 7 days. </w:t>
      </w:r>
      <w:r>
        <w:t>Before and after the treatment</w:t>
      </w:r>
      <w:r w:rsidRPr="00C91AAF">
        <w:t xml:space="preserve"> level of endothelin-1 (ET-1), angiotonin-II, cyclic guanosine monophosphate, malondialdehyde, and level of ascorbate (with the help of lingual test) were det</w:t>
      </w:r>
      <w:r>
        <w:t>e</w:t>
      </w:r>
      <w:r w:rsidRPr="00C91AAF">
        <w:t xml:space="preserve">rmined, daily electrocardiography monitoring was carried out, arterial tension was measured, and ultrasonic cardiography was registered. </w:t>
      </w:r>
    </w:p>
    <w:p w:rsidR="00D75F31" w:rsidRPr="00C91AAF" w:rsidRDefault="00D75F31" w:rsidP="00D75F31">
      <w:pPr>
        <w:pStyle w:val="10"/>
      </w:pPr>
      <w:r w:rsidRPr="00C91AAF">
        <w:tab/>
        <w:t xml:space="preserve">It may be noted that use of autotransfusion of ultraviolet-irradiated blood as a part of complex antiarrhythmic therapy allows obtaining additional positive clinical performance among the patients with chronic obstruction lung diseases and associated heart rhythm disorders. </w:t>
      </w:r>
    </w:p>
    <w:p w:rsidR="00FC04E3" w:rsidRPr="00AE221A" w:rsidRDefault="00D75F31" w:rsidP="00D75F31">
      <w:pPr>
        <w:pStyle w:val="10"/>
      </w:pPr>
      <w:r w:rsidRPr="00C91AAF">
        <w:t xml:space="preserve">Auxiliary antiarrhythmic action is provided, </w:t>
      </w:r>
      <w:proofErr w:type="gramStart"/>
      <w:r w:rsidRPr="00C91AAF">
        <w:t>first of all</w:t>
      </w:r>
      <w:proofErr w:type="gramEnd"/>
      <w:r w:rsidRPr="00C91AAF">
        <w:t>, by the ability of autotransfusion of ultraviolet-irradiated blood to reduce the activity of lipid peroxidation. The reduction of ET-1 against the combination therapy conducted indirectly speaks for the improvement of endothelial function.</w:t>
      </w:r>
    </w:p>
    <w:p w:rsidR="00FE08B2" w:rsidRPr="00FC04E3" w:rsidRDefault="00FC04E3" w:rsidP="00FC04E3">
      <w:pPr>
        <w:pStyle w:val="10"/>
      </w:pPr>
      <w:r w:rsidRPr="00FC04E3">
        <w:rPr>
          <w:b/>
        </w:rPr>
        <w:t xml:space="preserve">Key words: </w:t>
      </w:r>
      <w:r w:rsidR="00D75F31" w:rsidRPr="00C91AAF">
        <w:t>autotransfusion of ultraviolet-irradiated blood</w:t>
      </w:r>
      <w:r w:rsidRPr="00FC04E3">
        <w:t xml:space="preserve">, </w:t>
      </w:r>
      <w:r w:rsidR="00D75F31" w:rsidRPr="00C91AAF">
        <w:t>chronic obstruction lung diseases</w:t>
      </w:r>
      <w:r w:rsidRPr="00FC04E3">
        <w:t>, arrhythmia, etmozin</w:t>
      </w:r>
      <w:r w:rsidR="00D75F31">
        <w:t>, endotelial</w:t>
      </w:r>
      <w:r w:rsidRPr="00FC04E3">
        <w:t xml:space="preserve"> dysfunction.</w:t>
      </w:r>
      <w:bookmarkEnd w:id="1"/>
      <w:bookmarkEnd w:id="2"/>
      <w:bookmarkEnd w:id="3"/>
    </w:p>
    <w:sectPr w:rsidR="00FE08B2" w:rsidRPr="00FC04E3" w:rsidSect="007C3B1F">
      <w:headerReference w:type="even" r:id="rId8"/>
      <w:headerReference w:type="default" r:id="rId9"/>
      <w:pgSz w:w="11909" w:h="16834" w:code="9"/>
      <w:pgMar w:top="1134" w:right="851" w:bottom="1134" w:left="1304" w:header="56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AAA" w:rsidRDefault="00A00AAA">
      <w:r>
        <w:separator/>
      </w:r>
    </w:p>
  </w:endnote>
  <w:endnote w:type="continuationSeparator" w:id="0">
    <w:p w:rsidR="00A00AAA" w:rsidRDefault="00A0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AAA" w:rsidRDefault="00A00AAA">
      <w:r>
        <w:separator/>
      </w:r>
    </w:p>
  </w:footnote>
  <w:footnote w:type="continuationSeparator" w:id="0">
    <w:p w:rsidR="00A00AAA" w:rsidRDefault="00A00AAA">
      <w:r>
        <w:continuationSeparator/>
      </w:r>
    </w:p>
  </w:footnote>
  <w:footnote w:id="1">
    <w:p w:rsidR="009E2BF4" w:rsidRPr="003245BF" w:rsidRDefault="009E2BF4" w:rsidP="00370C39">
      <w:pPr>
        <w:pStyle w:val="afc"/>
        <w:rPr>
          <w:lang w:val="ru-RU"/>
        </w:rPr>
      </w:pPr>
      <w:r>
        <w:rPr>
          <w:rStyle w:val="afd"/>
        </w:rPr>
        <w:footnoteRef/>
      </w:r>
      <w:r>
        <w:t xml:space="preserve"> </w:t>
      </w:r>
      <w:r>
        <w:rPr>
          <w:lang w:val="ru-RU"/>
        </w:rPr>
        <w:t>достоверность различий между показателями 1-й и 2-й групп до лечения</w:t>
      </w:r>
    </w:p>
  </w:footnote>
  <w:footnote w:id="2">
    <w:p w:rsidR="009E2BF4" w:rsidRPr="003245BF" w:rsidRDefault="009E2BF4" w:rsidP="00370C39">
      <w:pPr>
        <w:pStyle w:val="afc"/>
        <w:rPr>
          <w:lang w:val="ru-RU"/>
        </w:rPr>
      </w:pPr>
      <w:r>
        <w:rPr>
          <w:rStyle w:val="afd"/>
        </w:rPr>
        <w:footnoteRef/>
      </w:r>
      <w:r>
        <w:t xml:space="preserve"> </w:t>
      </w:r>
      <w:r>
        <w:rPr>
          <w:lang w:val="ru-RU"/>
        </w:rPr>
        <w:t>достоверность различий между показателями 1-й группы до и после лечения</w:t>
      </w:r>
    </w:p>
  </w:footnote>
  <w:footnote w:id="3">
    <w:p w:rsidR="009E2BF4" w:rsidRPr="00B25E8C" w:rsidRDefault="009E2BF4" w:rsidP="00370C39">
      <w:pPr>
        <w:pStyle w:val="afc"/>
        <w:rPr>
          <w:lang w:val="ru-RU"/>
        </w:rPr>
      </w:pPr>
      <w:r>
        <w:rPr>
          <w:rStyle w:val="afd"/>
        </w:rPr>
        <w:footnoteRef/>
      </w:r>
      <w:r>
        <w:t xml:space="preserve"> </w:t>
      </w:r>
      <w:r>
        <w:rPr>
          <w:lang w:val="ru-RU"/>
        </w:rPr>
        <w:t>достоверность различий между показателями 1-й и 2-й групп после лечения</w:t>
      </w:r>
    </w:p>
  </w:footnote>
  <w:footnote w:id="4">
    <w:p w:rsidR="009E2BF4" w:rsidRPr="00DB5225" w:rsidRDefault="009E2BF4" w:rsidP="00370C39">
      <w:pPr>
        <w:pStyle w:val="afc"/>
      </w:pPr>
      <w:r>
        <w:rPr>
          <w:rStyle w:val="afd"/>
        </w:rPr>
        <w:footnoteRef/>
      </w:r>
      <w:r>
        <w:t xml:space="preserve"> </w:t>
      </w:r>
      <w:r>
        <w:rPr>
          <w:lang w:val="ru-RU"/>
        </w:rPr>
        <w:t>достоверность различий между показателями 1-й и 2-й групп до лечения;</w:t>
      </w:r>
    </w:p>
  </w:footnote>
  <w:footnote w:id="5">
    <w:p w:rsidR="009E2BF4" w:rsidRPr="00DB5225" w:rsidRDefault="009E2BF4" w:rsidP="00370C39">
      <w:pPr>
        <w:pStyle w:val="afc"/>
        <w:rPr>
          <w:lang w:val="ru-RU"/>
        </w:rPr>
      </w:pPr>
      <w:r>
        <w:rPr>
          <w:rStyle w:val="afd"/>
        </w:rPr>
        <w:footnoteRef/>
      </w:r>
      <w:r>
        <w:t xml:space="preserve"> </w:t>
      </w:r>
      <w:r>
        <w:rPr>
          <w:lang w:val="ru-RU"/>
        </w:rPr>
        <w:t>достоверность различий между показателями до и после лечения;</w:t>
      </w:r>
    </w:p>
  </w:footnote>
  <w:footnote w:id="6">
    <w:p w:rsidR="009E2BF4" w:rsidRPr="00DB5225" w:rsidRDefault="009E2BF4" w:rsidP="00370C39">
      <w:pPr>
        <w:pStyle w:val="afc"/>
        <w:rPr>
          <w:lang w:val="ru-RU"/>
        </w:rPr>
      </w:pPr>
      <w:r>
        <w:rPr>
          <w:rStyle w:val="afd"/>
        </w:rPr>
        <w:footnoteRef/>
      </w:r>
      <w:r>
        <w:t xml:space="preserve"> </w:t>
      </w:r>
      <w:r>
        <w:rPr>
          <w:lang w:val="ru-RU"/>
        </w:rPr>
        <w:t>достоверность различий между показателями 1-й и 2-й групп после лечения;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BF4" w:rsidRDefault="009E2BF4" w:rsidP="00A21B2C">
    <w:pPr>
      <w:pStyle w:val="a3"/>
    </w:pPr>
    <w:r>
      <w:rPr>
        <w:rStyle w:val="a6"/>
      </w:rPr>
      <w:fldChar w:fldCharType="begin"/>
    </w:r>
    <w:r>
      <w:rPr>
        <w:rStyle w:val="a6"/>
      </w:rPr>
      <w:instrText xml:space="preserve"> PAGE </w:instrText>
    </w:r>
    <w:r>
      <w:rPr>
        <w:rStyle w:val="a6"/>
      </w:rPr>
      <w:fldChar w:fldCharType="separate"/>
    </w:r>
    <w:r>
      <w:rPr>
        <w:rStyle w:val="a6"/>
      </w:rPr>
      <w:t>158</w:t>
    </w:r>
    <w:r>
      <w:rPr>
        <w:rStyle w:val="a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BF4" w:rsidRDefault="009E2BF4" w:rsidP="00A21B2C">
    <w:pPr>
      <w:pStyle w:val="a3"/>
    </w:pPr>
    <w:r>
      <w:rPr>
        <w:rStyle w:val="a6"/>
      </w:rPr>
      <w:fldChar w:fldCharType="begin"/>
    </w:r>
    <w:r>
      <w:rPr>
        <w:rStyle w:val="a6"/>
      </w:rPr>
      <w:instrText xml:space="preserve"> PAGE </w:instrText>
    </w:r>
    <w:r>
      <w:rPr>
        <w:rStyle w:val="a6"/>
      </w:rPr>
      <w:fldChar w:fldCharType="separate"/>
    </w:r>
    <w:r w:rsidR="00820F25">
      <w:rPr>
        <w:rStyle w:val="a6"/>
      </w:rPr>
      <w:t>10</w:t>
    </w:r>
    <w:r>
      <w:rPr>
        <w:rStyle w:val="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C2D6B"/>
    <w:multiLevelType w:val="hybridMultilevel"/>
    <w:tmpl w:val="CD8C1092"/>
    <w:lvl w:ilvl="0" w:tplc="9F8AEA04">
      <w:start w:val="1"/>
      <w:numFmt w:val="decimal"/>
      <w:lvlText w:val="%1)"/>
      <w:lvlJc w:val="left"/>
      <w:pPr>
        <w:tabs>
          <w:tab w:val="num" w:pos="1837"/>
        </w:tabs>
        <w:ind w:left="397"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CD107D"/>
    <w:multiLevelType w:val="hybridMultilevel"/>
    <w:tmpl w:val="57ACE29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
    <w:nsid w:val="13D872F1"/>
    <w:multiLevelType w:val="singleLevel"/>
    <w:tmpl w:val="A2EA912C"/>
    <w:lvl w:ilvl="0">
      <w:start w:val="251"/>
      <w:numFmt w:val="decimal"/>
      <w:lvlText w:val="%1."/>
      <w:legacy w:legacy="1" w:legacySpace="0" w:legacyIndent="571"/>
      <w:lvlJc w:val="left"/>
      <w:rPr>
        <w:rFonts w:ascii="Times New Roman" w:hAnsi="Times New Roman" w:cs="Times New Roman" w:hint="default"/>
      </w:rPr>
    </w:lvl>
  </w:abstractNum>
  <w:abstractNum w:abstractNumId="3">
    <w:nsid w:val="1DC8408C"/>
    <w:multiLevelType w:val="singleLevel"/>
    <w:tmpl w:val="039CE7C2"/>
    <w:lvl w:ilvl="0">
      <w:start w:val="231"/>
      <w:numFmt w:val="decimal"/>
      <w:lvlText w:val="%1."/>
      <w:legacy w:legacy="1" w:legacySpace="0" w:legacyIndent="595"/>
      <w:lvlJc w:val="left"/>
      <w:rPr>
        <w:rFonts w:ascii="Times New Roman" w:hAnsi="Times New Roman" w:cs="Times New Roman" w:hint="default"/>
      </w:rPr>
    </w:lvl>
  </w:abstractNum>
  <w:abstractNum w:abstractNumId="4">
    <w:nsid w:val="46B43652"/>
    <w:multiLevelType w:val="hybridMultilevel"/>
    <w:tmpl w:val="7054D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347F9C"/>
    <w:multiLevelType w:val="singleLevel"/>
    <w:tmpl w:val="C4CC39E4"/>
    <w:lvl w:ilvl="0">
      <w:start w:val="241"/>
      <w:numFmt w:val="decimal"/>
      <w:lvlText w:val="%1."/>
      <w:legacy w:legacy="1" w:legacySpace="0" w:legacyIndent="586"/>
      <w:lvlJc w:val="left"/>
      <w:rPr>
        <w:rFonts w:ascii="Times New Roman" w:hAnsi="Times New Roman" w:cs="Times New Roman" w:hint="default"/>
      </w:rPr>
    </w:lvl>
  </w:abstractNum>
  <w:abstractNum w:abstractNumId="6">
    <w:nsid w:val="69C57D16"/>
    <w:multiLevelType w:val="singleLevel"/>
    <w:tmpl w:val="14F2C5BA"/>
    <w:lvl w:ilvl="0">
      <w:start w:val="262"/>
      <w:numFmt w:val="decimal"/>
      <w:lvlText w:val="%1."/>
      <w:legacy w:legacy="1" w:legacySpace="0" w:legacyIndent="586"/>
      <w:lvlJc w:val="left"/>
      <w:rPr>
        <w:rFonts w:ascii="Times New Roman" w:hAnsi="Times New Roman" w:cs="Times New Roman" w:hint="default"/>
      </w:rPr>
    </w:lvl>
  </w:abstractNum>
  <w:abstractNum w:abstractNumId="7">
    <w:nsid w:val="74E126D3"/>
    <w:multiLevelType w:val="hybridMultilevel"/>
    <w:tmpl w:val="CD7C952A"/>
    <w:lvl w:ilvl="0" w:tplc="1842E658">
      <w:start w:val="1"/>
      <w:numFmt w:val="decimal"/>
      <w:lvlText w:val="%1."/>
      <w:lvlJc w:val="left"/>
      <w:pPr>
        <w:tabs>
          <w:tab w:val="num" w:pos="0"/>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2"/>
  </w:num>
  <w:num w:numId="5">
    <w:abstractNumId w:val="6"/>
  </w:num>
  <w:num w:numId="6">
    <w:abstractNumId w:val="0"/>
  </w:num>
  <w:num w:numId="7">
    <w:abstractNumId w:val="4"/>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F8"/>
    <w:rsid w:val="000000FF"/>
    <w:rsid w:val="00002440"/>
    <w:rsid w:val="00003C5E"/>
    <w:rsid w:val="00004C97"/>
    <w:rsid w:val="00006B65"/>
    <w:rsid w:val="00007D0D"/>
    <w:rsid w:val="00010827"/>
    <w:rsid w:val="00012A66"/>
    <w:rsid w:val="0001365C"/>
    <w:rsid w:val="00013A0C"/>
    <w:rsid w:val="00021237"/>
    <w:rsid w:val="00021FF0"/>
    <w:rsid w:val="00022A8A"/>
    <w:rsid w:val="00025600"/>
    <w:rsid w:val="00026870"/>
    <w:rsid w:val="00032457"/>
    <w:rsid w:val="0003258F"/>
    <w:rsid w:val="00037708"/>
    <w:rsid w:val="00040479"/>
    <w:rsid w:val="000425AD"/>
    <w:rsid w:val="000447BB"/>
    <w:rsid w:val="00044994"/>
    <w:rsid w:val="000512DC"/>
    <w:rsid w:val="00065FA9"/>
    <w:rsid w:val="0006783F"/>
    <w:rsid w:val="00071728"/>
    <w:rsid w:val="00073BD2"/>
    <w:rsid w:val="00080486"/>
    <w:rsid w:val="00081A7B"/>
    <w:rsid w:val="00086252"/>
    <w:rsid w:val="000936FA"/>
    <w:rsid w:val="0009375B"/>
    <w:rsid w:val="00093A85"/>
    <w:rsid w:val="00096969"/>
    <w:rsid w:val="000B4763"/>
    <w:rsid w:val="000B4825"/>
    <w:rsid w:val="000B5612"/>
    <w:rsid w:val="000B722A"/>
    <w:rsid w:val="000C0AF5"/>
    <w:rsid w:val="000C23C6"/>
    <w:rsid w:val="000C391D"/>
    <w:rsid w:val="000C3F92"/>
    <w:rsid w:val="000C4EAF"/>
    <w:rsid w:val="000C6C8B"/>
    <w:rsid w:val="000C753B"/>
    <w:rsid w:val="000D2855"/>
    <w:rsid w:val="000D5043"/>
    <w:rsid w:val="000E7DAE"/>
    <w:rsid w:val="000F0056"/>
    <w:rsid w:val="000F6069"/>
    <w:rsid w:val="0010273D"/>
    <w:rsid w:val="00102CAE"/>
    <w:rsid w:val="00105F8A"/>
    <w:rsid w:val="00110E40"/>
    <w:rsid w:val="00114EBE"/>
    <w:rsid w:val="00114F8C"/>
    <w:rsid w:val="00121037"/>
    <w:rsid w:val="00123ECB"/>
    <w:rsid w:val="00124B4F"/>
    <w:rsid w:val="00125B8C"/>
    <w:rsid w:val="00126E11"/>
    <w:rsid w:val="00130FC8"/>
    <w:rsid w:val="001409AA"/>
    <w:rsid w:val="001426E0"/>
    <w:rsid w:val="00143227"/>
    <w:rsid w:val="001477B3"/>
    <w:rsid w:val="00174743"/>
    <w:rsid w:val="001772DC"/>
    <w:rsid w:val="001776C8"/>
    <w:rsid w:val="00184138"/>
    <w:rsid w:val="0018656A"/>
    <w:rsid w:val="0018683C"/>
    <w:rsid w:val="00192C98"/>
    <w:rsid w:val="0019380A"/>
    <w:rsid w:val="00197C12"/>
    <w:rsid w:val="001A0B68"/>
    <w:rsid w:val="001A1599"/>
    <w:rsid w:val="001A4722"/>
    <w:rsid w:val="001A7892"/>
    <w:rsid w:val="001B0633"/>
    <w:rsid w:val="001C699D"/>
    <w:rsid w:val="001D086E"/>
    <w:rsid w:val="001D08DA"/>
    <w:rsid w:val="001D3C14"/>
    <w:rsid w:val="001D6DE6"/>
    <w:rsid w:val="001E034B"/>
    <w:rsid w:val="001E2CD8"/>
    <w:rsid w:val="001E50C1"/>
    <w:rsid w:val="001E549E"/>
    <w:rsid w:val="001E5EE0"/>
    <w:rsid w:val="001E7658"/>
    <w:rsid w:val="001F4F31"/>
    <w:rsid w:val="001F687F"/>
    <w:rsid w:val="001F6D30"/>
    <w:rsid w:val="0020232F"/>
    <w:rsid w:val="00202723"/>
    <w:rsid w:val="00206428"/>
    <w:rsid w:val="00213ADE"/>
    <w:rsid w:val="002144F0"/>
    <w:rsid w:val="00215359"/>
    <w:rsid w:val="00220632"/>
    <w:rsid w:val="0023094B"/>
    <w:rsid w:val="0023105F"/>
    <w:rsid w:val="00233F2F"/>
    <w:rsid w:val="002354C9"/>
    <w:rsid w:val="0023692C"/>
    <w:rsid w:val="00236FF8"/>
    <w:rsid w:val="00237FD9"/>
    <w:rsid w:val="00241723"/>
    <w:rsid w:val="00243DEC"/>
    <w:rsid w:val="002479F6"/>
    <w:rsid w:val="0025422B"/>
    <w:rsid w:val="00261C0B"/>
    <w:rsid w:val="0026256B"/>
    <w:rsid w:val="00262814"/>
    <w:rsid w:val="00265666"/>
    <w:rsid w:val="00267735"/>
    <w:rsid w:val="00271765"/>
    <w:rsid w:val="002730F2"/>
    <w:rsid w:val="00274729"/>
    <w:rsid w:val="00275282"/>
    <w:rsid w:val="002752C3"/>
    <w:rsid w:val="00276987"/>
    <w:rsid w:val="00276B6B"/>
    <w:rsid w:val="00276F80"/>
    <w:rsid w:val="00277811"/>
    <w:rsid w:val="0028110A"/>
    <w:rsid w:val="00281B04"/>
    <w:rsid w:val="0028242A"/>
    <w:rsid w:val="00282BE9"/>
    <w:rsid w:val="002838B7"/>
    <w:rsid w:val="00284668"/>
    <w:rsid w:val="002859EE"/>
    <w:rsid w:val="002946DB"/>
    <w:rsid w:val="00295EDE"/>
    <w:rsid w:val="002962F5"/>
    <w:rsid w:val="002A1669"/>
    <w:rsid w:val="002A552C"/>
    <w:rsid w:val="002B0397"/>
    <w:rsid w:val="002B4840"/>
    <w:rsid w:val="002B486A"/>
    <w:rsid w:val="002B49A6"/>
    <w:rsid w:val="002C10C2"/>
    <w:rsid w:val="002C174D"/>
    <w:rsid w:val="002C1B7B"/>
    <w:rsid w:val="002C1D67"/>
    <w:rsid w:val="002C4B2E"/>
    <w:rsid w:val="002C6133"/>
    <w:rsid w:val="002D18B0"/>
    <w:rsid w:val="002D6DA6"/>
    <w:rsid w:val="002E0645"/>
    <w:rsid w:val="002F17AC"/>
    <w:rsid w:val="002F2DD8"/>
    <w:rsid w:val="002F6D54"/>
    <w:rsid w:val="002F7082"/>
    <w:rsid w:val="002F7321"/>
    <w:rsid w:val="003010E2"/>
    <w:rsid w:val="00304999"/>
    <w:rsid w:val="00304FF6"/>
    <w:rsid w:val="0031448D"/>
    <w:rsid w:val="003157C7"/>
    <w:rsid w:val="00317247"/>
    <w:rsid w:val="00320004"/>
    <w:rsid w:val="00320507"/>
    <w:rsid w:val="003245BF"/>
    <w:rsid w:val="003314AA"/>
    <w:rsid w:val="003379B8"/>
    <w:rsid w:val="00341D90"/>
    <w:rsid w:val="00342174"/>
    <w:rsid w:val="00345619"/>
    <w:rsid w:val="0034732D"/>
    <w:rsid w:val="00360B89"/>
    <w:rsid w:val="003654EA"/>
    <w:rsid w:val="0036622E"/>
    <w:rsid w:val="00370C39"/>
    <w:rsid w:val="00373C45"/>
    <w:rsid w:val="00373D1B"/>
    <w:rsid w:val="003768C7"/>
    <w:rsid w:val="00376E61"/>
    <w:rsid w:val="00377989"/>
    <w:rsid w:val="0038619D"/>
    <w:rsid w:val="003864D6"/>
    <w:rsid w:val="00387046"/>
    <w:rsid w:val="003901D4"/>
    <w:rsid w:val="00390732"/>
    <w:rsid w:val="00390F55"/>
    <w:rsid w:val="0039238D"/>
    <w:rsid w:val="00392768"/>
    <w:rsid w:val="0039772A"/>
    <w:rsid w:val="003A4000"/>
    <w:rsid w:val="003A4AC1"/>
    <w:rsid w:val="003A7AF5"/>
    <w:rsid w:val="003B12EB"/>
    <w:rsid w:val="003B42A2"/>
    <w:rsid w:val="003B61E6"/>
    <w:rsid w:val="003B67F4"/>
    <w:rsid w:val="003C3D19"/>
    <w:rsid w:val="003C7EF6"/>
    <w:rsid w:val="003D2571"/>
    <w:rsid w:val="003D4A2A"/>
    <w:rsid w:val="003D5205"/>
    <w:rsid w:val="003D5913"/>
    <w:rsid w:val="003D5EA3"/>
    <w:rsid w:val="003D785B"/>
    <w:rsid w:val="003E01FD"/>
    <w:rsid w:val="003E167D"/>
    <w:rsid w:val="003E29D4"/>
    <w:rsid w:val="003E5DD6"/>
    <w:rsid w:val="003E6EB5"/>
    <w:rsid w:val="003E7E9E"/>
    <w:rsid w:val="003F2090"/>
    <w:rsid w:val="003F28B6"/>
    <w:rsid w:val="003F3A0D"/>
    <w:rsid w:val="004034CD"/>
    <w:rsid w:val="0040523D"/>
    <w:rsid w:val="0040584F"/>
    <w:rsid w:val="00406BCE"/>
    <w:rsid w:val="00413551"/>
    <w:rsid w:val="00414589"/>
    <w:rsid w:val="00414A21"/>
    <w:rsid w:val="0041798A"/>
    <w:rsid w:val="0042060C"/>
    <w:rsid w:val="0042130A"/>
    <w:rsid w:val="00424B0F"/>
    <w:rsid w:val="004273D5"/>
    <w:rsid w:val="004317D2"/>
    <w:rsid w:val="00431C00"/>
    <w:rsid w:val="00435FE9"/>
    <w:rsid w:val="004434DB"/>
    <w:rsid w:val="00445141"/>
    <w:rsid w:val="00445DD5"/>
    <w:rsid w:val="00450BEA"/>
    <w:rsid w:val="0045224A"/>
    <w:rsid w:val="004539BF"/>
    <w:rsid w:val="00454125"/>
    <w:rsid w:val="0046001D"/>
    <w:rsid w:val="0046010A"/>
    <w:rsid w:val="00461EFE"/>
    <w:rsid w:val="004627B5"/>
    <w:rsid w:val="0046776E"/>
    <w:rsid w:val="00467FB6"/>
    <w:rsid w:val="004702B7"/>
    <w:rsid w:val="00470499"/>
    <w:rsid w:val="00471F40"/>
    <w:rsid w:val="00473096"/>
    <w:rsid w:val="00474A50"/>
    <w:rsid w:val="004908C6"/>
    <w:rsid w:val="0049551F"/>
    <w:rsid w:val="004A07AA"/>
    <w:rsid w:val="004A0F4A"/>
    <w:rsid w:val="004A3A05"/>
    <w:rsid w:val="004A40E2"/>
    <w:rsid w:val="004A6F24"/>
    <w:rsid w:val="004B25A9"/>
    <w:rsid w:val="004B6DF9"/>
    <w:rsid w:val="004C09D6"/>
    <w:rsid w:val="004C0C4A"/>
    <w:rsid w:val="004C13CF"/>
    <w:rsid w:val="004C3884"/>
    <w:rsid w:val="004C47A8"/>
    <w:rsid w:val="004C5E8F"/>
    <w:rsid w:val="004C6376"/>
    <w:rsid w:val="004C6462"/>
    <w:rsid w:val="004C6823"/>
    <w:rsid w:val="004D0196"/>
    <w:rsid w:val="004D0563"/>
    <w:rsid w:val="004D1684"/>
    <w:rsid w:val="004D469C"/>
    <w:rsid w:val="004D4C59"/>
    <w:rsid w:val="004D7486"/>
    <w:rsid w:val="004E1432"/>
    <w:rsid w:val="004E4094"/>
    <w:rsid w:val="004E50B6"/>
    <w:rsid w:val="004E5BF8"/>
    <w:rsid w:val="004F24DE"/>
    <w:rsid w:val="004F34D4"/>
    <w:rsid w:val="004F5770"/>
    <w:rsid w:val="004F5E48"/>
    <w:rsid w:val="004F688B"/>
    <w:rsid w:val="004F7202"/>
    <w:rsid w:val="00503A57"/>
    <w:rsid w:val="005101C3"/>
    <w:rsid w:val="00511412"/>
    <w:rsid w:val="0051197B"/>
    <w:rsid w:val="00511AB7"/>
    <w:rsid w:val="00512A64"/>
    <w:rsid w:val="00515FCA"/>
    <w:rsid w:val="00516CA8"/>
    <w:rsid w:val="005171B7"/>
    <w:rsid w:val="0052408D"/>
    <w:rsid w:val="00524B16"/>
    <w:rsid w:val="00525844"/>
    <w:rsid w:val="00527484"/>
    <w:rsid w:val="005376F8"/>
    <w:rsid w:val="00537D28"/>
    <w:rsid w:val="005448FF"/>
    <w:rsid w:val="0055506D"/>
    <w:rsid w:val="00555CFF"/>
    <w:rsid w:val="00557123"/>
    <w:rsid w:val="00560CE5"/>
    <w:rsid w:val="00561BE5"/>
    <w:rsid w:val="0056475E"/>
    <w:rsid w:val="0056799A"/>
    <w:rsid w:val="0057026C"/>
    <w:rsid w:val="00572282"/>
    <w:rsid w:val="005730A7"/>
    <w:rsid w:val="00574ADD"/>
    <w:rsid w:val="005759C2"/>
    <w:rsid w:val="00577986"/>
    <w:rsid w:val="00583902"/>
    <w:rsid w:val="00583FCC"/>
    <w:rsid w:val="0058417E"/>
    <w:rsid w:val="0058481F"/>
    <w:rsid w:val="00596091"/>
    <w:rsid w:val="00596800"/>
    <w:rsid w:val="005A1B70"/>
    <w:rsid w:val="005A2FB5"/>
    <w:rsid w:val="005A4301"/>
    <w:rsid w:val="005A6640"/>
    <w:rsid w:val="005B1F6B"/>
    <w:rsid w:val="005B22B4"/>
    <w:rsid w:val="005B2C90"/>
    <w:rsid w:val="005B4A5F"/>
    <w:rsid w:val="005B6CB9"/>
    <w:rsid w:val="005B7E79"/>
    <w:rsid w:val="005C0CA0"/>
    <w:rsid w:val="005D15F8"/>
    <w:rsid w:val="005D4CE1"/>
    <w:rsid w:val="005D7E15"/>
    <w:rsid w:val="005D7FAB"/>
    <w:rsid w:val="005E2C4D"/>
    <w:rsid w:val="005E3B5F"/>
    <w:rsid w:val="005E41CA"/>
    <w:rsid w:val="005E6F24"/>
    <w:rsid w:val="005F052D"/>
    <w:rsid w:val="006023E1"/>
    <w:rsid w:val="00602C66"/>
    <w:rsid w:val="00603671"/>
    <w:rsid w:val="00610373"/>
    <w:rsid w:val="006263D8"/>
    <w:rsid w:val="006368B4"/>
    <w:rsid w:val="00636CAC"/>
    <w:rsid w:val="006436A6"/>
    <w:rsid w:val="00645A0E"/>
    <w:rsid w:val="00646133"/>
    <w:rsid w:val="00647F49"/>
    <w:rsid w:val="00652784"/>
    <w:rsid w:val="00663ADE"/>
    <w:rsid w:val="006746EB"/>
    <w:rsid w:val="00680937"/>
    <w:rsid w:val="00683544"/>
    <w:rsid w:val="006856EA"/>
    <w:rsid w:val="00692827"/>
    <w:rsid w:val="00693002"/>
    <w:rsid w:val="006938AE"/>
    <w:rsid w:val="0069697C"/>
    <w:rsid w:val="006A2575"/>
    <w:rsid w:val="006A3643"/>
    <w:rsid w:val="006A41AB"/>
    <w:rsid w:val="006A5B3C"/>
    <w:rsid w:val="006B497A"/>
    <w:rsid w:val="006B5265"/>
    <w:rsid w:val="006B7540"/>
    <w:rsid w:val="006C46EF"/>
    <w:rsid w:val="006C65A8"/>
    <w:rsid w:val="006D0727"/>
    <w:rsid w:val="006D1493"/>
    <w:rsid w:val="006D1B90"/>
    <w:rsid w:val="006E01AB"/>
    <w:rsid w:val="006E429B"/>
    <w:rsid w:val="006E57B9"/>
    <w:rsid w:val="006F12E9"/>
    <w:rsid w:val="006F2DE4"/>
    <w:rsid w:val="006F3526"/>
    <w:rsid w:val="006F435B"/>
    <w:rsid w:val="006F5937"/>
    <w:rsid w:val="0070132A"/>
    <w:rsid w:val="0070442D"/>
    <w:rsid w:val="007065AF"/>
    <w:rsid w:val="00710BA3"/>
    <w:rsid w:val="00712DA3"/>
    <w:rsid w:val="00712DCA"/>
    <w:rsid w:val="00714D91"/>
    <w:rsid w:val="00724EF2"/>
    <w:rsid w:val="00726E11"/>
    <w:rsid w:val="0072774C"/>
    <w:rsid w:val="00731EE2"/>
    <w:rsid w:val="0073548E"/>
    <w:rsid w:val="00737A71"/>
    <w:rsid w:val="007413B6"/>
    <w:rsid w:val="007509D0"/>
    <w:rsid w:val="00750D6D"/>
    <w:rsid w:val="00750E6D"/>
    <w:rsid w:val="00752BEF"/>
    <w:rsid w:val="00752FC3"/>
    <w:rsid w:val="00754A35"/>
    <w:rsid w:val="007554D3"/>
    <w:rsid w:val="00771806"/>
    <w:rsid w:val="007729A4"/>
    <w:rsid w:val="00777105"/>
    <w:rsid w:val="00777DB5"/>
    <w:rsid w:val="00781CC5"/>
    <w:rsid w:val="00782D50"/>
    <w:rsid w:val="00785A17"/>
    <w:rsid w:val="00786C25"/>
    <w:rsid w:val="00790A4D"/>
    <w:rsid w:val="00792A07"/>
    <w:rsid w:val="00796DA4"/>
    <w:rsid w:val="007A11D3"/>
    <w:rsid w:val="007A19DE"/>
    <w:rsid w:val="007B06C8"/>
    <w:rsid w:val="007B0E01"/>
    <w:rsid w:val="007B1715"/>
    <w:rsid w:val="007B6D08"/>
    <w:rsid w:val="007C30E9"/>
    <w:rsid w:val="007C3B1F"/>
    <w:rsid w:val="007C4D78"/>
    <w:rsid w:val="007C55B8"/>
    <w:rsid w:val="007C5BC0"/>
    <w:rsid w:val="007D07DE"/>
    <w:rsid w:val="007D30D4"/>
    <w:rsid w:val="007E3229"/>
    <w:rsid w:val="007E4CFB"/>
    <w:rsid w:val="007F0C6C"/>
    <w:rsid w:val="007F3151"/>
    <w:rsid w:val="00804B88"/>
    <w:rsid w:val="00805191"/>
    <w:rsid w:val="00807446"/>
    <w:rsid w:val="00810729"/>
    <w:rsid w:val="00810970"/>
    <w:rsid w:val="008111FD"/>
    <w:rsid w:val="00812C56"/>
    <w:rsid w:val="00812F5C"/>
    <w:rsid w:val="00814DC9"/>
    <w:rsid w:val="00815356"/>
    <w:rsid w:val="00816A49"/>
    <w:rsid w:val="00820F25"/>
    <w:rsid w:val="00823C03"/>
    <w:rsid w:val="00825BE8"/>
    <w:rsid w:val="00835EAD"/>
    <w:rsid w:val="0084123C"/>
    <w:rsid w:val="00843C38"/>
    <w:rsid w:val="00850489"/>
    <w:rsid w:val="00850805"/>
    <w:rsid w:val="008519D5"/>
    <w:rsid w:val="00852CEF"/>
    <w:rsid w:val="00853ECE"/>
    <w:rsid w:val="00857482"/>
    <w:rsid w:val="00862487"/>
    <w:rsid w:val="00863099"/>
    <w:rsid w:val="00866799"/>
    <w:rsid w:val="0087583E"/>
    <w:rsid w:val="008764BD"/>
    <w:rsid w:val="00883364"/>
    <w:rsid w:val="00886147"/>
    <w:rsid w:val="0089114E"/>
    <w:rsid w:val="00893C94"/>
    <w:rsid w:val="0089478F"/>
    <w:rsid w:val="008A2B70"/>
    <w:rsid w:val="008A5B4C"/>
    <w:rsid w:val="008A74F8"/>
    <w:rsid w:val="008B0F7C"/>
    <w:rsid w:val="008B2918"/>
    <w:rsid w:val="008B4325"/>
    <w:rsid w:val="008B4AA4"/>
    <w:rsid w:val="008B4BEA"/>
    <w:rsid w:val="008B6F3C"/>
    <w:rsid w:val="008C24ED"/>
    <w:rsid w:val="008C332A"/>
    <w:rsid w:val="008C6CBD"/>
    <w:rsid w:val="008D0A29"/>
    <w:rsid w:val="008D2867"/>
    <w:rsid w:val="008D3515"/>
    <w:rsid w:val="008D3ED9"/>
    <w:rsid w:val="008D548D"/>
    <w:rsid w:val="008D5765"/>
    <w:rsid w:val="008D73C9"/>
    <w:rsid w:val="008E3292"/>
    <w:rsid w:val="008E51FD"/>
    <w:rsid w:val="008E5666"/>
    <w:rsid w:val="008F545C"/>
    <w:rsid w:val="009006B9"/>
    <w:rsid w:val="009018EE"/>
    <w:rsid w:val="00904B7A"/>
    <w:rsid w:val="00905172"/>
    <w:rsid w:val="009064B1"/>
    <w:rsid w:val="0091019C"/>
    <w:rsid w:val="00911AC3"/>
    <w:rsid w:val="00912498"/>
    <w:rsid w:val="009146F4"/>
    <w:rsid w:val="009258A2"/>
    <w:rsid w:val="00931C92"/>
    <w:rsid w:val="0093296E"/>
    <w:rsid w:val="00933AC0"/>
    <w:rsid w:val="00933D2C"/>
    <w:rsid w:val="00934F64"/>
    <w:rsid w:val="009366DC"/>
    <w:rsid w:val="00937357"/>
    <w:rsid w:val="00937885"/>
    <w:rsid w:val="0094058C"/>
    <w:rsid w:val="0094107D"/>
    <w:rsid w:val="00941252"/>
    <w:rsid w:val="00941852"/>
    <w:rsid w:val="0094504C"/>
    <w:rsid w:val="009508E1"/>
    <w:rsid w:val="00950DCE"/>
    <w:rsid w:val="00951367"/>
    <w:rsid w:val="00951636"/>
    <w:rsid w:val="00956E21"/>
    <w:rsid w:val="009618D8"/>
    <w:rsid w:val="00964037"/>
    <w:rsid w:val="00965017"/>
    <w:rsid w:val="009653B5"/>
    <w:rsid w:val="00966077"/>
    <w:rsid w:val="00966EF1"/>
    <w:rsid w:val="00971050"/>
    <w:rsid w:val="00971E6E"/>
    <w:rsid w:val="00972880"/>
    <w:rsid w:val="00974ED7"/>
    <w:rsid w:val="00980A80"/>
    <w:rsid w:val="009850F2"/>
    <w:rsid w:val="009859AE"/>
    <w:rsid w:val="00987925"/>
    <w:rsid w:val="00990BCD"/>
    <w:rsid w:val="00993504"/>
    <w:rsid w:val="00993AD6"/>
    <w:rsid w:val="00997031"/>
    <w:rsid w:val="00997385"/>
    <w:rsid w:val="00997AD3"/>
    <w:rsid w:val="009A2445"/>
    <w:rsid w:val="009A67CE"/>
    <w:rsid w:val="009A6A6E"/>
    <w:rsid w:val="009B1004"/>
    <w:rsid w:val="009B4E88"/>
    <w:rsid w:val="009B5DCC"/>
    <w:rsid w:val="009B731E"/>
    <w:rsid w:val="009B7DAF"/>
    <w:rsid w:val="009C00F8"/>
    <w:rsid w:val="009C0B41"/>
    <w:rsid w:val="009C0D52"/>
    <w:rsid w:val="009C1C71"/>
    <w:rsid w:val="009C4A3F"/>
    <w:rsid w:val="009C67BF"/>
    <w:rsid w:val="009C6B45"/>
    <w:rsid w:val="009D036F"/>
    <w:rsid w:val="009D0720"/>
    <w:rsid w:val="009E1E96"/>
    <w:rsid w:val="009E2BF4"/>
    <w:rsid w:val="009E456A"/>
    <w:rsid w:val="009E5A9F"/>
    <w:rsid w:val="009E61E8"/>
    <w:rsid w:val="009F428E"/>
    <w:rsid w:val="009F6F6A"/>
    <w:rsid w:val="00A00AAA"/>
    <w:rsid w:val="00A029C8"/>
    <w:rsid w:val="00A03A55"/>
    <w:rsid w:val="00A06097"/>
    <w:rsid w:val="00A137B0"/>
    <w:rsid w:val="00A1578E"/>
    <w:rsid w:val="00A171B2"/>
    <w:rsid w:val="00A201E8"/>
    <w:rsid w:val="00A20D8F"/>
    <w:rsid w:val="00A21657"/>
    <w:rsid w:val="00A21B2C"/>
    <w:rsid w:val="00A22DBB"/>
    <w:rsid w:val="00A23602"/>
    <w:rsid w:val="00A32461"/>
    <w:rsid w:val="00A33D14"/>
    <w:rsid w:val="00A33E13"/>
    <w:rsid w:val="00A364BE"/>
    <w:rsid w:val="00A47291"/>
    <w:rsid w:val="00A50139"/>
    <w:rsid w:val="00A50AB9"/>
    <w:rsid w:val="00A60B7F"/>
    <w:rsid w:val="00A61A92"/>
    <w:rsid w:val="00A672F2"/>
    <w:rsid w:val="00A67C30"/>
    <w:rsid w:val="00A71AFA"/>
    <w:rsid w:val="00A72100"/>
    <w:rsid w:val="00A74CCE"/>
    <w:rsid w:val="00A7590B"/>
    <w:rsid w:val="00A75E28"/>
    <w:rsid w:val="00A80AA9"/>
    <w:rsid w:val="00A81858"/>
    <w:rsid w:val="00A82496"/>
    <w:rsid w:val="00A87985"/>
    <w:rsid w:val="00A923E8"/>
    <w:rsid w:val="00A9692A"/>
    <w:rsid w:val="00A97EBF"/>
    <w:rsid w:val="00AA3363"/>
    <w:rsid w:val="00AA3A46"/>
    <w:rsid w:val="00AA3E2F"/>
    <w:rsid w:val="00AA63C3"/>
    <w:rsid w:val="00AA6A46"/>
    <w:rsid w:val="00AB7C87"/>
    <w:rsid w:val="00AC16F9"/>
    <w:rsid w:val="00AC2AD6"/>
    <w:rsid w:val="00AC3D75"/>
    <w:rsid w:val="00AC7DFF"/>
    <w:rsid w:val="00AD0B61"/>
    <w:rsid w:val="00AE063E"/>
    <w:rsid w:val="00AE221A"/>
    <w:rsid w:val="00AE664D"/>
    <w:rsid w:val="00AE7581"/>
    <w:rsid w:val="00AE7D1E"/>
    <w:rsid w:val="00AF091D"/>
    <w:rsid w:val="00AF0DF0"/>
    <w:rsid w:val="00AF12F6"/>
    <w:rsid w:val="00AF1E53"/>
    <w:rsid w:val="00AF7A34"/>
    <w:rsid w:val="00B0420E"/>
    <w:rsid w:val="00B05400"/>
    <w:rsid w:val="00B06BBB"/>
    <w:rsid w:val="00B13622"/>
    <w:rsid w:val="00B15E01"/>
    <w:rsid w:val="00B167AF"/>
    <w:rsid w:val="00B25E8C"/>
    <w:rsid w:val="00B31AD1"/>
    <w:rsid w:val="00B31CE8"/>
    <w:rsid w:val="00B31F25"/>
    <w:rsid w:val="00B32D86"/>
    <w:rsid w:val="00B36233"/>
    <w:rsid w:val="00B42561"/>
    <w:rsid w:val="00B46F65"/>
    <w:rsid w:val="00B51A5A"/>
    <w:rsid w:val="00B530E3"/>
    <w:rsid w:val="00B532B9"/>
    <w:rsid w:val="00B533C4"/>
    <w:rsid w:val="00B53FE9"/>
    <w:rsid w:val="00B5597C"/>
    <w:rsid w:val="00B62AAD"/>
    <w:rsid w:val="00B72A5F"/>
    <w:rsid w:val="00B755FA"/>
    <w:rsid w:val="00B818BD"/>
    <w:rsid w:val="00B9518D"/>
    <w:rsid w:val="00B96C4C"/>
    <w:rsid w:val="00BA2125"/>
    <w:rsid w:val="00BA2EDB"/>
    <w:rsid w:val="00BA5265"/>
    <w:rsid w:val="00BA6F54"/>
    <w:rsid w:val="00BB0C82"/>
    <w:rsid w:val="00BB16B4"/>
    <w:rsid w:val="00BB67CA"/>
    <w:rsid w:val="00BC0635"/>
    <w:rsid w:val="00BC4153"/>
    <w:rsid w:val="00BD0BF6"/>
    <w:rsid w:val="00BD57E1"/>
    <w:rsid w:val="00BD68FC"/>
    <w:rsid w:val="00BD7EE3"/>
    <w:rsid w:val="00BE1411"/>
    <w:rsid w:val="00BE5E41"/>
    <w:rsid w:val="00BE6946"/>
    <w:rsid w:val="00BE7075"/>
    <w:rsid w:val="00BE7A5B"/>
    <w:rsid w:val="00BF779C"/>
    <w:rsid w:val="00C01176"/>
    <w:rsid w:val="00C02E13"/>
    <w:rsid w:val="00C06BA5"/>
    <w:rsid w:val="00C14D00"/>
    <w:rsid w:val="00C157D7"/>
    <w:rsid w:val="00C15A60"/>
    <w:rsid w:val="00C201F8"/>
    <w:rsid w:val="00C205EC"/>
    <w:rsid w:val="00C22A56"/>
    <w:rsid w:val="00C23FEE"/>
    <w:rsid w:val="00C3005B"/>
    <w:rsid w:val="00C30998"/>
    <w:rsid w:val="00C31976"/>
    <w:rsid w:val="00C32AF6"/>
    <w:rsid w:val="00C3529B"/>
    <w:rsid w:val="00C367F3"/>
    <w:rsid w:val="00C36E04"/>
    <w:rsid w:val="00C4052D"/>
    <w:rsid w:val="00C46CCE"/>
    <w:rsid w:val="00C506EB"/>
    <w:rsid w:val="00C51BB4"/>
    <w:rsid w:val="00C54721"/>
    <w:rsid w:val="00C54924"/>
    <w:rsid w:val="00C55656"/>
    <w:rsid w:val="00C55C34"/>
    <w:rsid w:val="00C55CAF"/>
    <w:rsid w:val="00C55FC0"/>
    <w:rsid w:val="00C65688"/>
    <w:rsid w:val="00C668BC"/>
    <w:rsid w:val="00C75516"/>
    <w:rsid w:val="00C810A6"/>
    <w:rsid w:val="00C83BED"/>
    <w:rsid w:val="00C92654"/>
    <w:rsid w:val="00C932A5"/>
    <w:rsid w:val="00C97885"/>
    <w:rsid w:val="00CA2B4A"/>
    <w:rsid w:val="00CA4E81"/>
    <w:rsid w:val="00CA7A49"/>
    <w:rsid w:val="00CB63E8"/>
    <w:rsid w:val="00CB6BDD"/>
    <w:rsid w:val="00CB7389"/>
    <w:rsid w:val="00CC12F1"/>
    <w:rsid w:val="00CC5788"/>
    <w:rsid w:val="00CC7434"/>
    <w:rsid w:val="00CD1E99"/>
    <w:rsid w:val="00CD3CC7"/>
    <w:rsid w:val="00CD7CB5"/>
    <w:rsid w:val="00CE20F6"/>
    <w:rsid w:val="00CF3465"/>
    <w:rsid w:val="00CF3BBC"/>
    <w:rsid w:val="00CF5E5F"/>
    <w:rsid w:val="00D027F5"/>
    <w:rsid w:val="00D02C3B"/>
    <w:rsid w:val="00D10949"/>
    <w:rsid w:val="00D11782"/>
    <w:rsid w:val="00D14673"/>
    <w:rsid w:val="00D14E4B"/>
    <w:rsid w:val="00D214E0"/>
    <w:rsid w:val="00D23766"/>
    <w:rsid w:val="00D249F3"/>
    <w:rsid w:val="00D25EA0"/>
    <w:rsid w:val="00D32D1E"/>
    <w:rsid w:val="00D43195"/>
    <w:rsid w:val="00D435EA"/>
    <w:rsid w:val="00D54188"/>
    <w:rsid w:val="00D5494C"/>
    <w:rsid w:val="00D56355"/>
    <w:rsid w:val="00D5714F"/>
    <w:rsid w:val="00D573EC"/>
    <w:rsid w:val="00D639D3"/>
    <w:rsid w:val="00D6561C"/>
    <w:rsid w:val="00D706D6"/>
    <w:rsid w:val="00D72B56"/>
    <w:rsid w:val="00D7443F"/>
    <w:rsid w:val="00D75F31"/>
    <w:rsid w:val="00D80B48"/>
    <w:rsid w:val="00D817A0"/>
    <w:rsid w:val="00D82A49"/>
    <w:rsid w:val="00D83442"/>
    <w:rsid w:val="00D94DC5"/>
    <w:rsid w:val="00DA1787"/>
    <w:rsid w:val="00DB3B96"/>
    <w:rsid w:val="00DB472A"/>
    <w:rsid w:val="00DB5225"/>
    <w:rsid w:val="00DB7DF2"/>
    <w:rsid w:val="00DB7E49"/>
    <w:rsid w:val="00DB7EE3"/>
    <w:rsid w:val="00DC11B8"/>
    <w:rsid w:val="00DC1C72"/>
    <w:rsid w:val="00DC314C"/>
    <w:rsid w:val="00DE2D7C"/>
    <w:rsid w:val="00DE413E"/>
    <w:rsid w:val="00DE53F9"/>
    <w:rsid w:val="00DE6B63"/>
    <w:rsid w:val="00DE7A4B"/>
    <w:rsid w:val="00DF278B"/>
    <w:rsid w:val="00DF3066"/>
    <w:rsid w:val="00DF7789"/>
    <w:rsid w:val="00E01CF6"/>
    <w:rsid w:val="00E02F27"/>
    <w:rsid w:val="00E10AAF"/>
    <w:rsid w:val="00E10BB8"/>
    <w:rsid w:val="00E130BC"/>
    <w:rsid w:val="00E202AE"/>
    <w:rsid w:val="00E22B5E"/>
    <w:rsid w:val="00E24237"/>
    <w:rsid w:val="00E26249"/>
    <w:rsid w:val="00E35EDE"/>
    <w:rsid w:val="00E37D04"/>
    <w:rsid w:val="00E4503E"/>
    <w:rsid w:val="00E4513D"/>
    <w:rsid w:val="00E4722F"/>
    <w:rsid w:val="00E52FE1"/>
    <w:rsid w:val="00E54C33"/>
    <w:rsid w:val="00E604ED"/>
    <w:rsid w:val="00E60A79"/>
    <w:rsid w:val="00E62277"/>
    <w:rsid w:val="00E74119"/>
    <w:rsid w:val="00E7536F"/>
    <w:rsid w:val="00E76721"/>
    <w:rsid w:val="00E80D89"/>
    <w:rsid w:val="00E863EF"/>
    <w:rsid w:val="00E87386"/>
    <w:rsid w:val="00E91D82"/>
    <w:rsid w:val="00EA289C"/>
    <w:rsid w:val="00EB38B8"/>
    <w:rsid w:val="00EB3EDE"/>
    <w:rsid w:val="00EB650F"/>
    <w:rsid w:val="00EB738C"/>
    <w:rsid w:val="00EB75CF"/>
    <w:rsid w:val="00ED0F4F"/>
    <w:rsid w:val="00ED154B"/>
    <w:rsid w:val="00ED4C3B"/>
    <w:rsid w:val="00EE08BB"/>
    <w:rsid w:val="00EE1C7A"/>
    <w:rsid w:val="00EE3923"/>
    <w:rsid w:val="00EE66DE"/>
    <w:rsid w:val="00EE7197"/>
    <w:rsid w:val="00EF28D4"/>
    <w:rsid w:val="00EF32E0"/>
    <w:rsid w:val="00EF4D4B"/>
    <w:rsid w:val="00EF6B96"/>
    <w:rsid w:val="00F00405"/>
    <w:rsid w:val="00F005CE"/>
    <w:rsid w:val="00F0135A"/>
    <w:rsid w:val="00F0426B"/>
    <w:rsid w:val="00F06D06"/>
    <w:rsid w:val="00F17C15"/>
    <w:rsid w:val="00F2012D"/>
    <w:rsid w:val="00F212AF"/>
    <w:rsid w:val="00F22DD1"/>
    <w:rsid w:val="00F23F0B"/>
    <w:rsid w:val="00F24290"/>
    <w:rsid w:val="00F27A00"/>
    <w:rsid w:val="00F30C2B"/>
    <w:rsid w:val="00F34E62"/>
    <w:rsid w:val="00F36A75"/>
    <w:rsid w:val="00F405C8"/>
    <w:rsid w:val="00F41D6A"/>
    <w:rsid w:val="00F45B18"/>
    <w:rsid w:val="00F47564"/>
    <w:rsid w:val="00F521B8"/>
    <w:rsid w:val="00F538EB"/>
    <w:rsid w:val="00F53EAB"/>
    <w:rsid w:val="00F554C8"/>
    <w:rsid w:val="00F55575"/>
    <w:rsid w:val="00F561E8"/>
    <w:rsid w:val="00F64329"/>
    <w:rsid w:val="00F6455A"/>
    <w:rsid w:val="00F70060"/>
    <w:rsid w:val="00F74A8E"/>
    <w:rsid w:val="00F80AE3"/>
    <w:rsid w:val="00F83A6D"/>
    <w:rsid w:val="00F90DD4"/>
    <w:rsid w:val="00F92E8D"/>
    <w:rsid w:val="00FA0782"/>
    <w:rsid w:val="00FA0ED3"/>
    <w:rsid w:val="00FA4EE6"/>
    <w:rsid w:val="00FB24F2"/>
    <w:rsid w:val="00FB3A0D"/>
    <w:rsid w:val="00FB3CD3"/>
    <w:rsid w:val="00FC04E3"/>
    <w:rsid w:val="00FC109E"/>
    <w:rsid w:val="00FC2E34"/>
    <w:rsid w:val="00FC4342"/>
    <w:rsid w:val="00FD4120"/>
    <w:rsid w:val="00FD4E71"/>
    <w:rsid w:val="00FD5DA4"/>
    <w:rsid w:val="00FE08B2"/>
    <w:rsid w:val="00FE5AB3"/>
    <w:rsid w:val="00FE77F9"/>
    <w:rsid w:val="00FF0819"/>
    <w:rsid w:val="00FF1243"/>
    <w:rsid w:val="00FF30A8"/>
    <w:rsid w:val="00FF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5AD881C-FCEE-487E-AC9B-2F9DD3CA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a"/>
    <w:next w:val="a"/>
    <w:autoRedefine/>
    <w:qFormat/>
    <w:rsid w:val="00EE66DE"/>
    <w:pPr>
      <w:keepNext/>
      <w:spacing w:line="360" w:lineRule="auto"/>
      <w:jc w:val="center"/>
      <w:outlineLvl w:val="0"/>
    </w:pPr>
    <w:rPr>
      <w:b/>
      <w:bCs/>
      <w:caps/>
      <w:color w:val="000000"/>
      <w:kern w:val="32"/>
      <w:sz w:val="28"/>
      <w:szCs w:val="28"/>
      <w:shd w:val="clear" w:color="auto" w:fill="FFFFFF"/>
      <w:lang w:val="ru-RU"/>
    </w:rPr>
  </w:style>
  <w:style w:type="paragraph" w:styleId="2">
    <w:name w:val="heading 2"/>
    <w:basedOn w:val="a"/>
    <w:next w:val="a"/>
    <w:autoRedefine/>
    <w:qFormat/>
    <w:pPr>
      <w:keepNext/>
      <w:spacing w:before="120" w:after="180"/>
      <w:jc w:val="center"/>
      <w:outlineLvl w:val="1"/>
    </w:pPr>
    <w:rPr>
      <w:rFonts w:ascii="Arial" w:hAnsi="Arial" w:cs="Arial"/>
      <w:bCs/>
      <w:i/>
      <w:iCs/>
      <w:color w:val="333399"/>
      <w:sz w:val="28"/>
      <w:szCs w:val="28"/>
    </w:rPr>
  </w:style>
  <w:style w:type="paragraph" w:styleId="3">
    <w:name w:val="heading 3"/>
    <w:basedOn w:val="a"/>
    <w:next w:val="a"/>
    <w:qFormat/>
    <w:pPr>
      <w:keepNext/>
      <w:jc w:val="both"/>
      <w:outlineLvl w:val="2"/>
    </w:pPr>
    <w:rPr>
      <w:b/>
      <w:bCs/>
      <w:color w:val="FF0000"/>
      <w:lang w:val="ru-RU"/>
    </w:rPr>
  </w:style>
  <w:style w:type="paragraph" w:styleId="4">
    <w:name w:val="heading 4"/>
    <w:basedOn w:val="a"/>
    <w:next w:val="a"/>
    <w:qFormat/>
    <w:pPr>
      <w:keepNext/>
      <w:outlineLvl w:val="3"/>
    </w:pPr>
    <w:rPr>
      <w:b/>
      <w:bCs/>
      <w:color w:val="FF0000"/>
      <w:lang w:val="ru-RU"/>
    </w:rPr>
  </w:style>
  <w:style w:type="paragraph" w:styleId="5">
    <w:name w:val="heading 5"/>
    <w:basedOn w:val="a"/>
    <w:next w:val="a"/>
    <w:qFormat/>
    <w:pPr>
      <w:keepNext/>
      <w:spacing w:line="360" w:lineRule="auto"/>
      <w:jc w:val="center"/>
      <w:outlineLvl w:val="4"/>
    </w:pPr>
    <w:rPr>
      <w:rFonts w:ascii="Arial" w:hAnsi="Arial" w:cs="Arial"/>
      <w:b/>
      <w:color w:val="333399"/>
      <w:sz w:val="32"/>
      <w:szCs w:val="32"/>
      <w:lang w:val="ru-RU"/>
    </w:rPr>
  </w:style>
  <w:style w:type="paragraph" w:styleId="6">
    <w:name w:val="heading 6"/>
    <w:basedOn w:val="a"/>
    <w:next w:val="a"/>
    <w:qFormat/>
    <w:pPr>
      <w:keepNext/>
      <w:ind w:left="5580"/>
      <w:jc w:val="center"/>
      <w:outlineLvl w:val="5"/>
    </w:pPr>
    <w:rPr>
      <w:b/>
      <w:i/>
      <w:color w:val="000080"/>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autoRedefine/>
    <w:rsid w:val="00A21B2C"/>
    <w:pPr>
      <w:tabs>
        <w:tab w:val="center" w:pos="4819"/>
        <w:tab w:val="right" w:pos="9639"/>
      </w:tabs>
      <w:jc w:val="right"/>
    </w:pPr>
    <w:rPr>
      <w:b/>
      <w:noProof/>
      <w:spacing w:val="-6"/>
      <w:sz w:val="28"/>
      <w:szCs w:val="28"/>
      <w:lang w:val="ru-RU"/>
    </w:rPr>
  </w:style>
  <w:style w:type="paragraph" w:styleId="a5">
    <w:name w:val="footer"/>
    <w:basedOn w:val="a"/>
    <w:pPr>
      <w:tabs>
        <w:tab w:val="center" w:pos="4819"/>
        <w:tab w:val="right" w:pos="9639"/>
      </w:tabs>
    </w:pPr>
  </w:style>
  <w:style w:type="character" w:styleId="a6">
    <w:name w:val="page number"/>
    <w:basedOn w:val="a0"/>
  </w:style>
  <w:style w:type="paragraph" w:customStyle="1" w:styleId="10">
    <w:name w:val="Формат текста Знак1"/>
    <w:basedOn w:val="a"/>
    <w:link w:val="11"/>
    <w:autoRedefine/>
    <w:rsid w:val="00FC04E3"/>
    <w:pPr>
      <w:spacing w:line="360" w:lineRule="auto"/>
      <w:ind w:firstLine="397"/>
      <w:jc w:val="both"/>
    </w:pPr>
    <w:rPr>
      <w:color w:val="000000"/>
      <w:sz w:val="28"/>
      <w:szCs w:val="28"/>
      <w:shd w:val="clear" w:color="auto" w:fill="FFFFFF"/>
      <w:lang w:val="en-US"/>
    </w:rPr>
  </w:style>
  <w:style w:type="paragraph" w:customStyle="1" w:styleId="12">
    <w:name w:val="Жирный Знак1"/>
    <w:basedOn w:val="10"/>
    <w:link w:val="13"/>
    <w:autoRedefine/>
    <w:rsid w:val="0040523D"/>
    <w:rPr>
      <w:b/>
    </w:rPr>
  </w:style>
  <w:style w:type="character" w:customStyle="1" w:styleId="a7">
    <w:name w:val="Формат текста Знак"/>
    <w:rPr>
      <w:sz w:val="28"/>
      <w:szCs w:val="28"/>
      <w:lang w:val="uk-UA" w:eastAsia="uk-UA" w:bidi="ar-SA"/>
    </w:rPr>
  </w:style>
  <w:style w:type="character" w:customStyle="1" w:styleId="a8">
    <w:name w:val="Жирный Знак"/>
    <w:rsid w:val="000C391D"/>
    <w:rPr>
      <w:b/>
      <w:color w:val="auto"/>
      <w:sz w:val="28"/>
      <w:szCs w:val="28"/>
      <w:lang w:val="uk-UA" w:eastAsia="uk-UA" w:bidi="ar-SA"/>
    </w:rPr>
  </w:style>
  <w:style w:type="paragraph" w:customStyle="1" w:styleId="14">
    <w:name w:val="Курсив Знак1"/>
    <w:basedOn w:val="10"/>
    <w:link w:val="15"/>
    <w:autoRedefine/>
    <w:rPr>
      <w:i/>
    </w:rPr>
  </w:style>
  <w:style w:type="paragraph" w:customStyle="1" w:styleId="a9">
    <w:name w:val="Глава"/>
    <w:basedOn w:val="10"/>
    <w:autoRedefine/>
    <w:rsid w:val="005B2C90"/>
    <w:pPr>
      <w:spacing w:before="120" w:after="120" w:line="240" w:lineRule="auto"/>
      <w:ind w:firstLine="0"/>
      <w:jc w:val="center"/>
    </w:pPr>
    <w:rPr>
      <w:b/>
      <w:i/>
    </w:rPr>
  </w:style>
  <w:style w:type="character" w:customStyle="1" w:styleId="aa">
    <w:name w:val="Курсив Знак"/>
    <w:rsid w:val="00950DCE"/>
    <w:rPr>
      <w:i/>
      <w:color w:val="auto"/>
      <w:sz w:val="28"/>
      <w:szCs w:val="28"/>
      <w:lang w:val="ru-RU" w:eastAsia="uk-UA" w:bidi="ar-SA"/>
    </w:rPr>
  </w:style>
  <w:style w:type="paragraph" w:styleId="ab">
    <w:name w:val="caption"/>
    <w:basedOn w:val="a"/>
    <w:next w:val="a"/>
    <w:link w:val="ac"/>
    <w:autoRedefine/>
    <w:qFormat/>
    <w:rsid w:val="00AC16F9"/>
    <w:pPr>
      <w:jc w:val="center"/>
    </w:pPr>
    <w:rPr>
      <w:b/>
      <w:bCs/>
      <w:szCs w:val="20"/>
      <w:lang w:val="ru-RU"/>
    </w:rPr>
  </w:style>
  <w:style w:type="paragraph" w:customStyle="1" w:styleId="ad">
    <w:name w:val="Формат заголовка таблицы"/>
    <w:basedOn w:val="10"/>
    <w:autoRedefine/>
    <w:pPr>
      <w:spacing w:line="240" w:lineRule="auto"/>
      <w:ind w:firstLine="0"/>
      <w:jc w:val="center"/>
    </w:pPr>
    <w:rPr>
      <w:b/>
      <w:bCs/>
      <w:color w:val="993366"/>
      <w:sz w:val="24"/>
    </w:rPr>
  </w:style>
  <w:style w:type="paragraph" w:customStyle="1" w:styleId="ae">
    <w:name w:val="Номер таблицы"/>
    <w:basedOn w:val="10"/>
    <w:link w:val="af"/>
    <w:autoRedefine/>
    <w:rsid w:val="005E3B5F"/>
    <w:pPr>
      <w:ind w:firstLine="0"/>
      <w:jc w:val="right"/>
    </w:pPr>
  </w:style>
  <w:style w:type="paragraph" w:customStyle="1" w:styleId="af0">
    <w:name w:val="Название таблицы"/>
    <w:basedOn w:val="ae"/>
    <w:autoRedefine/>
    <w:rsid w:val="00E76721"/>
    <w:pPr>
      <w:jc w:val="center"/>
    </w:pPr>
    <w:rPr>
      <w:b/>
    </w:rPr>
  </w:style>
  <w:style w:type="paragraph" w:customStyle="1" w:styleId="af1">
    <w:name w:val="Стиль Название объекта + по центру"/>
    <w:basedOn w:val="ab"/>
    <w:autoRedefine/>
    <w:pPr>
      <w:spacing w:after="240"/>
    </w:pPr>
  </w:style>
  <w:style w:type="paragraph" w:styleId="af2">
    <w:name w:val="Title"/>
    <w:basedOn w:val="a"/>
    <w:qFormat/>
    <w:pPr>
      <w:jc w:val="center"/>
    </w:pPr>
    <w:rPr>
      <w:b/>
      <w:bCs/>
      <w:sz w:val="32"/>
      <w:lang w:val="ru-RU" w:eastAsia="ru-RU"/>
    </w:rPr>
  </w:style>
  <w:style w:type="paragraph" w:styleId="af3">
    <w:name w:val="Body Text"/>
    <w:basedOn w:val="a"/>
    <w:pPr>
      <w:spacing w:line="360" w:lineRule="auto"/>
      <w:jc w:val="both"/>
    </w:pPr>
    <w:rPr>
      <w:sz w:val="28"/>
      <w:lang w:val="ru-RU" w:eastAsia="ru-RU"/>
    </w:rPr>
  </w:style>
  <w:style w:type="paragraph" w:styleId="af4">
    <w:name w:val="List Paragraph"/>
    <w:basedOn w:val="a"/>
    <w:uiPriority w:val="34"/>
    <w:qFormat/>
    <w:rsid w:val="00CB7389"/>
    <w:pPr>
      <w:ind w:left="720"/>
      <w:contextualSpacing/>
    </w:pPr>
  </w:style>
  <w:style w:type="paragraph" w:customStyle="1" w:styleId="af5">
    <w:name w:val="Формат литературы"/>
    <w:basedOn w:val="af3"/>
    <w:autoRedefine/>
    <w:rsid w:val="00010827"/>
    <w:pPr>
      <w:tabs>
        <w:tab w:val="left" w:pos="540"/>
      </w:tabs>
      <w:ind w:firstLine="397"/>
    </w:pPr>
    <w:rPr>
      <w:lang w:val="en-US"/>
    </w:rPr>
  </w:style>
  <w:style w:type="character" w:customStyle="1" w:styleId="af6">
    <w:name w:val="Основной текст Знак"/>
    <w:uiPriority w:val="99"/>
    <w:rPr>
      <w:sz w:val="28"/>
      <w:szCs w:val="24"/>
      <w:lang w:val="ru-RU" w:eastAsia="ru-RU" w:bidi="ar-SA"/>
    </w:rPr>
  </w:style>
  <w:style w:type="character" w:customStyle="1" w:styleId="af7">
    <w:name w:val="Формат литературы Знак"/>
    <w:basedOn w:val="af6"/>
    <w:rPr>
      <w:sz w:val="28"/>
      <w:szCs w:val="24"/>
      <w:lang w:val="ru-RU" w:eastAsia="ru-RU" w:bidi="ar-SA"/>
    </w:rPr>
  </w:style>
  <w:style w:type="character" w:customStyle="1" w:styleId="30">
    <w:name w:val="Заголовок 3 Знак"/>
    <w:rPr>
      <w:b/>
      <w:bCs/>
      <w:color w:val="FF0000"/>
      <w:sz w:val="24"/>
      <w:szCs w:val="24"/>
      <w:lang w:val="ru-RU" w:eastAsia="uk-UA" w:bidi="ar-SA"/>
    </w:rPr>
  </w:style>
  <w:style w:type="character" w:styleId="af8">
    <w:name w:val="annotation reference"/>
    <w:semiHidden/>
    <w:rPr>
      <w:sz w:val="16"/>
      <w:szCs w:val="16"/>
    </w:rPr>
  </w:style>
  <w:style w:type="paragraph" w:styleId="af9">
    <w:name w:val="annotation text"/>
    <w:basedOn w:val="a"/>
    <w:semiHidden/>
    <w:rPr>
      <w:sz w:val="20"/>
      <w:szCs w:val="20"/>
    </w:rPr>
  </w:style>
  <w:style w:type="paragraph" w:styleId="afa">
    <w:name w:val="annotation subject"/>
    <w:basedOn w:val="af9"/>
    <w:next w:val="af9"/>
    <w:semiHidden/>
    <w:rPr>
      <w:b/>
      <w:bCs/>
    </w:rPr>
  </w:style>
  <w:style w:type="paragraph" w:styleId="afb">
    <w:name w:val="Balloon Text"/>
    <w:basedOn w:val="a"/>
    <w:semiHidden/>
    <w:rPr>
      <w:rFonts w:ascii="Tahoma" w:hAnsi="Tahoma" w:cs="Tahoma"/>
      <w:sz w:val="16"/>
      <w:szCs w:val="16"/>
    </w:rPr>
  </w:style>
  <w:style w:type="paragraph" w:styleId="afc">
    <w:name w:val="footnote text"/>
    <w:basedOn w:val="a"/>
    <w:semiHidden/>
    <w:rPr>
      <w:sz w:val="20"/>
      <w:szCs w:val="20"/>
    </w:rPr>
  </w:style>
  <w:style w:type="character" w:styleId="afd">
    <w:name w:val="footnote reference"/>
    <w:semiHidden/>
    <w:rPr>
      <w:vertAlign w:val="superscript"/>
    </w:rPr>
  </w:style>
  <w:style w:type="paragraph" w:customStyle="1" w:styleId="16">
    <w:name w:val="Стиль Название объекта + по центру1"/>
    <w:basedOn w:val="ab"/>
    <w:link w:val="17"/>
    <w:autoRedefine/>
    <w:pPr>
      <w:spacing w:after="240"/>
    </w:pPr>
  </w:style>
  <w:style w:type="character" w:customStyle="1" w:styleId="18">
    <w:name w:val="Основной текст Знак1"/>
    <w:rPr>
      <w:sz w:val="28"/>
      <w:szCs w:val="24"/>
      <w:lang w:val="ru-RU" w:eastAsia="ru-RU" w:bidi="ar-SA"/>
    </w:rPr>
  </w:style>
  <w:style w:type="character" w:customStyle="1" w:styleId="19">
    <w:name w:val="Формат литературы Знак1"/>
    <w:basedOn w:val="18"/>
    <w:rPr>
      <w:sz w:val="28"/>
      <w:szCs w:val="24"/>
      <w:lang w:val="ru-RU" w:eastAsia="ru-RU" w:bidi="ar-SA"/>
    </w:rPr>
  </w:style>
  <w:style w:type="character" w:customStyle="1" w:styleId="20">
    <w:name w:val="Формат текста Знак2"/>
    <w:rPr>
      <w:sz w:val="28"/>
      <w:szCs w:val="28"/>
      <w:lang w:val="ru-RU" w:eastAsia="uk-UA" w:bidi="ar-SA"/>
    </w:rPr>
  </w:style>
  <w:style w:type="paragraph" w:customStyle="1" w:styleId="1a">
    <w:name w:val="Скобки квадратные Знак1"/>
    <w:basedOn w:val="10"/>
    <w:link w:val="1b"/>
    <w:autoRedefine/>
    <w:rPr>
      <w:color w:val="003366"/>
    </w:rPr>
  </w:style>
  <w:style w:type="character" w:customStyle="1" w:styleId="afe">
    <w:name w:val="Скобки квадратные Знак"/>
    <w:rPr>
      <w:color w:val="003366"/>
      <w:sz w:val="28"/>
      <w:szCs w:val="28"/>
      <w:lang w:val="ru-RU" w:eastAsia="uk-UA" w:bidi="ar-SA"/>
    </w:rPr>
  </w:style>
  <w:style w:type="paragraph" w:styleId="1c">
    <w:name w:val="toc 1"/>
    <w:basedOn w:val="a"/>
    <w:next w:val="a"/>
    <w:autoRedefine/>
    <w:semiHidden/>
    <w:pPr>
      <w:tabs>
        <w:tab w:val="right" w:leader="dot" w:pos="9628"/>
      </w:tabs>
      <w:spacing w:line="360" w:lineRule="auto"/>
    </w:pPr>
    <w:rPr>
      <w:b/>
      <w:color w:val="003366"/>
      <w:sz w:val="28"/>
      <w:szCs w:val="28"/>
    </w:rPr>
  </w:style>
  <w:style w:type="paragraph" w:styleId="21">
    <w:name w:val="toc 2"/>
    <w:basedOn w:val="a"/>
    <w:next w:val="a"/>
    <w:autoRedefine/>
    <w:semiHidden/>
    <w:pPr>
      <w:tabs>
        <w:tab w:val="left" w:pos="960"/>
        <w:tab w:val="right" w:leader="dot" w:pos="9628"/>
      </w:tabs>
      <w:spacing w:line="360" w:lineRule="auto"/>
      <w:ind w:left="284"/>
    </w:pPr>
    <w:rPr>
      <w:i/>
      <w:noProof/>
      <w:color w:val="333399"/>
      <w:sz w:val="28"/>
      <w:szCs w:val="28"/>
      <w:lang w:val="ru-RU"/>
    </w:rPr>
  </w:style>
  <w:style w:type="paragraph" w:customStyle="1" w:styleId="aff">
    <w:name w:val="Оглавление"/>
    <w:basedOn w:val="1c"/>
    <w:autoRedefine/>
    <w:rsid w:val="00EA289C"/>
    <w:pPr>
      <w:spacing w:before="120" w:after="1560" w:line="240" w:lineRule="auto"/>
      <w:jc w:val="center"/>
    </w:pPr>
    <w:rPr>
      <w:rFonts w:ascii="Arial" w:hAnsi="Arial"/>
      <w:color w:val="auto"/>
      <w:sz w:val="32"/>
      <w:szCs w:val="32"/>
      <w:lang w:val="ru-RU"/>
    </w:rPr>
  </w:style>
  <w:style w:type="character" w:customStyle="1" w:styleId="aff0">
    <w:name w:val="Глава Знак"/>
    <w:rPr>
      <w:rFonts w:ascii="Arial" w:hAnsi="Arial"/>
      <w:b/>
      <w:i/>
      <w:color w:val="993300"/>
      <w:sz w:val="28"/>
      <w:szCs w:val="28"/>
      <w:lang w:val="ru-RU" w:eastAsia="uk-UA" w:bidi="ar-SA"/>
    </w:rPr>
  </w:style>
  <w:style w:type="paragraph" w:styleId="22">
    <w:name w:val="Body Text 2"/>
    <w:basedOn w:val="a"/>
    <w:pPr>
      <w:spacing w:line="360" w:lineRule="auto"/>
      <w:jc w:val="center"/>
    </w:pPr>
    <w:rPr>
      <w:rFonts w:ascii="Arial" w:hAnsi="Arial" w:cs="Arial"/>
      <w:b/>
      <w:color w:val="003300"/>
      <w:sz w:val="32"/>
      <w:szCs w:val="32"/>
      <w:lang w:val="ru-RU"/>
    </w:rPr>
  </w:style>
  <w:style w:type="paragraph" w:styleId="31">
    <w:name w:val="Body Text 3"/>
    <w:basedOn w:val="a"/>
    <w:pPr>
      <w:spacing w:line="360" w:lineRule="auto"/>
      <w:jc w:val="center"/>
    </w:pPr>
    <w:rPr>
      <w:rFonts w:ascii="Arial" w:hAnsi="Arial" w:cs="Arial"/>
      <w:color w:val="333300"/>
      <w:sz w:val="28"/>
      <w:szCs w:val="28"/>
      <w:lang w:val="ru-RU"/>
    </w:rPr>
  </w:style>
  <w:style w:type="character" w:customStyle="1" w:styleId="11">
    <w:name w:val="Формат текста Знак1 Знак"/>
    <w:link w:val="10"/>
    <w:rsid w:val="00FC04E3"/>
    <w:rPr>
      <w:color w:val="000000"/>
      <w:sz w:val="28"/>
      <w:szCs w:val="28"/>
      <w:lang w:val="en-US" w:eastAsia="uk-UA"/>
    </w:rPr>
  </w:style>
  <w:style w:type="character" w:customStyle="1" w:styleId="13">
    <w:name w:val="Жирный Знак1 Знак"/>
    <w:link w:val="12"/>
    <w:rsid w:val="0040523D"/>
    <w:rPr>
      <w:b/>
      <w:sz w:val="28"/>
      <w:szCs w:val="28"/>
      <w:lang w:val="ru-RU" w:eastAsia="uk-UA" w:bidi="ar-SA"/>
    </w:rPr>
  </w:style>
  <w:style w:type="character" w:customStyle="1" w:styleId="1b">
    <w:name w:val="Скобки квадратные Знак1 Знак"/>
    <w:link w:val="1a"/>
    <w:rsid w:val="00265666"/>
    <w:rPr>
      <w:color w:val="003366"/>
      <w:sz w:val="28"/>
      <w:szCs w:val="28"/>
      <w:lang w:val="ru-RU" w:eastAsia="uk-UA" w:bidi="ar-SA"/>
    </w:rPr>
  </w:style>
  <w:style w:type="character" w:customStyle="1" w:styleId="15">
    <w:name w:val="Курсив Знак1 Знак"/>
    <w:link w:val="14"/>
    <w:rsid w:val="009C4A3F"/>
    <w:rPr>
      <w:i/>
      <w:sz w:val="28"/>
      <w:szCs w:val="28"/>
      <w:lang w:val="ru-RU" w:eastAsia="uk-UA" w:bidi="ar-SA"/>
    </w:rPr>
  </w:style>
  <w:style w:type="paragraph" w:customStyle="1" w:styleId="aff1">
    <w:name w:val="Формула"/>
    <w:basedOn w:val="10"/>
    <w:autoRedefine/>
    <w:rsid w:val="007065AF"/>
    <w:pPr>
      <w:jc w:val="center"/>
    </w:pPr>
    <w:rPr>
      <w:spacing w:val="-7"/>
    </w:rPr>
  </w:style>
  <w:style w:type="character" w:customStyle="1" w:styleId="ac">
    <w:name w:val="Название объекта Знак"/>
    <w:link w:val="ab"/>
    <w:rsid w:val="00AC16F9"/>
    <w:rPr>
      <w:b/>
      <w:bCs/>
      <w:sz w:val="24"/>
      <w:lang w:val="ru-RU" w:eastAsia="uk-UA" w:bidi="ar-SA"/>
    </w:rPr>
  </w:style>
  <w:style w:type="character" w:customStyle="1" w:styleId="17">
    <w:name w:val="Стиль Название объекта + по центру1 Знак"/>
    <w:basedOn w:val="ac"/>
    <w:link w:val="16"/>
    <w:rsid w:val="00304999"/>
    <w:rPr>
      <w:b/>
      <w:bCs/>
      <w:sz w:val="24"/>
      <w:lang w:val="ru-RU" w:eastAsia="uk-UA" w:bidi="ar-SA"/>
    </w:rPr>
  </w:style>
  <w:style w:type="table" w:styleId="aff2">
    <w:name w:val="Table Grid"/>
    <w:basedOn w:val="a1"/>
    <w:rsid w:val="002B486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омер таблицы Знак"/>
    <w:link w:val="ae"/>
    <w:rsid w:val="005E3B5F"/>
    <w:rPr>
      <w:sz w:val="28"/>
      <w:szCs w:val="28"/>
      <w:lang w:eastAsia="uk-UA"/>
    </w:rPr>
  </w:style>
  <w:style w:type="character" w:customStyle="1" w:styleId="apple-converted-space">
    <w:name w:val="apple-converted-space"/>
    <w:basedOn w:val="a0"/>
    <w:rsid w:val="00FC04E3"/>
  </w:style>
  <w:style w:type="paragraph" w:customStyle="1" w:styleId="FR1">
    <w:name w:val="FR1"/>
    <w:rsid w:val="00FB3A0D"/>
    <w:pPr>
      <w:widowControl w:val="0"/>
      <w:autoSpaceDE w:val="0"/>
      <w:autoSpaceDN w:val="0"/>
      <w:adjustRightInd w:val="0"/>
      <w:spacing w:line="300" w:lineRule="auto"/>
      <w:jc w:val="center"/>
    </w:pPr>
    <w:rPr>
      <w:rFonts w:ascii="Arial" w:hAnsi="Arial" w:cs="Arial"/>
      <w:sz w:val="24"/>
      <w:szCs w:val="24"/>
    </w:rPr>
  </w:style>
  <w:style w:type="character" w:customStyle="1" w:styleId="a4">
    <w:name w:val="Верхний колонтитул Знак"/>
    <w:basedOn w:val="a0"/>
    <w:link w:val="a3"/>
    <w:rsid w:val="00D75F31"/>
    <w:rPr>
      <w:b/>
      <w:noProof/>
      <w:spacing w:val="-6"/>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3D0D0-9996-483D-BC90-1B0F61B9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12</Pages>
  <Words>13627</Words>
  <Characters>7768</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ХАРЬКОВСКИЙ ГОСУДАРСТВЕННЫЙ МЕДИЦИНСКИЙ УНИВЕРСИТЕТ</vt:lpstr>
    </vt:vector>
  </TitlesOfParts>
  <Company>ХГМУ</Company>
  <LinksUpToDate>false</LinksUpToDate>
  <CharactersWithSpaces>21353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ХАРЬКОВСКИЙ ГОСУДАРСТВЕННЫЙ МЕДИЦИНСКИЙ УНИВЕРСИТЕТ</dc:title>
  <dc:subject/>
  <dc:creator>Латогуз Сергей</dc:creator>
  <cp:keywords/>
  <dc:description/>
  <cp:lastModifiedBy>сергей латогуз</cp:lastModifiedBy>
  <cp:revision>64</cp:revision>
  <cp:lastPrinted>2005-10-06T18:48:00Z</cp:lastPrinted>
  <dcterms:created xsi:type="dcterms:W3CDTF">2014-05-30T08:23:00Z</dcterms:created>
  <dcterms:modified xsi:type="dcterms:W3CDTF">2015-01-10T19:57:00Z</dcterms:modified>
</cp:coreProperties>
</file>