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38" w:rsidRPr="00686770" w:rsidRDefault="007B7E38" w:rsidP="00686770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  <w:lang w:val="uk-UA"/>
        </w:rPr>
        <w:t>УДК</w:t>
      </w:r>
      <w:r w:rsidR="00C31D5E">
        <w:rPr>
          <w:rFonts w:ascii="Times New Roman" w:eastAsia="Arial Unicode MS" w:hAnsi="Times New Roman" w:cs="Times New Roman"/>
          <w:sz w:val="28"/>
          <w:szCs w:val="28"/>
        </w:rPr>
        <w:t xml:space="preserve"> 616. 233/. 24 – 007.17 – 053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31D5E">
        <w:rPr>
          <w:rFonts w:ascii="Times New Roman" w:eastAsia="Arial Unicode MS" w:hAnsi="Times New Roman" w:cs="Times New Roman"/>
          <w:sz w:val="28"/>
          <w:szCs w:val="28"/>
        </w:rPr>
        <w:t>4 - 085.276: 57. 08</w:t>
      </w:r>
    </w:p>
    <w:p w:rsidR="0012531D" w:rsidRPr="00686770" w:rsidRDefault="0012531D" w:rsidP="00686770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Сенаторова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А.С., Черненко Л.Н.</w:t>
      </w:r>
      <w:r w:rsidR="00686770">
        <w:rPr>
          <w:rFonts w:ascii="Times New Roman" w:eastAsia="Arial Unicode MS" w:hAnsi="Times New Roman" w:cs="Times New Roman"/>
          <w:sz w:val="28"/>
          <w:szCs w:val="28"/>
        </w:rPr>
        <w:t>, Муратов Г.Р., Башкирова Н.В.</w:t>
      </w:r>
    </w:p>
    <w:p w:rsidR="0012531D" w:rsidRPr="00686770" w:rsidRDefault="0012531D" w:rsidP="00686770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2D0893" w:rsidRPr="00686770" w:rsidRDefault="002D0893" w:rsidP="00686770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Кафедра педиатрии №1неонатологии</w:t>
      </w:r>
    </w:p>
    <w:p w:rsidR="003F3B66" w:rsidRPr="00686770" w:rsidRDefault="003F3B66" w:rsidP="00686770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A7333" w:rsidRPr="00686770" w:rsidRDefault="00686770" w:rsidP="0068677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>АНАЛИЗ</w:t>
      </w:r>
      <w:r w:rsidR="0012531D" w:rsidRPr="00686770">
        <w:rPr>
          <w:rFonts w:ascii="Times New Roman" w:eastAsia="Arial Unicode MS" w:hAnsi="Times New Roman" w:cs="Times New Roman"/>
          <w:b/>
          <w:sz w:val="28"/>
          <w:szCs w:val="28"/>
        </w:rPr>
        <w:t xml:space="preserve"> ЭФФЕКТИВНОСТИ </w:t>
      </w: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12531D" w:rsidRPr="00686770">
        <w:rPr>
          <w:rFonts w:ascii="Times New Roman" w:eastAsia="Arial Unicode MS" w:hAnsi="Times New Roman" w:cs="Times New Roman"/>
          <w:b/>
          <w:sz w:val="28"/>
          <w:szCs w:val="28"/>
        </w:rPr>
        <w:t>ПРОТИВО</w:t>
      </w:r>
      <w:r w:rsidR="003F3B66" w:rsidRPr="00686770">
        <w:rPr>
          <w:rFonts w:ascii="Times New Roman" w:eastAsia="Arial Unicode MS" w:hAnsi="Times New Roman" w:cs="Times New Roman"/>
          <w:b/>
          <w:sz w:val="28"/>
          <w:szCs w:val="28"/>
        </w:rPr>
        <w:t>ВОСПАЛИТЕЛЬНОЙ ТЕРАПИИ У ДЕТЕЙ С</w:t>
      </w:r>
      <w:r w:rsidR="0012531D" w:rsidRPr="00686770">
        <w:rPr>
          <w:rFonts w:ascii="Times New Roman" w:eastAsia="Arial Unicode MS" w:hAnsi="Times New Roman" w:cs="Times New Roman"/>
          <w:b/>
          <w:sz w:val="28"/>
          <w:szCs w:val="28"/>
        </w:rPr>
        <w:t xml:space="preserve"> БРОНХОЛЕГОЧНОЙ ДИСПЛАЗИЕЙ</w:t>
      </w:r>
    </w:p>
    <w:p w:rsidR="0012531D" w:rsidRPr="00686770" w:rsidRDefault="0012531D" w:rsidP="0068677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Резюме.</w:t>
      </w: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Бронхолегочная дисплазия - одна из актуальных проблем педиатрии, значение которой выходит за пределы неонатологии и рассматривается как хроническое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обструктивное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заболевание детей раннего возраста. Представлены данные исследований уровней интерлейкина-1ß </w:t>
      </w:r>
      <w:r w:rsidR="008057A0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фактора некроза опухоле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й-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α в индуцированной мокроте как маркеры персистенции хронического воспалительного п</w:t>
      </w:r>
      <w:bookmarkStart w:id="0" w:name="_GoBack"/>
      <w:bookmarkEnd w:id="0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роцесса дыхательных путей,</w:t>
      </w:r>
    </w:p>
    <w:p w:rsidR="0012531D" w:rsidRPr="00686770" w:rsidRDefault="0012531D" w:rsidP="0068677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что позволяет оценить эффективность терапии и сроки отмены применения ингаляционных кортикостероидов.</w:t>
      </w:r>
    </w:p>
    <w:p w:rsidR="0012531D" w:rsidRPr="00686770" w:rsidRDefault="0012531D" w:rsidP="0068677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Ключевые слова:</w:t>
      </w: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бронхолегочная дисплазия,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провоспалительные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цитокины, </w:t>
      </w:r>
      <w:r w:rsidR="003F3B66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ингаляционные кортикостероиды, </w:t>
      </w: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хроническое воспаление.</w:t>
      </w:r>
    </w:p>
    <w:p w:rsidR="005F408A" w:rsidRPr="00C31D5E" w:rsidRDefault="005F408A" w:rsidP="005F408A">
      <w:pPr>
        <w:pStyle w:val="a5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F408A" w:rsidRPr="00681742" w:rsidRDefault="005F408A" w:rsidP="005F408A">
      <w:pPr>
        <w:pStyle w:val="a5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proofErr w:type="spellStart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Senatorova</w:t>
      </w:r>
      <w:proofErr w:type="spellEnd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G.S., </w:t>
      </w:r>
      <w:proofErr w:type="spellStart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Chernenko</w:t>
      </w:r>
      <w:proofErr w:type="spellEnd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L.M., </w:t>
      </w:r>
      <w:proofErr w:type="spellStart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Muratov</w:t>
      </w:r>
      <w:proofErr w:type="spellEnd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G.R., </w:t>
      </w:r>
      <w:proofErr w:type="spellStart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Bashkirova</w:t>
      </w:r>
      <w:proofErr w:type="spellEnd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N.V.</w:t>
      </w:r>
    </w:p>
    <w:p w:rsidR="005F408A" w:rsidRPr="00681742" w:rsidRDefault="005F408A" w:rsidP="005F408A">
      <w:pPr>
        <w:pStyle w:val="a5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proofErr w:type="spellStart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Kharkiv</w:t>
      </w:r>
      <w:proofErr w:type="spellEnd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National Medical University</w:t>
      </w:r>
    </w:p>
    <w:p w:rsidR="005F408A" w:rsidRDefault="005F408A" w:rsidP="005F408A">
      <w:pPr>
        <w:pStyle w:val="a5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Analyses of inhalation anti-inflammatory therapy </w:t>
      </w:r>
    </w:p>
    <w:p w:rsidR="005F408A" w:rsidRPr="00681742" w:rsidRDefault="005F408A" w:rsidP="005F408A">
      <w:pPr>
        <w:pStyle w:val="a5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of</w:t>
      </w:r>
      <w:proofErr w:type="gramEnd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children with </w:t>
      </w:r>
      <w:proofErr w:type="spellStart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bronchopulmonary</w:t>
      </w:r>
      <w:proofErr w:type="spellEnd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dysplasia</w:t>
      </w:r>
    </w:p>
    <w:p w:rsidR="005F408A" w:rsidRPr="00681742" w:rsidRDefault="005F408A" w:rsidP="005F408A">
      <w:pPr>
        <w:pStyle w:val="a5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proofErr w:type="gramStart"/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Summary.</w:t>
      </w:r>
      <w:proofErr w:type="gram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>Bronchopulmonary</w:t>
      </w:r>
      <w:proofErr w:type="spell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dysplasia - one of the urgent problems of Pediatrics, the value of which is outside of neonatology and is regarded as chronic obstructive pulmonary disease in young children.</w:t>
      </w:r>
      <w:proofErr w:type="gram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Presented data from studies in interleukin-1ß and tumor necrosis factor-</w:t>
      </w:r>
      <w:r w:rsidRPr="00681742">
        <w:rPr>
          <w:rFonts w:ascii="Times New Roman" w:eastAsia="Arial Unicode MS" w:hAnsi="Times New Roman" w:cs="Times New Roman"/>
          <w:sz w:val="28"/>
          <w:szCs w:val="28"/>
        </w:rPr>
        <w:t>α</w:t>
      </w:r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in induced sputum as markers of persistent chronic inflammatory </w:t>
      </w:r>
      <w:proofErr w:type="gramStart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airway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>which</w:t>
      </w:r>
      <w:proofErr w:type="gram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allows to evaluate the effectiveness of therapy and possible withdrawal of inhaled corticosteroids.</w:t>
      </w:r>
    </w:p>
    <w:p w:rsidR="005F408A" w:rsidRPr="00686770" w:rsidRDefault="005F408A" w:rsidP="005F408A">
      <w:pPr>
        <w:pStyle w:val="a5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68174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Key words:</w:t>
      </w:r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>bronchopulmonary</w:t>
      </w:r>
      <w:proofErr w:type="spell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dysplasia, </w:t>
      </w:r>
      <w:proofErr w:type="spellStart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>proinflammatory</w:t>
      </w:r>
      <w:proofErr w:type="spell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cytokines, inhaled corticosteroids, chronic inflammation.</w:t>
      </w:r>
    </w:p>
    <w:p w:rsidR="00686770" w:rsidRPr="005F408A" w:rsidRDefault="00686770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12531D" w:rsidRPr="00686770" w:rsidRDefault="00EA3A66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Патология респираторного тракта находится на ведущих позициях в структуре заболеваемости детского населения. Анатомо-физиологические особенности бронхиального дерева определяют высокую частоту заболеваний с поражением мелких бронхов у детей раннего 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</w:rPr>
        <w:t>возраста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и способствует развитию бронхолегочной дисплазии (БЛД) [</w:t>
      </w:r>
      <w:r w:rsidR="002D0893" w:rsidRPr="00686770">
        <w:rPr>
          <w:rFonts w:ascii="Times New Roman" w:eastAsia="Arial Unicode MS" w:hAnsi="Times New Roman" w:cs="Times New Roman"/>
          <w:sz w:val="28"/>
          <w:szCs w:val="28"/>
        </w:rPr>
        <w:t>1, 2, 3, 4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]. Данное заболевание является важной причиной смертности и инвалидности среди детей раннего возраста. В 42% детей с БЛД заболевание имеет хроническое течение с формированием отдаленных легочных последствий, таких как хронический бронхит, интерстициальный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пневмонит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, эмфизема легких, облитерирующий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бронхиолит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>, рецидивирующий бронхит</w:t>
      </w:r>
      <w:r w:rsidR="00BF7396" w:rsidRPr="00686770">
        <w:rPr>
          <w:rFonts w:ascii="Times New Roman" w:eastAsia="Arial Unicode MS" w:hAnsi="Times New Roman" w:cs="Times New Roman"/>
          <w:sz w:val="28"/>
          <w:szCs w:val="28"/>
        </w:rPr>
        <w:t xml:space="preserve">, пневмосклероз, </w:t>
      </w:r>
      <w:proofErr w:type="spellStart"/>
      <w:r w:rsidR="00BF7396" w:rsidRPr="00686770">
        <w:rPr>
          <w:rFonts w:ascii="Times New Roman" w:eastAsia="Arial Unicode MS" w:hAnsi="Times New Roman" w:cs="Times New Roman"/>
          <w:sz w:val="28"/>
          <w:szCs w:val="28"/>
        </w:rPr>
        <w:t>бронхоэктазы</w:t>
      </w:r>
      <w:proofErr w:type="spellEnd"/>
      <w:r w:rsidR="00BF7396" w:rsidRPr="00686770">
        <w:rPr>
          <w:rFonts w:ascii="Times New Roman" w:eastAsia="Arial Unicode MS" w:hAnsi="Times New Roman" w:cs="Times New Roman"/>
          <w:sz w:val="28"/>
          <w:szCs w:val="28"/>
        </w:rPr>
        <w:t xml:space="preserve"> [3, 5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]. Морфологические изменения дыхательной системы при формировании </w:t>
      </w:r>
      <w:r w:rsidR="002F7E04" w:rsidRPr="00686770">
        <w:rPr>
          <w:rFonts w:ascii="Times New Roman" w:eastAsia="Arial Unicode MS" w:hAnsi="Times New Roman" w:cs="Times New Roman"/>
          <w:sz w:val="28"/>
          <w:szCs w:val="28"/>
        </w:rPr>
        <w:t>БЛД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характеризуются уменьшением диаметра бронхов, метаплазией бронхиального эпителия, гипертрофией и гиперплазией гладкой мускулатуры бронхиол и бронхов, перибр</w:t>
      </w:r>
      <w:r w:rsidR="009A7C87" w:rsidRPr="00686770">
        <w:rPr>
          <w:rFonts w:ascii="Times New Roman" w:eastAsia="Arial Unicode MS" w:hAnsi="Times New Roman" w:cs="Times New Roman"/>
          <w:sz w:val="28"/>
          <w:szCs w:val="28"/>
        </w:rPr>
        <w:t>онхиальной гиперпластической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инфильтрацией,</w:t>
      </w:r>
      <w:r w:rsidR="009A7C87" w:rsidRPr="006867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персистирующим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интерстициальным отеком, ин</w:t>
      </w:r>
      <w:r w:rsidR="00BF7396" w:rsidRPr="00686770">
        <w:rPr>
          <w:rFonts w:ascii="Times New Roman" w:eastAsia="Arial Unicode MS" w:hAnsi="Times New Roman" w:cs="Times New Roman"/>
          <w:sz w:val="28"/>
          <w:szCs w:val="28"/>
        </w:rPr>
        <w:t>терстициальным фиброзом [3, 4, 6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], т.е. представляет собой вариант хронического 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</w:rPr>
        <w:t>воспаления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на фоне морфологически измененных структур бронхолегочной системы и характеризуется персистенцией хронического воспаления низкой интенсивности с активацией </w:t>
      </w:r>
      <w:r w:rsidR="00EF5652" w:rsidRPr="00686770">
        <w:rPr>
          <w:rFonts w:ascii="Times New Roman" w:eastAsia="Arial Unicode MS" w:hAnsi="Times New Roman" w:cs="Times New Roman"/>
          <w:sz w:val="28"/>
          <w:szCs w:val="28"/>
        </w:rPr>
        <w:t>клеточного звена иммунитета [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8</w:t>
      </w:r>
      <w:r w:rsidR="008E3068" w:rsidRPr="0068677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gramStart"/>
      <w:r w:rsidR="008E3068" w:rsidRPr="00686770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].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Макрофаги и тучные клетки, присутствующие в тканях, где возникло воспаление, активируются и высвобождают различные медиаторы, цитокины и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хемокины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>. Ключевая роль в реализации воспалительной реакции и в целом реакций первой линии иммунной</w:t>
      </w:r>
      <w:r w:rsidR="002F7E04" w:rsidRPr="00686770">
        <w:rPr>
          <w:rFonts w:ascii="Times New Roman" w:eastAsia="Arial Unicode MS" w:hAnsi="Times New Roman" w:cs="Times New Roman"/>
          <w:sz w:val="28"/>
          <w:szCs w:val="28"/>
        </w:rPr>
        <w:t xml:space="preserve"> защиты принадлежит интерлейкину-1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β</w:t>
      </w:r>
      <w:r w:rsidR="000B2920" w:rsidRPr="00686770">
        <w:rPr>
          <w:rFonts w:ascii="Times New Roman" w:eastAsia="Arial Unicode MS" w:hAnsi="Times New Roman" w:cs="Times New Roman"/>
          <w:sz w:val="28"/>
          <w:szCs w:val="28"/>
        </w:rPr>
        <w:t xml:space="preserve"> (IL-1β)</w:t>
      </w:r>
      <w:r w:rsidR="002F7E04" w:rsidRPr="00686770">
        <w:rPr>
          <w:rFonts w:ascii="Times New Roman" w:eastAsia="Arial Unicode MS" w:hAnsi="Times New Roman" w:cs="Times New Roman"/>
          <w:sz w:val="28"/>
          <w:szCs w:val="28"/>
        </w:rPr>
        <w:t>, интерлейкину-6, интерлейкину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-12 и факт</w:t>
      </w:r>
      <w:r w:rsidR="00A81E82" w:rsidRPr="00686770">
        <w:rPr>
          <w:rFonts w:ascii="Times New Roman" w:eastAsia="Arial Unicode MS" w:hAnsi="Times New Roman" w:cs="Times New Roman"/>
          <w:sz w:val="28"/>
          <w:szCs w:val="28"/>
        </w:rPr>
        <w:t>ору</w:t>
      </w:r>
      <w:r w:rsidR="002F7E04" w:rsidRPr="00686770">
        <w:rPr>
          <w:rFonts w:ascii="Times New Roman" w:eastAsia="Arial Unicode MS" w:hAnsi="Times New Roman" w:cs="Times New Roman"/>
          <w:sz w:val="28"/>
          <w:szCs w:val="28"/>
        </w:rPr>
        <w:t xml:space="preserve"> некроза опухолей - α (ФНО-α) [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2, </w:t>
      </w:r>
      <w:r w:rsidR="00BF7396" w:rsidRPr="00686770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]. Подтверждением этого являются высокие концентрации в сыворотке крови, </w:t>
      </w:r>
      <w:r w:rsidR="008057A0" w:rsidRPr="00686770">
        <w:rPr>
          <w:rFonts w:ascii="Times New Roman" w:eastAsia="Arial Unicode MS" w:hAnsi="Times New Roman" w:cs="Times New Roman"/>
          <w:sz w:val="28"/>
          <w:szCs w:val="28"/>
        </w:rPr>
        <w:t>больных бронхолегочной дисплазией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провоспалительных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цитокинов (прежде всего, интерлейкин</w:t>
      </w:r>
      <w:r w:rsidR="00935F87" w:rsidRPr="00686770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-1ß, интерлейкин</w:t>
      </w:r>
      <w:r w:rsidR="00935F87" w:rsidRPr="00686770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-6, 12, фактора некроза оп</w:t>
      </w:r>
      <w:r w:rsidR="0026588E" w:rsidRPr="00686770">
        <w:rPr>
          <w:rFonts w:ascii="Times New Roman" w:eastAsia="Arial Unicode MS" w:hAnsi="Times New Roman" w:cs="Times New Roman"/>
          <w:sz w:val="28"/>
          <w:szCs w:val="28"/>
        </w:rPr>
        <w:t>ухоле</w:t>
      </w:r>
      <w:proofErr w:type="gramStart"/>
      <w:r w:rsidR="0026588E" w:rsidRPr="00686770">
        <w:rPr>
          <w:rFonts w:ascii="Times New Roman" w:eastAsia="Arial Unicode MS" w:hAnsi="Times New Roman" w:cs="Times New Roman"/>
          <w:sz w:val="28"/>
          <w:szCs w:val="28"/>
        </w:rPr>
        <w:t>й-</w:t>
      </w:r>
      <w:proofErr w:type="gramEnd"/>
      <w:r w:rsidR="0026588E" w:rsidRPr="00686770">
        <w:rPr>
          <w:rFonts w:ascii="Times New Roman" w:eastAsia="Arial Unicode MS" w:hAnsi="Times New Roman" w:cs="Times New Roman"/>
          <w:sz w:val="28"/>
          <w:szCs w:val="28"/>
        </w:rPr>
        <w:t>α). Однако, данные уровней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F7E04" w:rsidRPr="00686770">
        <w:rPr>
          <w:rFonts w:ascii="Times New Roman" w:eastAsia="Arial Unicode MS" w:hAnsi="Times New Roman" w:cs="Times New Roman"/>
          <w:sz w:val="28"/>
          <w:szCs w:val="28"/>
        </w:rPr>
        <w:t>активности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указ</w:t>
      </w:r>
      <w:r w:rsidR="0026588E" w:rsidRPr="00686770">
        <w:rPr>
          <w:rFonts w:ascii="Times New Roman" w:eastAsia="Arial Unicode MS" w:hAnsi="Times New Roman" w:cs="Times New Roman"/>
          <w:sz w:val="28"/>
          <w:szCs w:val="28"/>
        </w:rPr>
        <w:t>анных цитокинов в индуцированной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мокроте, учитывая постнатальное развитие бронхолегочной системы, отсутствуют. Кроме того, длительная циркуляция и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гиперпродукция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цитокинов имеет неблагоприятное прогностическое значение. В настоящее время одной из важнейших проблем детской пульмонологии является поиск путей, которые позволят затормозить прогрессирование хронического заболевания легких. </w:t>
      </w:r>
    </w:p>
    <w:p w:rsidR="0026588E" w:rsidRPr="00686770" w:rsidRDefault="003F3B66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БЛД является крайне трудно поддающимся профилактике и лечению заболеванием. Одним </w:t>
      </w:r>
      <w:r w:rsidR="000B2920" w:rsidRPr="00686770">
        <w:rPr>
          <w:rFonts w:ascii="Times New Roman" w:eastAsia="Arial Unicode MS" w:hAnsi="Times New Roman" w:cs="Times New Roman"/>
          <w:sz w:val="28"/>
          <w:szCs w:val="28"/>
        </w:rPr>
        <w:t>из важных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патогенетических альтернативных направлений лечения</w:t>
      </w:r>
      <w:r w:rsidR="000B2920" w:rsidRPr="00686770">
        <w:rPr>
          <w:rFonts w:ascii="Times New Roman" w:eastAsia="Arial Unicode MS" w:hAnsi="Times New Roman" w:cs="Times New Roman"/>
          <w:sz w:val="28"/>
          <w:szCs w:val="28"/>
        </w:rPr>
        <w:t xml:space="preserve"> бронхолегочной дисплазии у детей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является назначение ингаляционных кортикостероидов</w:t>
      </w:r>
      <w:r w:rsidR="000B2920" w:rsidRPr="00686770">
        <w:rPr>
          <w:rFonts w:ascii="Times New Roman" w:eastAsia="Arial Unicode MS" w:hAnsi="Times New Roman" w:cs="Times New Roman"/>
          <w:sz w:val="28"/>
          <w:szCs w:val="28"/>
        </w:rPr>
        <w:t xml:space="preserve"> (ИКС)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с противовоспалительной целью. </w:t>
      </w:r>
      <w:r w:rsidR="0026588E" w:rsidRPr="00686770">
        <w:rPr>
          <w:rFonts w:ascii="Times New Roman" w:eastAsia="Arial Unicode MS" w:hAnsi="Times New Roman" w:cs="Times New Roman"/>
          <w:sz w:val="28"/>
          <w:szCs w:val="28"/>
        </w:rPr>
        <w:t xml:space="preserve">В связи с этим представляет клинический интерес исследование уровней </w:t>
      </w:r>
      <w:proofErr w:type="spellStart"/>
      <w:r w:rsidR="0026588E" w:rsidRPr="00686770">
        <w:rPr>
          <w:rFonts w:ascii="Times New Roman" w:eastAsia="Arial Unicode MS" w:hAnsi="Times New Roman" w:cs="Times New Roman"/>
          <w:sz w:val="28"/>
          <w:szCs w:val="28"/>
        </w:rPr>
        <w:t>провоспалительных</w:t>
      </w:r>
      <w:proofErr w:type="spellEnd"/>
      <w:r w:rsidR="0026588E" w:rsidRPr="00686770">
        <w:rPr>
          <w:rFonts w:ascii="Times New Roman" w:eastAsia="Arial Unicode MS" w:hAnsi="Times New Roman" w:cs="Times New Roman"/>
          <w:sz w:val="28"/>
          <w:szCs w:val="28"/>
        </w:rPr>
        <w:t xml:space="preserve"> цитокинов в индуцированной мокроте с целью оценки эффективности терапии и сроки отмены ИКС у детей с БЛД.</w:t>
      </w:r>
    </w:p>
    <w:p w:rsidR="008663F5" w:rsidRPr="00686770" w:rsidRDefault="000B2920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>Цель работы</w:t>
      </w:r>
      <w:r w:rsidR="008B4626" w:rsidRPr="00686770">
        <w:rPr>
          <w:rFonts w:ascii="Times New Roman" w:eastAsia="Arial Unicode MS" w:hAnsi="Times New Roman" w:cs="Times New Roman"/>
          <w:sz w:val="28"/>
          <w:szCs w:val="28"/>
        </w:rPr>
        <w:t xml:space="preserve"> –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663F5" w:rsidRPr="00686770">
        <w:rPr>
          <w:rFonts w:ascii="Times New Roman" w:eastAsia="Arial Unicode MS" w:hAnsi="Times New Roman" w:cs="Times New Roman"/>
          <w:sz w:val="28"/>
          <w:szCs w:val="28"/>
        </w:rPr>
        <w:t xml:space="preserve">изучить уровни IL-1ß </w:t>
      </w:r>
      <w:r w:rsidR="00CF5021" w:rsidRPr="00686770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8663F5" w:rsidRPr="00686770">
        <w:rPr>
          <w:rFonts w:ascii="Times New Roman" w:eastAsia="Arial Unicode MS" w:hAnsi="Times New Roman" w:cs="Times New Roman"/>
          <w:sz w:val="28"/>
          <w:szCs w:val="28"/>
        </w:rPr>
        <w:t>ФН</w:t>
      </w:r>
      <w:proofErr w:type="gramStart"/>
      <w:r w:rsidR="008663F5" w:rsidRPr="00686770">
        <w:rPr>
          <w:rFonts w:ascii="Times New Roman" w:eastAsia="Arial Unicode MS" w:hAnsi="Times New Roman" w:cs="Times New Roman"/>
          <w:sz w:val="28"/>
          <w:szCs w:val="28"/>
        </w:rPr>
        <w:t>О-</w:t>
      </w:r>
      <w:proofErr w:type="gramEnd"/>
      <w:r w:rsidR="008663F5" w:rsidRPr="00686770">
        <w:rPr>
          <w:rFonts w:ascii="Times New Roman" w:eastAsia="Arial Unicode MS" w:hAnsi="Times New Roman" w:cs="Times New Roman"/>
          <w:sz w:val="28"/>
          <w:szCs w:val="28"/>
        </w:rPr>
        <w:t xml:space="preserve">α в индуцированной мокроте у детей с бронхолегочной дисплазией для </w:t>
      </w:r>
      <w:r w:rsidR="00686770">
        <w:rPr>
          <w:rFonts w:ascii="Times New Roman" w:eastAsia="Arial Unicode MS" w:hAnsi="Times New Roman" w:cs="Times New Roman"/>
          <w:sz w:val="28"/>
          <w:szCs w:val="28"/>
        </w:rPr>
        <w:t xml:space="preserve">анализа </w:t>
      </w:r>
      <w:r w:rsidR="008663F5" w:rsidRPr="00686770">
        <w:rPr>
          <w:rFonts w:ascii="Times New Roman" w:eastAsia="Arial Unicode MS" w:hAnsi="Times New Roman" w:cs="Times New Roman"/>
          <w:sz w:val="28"/>
          <w:szCs w:val="28"/>
        </w:rPr>
        <w:t>эффективности и сроков отмены ингаляционных кортикостероидов.</w:t>
      </w:r>
    </w:p>
    <w:p w:rsidR="00CE2564" w:rsidRPr="00686770" w:rsidRDefault="00CE2564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>Материалы и методы.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Исследование проводилось на кафедре педиатрии № 1 и неонатологии Харьковского национального медицинского университета (заведующая кафедрой - д.м.н., профессор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Г.С.Сенаторова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) на базе Областного центра диагностики и лечения бронхолегочной дисплазии у детей Харьковской областной детской больницы (главный врач - к.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мед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</w:rPr>
        <w:t>.н</w:t>
      </w:r>
      <w:proofErr w:type="spellEnd"/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., доцент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Г.Р.Муратов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>, руководитель центра - к.м.н., ассисте</w:t>
      </w:r>
      <w:r w:rsidR="00C87F13" w:rsidRPr="00686770">
        <w:rPr>
          <w:rFonts w:ascii="Times New Roman" w:eastAsia="Arial Unicode MS" w:hAnsi="Times New Roman" w:cs="Times New Roman"/>
          <w:sz w:val="28"/>
          <w:szCs w:val="28"/>
        </w:rPr>
        <w:t xml:space="preserve">нт </w:t>
      </w:r>
      <w:proofErr w:type="spellStart"/>
      <w:r w:rsidR="00C87F13" w:rsidRPr="00686770">
        <w:rPr>
          <w:rFonts w:ascii="Times New Roman" w:eastAsia="Arial Unicode MS" w:hAnsi="Times New Roman" w:cs="Times New Roman"/>
          <w:sz w:val="28"/>
          <w:szCs w:val="28"/>
        </w:rPr>
        <w:t>О.Л.Логвинова</w:t>
      </w:r>
      <w:proofErr w:type="spellEnd"/>
      <w:r w:rsidR="00C87F13" w:rsidRPr="00686770">
        <w:rPr>
          <w:rFonts w:ascii="Times New Roman" w:eastAsia="Arial Unicode MS" w:hAnsi="Times New Roman" w:cs="Times New Roman"/>
          <w:sz w:val="28"/>
          <w:szCs w:val="28"/>
        </w:rPr>
        <w:t>).</w:t>
      </w:r>
      <w:r w:rsidR="00C87F13" w:rsidRPr="00686770">
        <w:rPr>
          <w:rFonts w:ascii="Times New Roman" w:eastAsia="Arial Unicode MS" w:hAnsi="Times New Roman" w:cs="Times New Roman"/>
          <w:sz w:val="28"/>
          <w:szCs w:val="28"/>
        </w:rPr>
        <w:br/>
        <w:t>Обследовано 5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8 детей в возрасте от 1 ме</w:t>
      </w:r>
      <w:r w:rsidR="00C87F13" w:rsidRPr="00686770">
        <w:rPr>
          <w:rFonts w:ascii="Times New Roman" w:eastAsia="Arial Unicode MS" w:hAnsi="Times New Roman" w:cs="Times New Roman"/>
          <w:sz w:val="28"/>
          <w:szCs w:val="28"/>
        </w:rPr>
        <w:t>сяца до 3 лет, среди которых у 44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пациентов диагностирована классическая форм</w:t>
      </w:r>
      <w:r w:rsidR="00CF5021" w:rsidRPr="00686770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БЛД (1-я группа), </w:t>
      </w:r>
      <w:r w:rsidR="00C87F13" w:rsidRPr="00686770">
        <w:rPr>
          <w:rFonts w:ascii="Times New Roman" w:eastAsia="Arial Unicode MS" w:hAnsi="Times New Roman" w:cs="Times New Roman"/>
          <w:sz w:val="28"/>
          <w:szCs w:val="28"/>
        </w:rPr>
        <w:t>у 14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- БЛД доношенных (2-я группа). </w:t>
      </w:r>
      <w:r w:rsidR="002D0893" w:rsidRPr="00686770">
        <w:rPr>
          <w:rFonts w:ascii="Times New Roman" w:eastAsia="Arial Unicode MS" w:hAnsi="Times New Roman" w:cs="Times New Roman"/>
          <w:sz w:val="28"/>
          <w:szCs w:val="28"/>
        </w:rPr>
        <w:t xml:space="preserve">Группу сравнения составили 20 практически здоровых ребенка аналогичного возраста, которые не имели жалоб, клинических признаков, анамнестических данных, свидетельствующие о наличии какого-либо хронического заболевания. 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Диагноз бронхолегочная дисплазия был установлен согласно международной класси</w:t>
      </w:r>
      <w:r w:rsidR="00686770">
        <w:rPr>
          <w:rFonts w:ascii="Times New Roman" w:eastAsia="Arial Unicode MS" w:hAnsi="Times New Roman" w:cs="Times New Roman"/>
          <w:sz w:val="28"/>
          <w:szCs w:val="28"/>
        </w:rPr>
        <w:t xml:space="preserve">фикации болезней 10 пересмотра. 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Забор 0,5 мл индуцированной мокроты проводился</w:t>
      </w:r>
      <w:r w:rsidR="006867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натощак после ингал</w:t>
      </w:r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 xml:space="preserve">яции физиологического раствора. Уровни  IL-1ß </w:t>
      </w:r>
      <w:r w:rsidR="00CF5021" w:rsidRPr="00686770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ФН</w:t>
      </w:r>
      <w:proofErr w:type="gramStart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О-</w:t>
      </w:r>
      <w:proofErr w:type="gramEnd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α в индуцированной мокроте изучались методом иммуноферментного анализа с помощью стандартного набора для кол</w:t>
      </w:r>
      <w:r w:rsidR="00686770">
        <w:rPr>
          <w:rFonts w:ascii="Times New Roman" w:eastAsia="Arial Unicode MS" w:hAnsi="Times New Roman" w:cs="Times New Roman"/>
          <w:sz w:val="28"/>
          <w:szCs w:val="28"/>
        </w:rPr>
        <w:t xml:space="preserve">ичественного определения фирмы </w:t>
      </w:r>
      <w:r w:rsidR="00686770">
        <w:rPr>
          <w:rFonts w:ascii="Times New Roman" w:eastAsia="Arial Unicode MS" w:hAnsi="Times New Roman" w:cs="Times New Roman"/>
          <w:sz w:val="28"/>
          <w:szCs w:val="28"/>
        </w:rPr>
        <w:lastRenderedPageBreak/>
        <w:t>«</w:t>
      </w:r>
      <w:proofErr w:type="spellStart"/>
      <w:r w:rsidR="00686770">
        <w:rPr>
          <w:rFonts w:ascii="Times New Roman" w:eastAsia="Arial Unicode MS" w:hAnsi="Times New Roman" w:cs="Times New Roman"/>
          <w:sz w:val="28"/>
          <w:szCs w:val="28"/>
        </w:rPr>
        <w:t>Bender</w:t>
      </w:r>
      <w:proofErr w:type="spellEnd"/>
      <w:r w:rsidR="006867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686770">
        <w:rPr>
          <w:rFonts w:ascii="Times New Roman" w:eastAsia="Arial Unicode MS" w:hAnsi="Times New Roman" w:cs="Times New Roman"/>
          <w:sz w:val="28"/>
          <w:szCs w:val="28"/>
        </w:rPr>
        <w:t>Medsystems</w:t>
      </w:r>
      <w:proofErr w:type="spellEnd"/>
      <w:r w:rsidR="00686770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 xml:space="preserve">(США). </w:t>
      </w:r>
      <w:proofErr w:type="gramStart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 xml:space="preserve">Указанные </w:t>
      </w:r>
      <w:proofErr w:type="spellStart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провоспалительные</w:t>
      </w:r>
      <w:proofErr w:type="spellEnd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 xml:space="preserve"> цитокины изучались дважды:  до начала применения ИКС – </w:t>
      </w:r>
      <w:proofErr w:type="spellStart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будесонида</w:t>
      </w:r>
      <w:proofErr w:type="spellEnd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пульмикорта</w:t>
      </w:r>
      <w:proofErr w:type="spellEnd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) в дозе 400 мкг/</w:t>
      </w:r>
      <w:proofErr w:type="spellStart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сут</w:t>
      </w:r>
      <w:proofErr w:type="spellEnd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 xml:space="preserve"> через компрессионный </w:t>
      </w:r>
      <w:proofErr w:type="spellStart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небулайзер</w:t>
      </w:r>
      <w:proofErr w:type="spellEnd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 xml:space="preserve">, и через </w:t>
      </w:r>
      <w:r w:rsidR="00442590" w:rsidRPr="00686770">
        <w:rPr>
          <w:rFonts w:ascii="Times New Roman" w:eastAsia="Arial Unicode MS" w:hAnsi="Times New Roman" w:cs="Times New Roman"/>
          <w:sz w:val="28"/>
          <w:szCs w:val="28"/>
        </w:rPr>
        <w:t>3 месяца</w:t>
      </w:r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 xml:space="preserve"> от начала лечения.</w:t>
      </w:r>
      <w:proofErr w:type="gramEnd"/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Информированное согласие родители детей подписывали до начала исследования. Статистическую обработку полученных данных проводили с помощью статистического пакета программы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Statistica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7.0. При оценке различий средних для признаков, рас</w:t>
      </w:r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пределение которых отличалось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от нормального - критерии Манна-Уитни и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Краскела-Уоллис</w:t>
      </w:r>
      <w:r w:rsidR="007650E3" w:rsidRPr="00686770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. Результаты считались статистически достоверными при значениях 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&lt;0,05.</w:t>
      </w:r>
    </w:p>
    <w:p w:rsidR="00686770" w:rsidRPr="00686770" w:rsidRDefault="0030310A" w:rsidP="0068677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>Результаты.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440B" w:rsidRPr="00686770">
        <w:rPr>
          <w:rFonts w:ascii="Times New Roman" w:eastAsia="Arial Unicode MS" w:hAnsi="Times New Roman" w:cs="Times New Roman"/>
          <w:sz w:val="28"/>
          <w:szCs w:val="28"/>
        </w:rPr>
        <w:t xml:space="preserve">В индуцированной мокроте детей с различными формами БЛД по сравнению с контролем, отмечалось достоверное повышение уровней </w:t>
      </w:r>
      <w:r w:rsidR="00D45EDF" w:rsidRPr="00686770">
        <w:rPr>
          <w:rFonts w:ascii="Times New Roman" w:eastAsia="Arial Unicode MS" w:hAnsi="Times New Roman" w:cs="Times New Roman"/>
          <w:sz w:val="28"/>
          <w:szCs w:val="28"/>
        </w:rPr>
        <w:t>фактора некроза опухоле</w:t>
      </w:r>
      <w:proofErr w:type="gramStart"/>
      <w:r w:rsidR="00D45EDF" w:rsidRPr="00686770">
        <w:rPr>
          <w:rFonts w:ascii="Times New Roman" w:eastAsia="Arial Unicode MS" w:hAnsi="Times New Roman" w:cs="Times New Roman"/>
          <w:sz w:val="28"/>
          <w:szCs w:val="28"/>
        </w:rPr>
        <w:t>й-</w:t>
      </w:r>
      <w:proofErr w:type="gramEnd"/>
      <w:r w:rsidR="00D45EDF" w:rsidRPr="00686770">
        <w:rPr>
          <w:rFonts w:ascii="Times New Roman" w:eastAsia="Arial Unicode MS" w:hAnsi="Times New Roman" w:cs="Times New Roman"/>
          <w:sz w:val="28"/>
          <w:szCs w:val="28"/>
        </w:rPr>
        <w:t xml:space="preserve">α (табл. 1) и </w:t>
      </w:r>
      <w:r w:rsidR="009E440B" w:rsidRPr="00686770">
        <w:rPr>
          <w:rFonts w:ascii="Times New Roman" w:eastAsia="Arial Unicode MS" w:hAnsi="Times New Roman" w:cs="Times New Roman"/>
          <w:sz w:val="28"/>
          <w:szCs w:val="28"/>
        </w:rPr>
        <w:t>интерлейкина-1β (</w:t>
      </w:r>
      <w:r w:rsidR="00D45EDF" w:rsidRPr="00686770">
        <w:rPr>
          <w:rFonts w:ascii="Times New Roman" w:eastAsia="Arial Unicode MS" w:hAnsi="Times New Roman" w:cs="Times New Roman"/>
          <w:sz w:val="28"/>
          <w:szCs w:val="28"/>
        </w:rPr>
        <w:t>табл. 2</w:t>
      </w:r>
      <w:r w:rsidR="009E440B" w:rsidRPr="00686770">
        <w:rPr>
          <w:rFonts w:ascii="Times New Roman" w:eastAsia="Arial Unicode MS" w:hAnsi="Times New Roman" w:cs="Times New Roman"/>
          <w:sz w:val="28"/>
          <w:szCs w:val="28"/>
        </w:rPr>
        <w:t>)</w:t>
      </w:r>
      <w:r w:rsidR="00D45EDF" w:rsidRPr="0068677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E440B" w:rsidRPr="00686770" w:rsidRDefault="009E440B" w:rsidP="00686770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Таблица 1</w:t>
      </w:r>
    </w:p>
    <w:p w:rsidR="0030310A" w:rsidRPr="00686770" w:rsidRDefault="009E440B" w:rsidP="00686770">
      <w:pPr>
        <w:spacing w:after="0" w:line="36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>Статистические характеристики активности ФН</w:t>
      </w:r>
      <w:proofErr w:type="gramStart"/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>О-</w:t>
      </w:r>
      <w:proofErr w:type="gramEnd"/>
      <w:r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α</w:t>
      </w:r>
      <w:r w:rsidR="00266047"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в индуцированной мокроте </w:t>
      </w:r>
      <w:r w:rsidR="007650E3"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 детей с БЛД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4"/>
        <w:gridCol w:w="1574"/>
        <w:gridCol w:w="1738"/>
        <w:gridCol w:w="6"/>
        <w:gridCol w:w="1438"/>
        <w:gridCol w:w="1917"/>
      </w:tblGrid>
      <w:tr w:rsidR="0030310A" w:rsidRPr="00686770" w:rsidTr="00253CA1">
        <w:tc>
          <w:tcPr>
            <w:tcW w:w="2776" w:type="dxa"/>
            <w:vMerge w:val="restart"/>
            <w:shd w:val="clear" w:color="auto" w:fill="auto"/>
          </w:tcPr>
          <w:p w:rsidR="0030310A" w:rsidRPr="00686770" w:rsidRDefault="00266047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Груп</w:t>
            </w:r>
            <w:r w:rsidR="00D46993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ы де</w:t>
            </w:r>
            <w:r w:rsidR="0030310A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тей</w:t>
            </w:r>
          </w:p>
        </w:tc>
        <w:tc>
          <w:tcPr>
            <w:tcW w:w="4770" w:type="dxa"/>
            <w:gridSpan w:val="5"/>
            <w:shd w:val="clear" w:color="auto" w:fill="auto"/>
          </w:tcPr>
          <w:p w:rsidR="0030310A" w:rsidRPr="00686770" w:rsidRDefault="00266047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Фактор некроза опухол</w:t>
            </w:r>
            <w:proofErr w:type="gram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</w:t>
            </w:r>
            <w:r w:rsidR="0030310A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30310A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α, </w:t>
            </w:r>
            <w:proofErr w:type="spellStart"/>
            <w:r w:rsidR="0030310A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пг</w:t>
            </w:r>
            <w:proofErr w:type="spellEnd"/>
            <w:r w:rsidR="0030310A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</w:p>
        </w:tc>
      </w:tr>
      <w:tr w:rsidR="0030310A" w:rsidRPr="00686770" w:rsidTr="00253CA1">
        <w:tc>
          <w:tcPr>
            <w:tcW w:w="2776" w:type="dxa"/>
            <w:vMerge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Lq</w:t>
            </w:r>
            <w:proofErr w:type="spellEnd"/>
          </w:p>
        </w:tc>
        <w:tc>
          <w:tcPr>
            <w:tcW w:w="1444" w:type="dxa"/>
            <w:gridSpan w:val="2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Uq</w:t>
            </w:r>
            <w:proofErr w:type="spellEnd"/>
          </w:p>
        </w:tc>
        <w:tc>
          <w:tcPr>
            <w:tcW w:w="1917" w:type="dxa"/>
            <w:vMerge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10A" w:rsidRPr="00686770" w:rsidTr="00253CA1">
        <w:tc>
          <w:tcPr>
            <w:tcW w:w="2776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1-а груп</w:t>
            </w:r>
            <w:r w:rsidR="00D46993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36,96</w:t>
            </w:r>
          </w:p>
        </w:tc>
        <w:tc>
          <w:tcPr>
            <w:tcW w:w="1738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33,86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43,65</w:t>
            </w:r>
          </w:p>
        </w:tc>
        <w:tc>
          <w:tcPr>
            <w:tcW w:w="1917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686770" w:rsidTr="00253CA1">
        <w:tc>
          <w:tcPr>
            <w:tcW w:w="2790" w:type="dxa"/>
            <w:gridSpan w:val="2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2-я гру</w:t>
            </w:r>
            <w:r w:rsidR="00D46993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па </w:t>
            </w:r>
          </w:p>
        </w:tc>
        <w:tc>
          <w:tcPr>
            <w:tcW w:w="1574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38,13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35,95</w:t>
            </w:r>
          </w:p>
        </w:tc>
        <w:tc>
          <w:tcPr>
            <w:tcW w:w="1438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48,75</w:t>
            </w:r>
          </w:p>
        </w:tc>
        <w:tc>
          <w:tcPr>
            <w:tcW w:w="1917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686770" w:rsidTr="00253CA1">
        <w:tc>
          <w:tcPr>
            <w:tcW w:w="2790" w:type="dxa"/>
            <w:gridSpan w:val="2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74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25,75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24,04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28,34</w:t>
            </w:r>
          </w:p>
        </w:tc>
        <w:tc>
          <w:tcPr>
            <w:tcW w:w="1917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686770" w:rsidTr="00253CA1">
        <w:tc>
          <w:tcPr>
            <w:tcW w:w="2790" w:type="dxa"/>
            <w:gridSpan w:val="2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KW</w:t>
            </w:r>
          </w:p>
        </w:tc>
        <w:tc>
          <w:tcPr>
            <w:tcW w:w="6673" w:type="dxa"/>
            <w:gridSpan w:val="5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Н=29,02; </w:t>
            </w:r>
            <w:proofErr w:type="gram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=0,0000</w:t>
            </w:r>
          </w:p>
        </w:tc>
      </w:tr>
      <w:tr w:rsidR="00442590" w:rsidRPr="00686770" w:rsidTr="00253CA1">
        <w:tc>
          <w:tcPr>
            <w:tcW w:w="2790" w:type="dxa"/>
            <w:gridSpan w:val="2"/>
            <w:shd w:val="clear" w:color="auto" w:fill="auto"/>
          </w:tcPr>
          <w:p w:rsidR="00442590" w:rsidRPr="00686770" w:rsidRDefault="00442590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MW</w:t>
            </w:r>
          </w:p>
        </w:tc>
        <w:tc>
          <w:tcPr>
            <w:tcW w:w="6673" w:type="dxa"/>
            <w:gridSpan w:val="5"/>
            <w:shd w:val="clear" w:color="auto" w:fill="auto"/>
          </w:tcPr>
          <w:p w:rsidR="00442590" w:rsidRPr="00686770" w:rsidRDefault="00442590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>1-2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=0,3341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 </w:t>
            </w:r>
            <w:proofErr w:type="gram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1-3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=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0,4547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 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2-3 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=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0,1656</w:t>
            </w:r>
          </w:p>
        </w:tc>
      </w:tr>
    </w:tbl>
    <w:p w:rsidR="00442590" w:rsidRPr="00686770" w:rsidRDefault="00266047" w:rsidP="0068677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Примечание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</w:t>
      </w:r>
      <w:r w:rsidR="00D46993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</w:t>
      </w: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вень статистической значимости различий при сравнении с контролем; KW – дисперсионный анализ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Краск</w:t>
      </w:r>
      <w:r w:rsidR="00442590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ла-Уоллиса</w:t>
      </w:r>
      <w:proofErr w:type="spellEnd"/>
      <w:r w:rsidR="00D46993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; </w:t>
      </w:r>
      <w:r w:rsidR="00442590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MW – статистический метод попарного сравнения Манна-Уитни</w:t>
      </w:r>
    </w:p>
    <w:p w:rsidR="008E3068" w:rsidRPr="00C31D5E" w:rsidRDefault="008E3068" w:rsidP="00686770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408A" w:rsidRPr="00C31D5E" w:rsidRDefault="005F408A" w:rsidP="00686770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408A" w:rsidRPr="00C31D5E" w:rsidRDefault="005F408A" w:rsidP="00686770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408A" w:rsidRPr="00C31D5E" w:rsidRDefault="005F408A" w:rsidP="00686770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408A" w:rsidRPr="00C31D5E" w:rsidRDefault="005F408A" w:rsidP="00686770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408A" w:rsidRPr="00C31D5E" w:rsidRDefault="005F408A" w:rsidP="00686770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50E3" w:rsidRPr="00686770" w:rsidRDefault="007650E3" w:rsidP="00686770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7650E3" w:rsidRPr="00686770" w:rsidRDefault="007650E3" w:rsidP="0068677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Статистические характеристики активности </w:t>
      </w:r>
      <w:r w:rsidR="00442590"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IL</w:t>
      </w:r>
      <w:r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</w:t>
      </w:r>
      <w:r w:rsidR="00D45EDF"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</w:t>
      </w:r>
      <w:r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β </w:t>
      </w:r>
    </w:p>
    <w:p w:rsidR="0030310A" w:rsidRPr="00686770" w:rsidRDefault="007650E3" w:rsidP="0068677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в индуцированной мокроте у детей с БЛД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575"/>
        <w:gridCol w:w="1745"/>
        <w:gridCol w:w="1438"/>
        <w:gridCol w:w="1914"/>
      </w:tblGrid>
      <w:tr w:rsidR="0030310A" w:rsidRPr="00686770" w:rsidTr="0030310A">
        <w:tc>
          <w:tcPr>
            <w:tcW w:w="2791" w:type="dxa"/>
            <w:vMerge w:val="restart"/>
            <w:shd w:val="clear" w:color="auto" w:fill="auto"/>
          </w:tcPr>
          <w:p w:rsidR="0030310A" w:rsidRPr="00686770" w:rsidRDefault="00442590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Группы де</w:t>
            </w:r>
            <w:r w:rsidR="0030310A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тей</w:t>
            </w:r>
          </w:p>
        </w:tc>
        <w:tc>
          <w:tcPr>
            <w:tcW w:w="4758" w:type="dxa"/>
            <w:gridSpan w:val="3"/>
            <w:shd w:val="clear" w:color="auto" w:fill="auto"/>
          </w:tcPr>
          <w:p w:rsidR="0030310A" w:rsidRPr="00686770" w:rsidRDefault="00442590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Інтерлейки</w:t>
            </w:r>
            <w:r w:rsidR="0030310A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н-1β, </w:t>
            </w:r>
            <w:proofErr w:type="spellStart"/>
            <w:r w:rsidR="0030310A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пг</w:t>
            </w:r>
            <w:proofErr w:type="spellEnd"/>
            <w:r w:rsidR="0030310A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</w:p>
        </w:tc>
      </w:tr>
      <w:tr w:rsidR="0030310A" w:rsidRPr="00686770" w:rsidTr="0030310A">
        <w:tc>
          <w:tcPr>
            <w:tcW w:w="2791" w:type="dxa"/>
            <w:vMerge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Lq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Uq</w:t>
            </w:r>
            <w:proofErr w:type="spellEnd"/>
          </w:p>
        </w:tc>
        <w:tc>
          <w:tcPr>
            <w:tcW w:w="1914" w:type="dxa"/>
            <w:vMerge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10A" w:rsidRPr="00686770" w:rsidTr="0030310A">
        <w:tc>
          <w:tcPr>
            <w:tcW w:w="2791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1-а груп</w:t>
            </w:r>
            <w:r w:rsidR="00442590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575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25,40</w:t>
            </w:r>
          </w:p>
        </w:tc>
        <w:tc>
          <w:tcPr>
            <w:tcW w:w="1745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21,72</w:t>
            </w:r>
          </w:p>
        </w:tc>
        <w:tc>
          <w:tcPr>
            <w:tcW w:w="1438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32,53</w:t>
            </w:r>
          </w:p>
        </w:tc>
        <w:tc>
          <w:tcPr>
            <w:tcW w:w="1914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686770" w:rsidTr="0030310A">
        <w:tc>
          <w:tcPr>
            <w:tcW w:w="2791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2-я груп</w:t>
            </w:r>
            <w:r w:rsidR="00442590"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575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29,20</w:t>
            </w:r>
          </w:p>
        </w:tc>
        <w:tc>
          <w:tcPr>
            <w:tcW w:w="1745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24,48</w:t>
            </w:r>
          </w:p>
        </w:tc>
        <w:tc>
          <w:tcPr>
            <w:tcW w:w="1438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35,63</w:t>
            </w:r>
          </w:p>
        </w:tc>
        <w:tc>
          <w:tcPr>
            <w:tcW w:w="1914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686770" w:rsidTr="0030310A">
        <w:tc>
          <w:tcPr>
            <w:tcW w:w="2791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75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17,47</w:t>
            </w:r>
          </w:p>
        </w:tc>
        <w:tc>
          <w:tcPr>
            <w:tcW w:w="1745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16,09</w:t>
            </w:r>
          </w:p>
        </w:tc>
        <w:tc>
          <w:tcPr>
            <w:tcW w:w="1438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19,77</w:t>
            </w:r>
          </w:p>
        </w:tc>
        <w:tc>
          <w:tcPr>
            <w:tcW w:w="1914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686770" w:rsidTr="0030310A">
        <w:tc>
          <w:tcPr>
            <w:tcW w:w="2791" w:type="dxa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KW</w:t>
            </w:r>
          </w:p>
        </w:tc>
        <w:tc>
          <w:tcPr>
            <w:tcW w:w="6672" w:type="dxa"/>
            <w:gridSpan w:val="4"/>
            <w:shd w:val="clear" w:color="auto" w:fill="auto"/>
          </w:tcPr>
          <w:p w:rsidR="0030310A" w:rsidRPr="00686770" w:rsidRDefault="0030310A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H=22,62; p=0,0000</w:t>
            </w:r>
          </w:p>
        </w:tc>
      </w:tr>
      <w:tr w:rsidR="00D46993" w:rsidRPr="00686770" w:rsidTr="0030310A">
        <w:tc>
          <w:tcPr>
            <w:tcW w:w="2791" w:type="dxa"/>
            <w:shd w:val="clear" w:color="auto" w:fill="auto"/>
          </w:tcPr>
          <w:p w:rsidR="00D46993" w:rsidRPr="00686770" w:rsidRDefault="00D46993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MW</w:t>
            </w:r>
          </w:p>
        </w:tc>
        <w:tc>
          <w:tcPr>
            <w:tcW w:w="6672" w:type="dxa"/>
            <w:gridSpan w:val="4"/>
            <w:shd w:val="clear" w:color="auto" w:fill="auto"/>
          </w:tcPr>
          <w:p w:rsidR="00D46993" w:rsidRPr="00686770" w:rsidRDefault="00D46993" w:rsidP="0068677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>1-2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=0,7007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 </w:t>
            </w:r>
            <w:proofErr w:type="gramStart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1-3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=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0,1969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 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2-3 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=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8677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0,6558</w:t>
            </w:r>
          </w:p>
        </w:tc>
      </w:tr>
    </w:tbl>
    <w:p w:rsidR="00442590" w:rsidRPr="00686770" w:rsidRDefault="00442590" w:rsidP="0068677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Примечание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уровень статистической значимости различий при сравнении с контролем; KW – дисперсионный анализ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Краскела-Уоллиса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; MW – статистический метод попарного сравнения Манна-Уитни</w:t>
      </w:r>
    </w:p>
    <w:p w:rsidR="00CF5021" w:rsidRPr="00686770" w:rsidRDefault="00CF5021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42590" w:rsidRPr="00686770" w:rsidRDefault="00442590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 проведении дисперсионного анализа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Краскела-Уоллиса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статистических характеристик указанных цитокинов у детей с БЛД, было выяснено, что критерий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Краскела-Уоллиса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высоко значимый как для уровня IL -1β, так и для уровня ФН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α. При оценке попарного сравнения, U-критерий Манна-Уитни незначимый. Это дает право утверждать, что статистические характеристики соответствующих показателей различных групп статистически не отличается между собой, а уровень активности исследованных уровней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провоспалительных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цитокинов достоверно повышен по сравнению с контролем, и не зависит от принадлежности ребенка с БЛД к той или иной группе. Отсутствие статистически значимых различий уровня IL-1ß и ФН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α у детей с различными формами БЛД подчеркивает, что БЛД - это хронический процесс, обусловленный морфологическими изменениями бронхолегочной системы на которые наслаивается хронический воспалительный процесс. Именно хроническое воспаление </w:t>
      </w:r>
      <w:r w:rsidR="00CF5021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бронхоальвеолярной</w:t>
      </w: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системы становится поводом к миграции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нейтрофильных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лейкоцитов, макрофагов, моноцитов, 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Т-и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В-лимфоцитов в очаг воспаления.</w:t>
      </w:r>
    </w:p>
    <w:p w:rsidR="00CD59F6" w:rsidRPr="00686770" w:rsidRDefault="00245179" w:rsidP="0068677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ab/>
      </w:r>
      <w:r w:rsidR="00CD59F6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исследовании уровней IL-1ß и ФН</w:t>
      </w:r>
      <w:proofErr w:type="gramStart"/>
      <w:r w:rsidR="00CD59F6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="00CD59F6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α в индуцированной мокроте через 3 месяца</w:t>
      </w:r>
      <w:r w:rsidR="00994A81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после начала</w:t>
      </w:r>
      <w:r w:rsidR="00CD59F6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применения ИКС было установлено достоверное снижение указанных </w:t>
      </w:r>
      <w:proofErr w:type="spellStart"/>
      <w:r w:rsidR="00CD59F6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провоспалительных</w:t>
      </w:r>
      <w:proofErr w:type="spellEnd"/>
      <w:r w:rsidR="00CD59F6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цитокинов</w:t>
      </w:r>
      <w:r w:rsidR="00994A81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 детей обеих групп (72,3±4,9%,  F=63,4, р&lt;0,001;  89,2±3,4%, F=70,3, р&lt;0,001 соответственно)</w:t>
      </w:r>
      <w:r w:rsidR="00CD59F6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, что дало основание постепенно снижать дозу и прекращать введение препарата (рис. 1</w:t>
      </w:r>
      <w:r w:rsidR="00CA5940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>, рис.2</w:t>
      </w:r>
      <w:r w:rsidR="00CD59F6" w:rsidRPr="006867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). </w:t>
      </w:r>
    </w:p>
    <w:p w:rsidR="00B84C39" w:rsidRPr="00686770" w:rsidRDefault="00CD59F6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82678" wp14:editId="5448A4A1">
            <wp:extent cx="4572000" cy="2628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59F6" w:rsidRPr="00686770" w:rsidRDefault="00CD59F6" w:rsidP="0068677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>Рис.1.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4C39" w:rsidRPr="00686770">
        <w:rPr>
          <w:rFonts w:ascii="Times New Roman" w:eastAsia="Arial Unicode MS" w:hAnsi="Times New Roman" w:cs="Times New Roman"/>
          <w:sz w:val="28"/>
          <w:szCs w:val="28"/>
        </w:rPr>
        <w:t>Уровень ФН</w:t>
      </w:r>
      <w:proofErr w:type="gramStart"/>
      <w:r w:rsidR="00B84C39" w:rsidRPr="00686770">
        <w:rPr>
          <w:rFonts w:ascii="Times New Roman" w:eastAsia="Arial Unicode MS" w:hAnsi="Times New Roman" w:cs="Times New Roman"/>
          <w:sz w:val="28"/>
          <w:szCs w:val="28"/>
        </w:rPr>
        <w:t>О-</w:t>
      </w:r>
      <w:proofErr w:type="gramEnd"/>
      <w:r w:rsidR="00B84C39" w:rsidRPr="00686770">
        <w:rPr>
          <w:rFonts w:ascii="Times New Roman" w:eastAsia="Arial Unicode MS" w:hAnsi="Times New Roman" w:cs="Times New Roman"/>
          <w:sz w:val="28"/>
          <w:szCs w:val="28"/>
        </w:rPr>
        <w:t xml:space="preserve">α в индуцированной мокроте у детей с БЛД до лечения ИКС и в динамике через 3 месяца, </w:t>
      </w:r>
      <w:proofErr w:type="spellStart"/>
      <w:r w:rsidR="00B84C39" w:rsidRPr="00686770">
        <w:rPr>
          <w:rFonts w:ascii="Times New Roman" w:eastAsia="Arial Unicode MS" w:hAnsi="Times New Roman" w:cs="Times New Roman"/>
          <w:sz w:val="28"/>
          <w:szCs w:val="28"/>
        </w:rPr>
        <w:t>пг</w:t>
      </w:r>
      <w:proofErr w:type="spellEnd"/>
      <w:r w:rsidR="00B84C39" w:rsidRPr="00686770">
        <w:rPr>
          <w:rFonts w:ascii="Times New Roman" w:eastAsia="Arial Unicode MS" w:hAnsi="Times New Roman" w:cs="Times New Roman"/>
          <w:sz w:val="28"/>
          <w:szCs w:val="28"/>
        </w:rPr>
        <w:t>/мл</w:t>
      </w:r>
    </w:p>
    <w:p w:rsidR="00B84C39" w:rsidRPr="00686770" w:rsidRDefault="00B84C39" w:rsidP="0068677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Примечание. * 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</w:rPr>
        <w:t>≤0,05</w:t>
      </w:r>
    </w:p>
    <w:p w:rsidR="00B84C39" w:rsidRPr="00686770" w:rsidRDefault="00B84C39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0A8EE" wp14:editId="22BD7047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4C39" w:rsidRPr="00686770" w:rsidRDefault="001A74F5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>Рис.2</w:t>
      </w:r>
      <w:r w:rsidR="00B84C39" w:rsidRPr="00686770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B84C39" w:rsidRPr="00686770">
        <w:rPr>
          <w:rFonts w:ascii="Times New Roman" w:eastAsia="Arial Unicode MS" w:hAnsi="Times New Roman" w:cs="Times New Roman"/>
          <w:sz w:val="28"/>
          <w:szCs w:val="28"/>
        </w:rPr>
        <w:t xml:space="preserve"> Уровень IL-1ß в индуцированной мокроте у детей с БЛД до лечения ИКС и в динамике через 3 месяца, </w:t>
      </w:r>
      <w:proofErr w:type="spellStart"/>
      <w:r w:rsidR="00B84C39" w:rsidRPr="00686770">
        <w:rPr>
          <w:rFonts w:ascii="Times New Roman" w:eastAsia="Arial Unicode MS" w:hAnsi="Times New Roman" w:cs="Times New Roman"/>
          <w:sz w:val="28"/>
          <w:szCs w:val="28"/>
        </w:rPr>
        <w:t>пг</w:t>
      </w:r>
      <w:proofErr w:type="spellEnd"/>
      <w:r w:rsidR="00B84C39" w:rsidRPr="00686770">
        <w:rPr>
          <w:rFonts w:ascii="Times New Roman" w:eastAsia="Arial Unicode MS" w:hAnsi="Times New Roman" w:cs="Times New Roman"/>
          <w:sz w:val="28"/>
          <w:szCs w:val="28"/>
        </w:rPr>
        <w:t>/мл</w:t>
      </w:r>
    </w:p>
    <w:p w:rsidR="00B84C39" w:rsidRPr="00686770" w:rsidRDefault="00B84C39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Примечание. * 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</w:rPr>
        <w:t>≤0,05</w:t>
      </w:r>
    </w:p>
    <w:p w:rsidR="005F408A" w:rsidRDefault="005F408A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</w:p>
    <w:p w:rsidR="00E42363" w:rsidRPr="00686770" w:rsidRDefault="00E42363" w:rsidP="0068677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ВЫВОДЫ:</w:t>
      </w:r>
    </w:p>
    <w:p w:rsidR="00EA3A66" w:rsidRPr="00686770" w:rsidRDefault="00E42363" w:rsidP="0068677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Бронхолегочная дисплазия представляет собой вариант хронического 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</w:rPr>
        <w:t>заболевания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на фоне морфологически измененных </w:t>
      </w:r>
      <w:r w:rsidR="00905B74" w:rsidRPr="00686770">
        <w:rPr>
          <w:rFonts w:ascii="Times New Roman" w:eastAsia="Arial Unicode MS" w:hAnsi="Times New Roman" w:cs="Times New Roman"/>
          <w:sz w:val="28"/>
          <w:szCs w:val="28"/>
        </w:rPr>
        <w:t>структур бронхолегочной системы, характеризующееся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персистенцией хронического воспаления дыхательных путей.</w:t>
      </w:r>
    </w:p>
    <w:p w:rsidR="00E42363" w:rsidRPr="00686770" w:rsidRDefault="00E42363" w:rsidP="0068677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Назначение ингаляционных кортикостероидов у детей с бронхолегочной дисплазией приводит к уменьшению проявлений воспалительного процесса дыхательных путей.</w:t>
      </w:r>
    </w:p>
    <w:p w:rsidR="00E42363" w:rsidRPr="00686770" w:rsidRDefault="00E42363" w:rsidP="0068677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Изучение уровней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провоспалительных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цитокинов в индуцированной мокроте (интерлейкина-1β и фактора некроза опухоле</w:t>
      </w: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</w:rPr>
        <w:t>й-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</w:rPr>
        <w:t>α) позволяет оценить эффективность назначения противовоспалительной терапии и определить сроки отмены ингаляционных кортикостероидов.</w:t>
      </w:r>
    </w:p>
    <w:p w:rsidR="00E42363" w:rsidRPr="00686770" w:rsidRDefault="00E42363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t xml:space="preserve">ПЕРСПЕКТИВЫ </w:t>
      </w:r>
    </w:p>
    <w:p w:rsidR="008E3068" w:rsidRPr="00686770" w:rsidRDefault="00CF5021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Перспективным является исследование уровней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провоспалительных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цитокинов в индуцированной мокроте у детей с бронхолегочной дисплазией с целью прослеживания  </w:t>
      </w:r>
      <w:r w:rsidR="00453822" w:rsidRPr="00686770">
        <w:rPr>
          <w:rFonts w:ascii="Times New Roman" w:eastAsia="Arial Unicode MS" w:hAnsi="Times New Roman" w:cs="Times New Roman"/>
          <w:sz w:val="28"/>
          <w:szCs w:val="28"/>
        </w:rPr>
        <w:t xml:space="preserve">патогенетических механизмов развития и прогрессирования заболевания и послужит 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>основой для разработки новых направлений в терапии БЛД (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антицитокиновая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>, противовоспалительная терапия).</w:t>
      </w:r>
    </w:p>
    <w:p w:rsidR="008E3068" w:rsidRPr="00686770" w:rsidRDefault="008E3068" w:rsidP="00686770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6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</w:t>
      </w:r>
      <w:proofErr w:type="spellStart"/>
      <w:r w:rsidRPr="00686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использованной</w:t>
      </w:r>
      <w:proofErr w:type="spellEnd"/>
      <w:r w:rsidRPr="00686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литературы</w:t>
      </w:r>
      <w:proofErr w:type="spellEnd"/>
      <w:r w:rsidRPr="00686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8E3068" w:rsidRPr="00686770" w:rsidRDefault="008E3068" w:rsidP="00686770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7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Давыдова</w:t>
      </w:r>
      <w:proofErr w:type="spellEnd"/>
      <w:r w:rsidRPr="006867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И.В.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Формирование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течение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исходы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бронхолегочной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дисплазии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</w:t>
      </w:r>
      <w:r w:rsidRPr="0068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выдова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//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автореф.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дисс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…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докт.мед.наук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2010. </w:t>
      </w:r>
    </w:p>
    <w:p w:rsidR="008E3068" w:rsidRPr="00686770" w:rsidRDefault="008E3068" w:rsidP="00686770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Козарезов</w:t>
      </w:r>
      <w:proofErr w:type="spellEnd"/>
      <w:r w:rsidRPr="00686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С. Н.</w:t>
      </w:r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6867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Современные представления о бронхолегочной дисплазии у детей (часть 2)</w:t>
        </w:r>
      </w:hyperlink>
      <w:r w:rsidRPr="0068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Козарезов</w:t>
      </w:r>
      <w:proofErr w:type="spellEnd"/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Н. </w:t>
      </w:r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8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Медицинский журнал. – 2007. - №4. </w:t>
      </w:r>
    </w:p>
    <w:p w:rsidR="008E3068" w:rsidRPr="00686770" w:rsidRDefault="008E3068" w:rsidP="00686770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7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Овсянников</w:t>
      </w:r>
      <w:proofErr w:type="spellEnd"/>
      <w:r w:rsidRPr="006867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Д.Ю.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оказания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медицинской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помощи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детям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страдающим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бронхолегочной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дисплазией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/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Овсянников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Д.Ю., Кузьменко Л.Г. //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3068" w:rsidRPr="00686770" w:rsidRDefault="008E3068" w:rsidP="00686770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практикующих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врачей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Москва. – 2010. – С. 151.</w:t>
      </w:r>
    </w:p>
    <w:p w:rsidR="008E3068" w:rsidRPr="00686770" w:rsidRDefault="008E3068" w:rsidP="00686770">
      <w:pPr>
        <w:numPr>
          <w:ilvl w:val="0"/>
          <w:numId w:val="4"/>
        </w:num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6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Овсянников Д.Ю.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6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бронхолегочной дисплазии у детей грудного и раннего возраста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/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Овсянников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Д.Ю., Кузьменко Л.Г.,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Дегтярева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ЕА. и др. </w:t>
      </w:r>
      <w:r w:rsidRPr="0068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Педиатрия. – 2007. – 86 (4). – С. 35-42.</w:t>
      </w:r>
    </w:p>
    <w:p w:rsidR="008E3068" w:rsidRPr="00686770" w:rsidRDefault="008E3068" w:rsidP="00686770">
      <w:pPr>
        <w:numPr>
          <w:ilvl w:val="0"/>
          <w:numId w:val="4"/>
        </w:num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86770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lastRenderedPageBreak/>
        <w:t>Сенаторова</w:t>
      </w:r>
      <w:proofErr w:type="spellEnd"/>
      <w:r w:rsidRPr="00686770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А.С.</w:t>
      </w:r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Бронхолегочная</w:t>
      </w:r>
      <w:proofErr w:type="spellEnd"/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</w:t>
      </w:r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сплазия</w:t>
      </w:r>
      <w:proofErr w:type="spellEnd"/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</w:t>
      </w:r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/ </w:t>
      </w:r>
      <w:proofErr w:type="spellStart"/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Сенаторова</w:t>
      </w:r>
      <w:proofErr w:type="spellEnd"/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А.С., Логвинова О.Л., Черненко Л.Н., Муратов Г.Р.  // Здоров’я України. - №1 (16). – березень 2011. – С.36-38.</w:t>
      </w:r>
    </w:p>
    <w:p w:rsidR="008E3068" w:rsidRPr="00686770" w:rsidRDefault="008E3068" w:rsidP="00686770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Сенаторова</w:t>
      </w:r>
      <w:proofErr w:type="spellEnd"/>
      <w:r w:rsidRPr="00686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А.С.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Бронхолегочная дисплазия у детей. Современный взгляд на проблему  диагностики и лечения </w:t>
      </w:r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/ </w:t>
      </w:r>
      <w:proofErr w:type="spellStart"/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Сенаторова</w:t>
      </w:r>
      <w:proofErr w:type="spellEnd"/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А.С., </w:t>
      </w:r>
      <w:proofErr w:type="spellStart"/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</w:t>
      </w:r>
      <w:proofErr w:type="spellEnd"/>
      <w:r w:rsidRPr="0068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О.Л.,  Муратов Г.Р., Золотухина Г.А., Черненко Л.Н.  // Современная педиатрия. - </w:t>
      </w:r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1 (29). –– 2010. - С.105-112.</w:t>
      </w:r>
    </w:p>
    <w:p w:rsidR="008E3068" w:rsidRPr="00686770" w:rsidRDefault="008E3068" w:rsidP="00686770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7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Биковська</w:t>
      </w:r>
      <w:proofErr w:type="spellEnd"/>
      <w:r w:rsidRPr="006867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О.</w:t>
      </w:r>
      <w:r w:rsidRPr="00686770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А.</w:t>
      </w:r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Роль </w:t>
      </w:r>
      <w:proofErr w:type="spellStart"/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цитокінів</w:t>
      </w:r>
      <w:proofErr w:type="spellEnd"/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судинного </w:t>
      </w:r>
      <w:proofErr w:type="spellStart"/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ендотеліального</w:t>
      </w:r>
      <w:proofErr w:type="spellEnd"/>
      <w:r w:rsidRPr="006867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фактора росту у патогенезі бронхолегеневої дисплазії у недоношених дітей /</w:t>
      </w:r>
      <w:r w:rsidRPr="006867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867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О. А. </w:t>
      </w:r>
      <w:proofErr w:type="spellStart"/>
      <w:r w:rsidRPr="006867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Биковська</w:t>
      </w:r>
      <w:proofErr w:type="spellEnd"/>
      <w:r w:rsidRPr="006867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// </w:t>
      </w:r>
      <w:proofErr w:type="spellStart"/>
      <w:r w:rsidRPr="006867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Перинатология</w:t>
      </w:r>
      <w:proofErr w:type="spellEnd"/>
      <w:r w:rsidRPr="006867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и </w:t>
      </w:r>
      <w:proofErr w:type="spellStart"/>
      <w:r w:rsidRPr="006867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педиатрия</w:t>
      </w:r>
      <w:proofErr w:type="spellEnd"/>
      <w:r w:rsidRPr="0068677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– 2010. – №1 (41). – С. 19-23.</w:t>
      </w:r>
    </w:p>
    <w:p w:rsidR="008E3068" w:rsidRPr="00686770" w:rsidRDefault="008E3068" w:rsidP="00686770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8677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Dooy</w:t>
      </w:r>
      <w:proofErr w:type="spellEnd"/>
      <w:r w:rsidRPr="0068677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D.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The role of inflammation in the development of chronic lung disease in neonates /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D.Dooy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J.Mahieu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H.P.Bever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Pediatr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2001. – №160. – </w:t>
      </w:r>
      <w:proofErr w:type="gramStart"/>
      <w:r w:rsidRPr="0068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457</w:t>
      </w:r>
      <w:proofErr w:type="gramEnd"/>
      <w:r w:rsidRPr="0068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-463. </w:t>
      </w:r>
    </w:p>
    <w:p w:rsidR="008E3068" w:rsidRPr="00686770" w:rsidRDefault="008E3068" w:rsidP="00686770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867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Ryan</w:t>
      </w:r>
      <w:proofErr w:type="spellEnd"/>
      <w:r w:rsidRPr="006867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R.M.</w:t>
      </w:r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Inflammatory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mediators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immunobiology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bronchopulmonary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dysplasia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R.M.Ryan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Q.Ahmed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S.Lakshminrusimha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Clin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Rev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Allergy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Immunol</w:t>
      </w:r>
      <w:proofErr w:type="spellEnd"/>
      <w:r w:rsidRPr="0068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2008. – №34 (2). – Р. 174-190.</w:t>
      </w:r>
    </w:p>
    <w:p w:rsidR="00681742" w:rsidRPr="00C31D5E" w:rsidRDefault="00681742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5F408A" w:rsidRDefault="005F408A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5F408A" w:rsidRDefault="005F408A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5F408A" w:rsidRDefault="005F408A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5F408A" w:rsidRDefault="005F408A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5F408A" w:rsidRDefault="005F408A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5F408A" w:rsidRDefault="005F408A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5F408A" w:rsidRPr="00686770" w:rsidRDefault="005F408A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Pr="00686770" w:rsidRDefault="001A74F5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Сведения </w:t>
      </w:r>
      <w:r w:rsidR="00FE17CB" w:rsidRPr="0068677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="00FE17CB" w:rsidRPr="00686770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proofErr w:type="gramEnd"/>
      <w:r w:rsidR="00FE17CB" w:rsidRPr="00686770">
        <w:rPr>
          <w:rFonts w:ascii="Times New Roman" w:eastAsia="Arial Unicode MS" w:hAnsi="Times New Roman" w:cs="Times New Roman"/>
          <w:b/>
          <w:sz w:val="28"/>
          <w:szCs w:val="28"/>
        </w:rPr>
        <w:t xml:space="preserve"> авторах:</w:t>
      </w:r>
    </w:p>
    <w:p w:rsidR="00FE17CB" w:rsidRPr="00686770" w:rsidRDefault="00FE17CB" w:rsidP="0068677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Сенаторова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Анна Сергеевна – доктор медицинских наук, профессор, заведующая кафедрой педиатрии №1 и неонатологии Харьковского национального медицинского университета</w:t>
      </w: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Научный </w:t>
      </w:r>
      <w:r w:rsidR="00905B74" w:rsidRPr="00686770">
        <w:rPr>
          <w:rFonts w:ascii="Times New Roman" w:eastAsia="Arial Unicode MS" w:hAnsi="Times New Roman" w:cs="Times New Roman"/>
          <w:sz w:val="28"/>
          <w:szCs w:val="28"/>
        </w:rPr>
        <w:t>руководитель</w:t>
      </w: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 КУОЗ «Харьковская областная детская клиническая больница»:</w:t>
      </w: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 xml:space="preserve">61093, г. Харьков, ул. </w:t>
      </w:r>
      <w:proofErr w:type="spellStart"/>
      <w:r w:rsidRPr="00686770">
        <w:rPr>
          <w:rFonts w:ascii="Times New Roman" w:eastAsia="Arial Unicode MS" w:hAnsi="Times New Roman" w:cs="Times New Roman"/>
          <w:sz w:val="28"/>
          <w:szCs w:val="28"/>
        </w:rPr>
        <w:t>Муранова</w:t>
      </w:r>
      <w:proofErr w:type="spellEnd"/>
      <w:r w:rsidRPr="00686770">
        <w:rPr>
          <w:rFonts w:ascii="Times New Roman" w:eastAsia="Arial Unicode MS" w:hAnsi="Times New Roman" w:cs="Times New Roman"/>
          <w:sz w:val="28"/>
          <w:szCs w:val="28"/>
        </w:rPr>
        <w:t>, 5</w:t>
      </w: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Рабочий телефон-факс: +380 (57)  777-37-81.</w:t>
      </w: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Мобильный телефон: 067-723-92-27.</w:t>
      </w:r>
    </w:p>
    <w:p w:rsidR="005F408A" w:rsidRPr="005F408A" w:rsidRDefault="00FE17CB" w:rsidP="005F408A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val="en-US"/>
        </w:rPr>
      </w:pP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val="en-US"/>
        </w:rPr>
        <w:t>e-mail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: </w:t>
      </w:r>
      <w:r w:rsidR="00686770" w:rsidRPr="00686770">
        <w:rPr>
          <w:rFonts w:ascii="Times New Roman" w:eastAsia="Arial Unicode MS" w:hAnsi="Times New Roman" w:cs="Times New Roman"/>
          <w:sz w:val="28"/>
          <w:szCs w:val="28"/>
          <w:u w:val="single"/>
          <w:lang w:val="en-US"/>
        </w:rPr>
        <w:t>ganna.</w:t>
      </w:r>
      <w:hyperlink r:id="rId9" w:history="1">
        <w:r w:rsidR="00686770" w:rsidRPr="00686770">
          <w:rPr>
            <w:rStyle w:val="a6"/>
            <w:rFonts w:ascii="Times New Roman" w:eastAsia="Arial Unicode MS" w:hAnsi="Times New Roman" w:cs="Times New Roman"/>
            <w:color w:val="auto"/>
            <w:sz w:val="28"/>
            <w:szCs w:val="28"/>
            <w:lang w:val="en-US"/>
          </w:rPr>
          <w:t xml:space="preserve">senatorova@gmail.com </w:t>
        </w:r>
      </w:hyperlink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Pr="00686770" w:rsidRDefault="00FE17CB" w:rsidP="0068677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Черненко Лариса Николаевна – ассистент кафедры педиатрии №1 и неонатологии, магистр медицины по педиатрии, соискатель ученой степени кандидата медицинских наук.</w:t>
      </w: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Почтовый адрес: 61052, г. Харьков, ул. Маршала Конева, д.9, кв.76</w:t>
      </w: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Домашний телефон: +380 (57) 712-53-27.</w:t>
      </w:r>
    </w:p>
    <w:p w:rsidR="00FE17CB" w:rsidRPr="00686770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6770">
        <w:rPr>
          <w:rFonts w:ascii="Times New Roman" w:eastAsia="Arial Unicode MS" w:hAnsi="Times New Roman" w:cs="Times New Roman"/>
          <w:sz w:val="28"/>
          <w:szCs w:val="28"/>
        </w:rPr>
        <w:t>Мобильный телефон: 067-300-53-04.</w:t>
      </w:r>
    </w:p>
    <w:p w:rsidR="00FE17CB" w:rsidRDefault="00FE17CB" w:rsidP="00686770">
      <w:pPr>
        <w:pStyle w:val="a5"/>
        <w:spacing w:after="0" w:line="360" w:lineRule="auto"/>
        <w:jc w:val="both"/>
        <w:rPr>
          <w:rStyle w:val="a6"/>
          <w:rFonts w:ascii="Times New Roman" w:eastAsia="Arial Unicode MS" w:hAnsi="Times New Roman" w:cs="Times New Roman"/>
          <w:sz w:val="28"/>
          <w:szCs w:val="28"/>
          <w:lang w:val="en-US"/>
        </w:rPr>
      </w:pPr>
      <w:proofErr w:type="gramStart"/>
      <w:r w:rsidRPr="00686770">
        <w:rPr>
          <w:rFonts w:ascii="Times New Roman" w:eastAsia="Arial Unicode MS" w:hAnsi="Times New Roman" w:cs="Times New Roman"/>
          <w:sz w:val="28"/>
          <w:szCs w:val="28"/>
          <w:lang w:val="en-US"/>
        </w:rPr>
        <w:t>e-mail</w:t>
      </w:r>
      <w:proofErr w:type="gramEnd"/>
      <w:r w:rsidRPr="0068677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686770">
          <w:rPr>
            <w:rStyle w:val="a6"/>
            <w:rFonts w:ascii="Times New Roman" w:eastAsia="Arial Unicode MS" w:hAnsi="Times New Roman" w:cs="Times New Roman"/>
            <w:sz w:val="28"/>
            <w:szCs w:val="28"/>
            <w:lang w:val="en-US"/>
          </w:rPr>
          <w:t>chernenko.larysa@gmail.com</w:t>
        </w:r>
      </w:hyperlink>
    </w:p>
    <w:p w:rsidR="00686770" w:rsidRDefault="00686770" w:rsidP="00686770">
      <w:pPr>
        <w:pStyle w:val="a5"/>
        <w:spacing w:after="0" w:line="360" w:lineRule="auto"/>
        <w:jc w:val="both"/>
        <w:rPr>
          <w:rStyle w:val="a6"/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686770" w:rsidRPr="00686770" w:rsidRDefault="00686770" w:rsidP="0068677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a6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 xml:space="preserve">Муратов Георгий </w:t>
      </w:r>
      <w:proofErr w:type="spellStart"/>
      <w:r>
        <w:rPr>
          <w:rStyle w:val="a6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>Рафикович</w:t>
      </w:r>
      <w:proofErr w:type="spellEnd"/>
      <w:r>
        <w:rPr>
          <w:rStyle w:val="a6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 xml:space="preserve"> – кандидат медицинских наук, доцент кафедры педиатрии №1 и неонатологии ХНМУ, главный врач КУОЗ «Областная детская клиническая больница»</w:t>
      </w:r>
    </w:p>
    <w:p w:rsidR="00681742" w:rsidRPr="00681742" w:rsidRDefault="00681742" w:rsidP="00681742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1742">
        <w:rPr>
          <w:rFonts w:ascii="Times New Roman" w:eastAsia="Arial Unicode MS" w:hAnsi="Times New Roman" w:cs="Times New Roman"/>
          <w:sz w:val="28"/>
          <w:szCs w:val="28"/>
        </w:rPr>
        <w:t xml:space="preserve">61093, г. Харьков, ул. </w:t>
      </w:r>
      <w:proofErr w:type="spellStart"/>
      <w:r w:rsidRPr="00681742">
        <w:rPr>
          <w:rFonts w:ascii="Times New Roman" w:eastAsia="Arial Unicode MS" w:hAnsi="Times New Roman" w:cs="Times New Roman"/>
          <w:sz w:val="28"/>
          <w:szCs w:val="28"/>
        </w:rPr>
        <w:t>Муранова</w:t>
      </w:r>
      <w:proofErr w:type="spellEnd"/>
      <w:r w:rsidRPr="00681742">
        <w:rPr>
          <w:rFonts w:ascii="Times New Roman" w:eastAsia="Arial Unicode MS" w:hAnsi="Times New Roman" w:cs="Times New Roman"/>
          <w:sz w:val="28"/>
          <w:szCs w:val="28"/>
        </w:rPr>
        <w:t>, 5</w:t>
      </w:r>
    </w:p>
    <w:p w:rsidR="00FE17CB" w:rsidRPr="00681742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681742" w:rsidRPr="00681742" w:rsidRDefault="00681742" w:rsidP="0068174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Башкирова Неля Вадимовна</w:t>
      </w:r>
      <w:r w:rsidRPr="00681742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заведующая пульмонологическим отделением </w:t>
      </w:r>
      <w:r w:rsidRPr="00681742">
        <w:rPr>
          <w:rFonts w:ascii="Times New Roman" w:eastAsia="Arial Unicode MS" w:hAnsi="Times New Roman" w:cs="Times New Roman"/>
          <w:sz w:val="28"/>
          <w:szCs w:val="28"/>
        </w:rPr>
        <w:t xml:space="preserve"> КУОЗ «Областная детская клиническая больница»</w:t>
      </w:r>
    </w:p>
    <w:p w:rsidR="00FE17CB" w:rsidRPr="00681742" w:rsidRDefault="00681742" w:rsidP="00681742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proofErr w:type="gramStart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61093, г. </w:t>
      </w:r>
      <w:proofErr w:type="spellStart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>Харьков</w:t>
      </w:r>
      <w:proofErr w:type="spell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>ул</w:t>
      </w:r>
      <w:proofErr w:type="spell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>.</w:t>
      </w:r>
      <w:proofErr w:type="gram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>Муранова</w:t>
      </w:r>
      <w:proofErr w:type="spellEnd"/>
      <w:r w:rsidRPr="00681742">
        <w:rPr>
          <w:rFonts w:ascii="Times New Roman" w:eastAsia="Arial Unicode MS" w:hAnsi="Times New Roman" w:cs="Times New Roman"/>
          <w:sz w:val="28"/>
          <w:szCs w:val="28"/>
          <w:lang w:val="en-US"/>
        </w:rPr>
        <w:t>, 5</w:t>
      </w:r>
    </w:p>
    <w:p w:rsidR="00FE17CB" w:rsidRPr="00681742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17CB" w:rsidRPr="00681742" w:rsidRDefault="00FE17CB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453822" w:rsidRPr="00681742" w:rsidRDefault="00453822" w:rsidP="00686770">
      <w:pPr>
        <w:pStyle w:val="a5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sectPr w:rsidR="00453822" w:rsidRPr="00681742" w:rsidSect="00CA59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46B"/>
    <w:multiLevelType w:val="multilevel"/>
    <w:tmpl w:val="41CC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ind w:left="2130" w:hanging="14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B72C04"/>
    <w:multiLevelType w:val="hybridMultilevel"/>
    <w:tmpl w:val="5C54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5AE"/>
    <w:multiLevelType w:val="hybridMultilevel"/>
    <w:tmpl w:val="FD647300"/>
    <w:lvl w:ilvl="0" w:tplc="BF0A7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24735"/>
    <w:multiLevelType w:val="hybridMultilevel"/>
    <w:tmpl w:val="6EB8060E"/>
    <w:lvl w:ilvl="0" w:tplc="87C4D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1D"/>
    <w:rsid w:val="00014052"/>
    <w:rsid w:val="000B2920"/>
    <w:rsid w:val="0012531D"/>
    <w:rsid w:val="001A13AA"/>
    <w:rsid w:val="001A74F5"/>
    <w:rsid w:val="00245179"/>
    <w:rsid w:val="0026588E"/>
    <w:rsid w:val="00266047"/>
    <w:rsid w:val="002D0893"/>
    <w:rsid w:val="002F7E04"/>
    <w:rsid w:val="0030310A"/>
    <w:rsid w:val="003F3B66"/>
    <w:rsid w:val="00442590"/>
    <w:rsid w:val="00453822"/>
    <w:rsid w:val="005F408A"/>
    <w:rsid w:val="00665C9D"/>
    <w:rsid w:val="00681742"/>
    <w:rsid w:val="00686770"/>
    <w:rsid w:val="007426E6"/>
    <w:rsid w:val="007650E3"/>
    <w:rsid w:val="007B7E38"/>
    <w:rsid w:val="008057A0"/>
    <w:rsid w:val="008663F5"/>
    <w:rsid w:val="008B4626"/>
    <w:rsid w:val="008E3068"/>
    <w:rsid w:val="00905B74"/>
    <w:rsid w:val="00935F87"/>
    <w:rsid w:val="00994A81"/>
    <w:rsid w:val="009A7C87"/>
    <w:rsid w:val="009E440B"/>
    <w:rsid w:val="00A81E82"/>
    <w:rsid w:val="00B84C39"/>
    <w:rsid w:val="00BF7396"/>
    <w:rsid w:val="00C31D5E"/>
    <w:rsid w:val="00C606B6"/>
    <w:rsid w:val="00C87F13"/>
    <w:rsid w:val="00CA5940"/>
    <w:rsid w:val="00CD59F6"/>
    <w:rsid w:val="00CE2564"/>
    <w:rsid w:val="00CF5021"/>
    <w:rsid w:val="00D00ECD"/>
    <w:rsid w:val="00D45EDF"/>
    <w:rsid w:val="00D46993"/>
    <w:rsid w:val="00DB327C"/>
    <w:rsid w:val="00E42363"/>
    <w:rsid w:val="00EA3A66"/>
    <w:rsid w:val="00EF5652"/>
    <w:rsid w:val="00FA7333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1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1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u.by/index.php?option=com_content&amp;view=article&amp;id=40:--&amp;catid=35:s-42007&amp;Itemid=52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rnenko.lary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atorova@gmail.com%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до лечения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055555555555555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664E-2"/>
                  <c:y val="-4.1666666666666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36.9</c:v>
                </c:pt>
                <c:pt idx="1">
                  <c:v>38.1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после лечения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888888888888889E-2"/>
                  <c:y val="-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24,8</a:t>
                    </a:r>
                    <a:r>
                      <a:rPr lang="ru-RU"/>
                      <a:t>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444444444444446E-2"/>
                  <c:y val="-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23,4</a:t>
                    </a:r>
                    <a:r>
                      <a:rPr lang="ru-RU"/>
                      <a:t>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24.8</c:v>
                </c:pt>
                <c:pt idx="1">
                  <c:v>23.4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671808"/>
        <c:axId val="135673728"/>
        <c:axId val="0"/>
      </c:bar3DChart>
      <c:catAx>
        <c:axId val="135671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673728"/>
        <c:crosses val="autoZero"/>
        <c:auto val="1"/>
        <c:lblAlgn val="ctr"/>
        <c:lblOffset val="100"/>
        <c:noMultiLvlLbl val="0"/>
      </c:catAx>
      <c:valAx>
        <c:axId val="135673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671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до лечения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2.222222222222222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111111111111108E-2"/>
                  <c:y val="-2.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25.4</c:v>
                </c:pt>
                <c:pt idx="1">
                  <c:v>29.2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после лечения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4.1666447944007E-2"/>
                  <c:y val="-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  <a:r>
                      <a:rPr lang="ru-RU"/>
                      <a:t>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22222222222221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15,2</a:t>
                    </a:r>
                    <a:r>
                      <a:rPr lang="ru-RU"/>
                      <a:t>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14.3</c:v>
                </c:pt>
                <c:pt idx="1">
                  <c:v>15.2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792896"/>
        <c:axId val="69794432"/>
        <c:axId val="0"/>
      </c:bar3DChart>
      <c:catAx>
        <c:axId val="69792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794432"/>
        <c:crosses val="autoZero"/>
        <c:auto val="1"/>
        <c:lblAlgn val="ctr"/>
        <c:lblOffset val="100"/>
        <c:noMultiLvlLbl val="0"/>
      </c:catAx>
      <c:valAx>
        <c:axId val="69794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9792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4</cp:revision>
  <cp:lastPrinted>2014-03-13T00:33:00Z</cp:lastPrinted>
  <dcterms:created xsi:type="dcterms:W3CDTF">2014-03-13T00:34:00Z</dcterms:created>
  <dcterms:modified xsi:type="dcterms:W3CDTF">2014-03-13T22:24:00Z</dcterms:modified>
</cp:coreProperties>
</file>