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C76" w:rsidRPr="00AF71F5" w:rsidRDefault="00402C76" w:rsidP="008B0222">
      <w:pPr>
        <w:spacing w:line="360" w:lineRule="auto"/>
        <w:jc w:val="center"/>
      </w:pPr>
      <w:r w:rsidRPr="00AF71F5">
        <w:t>Сравнительный анализ качества и квалиметрическая оценка адгезивных материалов для повышения фиксации съемных зубных протезов</w:t>
      </w:r>
    </w:p>
    <w:p w:rsidR="00402C76" w:rsidRPr="00AF71F5" w:rsidRDefault="00402C76" w:rsidP="008B0222">
      <w:pPr>
        <w:spacing w:line="360" w:lineRule="auto"/>
        <w:jc w:val="center"/>
      </w:pPr>
      <w:r>
        <w:t xml:space="preserve">Янишен И.В., </w:t>
      </w:r>
      <w:r w:rsidRPr="00AF71F5">
        <w:t>Мовчан О. В.</w:t>
      </w:r>
    </w:p>
    <w:p w:rsidR="00402C76" w:rsidRPr="00AF71F5" w:rsidRDefault="00402C76" w:rsidP="008B0222">
      <w:pPr>
        <w:spacing w:line="360" w:lineRule="auto"/>
        <w:jc w:val="center"/>
      </w:pPr>
      <w:r w:rsidRPr="00AF71F5">
        <w:t>Харьковский национальный медицинский</w:t>
      </w:r>
      <w:r>
        <w:t xml:space="preserve"> университет</w:t>
      </w:r>
    </w:p>
    <w:p w:rsidR="00402C76" w:rsidRPr="00AF71F5" w:rsidRDefault="00402C76" w:rsidP="008B0222">
      <w:pPr>
        <w:spacing w:line="360" w:lineRule="auto"/>
        <w:jc w:val="center"/>
      </w:pPr>
      <w:r w:rsidRPr="00AF71F5">
        <w:t>Кафе</w:t>
      </w:r>
      <w:r>
        <w:t>дра ортопедической стоматологии</w:t>
      </w:r>
    </w:p>
    <w:p w:rsidR="00402C76" w:rsidRDefault="00402C76" w:rsidP="008B0222">
      <w:pPr>
        <w:spacing w:line="360" w:lineRule="auto"/>
        <w:ind w:firstLine="600"/>
        <w:jc w:val="both"/>
      </w:pPr>
      <w:r w:rsidRPr="00720E89">
        <w:rPr>
          <w:b/>
        </w:rPr>
        <w:t>Вступление.</w:t>
      </w:r>
      <w:r w:rsidRPr="008B0222">
        <w:rPr>
          <w:b/>
        </w:rPr>
        <w:t xml:space="preserve"> </w:t>
      </w:r>
      <w:r w:rsidRPr="00AF71F5">
        <w:t>Потребность взрослого населения Украины в полном съемном протезировании достаточно значительна и составляет 57,5 особ (77,35</w:t>
      </w:r>
      <w:r>
        <w:t xml:space="preserve"> </w:t>
      </w:r>
      <w:r w:rsidRPr="00AF71F5">
        <w:t>протезов) на</w:t>
      </w:r>
      <w:r w:rsidRPr="008B0222">
        <w:t xml:space="preserve"> </w:t>
      </w:r>
      <w:r w:rsidRPr="00AF71F5">
        <w:t>1000 обследованных [1].</w:t>
      </w:r>
      <w:r>
        <w:t xml:space="preserve"> </w:t>
      </w:r>
      <w:r w:rsidRPr="00AF71F5">
        <w:t xml:space="preserve">Полное отсутствие зубов регистрируется уже в возрастной группе 45-49 лет, составляя в целом 6,3±0,67% случаев на 100 обследованных [2]. При этом, количество челюстей с полным отсутствием зубов и неблагоприятными анатомотопографическими условиями </w:t>
      </w:r>
      <w:r>
        <w:t>протезного ложа, достигает 87,1% от общего их количества (15,1</w:t>
      </w:r>
      <w:r w:rsidRPr="00AF71F5">
        <w:t>%</w:t>
      </w:r>
      <w:r>
        <w:t xml:space="preserve"> </w:t>
      </w:r>
      <w:r w:rsidRPr="00AF71F5">
        <w:t>в</w:t>
      </w:r>
      <w:r>
        <w:t>ерхних и 72,0% нижних челюстей)</w:t>
      </w:r>
      <w:r w:rsidRPr="00D86284">
        <w:t xml:space="preserve"> </w:t>
      </w:r>
      <w:r>
        <w:t>[4</w:t>
      </w:r>
      <w:bookmarkStart w:id="0" w:name="_GoBack"/>
      <w:bookmarkEnd w:id="0"/>
      <w:r w:rsidRPr="00AF71F5">
        <w:t>]</w:t>
      </w:r>
      <w:r>
        <w:t>.</w:t>
      </w:r>
    </w:p>
    <w:p w:rsidR="00402C76" w:rsidRPr="00AF71F5" w:rsidRDefault="00402C76" w:rsidP="008B0222">
      <w:pPr>
        <w:spacing w:line="360" w:lineRule="auto"/>
        <w:ind w:firstLine="567"/>
        <w:jc w:val="both"/>
      </w:pPr>
      <w:r>
        <w:t>Полная адентия выз</w:t>
      </w:r>
      <w:r w:rsidRPr="00AF71F5">
        <w:t>ывает психологические, личностные изменения, нарушая характер питания [3]. Концепция ортопедического лечения пожилых людей съемными конструкциями должны включать разные виды лечения, то есть иметь индивидуальный подход. Восстановление полноценных зубных рядов обеспечивает стойкое повышение качества жизни, потому что снимает ограничения по отношению к самому важному фактору комфортной жизни, как питания, влияет на общее состояние организма и пищевой системы, потому что, имеют большое значение для создания внешнего вида человека</w:t>
      </w:r>
      <w:r>
        <w:t xml:space="preserve"> [5</w:t>
      </w:r>
      <w:r w:rsidRPr="00AF71F5">
        <w:t>].</w:t>
      </w:r>
    </w:p>
    <w:p w:rsidR="00402C76" w:rsidRPr="00AF71F5" w:rsidRDefault="00402C76" w:rsidP="008B0222">
      <w:pPr>
        <w:spacing w:line="360" w:lineRule="auto"/>
        <w:ind w:firstLine="567"/>
        <w:jc w:val="both"/>
      </w:pPr>
      <w:r w:rsidRPr="00AF71F5">
        <w:t>До нынешнего времени нет досконального метода ортопедического лечения, который бы давал гарантированную фиксацию протеза на беззубой нижней челюсти, особенно в случаях ее резкой атрофии или других множественных изменений рельефа слизистой оболочки полости рта.</w:t>
      </w:r>
      <w:r>
        <w:t xml:space="preserve"> </w:t>
      </w:r>
      <w:r w:rsidRPr="00AF71F5">
        <w:t>Сила адгезии, кот</w:t>
      </w:r>
      <w:r>
        <w:t>о</w:t>
      </w:r>
      <w:r w:rsidRPr="00AF71F5">
        <w:t>рая</w:t>
      </w:r>
      <w:r>
        <w:t xml:space="preserve"> </w:t>
      </w:r>
      <w:r w:rsidRPr="00AF71F5">
        <w:t>возникает между базисом протеза и слизистой оболочкой протезного</w:t>
      </w:r>
      <w:r>
        <w:t xml:space="preserve"> </w:t>
      </w:r>
      <w:r w:rsidRPr="00AF71F5">
        <w:t>ложа за счет ротовой жидкости, не всегда достаточная для полноценной фиксации, а тем более стабилизации полных съемных протезов, в следствии чего ухудшается их функциональная ценность.</w:t>
      </w:r>
      <w:r>
        <w:t xml:space="preserve"> </w:t>
      </w:r>
      <w:r w:rsidRPr="00AF71F5">
        <w:t>Использование адгезивных способов существенно повышает эффективность фиксации и стабилизации полных пластиночных протезов при неблагоприятных анатомо-топографических условиях жевательного аппарата.</w:t>
      </w:r>
      <w:r>
        <w:t xml:space="preserve"> </w:t>
      </w:r>
      <w:r w:rsidRPr="00AF71F5">
        <w:t>Адгезивные композиции просты в использовании. Они повышают функциональную ценность не только вновь изготовленных, но и</w:t>
      </w:r>
      <w:r>
        <w:t xml:space="preserve"> </w:t>
      </w:r>
      <w:r w:rsidRPr="00AF71F5">
        <w:t>старых протезов, уменьшают смещение протеза с протезного ложа, попадание еды под</w:t>
      </w:r>
      <w:r>
        <w:t xml:space="preserve"> </w:t>
      </w:r>
      <w:r w:rsidRPr="00AF71F5">
        <w:t>протез, поэтому использование протеза становится более</w:t>
      </w:r>
      <w:r>
        <w:t xml:space="preserve"> комфортным</w:t>
      </w:r>
      <w:r w:rsidRPr="00D86284">
        <w:t xml:space="preserve"> </w:t>
      </w:r>
      <w:r>
        <w:t>[6</w:t>
      </w:r>
      <w:r w:rsidRPr="00AF71F5">
        <w:t>]</w:t>
      </w:r>
      <w:r>
        <w:t>.</w:t>
      </w:r>
    </w:p>
    <w:p w:rsidR="00402C76" w:rsidRPr="008B0222" w:rsidRDefault="00402C76" w:rsidP="008B0222">
      <w:pPr>
        <w:spacing w:line="360" w:lineRule="auto"/>
        <w:ind w:firstLine="567"/>
        <w:jc w:val="both"/>
      </w:pPr>
      <w:r w:rsidRPr="00AF71F5">
        <w:t>В данный момент на рынке стоматологических материалов Украины адгезивных способов для</w:t>
      </w:r>
      <w:r>
        <w:t xml:space="preserve"> </w:t>
      </w:r>
      <w:r w:rsidRPr="00AF71F5">
        <w:t>съемных</w:t>
      </w:r>
      <w:r>
        <w:t xml:space="preserve"> </w:t>
      </w:r>
      <w:r w:rsidRPr="00AF71F5">
        <w:t>протезов достаточно много, в основном они импортного производства и сравнительно дорогие для особей преклонного</w:t>
      </w:r>
      <w:r>
        <w:t xml:space="preserve"> </w:t>
      </w:r>
      <w:r w:rsidRPr="00AF71F5">
        <w:t>возраста; адгезивные спо</w:t>
      </w:r>
      <w:r>
        <w:t>собы выпускаются в виде порошков</w:t>
      </w:r>
      <w:r w:rsidRPr="00AF71F5">
        <w:t xml:space="preserve">, кремов, гелей, препаратов искусственной </w:t>
      </w:r>
      <w:r>
        <w:t>слюны и фиксированных прокладок</w:t>
      </w:r>
      <w:r w:rsidRPr="00D86284">
        <w:t xml:space="preserve"> </w:t>
      </w:r>
      <w:r>
        <w:t>[7</w:t>
      </w:r>
      <w:r w:rsidRPr="00AF71F5">
        <w:t>]</w:t>
      </w:r>
      <w:r>
        <w:t>.</w:t>
      </w:r>
      <w:r w:rsidRPr="008B0222">
        <w:t xml:space="preserve"> Но при решении проблемы фиксации и стабилизации съемного протеза на тканях протезного ложа в съемном протезировании не всегда учитывается восприятие адгезивного способа пациентом, а также взаимодействие таких факторов, как “протез-адгезив”, “адгезив-слизистая оболочка полости рта”, “адгезив-микрофлора полости рта”, то есть биобезопасность адгезивной композиции [3].</w:t>
      </w:r>
    </w:p>
    <w:p w:rsidR="00402C76" w:rsidRPr="00AF71F5" w:rsidRDefault="00402C76" w:rsidP="008B0222">
      <w:pPr>
        <w:spacing w:line="360" w:lineRule="auto"/>
        <w:ind w:firstLine="567"/>
        <w:jc w:val="both"/>
      </w:pPr>
      <w:r w:rsidRPr="00AF71F5">
        <w:t>Путем достижения качественных характеристик (на базе Центральной заводской лаборатории отечественного производителя стоматологических материалов — АТ “Стома” и кафедры ортопедической стоматологии ХНМУ) был разработан и внедрен в производство в АТ “Стома” новый адгезивный материал “Стомафикс” для фиксации съемных зубных пр</w:t>
      </w:r>
      <w:r>
        <w:t>отезов</w:t>
      </w:r>
      <w:r w:rsidRPr="00D86284">
        <w:t xml:space="preserve"> </w:t>
      </w:r>
      <w:r>
        <w:t>[6</w:t>
      </w:r>
      <w:r w:rsidRPr="00AF71F5">
        <w:t>]</w:t>
      </w:r>
      <w:r>
        <w:t>.</w:t>
      </w:r>
      <w:r w:rsidRPr="00AF71F5">
        <w:t xml:space="preserve"> Токсикологическая экспертиза материала проведена институтом экогигиены и токсикологии им. Л. И.</w:t>
      </w:r>
      <w:r>
        <w:t xml:space="preserve"> </w:t>
      </w:r>
      <w:r w:rsidRPr="00AF71F5">
        <w:t>Медведя МОЗ Украины,</w:t>
      </w:r>
      <w:r>
        <w:t xml:space="preserve"> </w:t>
      </w:r>
      <w:r w:rsidRPr="00AF71F5">
        <w:t>материал имеет</w:t>
      </w:r>
      <w:r>
        <w:t xml:space="preserve"> </w:t>
      </w:r>
      <w:r w:rsidRPr="00AF71F5">
        <w:t>свидетельство о государств</w:t>
      </w:r>
      <w:r>
        <w:t>енной регистрации в МОЗ Украины</w:t>
      </w:r>
      <w:r w:rsidRPr="00D86284">
        <w:t xml:space="preserve"> </w:t>
      </w:r>
      <w:r>
        <w:t>[5</w:t>
      </w:r>
      <w:r w:rsidRPr="00AF71F5">
        <w:t>]</w:t>
      </w:r>
      <w:r>
        <w:t>.</w:t>
      </w:r>
    </w:p>
    <w:p w:rsidR="00402C76" w:rsidRPr="00AF71F5" w:rsidRDefault="00402C76" w:rsidP="008B0222">
      <w:pPr>
        <w:spacing w:line="360" w:lineRule="auto"/>
        <w:ind w:firstLine="567"/>
        <w:jc w:val="both"/>
      </w:pPr>
      <w:r w:rsidRPr="00D6486B">
        <w:rPr>
          <w:b/>
        </w:rPr>
        <w:t>Цель</w:t>
      </w:r>
      <w:r>
        <w:t xml:space="preserve"> </w:t>
      </w:r>
      <w:r w:rsidRPr="00D6486B">
        <w:rPr>
          <w:b/>
        </w:rPr>
        <w:t>исследования</w:t>
      </w:r>
      <w:r>
        <w:t>:</w:t>
      </w:r>
      <w:r w:rsidRPr="00AF71F5">
        <w:t xml:space="preserve"> </w:t>
      </w:r>
      <w:r>
        <w:t xml:space="preserve">провести сравнительную характеристику </w:t>
      </w:r>
      <w:r w:rsidRPr="00AF71F5">
        <w:t xml:space="preserve">адгезивных материалов и изучение физико-механических свойств </w:t>
      </w:r>
      <w:r>
        <w:t>на основании</w:t>
      </w:r>
      <w:r w:rsidRPr="00AF71F5">
        <w:t xml:space="preserve"> экспериментального обоснования в соответствии требованиям ІSО-10873:2010 и квалиметрической оценке качества материалов.</w:t>
      </w:r>
    </w:p>
    <w:p w:rsidR="00402C76" w:rsidRPr="00AF71F5" w:rsidRDefault="00402C76" w:rsidP="008B0222">
      <w:pPr>
        <w:spacing w:line="360" w:lineRule="auto"/>
        <w:ind w:firstLine="567"/>
        <w:jc w:val="both"/>
      </w:pPr>
      <w:r w:rsidRPr="00D6486B">
        <w:rPr>
          <w:b/>
        </w:rPr>
        <w:t>Материалы и</w:t>
      </w:r>
      <w:r>
        <w:rPr>
          <w:b/>
        </w:rPr>
        <w:t xml:space="preserve"> </w:t>
      </w:r>
      <w:r w:rsidRPr="00D6486B">
        <w:rPr>
          <w:b/>
        </w:rPr>
        <w:t>методы исследования</w:t>
      </w:r>
      <w:r w:rsidRPr="00AF71F5">
        <w:t>.</w:t>
      </w:r>
      <w:r w:rsidRPr="008B0222">
        <w:t xml:space="preserve"> </w:t>
      </w:r>
      <w:r w:rsidRPr="00AF71F5">
        <w:t>Сравнительный анализ качества адгезивных материалов для повышения качества фиксации съемных зубных протезов и жевательной эффективности, а также сокращения периода адаптации клинической</w:t>
      </w:r>
      <w:r>
        <w:t xml:space="preserve"> </w:t>
      </w:r>
      <w:r w:rsidRPr="00AF71F5">
        <w:t>эксплуатации, включал обо</w:t>
      </w:r>
      <w:r>
        <w:t>б</w:t>
      </w:r>
      <w:r w:rsidRPr="00AF71F5">
        <w:t xml:space="preserve">щение результатов лабораторного изучения свойств следующих материалов: “Стомафикс” АТ </w:t>
      </w:r>
      <w:r>
        <w:t xml:space="preserve">“Стома” (м. Харьков, Украина), </w:t>
      </w:r>
      <w:r w:rsidRPr="00D56BE2">
        <w:t>“</w:t>
      </w:r>
      <w:r>
        <w:t>Corega”</w:t>
      </w:r>
      <w:r w:rsidRPr="00AF71F5">
        <w:t xml:space="preserve"> (</w:t>
      </w:r>
      <w:r w:rsidRPr="00D56BE2">
        <w:t>“</w:t>
      </w:r>
      <w:r w:rsidRPr="00AF71F5">
        <w:t>Стафорд Милер</w:t>
      </w:r>
      <w:r>
        <w:t xml:space="preserve">” </w:t>
      </w:r>
      <w:r w:rsidRPr="00AF71F5">
        <w:t>Ирландия),</w:t>
      </w:r>
      <w:r w:rsidRPr="00AF71F5">
        <w:rPr>
          <w:color w:val="FF0000"/>
        </w:rPr>
        <w:t xml:space="preserve"> </w:t>
      </w:r>
      <w:r>
        <w:t>“</w:t>
      </w:r>
      <w:r w:rsidRPr="00AF71F5">
        <w:t>Lacalut</w:t>
      </w:r>
      <w:r>
        <w:t xml:space="preserve">” </w:t>
      </w:r>
      <w:r w:rsidRPr="00AF71F5">
        <w:t>(</w:t>
      </w:r>
      <w:r>
        <w:t>“</w:t>
      </w:r>
      <w:r w:rsidRPr="00AF71F5">
        <w:rPr>
          <w:spacing w:val="-4"/>
        </w:rPr>
        <w:t>arcam GmbH</w:t>
      </w:r>
      <w:r>
        <w:t>”</w:t>
      </w:r>
      <w:r w:rsidRPr="00D56BE2">
        <w:t xml:space="preserve">, </w:t>
      </w:r>
      <w:r w:rsidRPr="00AF71F5">
        <w:rPr>
          <w:spacing w:val="-4"/>
        </w:rPr>
        <w:t>Germany</w:t>
      </w:r>
      <w:r w:rsidRPr="00AF71F5">
        <w:t xml:space="preserve">), </w:t>
      </w:r>
      <w:r>
        <w:t>“</w:t>
      </w:r>
      <w:r w:rsidRPr="00AF71F5">
        <w:t>Fittydent</w:t>
      </w:r>
      <w:r>
        <w:t xml:space="preserve">” </w:t>
      </w:r>
      <w:r w:rsidRPr="00AF71F5">
        <w:t>(</w:t>
      </w:r>
      <w:r>
        <w:t>“</w:t>
      </w:r>
      <w:r w:rsidRPr="00AF71F5">
        <w:t>Fittydent international GMBH</w:t>
      </w:r>
      <w:r>
        <w:t xml:space="preserve">”, </w:t>
      </w:r>
      <w:r w:rsidRPr="00AF71F5">
        <w:t>Austria), которые предусмотрены ISO-10873:2010: консистенция, прочность на разрыв, растворимость, адгезия с</w:t>
      </w:r>
      <w:r>
        <w:t xml:space="preserve"> </w:t>
      </w:r>
      <w:r w:rsidRPr="00AF71F5">
        <w:t>пластмассой, адгезия с металлом, вязкость условная. За пересчитанными параметрами исследовано квалиметрическую оценку образцов адгезивных материалов для повышения качества фиксации съемных зубных протезов.</w:t>
      </w:r>
    </w:p>
    <w:p w:rsidR="00402C76" w:rsidRPr="008B0222" w:rsidRDefault="00402C76" w:rsidP="008B0222">
      <w:pPr>
        <w:spacing w:line="360" w:lineRule="auto"/>
        <w:ind w:firstLine="567"/>
        <w:jc w:val="both"/>
        <w:rPr>
          <w:spacing w:val="-4"/>
        </w:rPr>
      </w:pPr>
      <w:r w:rsidRPr="008B0222">
        <w:rPr>
          <w:b/>
          <w:spacing w:val="-4"/>
        </w:rPr>
        <w:t>Результаты исследования</w:t>
      </w:r>
      <w:r w:rsidRPr="008B0222">
        <w:rPr>
          <w:spacing w:val="-4"/>
        </w:rPr>
        <w:t>. По показателю консистенция, как подтверждают результаты лабораторных исследований (табл.1), все материалы отвечают требованиям ІSО-10873:2010 и особо (р≤0,05) между собой не отличаются. При этом, исследованные материалы характеризуются незначительным запасом в сравнении с индикаторным показателем. Для указанных материалов полученные и соответствующие квалиметрические показатели, информативность - высокая и колеблется в пределах (0,911÷0,980) бит.</w:t>
      </w:r>
    </w:p>
    <w:p w:rsidR="00402C76" w:rsidRPr="00AF71F5" w:rsidRDefault="00402C76" w:rsidP="008B0222">
      <w:pPr>
        <w:spacing w:line="360" w:lineRule="auto"/>
        <w:ind w:firstLine="720"/>
        <w:jc w:val="both"/>
      </w:pPr>
      <w:r w:rsidRPr="00AF71F5">
        <w:t>Прочность на разрыв образцов из адгезивных материалов для повышения качества фиксации съемных зубных протезов (см. табл. 1) характеризуется выраженным запасом прочности, который превышает соответствующее индикативное значение ІSО-10873:2010 на (50÷60)%, кроме материала “Lacalut”, что как известно может снижать качество адгезии и влиять на сроки ее клинической эксплуатации.</w:t>
      </w:r>
    </w:p>
    <w:p w:rsidR="00402C76" w:rsidRPr="008B0222" w:rsidRDefault="00402C76" w:rsidP="008B0222">
      <w:pPr>
        <w:spacing w:line="360" w:lineRule="auto"/>
        <w:ind w:firstLine="720"/>
        <w:jc w:val="both"/>
        <w:rPr>
          <w:spacing w:val="4"/>
        </w:rPr>
      </w:pPr>
      <w:r w:rsidRPr="008B0222">
        <w:rPr>
          <w:spacing w:val="4"/>
        </w:rPr>
        <w:t>При этом, применение материала “</w:t>
      </w:r>
      <w:r w:rsidRPr="008B0222">
        <w:rPr>
          <w:rFonts w:ascii="Times New Roman CYR" w:hAnsi="Times New Roman CYR" w:cs="Times New Roman CYR"/>
          <w:spacing w:val="4"/>
          <w:lang w:val="en-US"/>
        </w:rPr>
        <w:t>Fittydent</w:t>
      </w:r>
      <w:r w:rsidRPr="008B0222">
        <w:rPr>
          <w:spacing w:val="4"/>
        </w:rPr>
        <w:t>” составляют (</w:t>
      </w:r>
      <w:r w:rsidRPr="008B0222">
        <w:rPr>
          <w:spacing w:val="4"/>
          <w:lang w:val="uk-UA"/>
        </w:rPr>
        <w:t>33,2±0,6</w:t>
      </w:r>
      <w:r w:rsidRPr="008B0222">
        <w:rPr>
          <w:spacing w:val="4"/>
        </w:rPr>
        <w:t>) кПа и достоверно не отличаются от показателя материала “Стомафикс” - (33,5±0,4) кПа, а для материалов “Corega”</w:t>
      </w:r>
      <w:r w:rsidRPr="008B0222">
        <w:rPr>
          <w:spacing w:val="4"/>
          <w:lang w:val="uk-UA"/>
        </w:rPr>
        <w:t>- (20,2±0,6) кПа и</w:t>
      </w:r>
      <w:r w:rsidRPr="008B0222">
        <w:rPr>
          <w:spacing w:val="4"/>
        </w:rPr>
        <w:t xml:space="preserve"> “Lacalut” - (17,9±1,0) кПа, что и обеспечивает соответствующие квалиметрические показатели в пределах (0,447÷0,838) бит. Приведенная разница в показателях означает дополнительные технологические возможности при использовании адгезивных материалов.</w:t>
      </w:r>
    </w:p>
    <w:p w:rsidR="00402C76" w:rsidRDefault="00402C76" w:rsidP="008B0222">
      <w:pPr>
        <w:spacing w:line="360" w:lineRule="auto"/>
        <w:ind w:firstLine="720"/>
        <w:jc w:val="right"/>
        <w:rPr>
          <w:i/>
        </w:rPr>
      </w:pPr>
      <w:r>
        <w:rPr>
          <w:i/>
        </w:rPr>
        <w:t>Таблица 1</w:t>
      </w:r>
    </w:p>
    <w:p w:rsidR="00402C76" w:rsidRDefault="00402C76" w:rsidP="008B0222">
      <w:pPr>
        <w:spacing w:line="360" w:lineRule="auto"/>
        <w:ind w:firstLine="720"/>
        <w:jc w:val="center"/>
      </w:pPr>
      <w:r>
        <w:t>Результаты лабораторного изучения свойств адгезивных материалов для повышения качества фиксации съемных зубных протезов</w:t>
      </w:r>
    </w:p>
    <w:tbl>
      <w:tblPr>
        <w:tblW w:w="1047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709"/>
        <w:gridCol w:w="1134"/>
        <w:gridCol w:w="1559"/>
        <w:gridCol w:w="1512"/>
        <w:gridCol w:w="1441"/>
        <w:gridCol w:w="1441"/>
        <w:gridCol w:w="1404"/>
      </w:tblGrid>
      <w:tr w:rsidR="00402C76" w:rsidRPr="001B3FAC" w:rsidTr="00957FF3">
        <w:tc>
          <w:tcPr>
            <w:tcW w:w="3119" w:type="dxa"/>
            <w:gridSpan w:val="3"/>
            <w:vMerge w:val="restart"/>
            <w:vAlign w:val="center"/>
          </w:tcPr>
          <w:p w:rsidR="00402C76" w:rsidRPr="001B3FAC" w:rsidRDefault="00402C76" w:rsidP="008B0222">
            <w:pPr>
              <w:jc w:val="center"/>
              <w:rPr>
                <w:sz w:val="24"/>
                <w:szCs w:val="24"/>
              </w:rPr>
            </w:pPr>
            <w:r w:rsidRPr="001B3FAC">
              <w:rPr>
                <w:sz w:val="24"/>
                <w:szCs w:val="24"/>
              </w:rPr>
              <w:t>Свойства адгезивных материалов</w:t>
            </w:r>
          </w:p>
        </w:tc>
        <w:tc>
          <w:tcPr>
            <w:tcW w:w="1559" w:type="dxa"/>
            <w:vMerge w:val="restart"/>
            <w:vAlign w:val="center"/>
          </w:tcPr>
          <w:p w:rsidR="00402C76" w:rsidRPr="001B3FAC" w:rsidRDefault="00402C76" w:rsidP="008B0222">
            <w:pPr>
              <w:jc w:val="center"/>
              <w:rPr>
                <w:sz w:val="24"/>
                <w:szCs w:val="24"/>
              </w:rPr>
            </w:pPr>
            <w:r w:rsidRPr="001B3FAC">
              <w:rPr>
                <w:sz w:val="24"/>
                <w:szCs w:val="24"/>
              </w:rPr>
              <w:t>Индикаторы качества по</w:t>
            </w:r>
          </w:p>
          <w:p w:rsidR="00402C76" w:rsidRPr="001B3FAC" w:rsidRDefault="00402C76" w:rsidP="008B0222">
            <w:pPr>
              <w:jc w:val="center"/>
              <w:rPr>
                <w:sz w:val="24"/>
                <w:szCs w:val="24"/>
              </w:rPr>
            </w:pPr>
            <w:r w:rsidRPr="001B3FAC">
              <w:rPr>
                <w:sz w:val="24"/>
                <w:szCs w:val="24"/>
              </w:rPr>
              <w:t>ISO-10873:2010</w:t>
            </w:r>
          </w:p>
        </w:tc>
        <w:tc>
          <w:tcPr>
            <w:tcW w:w="5798" w:type="dxa"/>
            <w:gridSpan w:val="4"/>
          </w:tcPr>
          <w:p w:rsidR="00402C76" w:rsidRPr="001B3FAC" w:rsidRDefault="00402C76" w:rsidP="008B0222">
            <w:pPr>
              <w:jc w:val="center"/>
              <w:rPr>
                <w:sz w:val="24"/>
                <w:szCs w:val="24"/>
              </w:rPr>
            </w:pPr>
            <w:r w:rsidRPr="001B3FAC">
              <w:rPr>
                <w:sz w:val="24"/>
                <w:szCs w:val="24"/>
              </w:rPr>
              <w:t>Адгезивные материалы</w:t>
            </w:r>
          </w:p>
        </w:tc>
      </w:tr>
      <w:tr w:rsidR="00402C76" w:rsidRPr="001B3FAC" w:rsidTr="00957FF3">
        <w:tc>
          <w:tcPr>
            <w:tcW w:w="3119" w:type="dxa"/>
            <w:gridSpan w:val="3"/>
            <w:vMerge/>
            <w:vAlign w:val="center"/>
          </w:tcPr>
          <w:p w:rsidR="00402C76" w:rsidRPr="001B3FAC" w:rsidRDefault="00402C76" w:rsidP="008B0222">
            <w:pPr>
              <w:jc w:val="center"/>
              <w:rPr>
                <w:sz w:val="24"/>
                <w:szCs w:val="24"/>
              </w:rPr>
            </w:pPr>
          </w:p>
        </w:tc>
        <w:tc>
          <w:tcPr>
            <w:tcW w:w="1559" w:type="dxa"/>
            <w:vMerge/>
            <w:vAlign w:val="center"/>
          </w:tcPr>
          <w:p w:rsidR="00402C76" w:rsidRPr="001B3FAC" w:rsidRDefault="00402C76" w:rsidP="008B0222">
            <w:pPr>
              <w:jc w:val="center"/>
              <w:rPr>
                <w:sz w:val="24"/>
                <w:szCs w:val="24"/>
              </w:rPr>
            </w:pPr>
          </w:p>
        </w:tc>
        <w:tc>
          <w:tcPr>
            <w:tcW w:w="1512" w:type="dxa"/>
            <w:vAlign w:val="center"/>
          </w:tcPr>
          <w:p w:rsidR="00402C76" w:rsidRPr="001B3FAC" w:rsidRDefault="00402C76" w:rsidP="008B0222">
            <w:pPr>
              <w:ind w:hanging="180"/>
              <w:jc w:val="center"/>
              <w:rPr>
                <w:spacing w:val="-2"/>
                <w:sz w:val="24"/>
                <w:szCs w:val="24"/>
              </w:rPr>
            </w:pPr>
            <w:r w:rsidRPr="001B3FAC">
              <w:rPr>
                <w:spacing w:val="-2"/>
                <w:sz w:val="24"/>
                <w:szCs w:val="24"/>
              </w:rPr>
              <w:t xml:space="preserve"> «</w:t>
            </w:r>
            <w:r w:rsidRPr="001B3FAC">
              <w:rPr>
                <w:spacing w:val="-6"/>
                <w:sz w:val="24"/>
                <w:szCs w:val="24"/>
              </w:rPr>
              <w:t>Стомафикс»</w:t>
            </w:r>
          </w:p>
        </w:tc>
        <w:tc>
          <w:tcPr>
            <w:tcW w:w="1441" w:type="dxa"/>
            <w:vAlign w:val="center"/>
          </w:tcPr>
          <w:p w:rsidR="00402C76" w:rsidRPr="001B3FAC" w:rsidRDefault="00402C76" w:rsidP="008B0222">
            <w:pPr>
              <w:jc w:val="center"/>
              <w:rPr>
                <w:spacing w:val="-2"/>
                <w:sz w:val="24"/>
                <w:szCs w:val="24"/>
              </w:rPr>
            </w:pPr>
            <w:r w:rsidRPr="001B3FAC">
              <w:rPr>
                <w:sz w:val="24"/>
                <w:szCs w:val="24"/>
              </w:rPr>
              <w:t>«Fittydent»</w:t>
            </w:r>
          </w:p>
        </w:tc>
        <w:tc>
          <w:tcPr>
            <w:tcW w:w="1441" w:type="dxa"/>
            <w:vAlign w:val="center"/>
          </w:tcPr>
          <w:p w:rsidR="00402C76" w:rsidRPr="001B3FAC" w:rsidRDefault="00402C76" w:rsidP="008B0222">
            <w:pPr>
              <w:jc w:val="center"/>
              <w:rPr>
                <w:spacing w:val="-2"/>
                <w:sz w:val="24"/>
                <w:szCs w:val="24"/>
              </w:rPr>
            </w:pPr>
            <w:r w:rsidRPr="001B3FAC">
              <w:rPr>
                <w:spacing w:val="-2"/>
                <w:sz w:val="24"/>
                <w:szCs w:val="24"/>
              </w:rPr>
              <w:t>«Corega»</w:t>
            </w:r>
          </w:p>
        </w:tc>
        <w:tc>
          <w:tcPr>
            <w:tcW w:w="1404" w:type="dxa"/>
            <w:vAlign w:val="center"/>
          </w:tcPr>
          <w:p w:rsidR="00402C76" w:rsidRPr="001B3FAC" w:rsidRDefault="00402C76" w:rsidP="008B0222">
            <w:pPr>
              <w:jc w:val="center"/>
              <w:rPr>
                <w:spacing w:val="-2"/>
                <w:sz w:val="24"/>
                <w:szCs w:val="24"/>
              </w:rPr>
            </w:pPr>
            <w:r w:rsidRPr="001B3FAC">
              <w:rPr>
                <w:spacing w:val="-2"/>
                <w:sz w:val="24"/>
                <w:szCs w:val="24"/>
              </w:rPr>
              <w:t>«Lacalut»</w:t>
            </w:r>
          </w:p>
        </w:tc>
      </w:tr>
      <w:tr w:rsidR="00402C76" w:rsidRPr="001B3FAC" w:rsidTr="00957FF3">
        <w:tc>
          <w:tcPr>
            <w:tcW w:w="1985" w:type="dxa"/>
            <w:gridSpan w:val="2"/>
            <w:vMerge w:val="restart"/>
            <w:vAlign w:val="center"/>
          </w:tcPr>
          <w:p w:rsidR="00402C76" w:rsidRPr="001B3FAC" w:rsidRDefault="00402C76" w:rsidP="008B0222">
            <w:pPr>
              <w:jc w:val="center"/>
              <w:rPr>
                <w:sz w:val="24"/>
                <w:szCs w:val="24"/>
              </w:rPr>
            </w:pPr>
            <w:r w:rsidRPr="001B3FAC">
              <w:rPr>
                <w:sz w:val="24"/>
                <w:szCs w:val="24"/>
              </w:rPr>
              <w:t>Консистенция</w:t>
            </w:r>
          </w:p>
        </w:tc>
        <w:tc>
          <w:tcPr>
            <w:tcW w:w="1134" w:type="dxa"/>
            <w:vAlign w:val="center"/>
          </w:tcPr>
          <w:p w:rsidR="00402C76" w:rsidRPr="001B3FAC" w:rsidRDefault="00402C76" w:rsidP="008B0222">
            <w:pPr>
              <w:jc w:val="center"/>
              <w:rPr>
                <w:sz w:val="24"/>
                <w:szCs w:val="24"/>
              </w:rPr>
            </w:pPr>
            <w:r w:rsidRPr="001B3FAC">
              <w:rPr>
                <w:sz w:val="24"/>
                <w:szCs w:val="24"/>
              </w:rPr>
              <w:t>М±</w:t>
            </w:r>
            <w:r w:rsidRPr="001B3FAC">
              <w:rPr>
                <w:sz w:val="24"/>
                <w:szCs w:val="24"/>
                <w:lang w:val="en-US"/>
              </w:rPr>
              <w:t>m</w:t>
            </w:r>
            <w:r w:rsidRPr="001B3FAC">
              <w:rPr>
                <w:sz w:val="24"/>
                <w:szCs w:val="24"/>
              </w:rPr>
              <w:t xml:space="preserve">, </w:t>
            </w:r>
            <w:r w:rsidRPr="001B3FAC">
              <w:rPr>
                <w:sz w:val="24"/>
                <w:szCs w:val="24"/>
                <w:lang w:val="uk-UA"/>
              </w:rPr>
              <w:t>мм</w:t>
            </w:r>
          </w:p>
        </w:tc>
        <w:tc>
          <w:tcPr>
            <w:tcW w:w="1559" w:type="dxa"/>
            <w:vAlign w:val="center"/>
          </w:tcPr>
          <w:p w:rsidR="00402C76" w:rsidRPr="001B3FAC" w:rsidRDefault="00402C76" w:rsidP="008B0222">
            <w:pPr>
              <w:jc w:val="center"/>
              <w:rPr>
                <w:lang w:val="uk-UA"/>
              </w:rPr>
            </w:pPr>
            <w:r w:rsidRPr="001B3FAC">
              <w:rPr>
                <w:lang w:val="uk-UA"/>
              </w:rPr>
              <w:t>≥30,0</w:t>
            </w:r>
          </w:p>
        </w:tc>
        <w:tc>
          <w:tcPr>
            <w:tcW w:w="1512" w:type="dxa"/>
            <w:vAlign w:val="center"/>
          </w:tcPr>
          <w:p w:rsidR="00402C76" w:rsidRPr="001B3FAC" w:rsidRDefault="00402C76" w:rsidP="008B0222">
            <w:pPr>
              <w:jc w:val="center"/>
              <w:rPr>
                <w:lang w:val="uk-UA"/>
              </w:rPr>
            </w:pPr>
            <w:r w:rsidRPr="001B3FAC">
              <w:rPr>
                <w:lang w:val="uk-UA"/>
              </w:rPr>
              <w:t>32,5</w:t>
            </w:r>
            <w:r w:rsidRPr="001B3FAC">
              <w:t>±</w:t>
            </w:r>
            <w:r w:rsidRPr="001B3FAC">
              <w:rPr>
                <w:lang w:val="uk-UA"/>
              </w:rPr>
              <w:t>0,4</w:t>
            </w:r>
          </w:p>
        </w:tc>
        <w:tc>
          <w:tcPr>
            <w:tcW w:w="1441" w:type="dxa"/>
            <w:vAlign w:val="center"/>
          </w:tcPr>
          <w:p w:rsidR="00402C76" w:rsidRPr="001B3FAC" w:rsidRDefault="00402C76" w:rsidP="008B0222">
            <w:pPr>
              <w:jc w:val="center"/>
              <w:rPr>
                <w:lang w:val="uk-UA"/>
              </w:rPr>
            </w:pPr>
            <w:r w:rsidRPr="001B3FAC">
              <w:rPr>
                <w:lang w:val="uk-UA"/>
              </w:rPr>
              <w:t>32,9</w:t>
            </w:r>
            <w:r w:rsidRPr="001B3FAC">
              <w:t>±</w:t>
            </w:r>
            <w:r w:rsidRPr="001B3FAC">
              <w:rPr>
                <w:lang w:val="uk-UA"/>
              </w:rPr>
              <w:t>1,0</w:t>
            </w:r>
            <w:r w:rsidRPr="001B3FAC">
              <w:rPr>
                <w:vertAlign w:val="superscript"/>
                <w:lang w:val="uk-UA"/>
              </w:rPr>
              <w:t xml:space="preserve"> с</w:t>
            </w:r>
          </w:p>
        </w:tc>
        <w:tc>
          <w:tcPr>
            <w:tcW w:w="1441" w:type="dxa"/>
            <w:vAlign w:val="center"/>
          </w:tcPr>
          <w:p w:rsidR="00402C76" w:rsidRPr="001B3FAC" w:rsidRDefault="00402C76" w:rsidP="008B0222">
            <w:pPr>
              <w:suppressAutoHyphens w:val="0"/>
              <w:jc w:val="center"/>
            </w:pPr>
            <w:r w:rsidRPr="001B3FAC">
              <w:rPr>
                <w:lang w:val="uk-UA"/>
              </w:rPr>
              <w:t>30,9±1,0</w:t>
            </w:r>
            <w:r w:rsidRPr="001B3FAC">
              <w:rPr>
                <w:vertAlign w:val="superscript"/>
                <w:lang w:val="uk-UA"/>
              </w:rPr>
              <w:t>d</w:t>
            </w:r>
          </w:p>
        </w:tc>
        <w:tc>
          <w:tcPr>
            <w:tcW w:w="1404" w:type="dxa"/>
            <w:vAlign w:val="center"/>
          </w:tcPr>
          <w:p w:rsidR="00402C76" w:rsidRPr="001B3FAC" w:rsidRDefault="00402C76" w:rsidP="008B0222">
            <w:pPr>
              <w:jc w:val="center"/>
              <w:rPr>
                <w:lang w:val="uk-UA"/>
              </w:rPr>
            </w:pPr>
            <w:r w:rsidRPr="001B3FAC">
              <w:rPr>
                <w:lang w:val="uk-UA"/>
              </w:rPr>
              <w:t>30,6</w:t>
            </w:r>
            <w:r w:rsidRPr="001B3FAC">
              <w:t>±</w:t>
            </w:r>
            <w:r w:rsidRPr="001B3FAC">
              <w:rPr>
                <w:lang w:val="uk-UA"/>
              </w:rPr>
              <w:t>0,2</w:t>
            </w:r>
            <w:r w:rsidRPr="001B3FAC">
              <w:rPr>
                <w:vertAlign w:val="superscript"/>
                <w:lang w:val="uk-UA"/>
              </w:rPr>
              <w:t xml:space="preserve"> в</w:t>
            </w:r>
          </w:p>
        </w:tc>
      </w:tr>
      <w:tr w:rsidR="00402C76" w:rsidRPr="001B3FAC" w:rsidTr="00957FF3">
        <w:tc>
          <w:tcPr>
            <w:tcW w:w="1985" w:type="dxa"/>
            <w:gridSpan w:val="2"/>
            <w:vMerge/>
            <w:vAlign w:val="center"/>
          </w:tcPr>
          <w:p w:rsidR="00402C76" w:rsidRPr="001B3FAC" w:rsidRDefault="00402C76" w:rsidP="008B0222">
            <w:pPr>
              <w:jc w:val="center"/>
              <w:rPr>
                <w:sz w:val="24"/>
                <w:szCs w:val="24"/>
              </w:rPr>
            </w:pPr>
          </w:p>
        </w:tc>
        <w:tc>
          <w:tcPr>
            <w:tcW w:w="1134" w:type="dxa"/>
            <w:vAlign w:val="center"/>
          </w:tcPr>
          <w:p w:rsidR="00402C76" w:rsidRPr="001B3FAC" w:rsidRDefault="00402C76" w:rsidP="008B0222">
            <w:pPr>
              <w:jc w:val="center"/>
              <w:rPr>
                <w:sz w:val="24"/>
                <w:szCs w:val="24"/>
                <w:lang w:val="en-US"/>
              </w:rPr>
            </w:pPr>
            <w:r w:rsidRPr="001B3FAC">
              <w:rPr>
                <w:sz w:val="24"/>
                <w:szCs w:val="24"/>
                <w:lang w:val="en-US"/>
              </w:rPr>
              <w:t>S</w:t>
            </w:r>
          </w:p>
        </w:tc>
        <w:tc>
          <w:tcPr>
            <w:tcW w:w="1559" w:type="dxa"/>
            <w:vAlign w:val="center"/>
          </w:tcPr>
          <w:p w:rsidR="00402C76" w:rsidRPr="001B3FAC" w:rsidRDefault="00402C76" w:rsidP="008B0222">
            <w:pPr>
              <w:jc w:val="center"/>
              <w:rPr>
                <w:lang w:val="uk-UA"/>
              </w:rPr>
            </w:pPr>
            <w:r w:rsidRPr="001B3FAC">
              <w:rPr>
                <w:lang w:val="uk-UA"/>
              </w:rPr>
              <w:t>1,0</w:t>
            </w:r>
          </w:p>
        </w:tc>
        <w:tc>
          <w:tcPr>
            <w:tcW w:w="1512" w:type="dxa"/>
            <w:vAlign w:val="center"/>
          </w:tcPr>
          <w:p w:rsidR="00402C76" w:rsidRPr="001B3FAC" w:rsidRDefault="00402C76" w:rsidP="008B0222">
            <w:pPr>
              <w:jc w:val="center"/>
              <w:rPr>
                <w:lang w:val="uk-UA"/>
              </w:rPr>
            </w:pPr>
            <w:r w:rsidRPr="001B3FAC">
              <w:rPr>
                <w:lang w:val="uk-UA"/>
              </w:rPr>
              <w:t>0,923</w:t>
            </w:r>
          </w:p>
        </w:tc>
        <w:tc>
          <w:tcPr>
            <w:tcW w:w="1441" w:type="dxa"/>
            <w:vAlign w:val="center"/>
          </w:tcPr>
          <w:p w:rsidR="00402C76" w:rsidRPr="001B3FAC" w:rsidRDefault="00402C76" w:rsidP="008B0222">
            <w:pPr>
              <w:jc w:val="center"/>
              <w:rPr>
                <w:lang w:val="uk-UA"/>
              </w:rPr>
            </w:pPr>
            <w:r w:rsidRPr="001B3FAC">
              <w:rPr>
                <w:lang w:val="uk-UA"/>
              </w:rPr>
              <w:t>0,911</w:t>
            </w:r>
          </w:p>
        </w:tc>
        <w:tc>
          <w:tcPr>
            <w:tcW w:w="1441" w:type="dxa"/>
            <w:vAlign w:val="center"/>
          </w:tcPr>
          <w:p w:rsidR="00402C76" w:rsidRPr="001B3FAC" w:rsidRDefault="00402C76" w:rsidP="008B0222">
            <w:pPr>
              <w:jc w:val="center"/>
            </w:pPr>
            <w:r w:rsidRPr="001B3FAC">
              <w:rPr>
                <w:lang w:val="uk-UA"/>
              </w:rPr>
              <w:t>0,93</w:t>
            </w:r>
          </w:p>
        </w:tc>
        <w:tc>
          <w:tcPr>
            <w:tcW w:w="1404" w:type="dxa"/>
            <w:vAlign w:val="center"/>
          </w:tcPr>
          <w:p w:rsidR="00402C76" w:rsidRPr="001B3FAC" w:rsidRDefault="00402C76" w:rsidP="008B0222">
            <w:pPr>
              <w:jc w:val="center"/>
              <w:rPr>
                <w:lang w:val="uk-UA"/>
              </w:rPr>
            </w:pPr>
            <w:r w:rsidRPr="001B3FAC">
              <w:rPr>
                <w:lang w:val="uk-UA"/>
              </w:rPr>
              <w:t>0,980</w:t>
            </w:r>
          </w:p>
        </w:tc>
      </w:tr>
      <w:tr w:rsidR="00402C76" w:rsidRPr="001B3FAC" w:rsidTr="00957FF3">
        <w:tc>
          <w:tcPr>
            <w:tcW w:w="1985" w:type="dxa"/>
            <w:gridSpan w:val="2"/>
            <w:vMerge/>
            <w:vAlign w:val="center"/>
          </w:tcPr>
          <w:p w:rsidR="00402C76" w:rsidRPr="001B3FAC" w:rsidRDefault="00402C76" w:rsidP="008B0222">
            <w:pPr>
              <w:jc w:val="center"/>
              <w:rPr>
                <w:sz w:val="24"/>
                <w:szCs w:val="24"/>
              </w:rPr>
            </w:pPr>
          </w:p>
        </w:tc>
        <w:tc>
          <w:tcPr>
            <w:tcW w:w="1134" w:type="dxa"/>
            <w:vAlign w:val="center"/>
          </w:tcPr>
          <w:p w:rsidR="00402C76" w:rsidRPr="001B3FAC" w:rsidRDefault="00402C76" w:rsidP="008B0222">
            <w:pPr>
              <w:jc w:val="center"/>
              <w:rPr>
                <w:sz w:val="24"/>
                <w:szCs w:val="24"/>
                <w:lang w:val="en-US"/>
              </w:rPr>
            </w:pPr>
            <w:r w:rsidRPr="001B3FAC">
              <w:rPr>
                <w:sz w:val="24"/>
                <w:szCs w:val="24"/>
                <w:lang w:val="en-US"/>
              </w:rPr>
              <w:t>h</w:t>
            </w:r>
            <w:r w:rsidRPr="001B3FAC">
              <w:rPr>
                <w:sz w:val="24"/>
                <w:szCs w:val="24"/>
                <w:vertAlign w:val="subscript"/>
                <w:lang w:val="en-US"/>
              </w:rPr>
              <w:t>0</w:t>
            </w:r>
            <w:r w:rsidRPr="001B3FAC">
              <w:rPr>
                <w:sz w:val="24"/>
                <w:szCs w:val="24"/>
                <w:lang w:val="uk-UA"/>
              </w:rPr>
              <w:t>, біт</w:t>
            </w:r>
          </w:p>
        </w:tc>
        <w:tc>
          <w:tcPr>
            <w:tcW w:w="1559" w:type="dxa"/>
            <w:vAlign w:val="center"/>
          </w:tcPr>
          <w:p w:rsidR="00402C76" w:rsidRPr="001B3FAC" w:rsidRDefault="00402C76" w:rsidP="008B0222">
            <w:pPr>
              <w:jc w:val="center"/>
              <w:rPr>
                <w:lang w:val="en-US"/>
              </w:rPr>
            </w:pPr>
            <w:r w:rsidRPr="001B3FAC">
              <w:rPr>
                <w:lang w:val="en-US"/>
              </w:rPr>
              <w:t>0</w:t>
            </w:r>
          </w:p>
        </w:tc>
        <w:tc>
          <w:tcPr>
            <w:tcW w:w="1512" w:type="dxa"/>
            <w:vAlign w:val="center"/>
          </w:tcPr>
          <w:p w:rsidR="00402C76" w:rsidRPr="001B3FAC" w:rsidRDefault="00402C76" w:rsidP="008B0222">
            <w:pPr>
              <w:jc w:val="center"/>
            </w:pPr>
            <w:r w:rsidRPr="001B3FAC">
              <w:t>0,107</w:t>
            </w:r>
          </w:p>
        </w:tc>
        <w:tc>
          <w:tcPr>
            <w:tcW w:w="1441" w:type="dxa"/>
            <w:vAlign w:val="center"/>
          </w:tcPr>
          <w:p w:rsidR="00402C76" w:rsidRPr="001B3FAC" w:rsidRDefault="00402C76" w:rsidP="008B0222">
            <w:pPr>
              <w:jc w:val="center"/>
            </w:pPr>
            <w:r w:rsidRPr="001B3FAC">
              <w:t>0,123</w:t>
            </w:r>
          </w:p>
        </w:tc>
        <w:tc>
          <w:tcPr>
            <w:tcW w:w="1441" w:type="dxa"/>
            <w:vAlign w:val="center"/>
          </w:tcPr>
          <w:p w:rsidR="00402C76" w:rsidRPr="001B3FAC" w:rsidRDefault="00402C76" w:rsidP="008B0222">
            <w:pPr>
              <w:jc w:val="center"/>
            </w:pPr>
            <w:r w:rsidRPr="001B3FAC">
              <w:t>0,103</w:t>
            </w:r>
          </w:p>
        </w:tc>
        <w:tc>
          <w:tcPr>
            <w:tcW w:w="1404" w:type="dxa"/>
            <w:vAlign w:val="center"/>
          </w:tcPr>
          <w:p w:rsidR="00402C76" w:rsidRPr="001B3FAC" w:rsidRDefault="00402C76" w:rsidP="008B0222">
            <w:pPr>
              <w:jc w:val="center"/>
            </w:pPr>
            <w:r w:rsidRPr="001B3FAC">
              <w:t>0,029</w:t>
            </w:r>
          </w:p>
        </w:tc>
      </w:tr>
      <w:tr w:rsidR="00402C76" w:rsidRPr="001B3FAC" w:rsidTr="00957FF3">
        <w:tc>
          <w:tcPr>
            <w:tcW w:w="1985" w:type="dxa"/>
            <w:gridSpan w:val="2"/>
            <w:vMerge w:val="restart"/>
            <w:vAlign w:val="center"/>
          </w:tcPr>
          <w:p w:rsidR="00402C76" w:rsidRPr="001B3FAC" w:rsidRDefault="00402C76" w:rsidP="008B0222">
            <w:pPr>
              <w:jc w:val="center"/>
              <w:rPr>
                <w:sz w:val="24"/>
                <w:szCs w:val="24"/>
              </w:rPr>
            </w:pPr>
            <w:r w:rsidRPr="001B3FAC">
              <w:rPr>
                <w:sz w:val="24"/>
                <w:szCs w:val="24"/>
              </w:rPr>
              <w:t>Прочность на разрыв</w:t>
            </w:r>
          </w:p>
        </w:tc>
        <w:tc>
          <w:tcPr>
            <w:tcW w:w="1134" w:type="dxa"/>
            <w:vAlign w:val="center"/>
          </w:tcPr>
          <w:p w:rsidR="00402C76" w:rsidRPr="001B3FAC" w:rsidRDefault="00402C76" w:rsidP="008B0222">
            <w:pPr>
              <w:jc w:val="center"/>
              <w:rPr>
                <w:sz w:val="24"/>
                <w:szCs w:val="24"/>
              </w:rPr>
            </w:pPr>
            <w:r w:rsidRPr="001B3FAC">
              <w:rPr>
                <w:sz w:val="24"/>
                <w:szCs w:val="24"/>
              </w:rPr>
              <w:t>М±</w:t>
            </w:r>
            <w:r w:rsidRPr="001B3FAC">
              <w:rPr>
                <w:sz w:val="24"/>
                <w:szCs w:val="24"/>
                <w:lang w:val="en-US"/>
              </w:rPr>
              <w:t>m</w:t>
            </w:r>
            <w:r w:rsidRPr="001B3FAC">
              <w:rPr>
                <w:sz w:val="24"/>
                <w:szCs w:val="24"/>
              </w:rPr>
              <w:t xml:space="preserve">, </w:t>
            </w:r>
            <w:r w:rsidRPr="001B3FAC">
              <w:rPr>
                <w:sz w:val="24"/>
                <w:szCs w:val="24"/>
                <w:lang w:val="uk-UA"/>
              </w:rPr>
              <w:t>кПа</w:t>
            </w:r>
          </w:p>
        </w:tc>
        <w:tc>
          <w:tcPr>
            <w:tcW w:w="1559" w:type="dxa"/>
            <w:vAlign w:val="center"/>
          </w:tcPr>
          <w:p w:rsidR="00402C76" w:rsidRPr="001B3FAC" w:rsidRDefault="00402C76" w:rsidP="008B0222">
            <w:pPr>
              <w:jc w:val="center"/>
              <w:rPr>
                <w:lang w:val="uk-UA"/>
              </w:rPr>
            </w:pPr>
            <w:r w:rsidRPr="001B3FAC">
              <w:rPr>
                <w:lang w:val="uk-UA"/>
              </w:rPr>
              <w:t>≥15,0</w:t>
            </w:r>
          </w:p>
        </w:tc>
        <w:tc>
          <w:tcPr>
            <w:tcW w:w="1512" w:type="dxa"/>
            <w:vAlign w:val="center"/>
          </w:tcPr>
          <w:p w:rsidR="00402C76" w:rsidRPr="001B3FAC" w:rsidRDefault="00402C76" w:rsidP="008B0222">
            <w:pPr>
              <w:jc w:val="center"/>
              <w:rPr>
                <w:lang w:val="uk-UA"/>
              </w:rPr>
            </w:pPr>
            <w:r w:rsidRPr="001B3FAC">
              <w:rPr>
                <w:lang w:val="uk-UA"/>
              </w:rPr>
              <w:t>33,5</w:t>
            </w:r>
            <w:r w:rsidRPr="001B3FAC">
              <w:t>±</w:t>
            </w:r>
            <w:r w:rsidRPr="001B3FAC">
              <w:rPr>
                <w:lang w:val="uk-UA"/>
              </w:rPr>
              <w:t>0,4</w:t>
            </w:r>
          </w:p>
        </w:tc>
        <w:tc>
          <w:tcPr>
            <w:tcW w:w="1441" w:type="dxa"/>
            <w:vAlign w:val="center"/>
          </w:tcPr>
          <w:p w:rsidR="00402C76" w:rsidRPr="001B3FAC" w:rsidRDefault="00402C76" w:rsidP="008B0222">
            <w:pPr>
              <w:jc w:val="center"/>
              <w:rPr>
                <w:lang w:val="uk-UA"/>
              </w:rPr>
            </w:pPr>
            <w:r w:rsidRPr="001B3FAC">
              <w:rPr>
                <w:lang w:val="uk-UA"/>
              </w:rPr>
              <w:t>33,2</w:t>
            </w:r>
            <w:r w:rsidRPr="001B3FAC">
              <w:t>±</w:t>
            </w:r>
            <w:r w:rsidRPr="001B3FAC">
              <w:rPr>
                <w:lang w:val="uk-UA"/>
              </w:rPr>
              <w:t>0,6</w:t>
            </w:r>
            <w:r w:rsidRPr="001B3FAC">
              <w:rPr>
                <w:vertAlign w:val="superscript"/>
                <w:lang w:val="uk-UA"/>
              </w:rPr>
              <w:t xml:space="preserve"> с</w:t>
            </w:r>
          </w:p>
        </w:tc>
        <w:tc>
          <w:tcPr>
            <w:tcW w:w="1441" w:type="dxa"/>
            <w:vAlign w:val="center"/>
          </w:tcPr>
          <w:p w:rsidR="00402C76" w:rsidRPr="001B3FAC" w:rsidRDefault="00402C76" w:rsidP="008B0222">
            <w:pPr>
              <w:jc w:val="center"/>
            </w:pPr>
            <w:r w:rsidRPr="001B3FAC">
              <w:rPr>
                <w:lang w:val="uk-UA"/>
              </w:rPr>
              <w:t>20,2±0,6</w:t>
            </w:r>
            <w:r w:rsidRPr="001B3FAC">
              <w:rPr>
                <w:vertAlign w:val="superscript"/>
                <w:lang w:val="uk-UA"/>
              </w:rPr>
              <w:t>d</w:t>
            </w:r>
          </w:p>
        </w:tc>
        <w:tc>
          <w:tcPr>
            <w:tcW w:w="1404" w:type="dxa"/>
            <w:vAlign w:val="center"/>
          </w:tcPr>
          <w:p w:rsidR="00402C76" w:rsidRPr="001B3FAC" w:rsidRDefault="00402C76" w:rsidP="008B0222">
            <w:pPr>
              <w:jc w:val="center"/>
              <w:rPr>
                <w:lang w:val="uk-UA"/>
              </w:rPr>
            </w:pPr>
            <w:r w:rsidRPr="001B3FAC">
              <w:rPr>
                <w:lang w:val="uk-UA"/>
              </w:rPr>
              <w:t>17,9</w:t>
            </w:r>
            <w:r w:rsidRPr="001B3FAC">
              <w:t>±</w:t>
            </w:r>
            <w:r w:rsidRPr="001B3FAC">
              <w:rPr>
                <w:lang w:val="uk-UA"/>
              </w:rPr>
              <w:t>1,0</w:t>
            </w:r>
            <w:r w:rsidRPr="001B3FAC">
              <w:rPr>
                <w:vertAlign w:val="superscript"/>
                <w:lang w:val="uk-UA"/>
              </w:rPr>
              <w:t xml:space="preserve"> в</w:t>
            </w:r>
          </w:p>
        </w:tc>
      </w:tr>
      <w:tr w:rsidR="00402C76" w:rsidRPr="001B3FAC" w:rsidTr="00957FF3">
        <w:tc>
          <w:tcPr>
            <w:tcW w:w="1985" w:type="dxa"/>
            <w:gridSpan w:val="2"/>
            <w:vMerge/>
            <w:vAlign w:val="center"/>
          </w:tcPr>
          <w:p w:rsidR="00402C76" w:rsidRPr="001B3FAC" w:rsidRDefault="00402C76" w:rsidP="008B0222">
            <w:pPr>
              <w:jc w:val="center"/>
              <w:rPr>
                <w:sz w:val="24"/>
                <w:szCs w:val="24"/>
              </w:rPr>
            </w:pPr>
          </w:p>
        </w:tc>
        <w:tc>
          <w:tcPr>
            <w:tcW w:w="1134" w:type="dxa"/>
            <w:vAlign w:val="center"/>
          </w:tcPr>
          <w:p w:rsidR="00402C76" w:rsidRPr="001B3FAC" w:rsidRDefault="00402C76" w:rsidP="008B0222">
            <w:pPr>
              <w:jc w:val="center"/>
              <w:rPr>
                <w:sz w:val="24"/>
                <w:szCs w:val="24"/>
                <w:lang w:val="en-US"/>
              </w:rPr>
            </w:pPr>
            <w:r w:rsidRPr="001B3FAC">
              <w:rPr>
                <w:sz w:val="24"/>
                <w:szCs w:val="24"/>
                <w:lang w:val="en-US"/>
              </w:rPr>
              <w:t>S</w:t>
            </w:r>
          </w:p>
        </w:tc>
        <w:tc>
          <w:tcPr>
            <w:tcW w:w="1559" w:type="dxa"/>
            <w:vAlign w:val="center"/>
          </w:tcPr>
          <w:p w:rsidR="00402C76" w:rsidRPr="001B3FAC" w:rsidRDefault="00402C76" w:rsidP="008B0222">
            <w:pPr>
              <w:jc w:val="center"/>
              <w:rPr>
                <w:lang w:val="uk-UA"/>
              </w:rPr>
            </w:pPr>
            <w:r w:rsidRPr="001B3FAC">
              <w:rPr>
                <w:lang w:val="uk-UA"/>
              </w:rPr>
              <w:t>1,0</w:t>
            </w:r>
          </w:p>
        </w:tc>
        <w:tc>
          <w:tcPr>
            <w:tcW w:w="1512" w:type="dxa"/>
            <w:vAlign w:val="center"/>
          </w:tcPr>
          <w:p w:rsidR="00402C76" w:rsidRPr="001B3FAC" w:rsidRDefault="00402C76" w:rsidP="008B0222">
            <w:pPr>
              <w:jc w:val="center"/>
              <w:rPr>
                <w:lang w:val="uk-UA"/>
              </w:rPr>
            </w:pPr>
            <w:r w:rsidRPr="001B3FAC">
              <w:rPr>
                <w:lang w:val="uk-UA"/>
              </w:rPr>
              <w:t>0,447</w:t>
            </w:r>
          </w:p>
        </w:tc>
        <w:tc>
          <w:tcPr>
            <w:tcW w:w="1441" w:type="dxa"/>
            <w:vAlign w:val="center"/>
          </w:tcPr>
          <w:p w:rsidR="00402C76" w:rsidRPr="001B3FAC" w:rsidRDefault="00402C76" w:rsidP="008B0222">
            <w:pPr>
              <w:jc w:val="center"/>
              <w:rPr>
                <w:lang w:val="uk-UA"/>
              </w:rPr>
            </w:pPr>
            <w:r w:rsidRPr="001B3FAC">
              <w:rPr>
                <w:lang w:val="uk-UA"/>
              </w:rPr>
              <w:t>0,452</w:t>
            </w:r>
          </w:p>
        </w:tc>
        <w:tc>
          <w:tcPr>
            <w:tcW w:w="1441" w:type="dxa"/>
            <w:vAlign w:val="center"/>
          </w:tcPr>
          <w:p w:rsidR="00402C76" w:rsidRPr="001B3FAC" w:rsidRDefault="00402C76" w:rsidP="008B0222">
            <w:pPr>
              <w:jc w:val="center"/>
            </w:pPr>
            <w:r w:rsidRPr="001B3FAC">
              <w:rPr>
                <w:lang w:val="uk-UA"/>
              </w:rPr>
              <w:t>0,653</w:t>
            </w:r>
          </w:p>
        </w:tc>
        <w:tc>
          <w:tcPr>
            <w:tcW w:w="1404" w:type="dxa"/>
            <w:vAlign w:val="center"/>
          </w:tcPr>
          <w:p w:rsidR="00402C76" w:rsidRPr="001B3FAC" w:rsidRDefault="00402C76" w:rsidP="008B0222">
            <w:pPr>
              <w:jc w:val="center"/>
              <w:rPr>
                <w:lang w:val="uk-UA"/>
              </w:rPr>
            </w:pPr>
            <w:r w:rsidRPr="001B3FAC">
              <w:rPr>
                <w:lang w:val="uk-UA"/>
              </w:rPr>
              <w:t>0,838</w:t>
            </w:r>
          </w:p>
        </w:tc>
      </w:tr>
      <w:tr w:rsidR="00402C76" w:rsidRPr="001B3FAC" w:rsidTr="00957FF3">
        <w:tc>
          <w:tcPr>
            <w:tcW w:w="1985" w:type="dxa"/>
            <w:gridSpan w:val="2"/>
            <w:vMerge/>
            <w:vAlign w:val="center"/>
          </w:tcPr>
          <w:p w:rsidR="00402C76" w:rsidRPr="001B3FAC" w:rsidRDefault="00402C76" w:rsidP="008B0222">
            <w:pPr>
              <w:jc w:val="center"/>
              <w:rPr>
                <w:sz w:val="24"/>
                <w:szCs w:val="24"/>
              </w:rPr>
            </w:pPr>
          </w:p>
        </w:tc>
        <w:tc>
          <w:tcPr>
            <w:tcW w:w="1134" w:type="dxa"/>
            <w:vAlign w:val="center"/>
          </w:tcPr>
          <w:p w:rsidR="00402C76" w:rsidRPr="001B3FAC" w:rsidRDefault="00402C76" w:rsidP="008B0222">
            <w:pPr>
              <w:jc w:val="center"/>
              <w:rPr>
                <w:sz w:val="24"/>
                <w:szCs w:val="24"/>
                <w:lang w:val="en-US"/>
              </w:rPr>
            </w:pPr>
            <w:r w:rsidRPr="001B3FAC">
              <w:rPr>
                <w:sz w:val="24"/>
                <w:szCs w:val="24"/>
                <w:lang w:val="en-US"/>
              </w:rPr>
              <w:t>h</w:t>
            </w:r>
            <w:r w:rsidRPr="001B3FAC">
              <w:rPr>
                <w:sz w:val="24"/>
                <w:szCs w:val="24"/>
                <w:vertAlign w:val="subscript"/>
                <w:lang w:val="en-US"/>
              </w:rPr>
              <w:t>0</w:t>
            </w:r>
            <w:r w:rsidRPr="001B3FAC">
              <w:rPr>
                <w:sz w:val="24"/>
                <w:szCs w:val="24"/>
                <w:lang w:val="uk-UA"/>
              </w:rPr>
              <w:t>, біт</w:t>
            </w:r>
          </w:p>
        </w:tc>
        <w:tc>
          <w:tcPr>
            <w:tcW w:w="1559" w:type="dxa"/>
            <w:vAlign w:val="center"/>
          </w:tcPr>
          <w:p w:rsidR="00402C76" w:rsidRPr="001B3FAC" w:rsidRDefault="00402C76" w:rsidP="008B0222">
            <w:pPr>
              <w:jc w:val="center"/>
              <w:rPr>
                <w:lang w:val="en-US"/>
              </w:rPr>
            </w:pPr>
            <w:r w:rsidRPr="001B3FAC">
              <w:rPr>
                <w:lang w:val="en-US"/>
              </w:rPr>
              <w:t>0</w:t>
            </w:r>
          </w:p>
        </w:tc>
        <w:tc>
          <w:tcPr>
            <w:tcW w:w="1512" w:type="dxa"/>
            <w:vAlign w:val="center"/>
          </w:tcPr>
          <w:p w:rsidR="00402C76" w:rsidRPr="001B3FAC" w:rsidRDefault="00402C76" w:rsidP="008B0222">
            <w:pPr>
              <w:jc w:val="center"/>
            </w:pPr>
            <w:r w:rsidRPr="001B3FAC">
              <w:t>0,519</w:t>
            </w:r>
          </w:p>
        </w:tc>
        <w:tc>
          <w:tcPr>
            <w:tcW w:w="1441" w:type="dxa"/>
            <w:vAlign w:val="center"/>
          </w:tcPr>
          <w:p w:rsidR="00402C76" w:rsidRPr="001B3FAC" w:rsidRDefault="00402C76" w:rsidP="008B0222">
            <w:pPr>
              <w:jc w:val="center"/>
            </w:pPr>
            <w:r w:rsidRPr="001B3FAC">
              <w:t>0,518</w:t>
            </w:r>
          </w:p>
        </w:tc>
        <w:tc>
          <w:tcPr>
            <w:tcW w:w="1441" w:type="dxa"/>
            <w:vAlign w:val="center"/>
          </w:tcPr>
          <w:p w:rsidR="00402C76" w:rsidRPr="001B3FAC" w:rsidRDefault="00402C76" w:rsidP="008B0222">
            <w:pPr>
              <w:jc w:val="center"/>
            </w:pPr>
            <w:r w:rsidRPr="001B3FAC">
              <w:t>0,342</w:t>
            </w:r>
          </w:p>
        </w:tc>
        <w:tc>
          <w:tcPr>
            <w:tcW w:w="1404" w:type="dxa"/>
            <w:vAlign w:val="center"/>
          </w:tcPr>
          <w:p w:rsidR="00402C76" w:rsidRPr="001B3FAC" w:rsidRDefault="00402C76" w:rsidP="008B0222">
            <w:pPr>
              <w:jc w:val="center"/>
            </w:pPr>
            <w:r w:rsidRPr="001B3FAC">
              <w:t>0,214</w:t>
            </w:r>
          </w:p>
        </w:tc>
      </w:tr>
      <w:tr w:rsidR="00402C76" w:rsidRPr="001B3FAC" w:rsidTr="00957FF3">
        <w:tc>
          <w:tcPr>
            <w:tcW w:w="1985" w:type="dxa"/>
            <w:gridSpan w:val="2"/>
            <w:vMerge w:val="restart"/>
            <w:vAlign w:val="center"/>
          </w:tcPr>
          <w:p w:rsidR="00402C76" w:rsidRPr="001B3FAC" w:rsidRDefault="00402C76" w:rsidP="008B0222">
            <w:pPr>
              <w:jc w:val="center"/>
              <w:rPr>
                <w:sz w:val="24"/>
                <w:szCs w:val="24"/>
              </w:rPr>
            </w:pPr>
            <w:r w:rsidRPr="001B3FAC">
              <w:rPr>
                <w:sz w:val="24"/>
                <w:szCs w:val="24"/>
              </w:rPr>
              <w:t xml:space="preserve">Растворимость </w:t>
            </w:r>
          </w:p>
        </w:tc>
        <w:tc>
          <w:tcPr>
            <w:tcW w:w="1134" w:type="dxa"/>
            <w:vAlign w:val="center"/>
          </w:tcPr>
          <w:p w:rsidR="00402C76" w:rsidRPr="001B3FAC" w:rsidRDefault="00402C76" w:rsidP="008B0222">
            <w:pPr>
              <w:jc w:val="center"/>
              <w:rPr>
                <w:sz w:val="24"/>
                <w:szCs w:val="24"/>
              </w:rPr>
            </w:pPr>
            <w:r w:rsidRPr="001B3FAC">
              <w:rPr>
                <w:spacing w:val="-6"/>
                <w:sz w:val="24"/>
                <w:szCs w:val="24"/>
                <w:lang w:val="en-US"/>
              </w:rPr>
              <w:t>(</w:t>
            </w:r>
            <w:r w:rsidRPr="001B3FAC">
              <w:rPr>
                <w:spacing w:val="-6"/>
                <w:sz w:val="24"/>
                <w:szCs w:val="24"/>
              </w:rPr>
              <w:t>М</w:t>
            </w:r>
            <w:r w:rsidRPr="001B3FAC">
              <w:rPr>
                <w:spacing w:val="-6"/>
                <w:sz w:val="24"/>
                <w:szCs w:val="24"/>
                <w:lang w:val="en-US"/>
              </w:rPr>
              <w:t xml:space="preserve">±m), </w:t>
            </w:r>
            <w:r w:rsidRPr="001B3FAC">
              <w:rPr>
                <w:spacing w:val="-6"/>
                <w:sz w:val="24"/>
                <w:szCs w:val="24"/>
                <w:lang w:val="uk-UA"/>
              </w:rPr>
              <w:t>мм/год</w:t>
            </w:r>
          </w:p>
        </w:tc>
        <w:tc>
          <w:tcPr>
            <w:tcW w:w="1559" w:type="dxa"/>
            <w:vAlign w:val="center"/>
          </w:tcPr>
          <w:p w:rsidR="00402C76" w:rsidRPr="001B3FAC" w:rsidRDefault="00402C76" w:rsidP="008B0222">
            <w:pPr>
              <w:jc w:val="center"/>
              <w:rPr>
                <w:lang w:val="uk-UA"/>
              </w:rPr>
            </w:pPr>
            <w:r w:rsidRPr="001B3FAC">
              <w:rPr>
                <w:lang w:val="uk-UA"/>
              </w:rPr>
              <w:t>≤50,0</w:t>
            </w:r>
          </w:p>
        </w:tc>
        <w:tc>
          <w:tcPr>
            <w:tcW w:w="1512" w:type="dxa"/>
            <w:vAlign w:val="center"/>
          </w:tcPr>
          <w:p w:rsidR="00402C76" w:rsidRPr="001B3FAC" w:rsidRDefault="00402C76" w:rsidP="008B0222">
            <w:pPr>
              <w:jc w:val="center"/>
              <w:rPr>
                <w:lang w:val="uk-UA"/>
              </w:rPr>
            </w:pPr>
            <w:r w:rsidRPr="001B3FAC">
              <w:rPr>
                <w:lang w:val="uk-UA"/>
              </w:rPr>
              <w:t>35,8</w:t>
            </w:r>
            <w:r w:rsidRPr="001B3FAC">
              <w:t>±</w:t>
            </w:r>
            <w:r w:rsidRPr="001B3FAC">
              <w:rPr>
                <w:lang w:val="uk-UA"/>
              </w:rPr>
              <w:t>0,6</w:t>
            </w:r>
          </w:p>
        </w:tc>
        <w:tc>
          <w:tcPr>
            <w:tcW w:w="1441" w:type="dxa"/>
            <w:vAlign w:val="center"/>
          </w:tcPr>
          <w:p w:rsidR="00402C76" w:rsidRPr="001B3FAC" w:rsidRDefault="00402C76" w:rsidP="008B0222">
            <w:pPr>
              <w:jc w:val="center"/>
              <w:rPr>
                <w:lang w:val="uk-UA"/>
              </w:rPr>
            </w:pPr>
            <w:r w:rsidRPr="001B3FAC">
              <w:rPr>
                <w:lang w:val="uk-UA"/>
              </w:rPr>
              <w:t>35,5</w:t>
            </w:r>
            <w:r w:rsidRPr="001B3FAC">
              <w:t>±</w:t>
            </w:r>
            <w:r w:rsidRPr="001B3FAC">
              <w:rPr>
                <w:lang w:val="uk-UA"/>
              </w:rPr>
              <w:t>0,8</w:t>
            </w:r>
            <w:r w:rsidRPr="001B3FAC">
              <w:rPr>
                <w:vertAlign w:val="superscript"/>
                <w:lang w:val="uk-UA"/>
              </w:rPr>
              <w:t xml:space="preserve"> с</w:t>
            </w:r>
          </w:p>
        </w:tc>
        <w:tc>
          <w:tcPr>
            <w:tcW w:w="1441" w:type="dxa"/>
            <w:vAlign w:val="center"/>
          </w:tcPr>
          <w:p w:rsidR="00402C76" w:rsidRPr="001B3FAC" w:rsidRDefault="00402C76" w:rsidP="008B0222">
            <w:pPr>
              <w:jc w:val="center"/>
            </w:pPr>
            <w:r w:rsidRPr="001B3FAC">
              <w:rPr>
                <w:lang w:val="uk-UA"/>
              </w:rPr>
              <w:t>37,5±0,8</w:t>
            </w:r>
            <w:r w:rsidRPr="001B3FAC">
              <w:rPr>
                <w:vertAlign w:val="superscript"/>
                <w:lang w:val="uk-UA"/>
              </w:rPr>
              <w:t>d</w:t>
            </w:r>
          </w:p>
        </w:tc>
        <w:tc>
          <w:tcPr>
            <w:tcW w:w="1404" w:type="dxa"/>
            <w:vAlign w:val="center"/>
          </w:tcPr>
          <w:p w:rsidR="00402C76" w:rsidRPr="001B3FAC" w:rsidRDefault="00402C76" w:rsidP="008B0222">
            <w:pPr>
              <w:jc w:val="center"/>
              <w:rPr>
                <w:lang w:val="uk-UA"/>
              </w:rPr>
            </w:pPr>
            <w:r w:rsidRPr="001B3FAC">
              <w:rPr>
                <w:lang w:val="uk-UA"/>
              </w:rPr>
              <w:t>41,5</w:t>
            </w:r>
            <w:r w:rsidRPr="001B3FAC">
              <w:t>±</w:t>
            </w:r>
            <w:r w:rsidRPr="001B3FAC">
              <w:rPr>
                <w:lang w:val="uk-UA"/>
              </w:rPr>
              <w:t>0,9</w:t>
            </w:r>
            <w:r w:rsidRPr="001B3FAC">
              <w:rPr>
                <w:vertAlign w:val="superscript"/>
                <w:lang w:val="uk-UA"/>
              </w:rPr>
              <w:t xml:space="preserve"> в</w:t>
            </w:r>
          </w:p>
        </w:tc>
      </w:tr>
      <w:tr w:rsidR="00402C76" w:rsidRPr="001B3FAC" w:rsidTr="00957FF3">
        <w:tc>
          <w:tcPr>
            <w:tcW w:w="1985" w:type="dxa"/>
            <w:gridSpan w:val="2"/>
            <w:vMerge/>
            <w:vAlign w:val="center"/>
          </w:tcPr>
          <w:p w:rsidR="00402C76" w:rsidRPr="001B3FAC" w:rsidRDefault="00402C76" w:rsidP="008B0222">
            <w:pPr>
              <w:jc w:val="center"/>
              <w:rPr>
                <w:sz w:val="24"/>
                <w:szCs w:val="24"/>
              </w:rPr>
            </w:pPr>
          </w:p>
        </w:tc>
        <w:tc>
          <w:tcPr>
            <w:tcW w:w="1134" w:type="dxa"/>
            <w:vAlign w:val="center"/>
          </w:tcPr>
          <w:p w:rsidR="00402C76" w:rsidRPr="001B3FAC" w:rsidRDefault="00402C76" w:rsidP="008B0222">
            <w:pPr>
              <w:jc w:val="center"/>
              <w:rPr>
                <w:sz w:val="24"/>
                <w:szCs w:val="24"/>
                <w:lang w:val="en-US"/>
              </w:rPr>
            </w:pPr>
            <w:r w:rsidRPr="001B3FAC">
              <w:rPr>
                <w:sz w:val="24"/>
                <w:szCs w:val="24"/>
                <w:lang w:val="en-US"/>
              </w:rPr>
              <w:t>S</w:t>
            </w:r>
          </w:p>
        </w:tc>
        <w:tc>
          <w:tcPr>
            <w:tcW w:w="1559" w:type="dxa"/>
            <w:vAlign w:val="center"/>
          </w:tcPr>
          <w:p w:rsidR="00402C76" w:rsidRPr="001B3FAC" w:rsidRDefault="00402C76" w:rsidP="008B0222">
            <w:pPr>
              <w:jc w:val="center"/>
              <w:rPr>
                <w:lang w:val="uk-UA"/>
              </w:rPr>
            </w:pPr>
            <w:r w:rsidRPr="001B3FAC">
              <w:rPr>
                <w:lang w:val="uk-UA"/>
              </w:rPr>
              <w:t>1,0</w:t>
            </w:r>
          </w:p>
        </w:tc>
        <w:tc>
          <w:tcPr>
            <w:tcW w:w="1512" w:type="dxa"/>
            <w:vAlign w:val="center"/>
          </w:tcPr>
          <w:p w:rsidR="00402C76" w:rsidRPr="001B3FAC" w:rsidRDefault="00402C76" w:rsidP="008B0222">
            <w:pPr>
              <w:jc w:val="center"/>
              <w:rPr>
                <w:lang w:val="uk-UA"/>
              </w:rPr>
            </w:pPr>
            <w:r w:rsidRPr="001B3FAC">
              <w:rPr>
                <w:lang w:val="uk-UA"/>
              </w:rPr>
              <w:t>0,716</w:t>
            </w:r>
          </w:p>
        </w:tc>
        <w:tc>
          <w:tcPr>
            <w:tcW w:w="1441" w:type="dxa"/>
            <w:vAlign w:val="center"/>
          </w:tcPr>
          <w:p w:rsidR="00402C76" w:rsidRPr="001B3FAC" w:rsidRDefault="00402C76" w:rsidP="008B0222">
            <w:pPr>
              <w:jc w:val="center"/>
              <w:rPr>
                <w:lang w:val="uk-UA"/>
              </w:rPr>
            </w:pPr>
            <w:r w:rsidRPr="001B3FAC">
              <w:rPr>
                <w:lang w:val="uk-UA"/>
              </w:rPr>
              <w:t>0,710</w:t>
            </w:r>
          </w:p>
        </w:tc>
        <w:tc>
          <w:tcPr>
            <w:tcW w:w="1441" w:type="dxa"/>
            <w:vAlign w:val="center"/>
          </w:tcPr>
          <w:p w:rsidR="00402C76" w:rsidRPr="001B3FAC" w:rsidRDefault="00402C76" w:rsidP="008B0222">
            <w:pPr>
              <w:jc w:val="center"/>
            </w:pPr>
            <w:r w:rsidRPr="001B3FAC">
              <w:rPr>
                <w:lang w:val="uk-UA"/>
              </w:rPr>
              <w:t>0,735</w:t>
            </w:r>
          </w:p>
        </w:tc>
        <w:tc>
          <w:tcPr>
            <w:tcW w:w="1404" w:type="dxa"/>
            <w:vAlign w:val="center"/>
          </w:tcPr>
          <w:p w:rsidR="00402C76" w:rsidRPr="001B3FAC" w:rsidRDefault="00402C76" w:rsidP="008B0222">
            <w:pPr>
              <w:jc w:val="center"/>
              <w:rPr>
                <w:lang w:val="uk-UA"/>
              </w:rPr>
            </w:pPr>
            <w:r w:rsidRPr="001B3FAC">
              <w:rPr>
                <w:lang w:val="uk-UA"/>
              </w:rPr>
              <w:t>0,830</w:t>
            </w:r>
          </w:p>
        </w:tc>
      </w:tr>
      <w:tr w:rsidR="00402C76" w:rsidRPr="001B3FAC" w:rsidTr="00957FF3">
        <w:tc>
          <w:tcPr>
            <w:tcW w:w="1985" w:type="dxa"/>
            <w:gridSpan w:val="2"/>
            <w:vMerge/>
            <w:vAlign w:val="center"/>
          </w:tcPr>
          <w:p w:rsidR="00402C76" w:rsidRPr="001B3FAC" w:rsidRDefault="00402C76" w:rsidP="008B0222">
            <w:pPr>
              <w:jc w:val="center"/>
              <w:rPr>
                <w:sz w:val="24"/>
                <w:szCs w:val="24"/>
              </w:rPr>
            </w:pPr>
          </w:p>
        </w:tc>
        <w:tc>
          <w:tcPr>
            <w:tcW w:w="1134" w:type="dxa"/>
            <w:vAlign w:val="center"/>
          </w:tcPr>
          <w:p w:rsidR="00402C76" w:rsidRPr="001B3FAC" w:rsidRDefault="00402C76" w:rsidP="008B0222">
            <w:pPr>
              <w:jc w:val="center"/>
              <w:rPr>
                <w:sz w:val="24"/>
                <w:szCs w:val="24"/>
                <w:lang w:val="en-US"/>
              </w:rPr>
            </w:pPr>
            <w:r w:rsidRPr="001B3FAC">
              <w:rPr>
                <w:sz w:val="24"/>
                <w:szCs w:val="24"/>
                <w:lang w:val="en-US"/>
              </w:rPr>
              <w:t>h</w:t>
            </w:r>
            <w:r w:rsidRPr="001B3FAC">
              <w:rPr>
                <w:sz w:val="24"/>
                <w:szCs w:val="24"/>
                <w:vertAlign w:val="subscript"/>
                <w:lang w:val="en-US"/>
              </w:rPr>
              <w:t>0</w:t>
            </w:r>
            <w:r w:rsidRPr="001B3FAC">
              <w:rPr>
                <w:sz w:val="24"/>
                <w:szCs w:val="24"/>
                <w:lang w:val="uk-UA"/>
              </w:rPr>
              <w:t>, біт</w:t>
            </w:r>
          </w:p>
        </w:tc>
        <w:tc>
          <w:tcPr>
            <w:tcW w:w="1559" w:type="dxa"/>
            <w:vAlign w:val="center"/>
          </w:tcPr>
          <w:p w:rsidR="00402C76" w:rsidRPr="001B3FAC" w:rsidRDefault="00402C76" w:rsidP="008B0222">
            <w:pPr>
              <w:jc w:val="center"/>
              <w:rPr>
                <w:lang w:val="en-US"/>
              </w:rPr>
            </w:pPr>
            <w:r w:rsidRPr="001B3FAC">
              <w:rPr>
                <w:lang w:val="en-US"/>
              </w:rPr>
              <w:t>0</w:t>
            </w:r>
          </w:p>
        </w:tc>
        <w:tc>
          <w:tcPr>
            <w:tcW w:w="1512" w:type="dxa"/>
            <w:vAlign w:val="center"/>
          </w:tcPr>
          <w:p w:rsidR="00402C76" w:rsidRPr="001B3FAC" w:rsidRDefault="00402C76" w:rsidP="008B0222">
            <w:pPr>
              <w:jc w:val="center"/>
            </w:pPr>
            <w:r w:rsidRPr="001B3FAC">
              <w:t>0,345</w:t>
            </w:r>
          </w:p>
        </w:tc>
        <w:tc>
          <w:tcPr>
            <w:tcW w:w="1441" w:type="dxa"/>
            <w:vAlign w:val="center"/>
          </w:tcPr>
          <w:p w:rsidR="00402C76" w:rsidRPr="001B3FAC" w:rsidRDefault="00402C76" w:rsidP="008B0222">
            <w:pPr>
              <w:jc w:val="center"/>
            </w:pPr>
            <w:r w:rsidRPr="001B3FAC">
              <w:t>0,351</w:t>
            </w:r>
          </w:p>
        </w:tc>
        <w:tc>
          <w:tcPr>
            <w:tcW w:w="1441" w:type="dxa"/>
            <w:vAlign w:val="center"/>
          </w:tcPr>
          <w:p w:rsidR="00402C76" w:rsidRPr="001B3FAC" w:rsidRDefault="00402C76" w:rsidP="008B0222">
            <w:pPr>
              <w:jc w:val="center"/>
            </w:pPr>
            <w:r w:rsidRPr="001B3FAC">
              <w:t>0,301</w:t>
            </w:r>
          </w:p>
        </w:tc>
        <w:tc>
          <w:tcPr>
            <w:tcW w:w="1404" w:type="dxa"/>
            <w:vAlign w:val="center"/>
          </w:tcPr>
          <w:p w:rsidR="00402C76" w:rsidRPr="001B3FAC" w:rsidRDefault="00402C76" w:rsidP="008B0222">
            <w:pPr>
              <w:jc w:val="center"/>
            </w:pPr>
            <w:r w:rsidRPr="001B3FAC">
              <w:t>0,223</w:t>
            </w:r>
          </w:p>
        </w:tc>
      </w:tr>
      <w:tr w:rsidR="00402C76" w:rsidRPr="001B3FAC" w:rsidTr="00957FF3">
        <w:tc>
          <w:tcPr>
            <w:tcW w:w="1985" w:type="dxa"/>
            <w:gridSpan w:val="2"/>
            <w:vMerge w:val="restart"/>
            <w:vAlign w:val="center"/>
          </w:tcPr>
          <w:p w:rsidR="00402C76" w:rsidRPr="001B3FAC" w:rsidRDefault="00402C76" w:rsidP="008B0222">
            <w:pPr>
              <w:jc w:val="center"/>
              <w:rPr>
                <w:sz w:val="24"/>
                <w:szCs w:val="24"/>
              </w:rPr>
            </w:pPr>
            <w:r w:rsidRPr="001B3FAC">
              <w:rPr>
                <w:sz w:val="24"/>
                <w:szCs w:val="24"/>
              </w:rPr>
              <w:t>Адгезия с пластмассой</w:t>
            </w:r>
          </w:p>
        </w:tc>
        <w:tc>
          <w:tcPr>
            <w:tcW w:w="1134" w:type="dxa"/>
            <w:vAlign w:val="center"/>
          </w:tcPr>
          <w:p w:rsidR="00402C76" w:rsidRPr="001B3FAC" w:rsidRDefault="00402C76" w:rsidP="008B0222">
            <w:pPr>
              <w:jc w:val="center"/>
              <w:rPr>
                <w:sz w:val="24"/>
                <w:szCs w:val="24"/>
              </w:rPr>
            </w:pPr>
            <w:r w:rsidRPr="001B3FAC">
              <w:rPr>
                <w:sz w:val="24"/>
                <w:szCs w:val="24"/>
              </w:rPr>
              <w:t>М±</w:t>
            </w:r>
            <w:r w:rsidRPr="001B3FAC">
              <w:rPr>
                <w:sz w:val="24"/>
                <w:szCs w:val="24"/>
                <w:lang w:val="en-US"/>
              </w:rPr>
              <w:t>m</w:t>
            </w:r>
            <w:r w:rsidRPr="001B3FAC">
              <w:rPr>
                <w:sz w:val="24"/>
                <w:szCs w:val="24"/>
              </w:rPr>
              <w:t xml:space="preserve">, </w:t>
            </w:r>
            <w:r w:rsidRPr="001B3FAC">
              <w:rPr>
                <w:sz w:val="24"/>
                <w:szCs w:val="24"/>
                <w:lang w:val="uk-UA"/>
              </w:rPr>
              <w:t>МПа</w:t>
            </w:r>
          </w:p>
        </w:tc>
        <w:tc>
          <w:tcPr>
            <w:tcW w:w="1559" w:type="dxa"/>
            <w:vAlign w:val="center"/>
          </w:tcPr>
          <w:p w:rsidR="00402C76" w:rsidRPr="001B3FAC" w:rsidRDefault="00402C76" w:rsidP="008B0222">
            <w:pPr>
              <w:jc w:val="center"/>
            </w:pPr>
            <w:r w:rsidRPr="001B3FAC">
              <w:rPr>
                <w:lang w:val="uk-UA"/>
              </w:rPr>
              <w:t>≥1,5</w:t>
            </w:r>
          </w:p>
        </w:tc>
        <w:tc>
          <w:tcPr>
            <w:tcW w:w="1512" w:type="dxa"/>
            <w:vAlign w:val="center"/>
          </w:tcPr>
          <w:p w:rsidR="00402C76" w:rsidRPr="001B3FAC" w:rsidRDefault="00402C76" w:rsidP="008B0222">
            <w:pPr>
              <w:jc w:val="center"/>
              <w:rPr>
                <w:lang w:val="uk-UA"/>
              </w:rPr>
            </w:pPr>
            <w:r w:rsidRPr="001B3FAC">
              <w:rPr>
                <w:lang w:val="uk-UA"/>
              </w:rPr>
              <w:t>2,4</w:t>
            </w:r>
            <w:r w:rsidRPr="001B3FAC">
              <w:t>±</w:t>
            </w:r>
            <w:r w:rsidRPr="001B3FAC">
              <w:rPr>
                <w:lang w:val="uk-UA"/>
              </w:rPr>
              <w:t>0,4</w:t>
            </w:r>
          </w:p>
        </w:tc>
        <w:tc>
          <w:tcPr>
            <w:tcW w:w="1441" w:type="dxa"/>
            <w:vAlign w:val="center"/>
          </w:tcPr>
          <w:p w:rsidR="00402C76" w:rsidRPr="001B3FAC" w:rsidRDefault="00402C76" w:rsidP="008B0222">
            <w:pPr>
              <w:jc w:val="center"/>
              <w:rPr>
                <w:lang w:val="uk-UA"/>
              </w:rPr>
            </w:pPr>
            <w:r w:rsidRPr="001B3FAC">
              <w:rPr>
                <w:lang w:val="uk-UA"/>
              </w:rPr>
              <w:t>2,9</w:t>
            </w:r>
            <w:r w:rsidRPr="001B3FAC">
              <w:t>±</w:t>
            </w:r>
            <w:r w:rsidRPr="001B3FAC">
              <w:rPr>
                <w:lang w:val="uk-UA"/>
              </w:rPr>
              <w:t>0,3</w:t>
            </w:r>
            <w:r w:rsidRPr="001B3FAC">
              <w:rPr>
                <w:vertAlign w:val="superscript"/>
                <w:lang w:val="uk-UA"/>
              </w:rPr>
              <w:t xml:space="preserve"> с</w:t>
            </w:r>
          </w:p>
        </w:tc>
        <w:tc>
          <w:tcPr>
            <w:tcW w:w="1441" w:type="dxa"/>
            <w:vAlign w:val="center"/>
          </w:tcPr>
          <w:p w:rsidR="00402C76" w:rsidRPr="001B3FAC" w:rsidRDefault="00402C76" w:rsidP="008B0222">
            <w:pPr>
              <w:jc w:val="center"/>
            </w:pPr>
            <w:r w:rsidRPr="001B3FAC">
              <w:rPr>
                <w:lang w:val="uk-UA"/>
              </w:rPr>
              <w:t>1,9±0,1</w:t>
            </w:r>
            <w:r w:rsidRPr="001B3FAC">
              <w:rPr>
                <w:vertAlign w:val="superscript"/>
                <w:lang w:val="uk-UA"/>
              </w:rPr>
              <w:t>d</w:t>
            </w:r>
          </w:p>
        </w:tc>
        <w:tc>
          <w:tcPr>
            <w:tcW w:w="1404" w:type="dxa"/>
            <w:vAlign w:val="center"/>
          </w:tcPr>
          <w:p w:rsidR="00402C76" w:rsidRPr="001B3FAC" w:rsidRDefault="00402C76" w:rsidP="008B0222">
            <w:pPr>
              <w:jc w:val="center"/>
              <w:rPr>
                <w:lang w:val="uk-UA"/>
              </w:rPr>
            </w:pPr>
            <w:r w:rsidRPr="001B3FAC">
              <w:rPr>
                <w:lang w:val="uk-UA"/>
              </w:rPr>
              <w:t>1,9</w:t>
            </w:r>
            <w:r w:rsidRPr="001B3FAC">
              <w:t>±</w:t>
            </w:r>
            <w:r w:rsidRPr="001B3FAC">
              <w:rPr>
                <w:lang w:val="uk-UA"/>
              </w:rPr>
              <w:t>0,1</w:t>
            </w:r>
          </w:p>
        </w:tc>
      </w:tr>
      <w:tr w:rsidR="00402C76" w:rsidRPr="001B3FAC" w:rsidTr="00957FF3">
        <w:tc>
          <w:tcPr>
            <w:tcW w:w="1985" w:type="dxa"/>
            <w:gridSpan w:val="2"/>
            <w:vMerge/>
            <w:vAlign w:val="center"/>
          </w:tcPr>
          <w:p w:rsidR="00402C76" w:rsidRPr="001B3FAC" w:rsidRDefault="00402C76" w:rsidP="008B0222">
            <w:pPr>
              <w:jc w:val="center"/>
              <w:rPr>
                <w:sz w:val="24"/>
                <w:szCs w:val="24"/>
              </w:rPr>
            </w:pPr>
          </w:p>
        </w:tc>
        <w:tc>
          <w:tcPr>
            <w:tcW w:w="1134" w:type="dxa"/>
            <w:vAlign w:val="center"/>
          </w:tcPr>
          <w:p w:rsidR="00402C76" w:rsidRPr="001B3FAC" w:rsidRDefault="00402C76" w:rsidP="008B0222">
            <w:pPr>
              <w:jc w:val="center"/>
              <w:rPr>
                <w:sz w:val="24"/>
                <w:szCs w:val="24"/>
                <w:lang w:val="en-US"/>
              </w:rPr>
            </w:pPr>
            <w:r w:rsidRPr="001B3FAC">
              <w:rPr>
                <w:sz w:val="24"/>
                <w:szCs w:val="24"/>
                <w:lang w:val="en-US"/>
              </w:rPr>
              <w:t>S</w:t>
            </w:r>
          </w:p>
        </w:tc>
        <w:tc>
          <w:tcPr>
            <w:tcW w:w="1559" w:type="dxa"/>
            <w:vAlign w:val="center"/>
          </w:tcPr>
          <w:p w:rsidR="00402C76" w:rsidRPr="001B3FAC" w:rsidRDefault="00402C76" w:rsidP="008B0222">
            <w:pPr>
              <w:jc w:val="center"/>
              <w:rPr>
                <w:lang w:val="uk-UA"/>
              </w:rPr>
            </w:pPr>
            <w:r w:rsidRPr="001B3FAC">
              <w:rPr>
                <w:lang w:val="uk-UA"/>
              </w:rPr>
              <w:t>1,0</w:t>
            </w:r>
          </w:p>
        </w:tc>
        <w:tc>
          <w:tcPr>
            <w:tcW w:w="1512" w:type="dxa"/>
            <w:vAlign w:val="center"/>
          </w:tcPr>
          <w:p w:rsidR="00402C76" w:rsidRPr="001B3FAC" w:rsidRDefault="00402C76" w:rsidP="008B0222">
            <w:pPr>
              <w:jc w:val="center"/>
              <w:rPr>
                <w:lang w:val="uk-UA"/>
              </w:rPr>
            </w:pPr>
            <w:r w:rsidRPr="001B3FAC">
              <w:rPr>
                <w:lang w:val="uk-UA"/>
              </w:rPr>
              <w:t>0,625</w:t>
            </w:r>
          </w:p>
        </w:tc>
        <w:tc>
          <w:tcPr>
            <w:tcW w:w="1441" w:type="dxa"/>
            <w:vAlign w:val="center"/>
          </w:tcPr>
          <w:p w:rsidR="00402C76" w:rsidRPr="001B3FAC" w:rsidRDefault="00402C76" w:rsidP="008B0222">
            <w:pPr>
              <w:jc w:val="center"/>
              <w:rPr>
                <w:lang w:val="uk-UA"/>
              </w:rPr>
            </w:pPr>
            <w:r w:rsidRPr="001B3FAC">
              <w:rPr>
                <w:lang w:val="uk-UA"/>
              </w:rPr>
              <w:t>0,652</w:t>
            </w:r>
          </w:p>
        </w:tc>
        <w:tc>
          <w:tcPr>
            <w:tcW w:w="1441" w:type="dxa"/>
            <w:vAlign w:val="center"/>
          </w:tcPr>
          <w:p w:rsidR="00402C76" w:rsidRPr="001B3FAC" w:rsidRDefault="00402C76" w:rsidP="008B0222">
            <w:pPr>
              <w:jc w:val="center"/>
            </w:pPr>
            <w:r w:rsidRPr="001B3FAC">
              <w:rPr>
                <w:lang w:val="uk-UA"/>
              </w:rPr>
              <w:t>0,663</w:t>
            </w:r>
          </w:p>
        </w:tc>
        <w:tc>
          <w:tcPr>
            <w:tcW w:w="1404" w:type="dxa"/>
            <w:vAlign w:val="center"/>
          </w:tcPr>
          <w:p w:rsidR="00402C76" w:rsidRPr="001B3FAC" w:rsidRDefault="00402C76" w:rsidP="008B0222">
            <w:pPr>
              <w:jc w:val="center"/>
              <w:rPr>
                <w:lang w:val="uk-UA"/>
              </w:rPr>
            </w:pPr>
            <w:r w:rsidRPr="001B3FAC">
              <w:rPr>
                <w:lang w:val="uk-UA"/>
              </w:rPr>
              <w:t>0,789</w:t>
            </w:r>
          </w:p>
        </w:tc>
      </w:tr>
      <w:tr w:rsidR="00402C76" w:rsidRPr="001B3FAC" w:rsidTr="00957FF3">
        <w:tc>
          <w:tcPr>
            <w:tcW w:w="1985" w:type="dxa"/>
            <w:gridSpan w:val="2"/>
            <w:vMerge/>
            <w:vAlign w:val="center"/>
          </w:tcPr>
          <w:p w:rsidR="00402C76" w:rsidRPr="001B3FAC" w:rsidRDefault="00402C76" w:rsidP="008B0222">
            <w:pPr>
              <w:jc w:val="center"/>
              <w:rPr>
                <w:sz w:val="24"/>
                <w:szCs w:val="24"/>
              </w:rPr>
            </w:pPr>
          </w:p>
        </w:tc>
        <w:tc>
          <w:tcPr>
            <w:tcW w:w="1134" w:type="dxa"/>
            <w:vAlign w:val="center"/>
          </w:tcPr>
          <w:p w:rsidR="00402C76" w:rsidRPr="001B3FAC" w:rsidRDefault="00402C76" w:rsidP="008B0222">
            <w:pPr>
              <w:jc w:val="center"/>
              <w:rPr>
                <w:sz w:val="24"/>
                <w:szCs w:val="24"/>
                <w:lang w:val="en-US"/>
              </w:rPr>
            </w:pPr>
            <w:r w:rsidRPr="001B3FAC">
              <w:rPr>
                <w:sz w:val="24"/>
                <w:szCs w:val="24"/>
                <w:lang w:val="en-US"/>
              </w:rPr>
              <w:t>h</w:t>
            </w:r>
            <w:r w:rsidRPr="001B3FAC">
              <w:rPr>
                <w:sz w:val="24"/>
                <w:szCs w:val="24"/>
                <w:vertAlign w:val="subscript"/>
                <w:lang w:val="en-US"/>
              </w:rPr>
              <w:t>0</w:t>
            </w:r>
            <w:r w:rsidRPr="001B3FAC">
              <w:rPr>
                <w:sz w:val="24"/>
                <w:szCs w:val="24"/>
                <w:lang w:val="uk-UA"/>
              </w:rPr>
              <w:t>, біт</w:t>
            </w:r>
          </w:p>
        </w:tc>
        <w:tc>
          <w:tcPr>
            <w:tcW w:w="1559" w:type="dxa"/>
            <w:vAlign w:val="center"/>
          </w:tcPr>
          <w:p w:rsidR="00402C76" w:rsidRPr="001B3FAC" w:rsidRDefault="00402C76" w:rsidP="008B0222">
            <w:pPr>
              <w:jc w:val="center"/>
              <w:rPr>
                <w:lang w:val="en-US"/>
              </w:rPr>
            </w:pPr>
            <w:r w:rsidRPr="001B3FAC">
              <w:rPr>
                <w:lang w:val="en-US"/>
              </w:rPr>
              <w:t>0</w:t>
            </w:r>
          </w:p>
        </w:tc>
        <w:tc>
          <w:tcPr>
            <w:tcW w:w="1512" w:type="dxa"/>
            <w:vAlign w:val="center"/>
          </w:tcPr>
          <w:p w:rsidR="00402C76" w:rsidRPr="001B3FAC" w:rsidRDefault="00402C76" w:rsidP="008B0222">
            <w:pPr>
              <w:jc w:val="center"/>
            </w:pPr>
            <w:r w:rsidRPr="001B3FAC">
              <w:t>0,424</w:t>
            </w:r>
          </w:p>
        </w:tc>
        <w:tc>
          <w:tcPr>
            <w:tcW w:w="1441" w:type="dxa"/>
            <w:vAlign w:val="center"/>
          </w:tcPr>
          <w:p w:rsidR="00402C76" w:rsidRPr="001B3FAC" w:rsidRDefault="00402C76" w:rsidP="008B0222">
            <w:pPr>
              <w:jc w:val="center"/>
            </w:pPr>
            <w:r w:rsidRPr="001B3FAC">
              <w:t>0,402</w:t>
            </w:r>
          </w:p>
        </w:tc>
        <w:tc>
          <w:tcPr>
            <w:tcW w:w="1441" w:type="dxa"/>
            <w:vAlign w:val="center"/>
          </w:tcPr>
          <w:p w:rsidR="00402C76" w:rsidRPr="001B3FAC" w:rsidRDefault="00402C76" w:rsidP="008B0222">
            <w:pPr>
              <w:jc w:val="center"/>
            </w:pPr>
            <w:r w:rsidRPr="001B3FAC">
              <w:t>0,356</w:t>
            </w:r>
          </w:p>
        </w:tc>
        <w:tc>
          <w:tcPr>
            <w:tcW w:w="1404" w:type="dxa"/>
            <w:vAlign w:val="center"/>
          </w:tcPr>
          <w:p w:rsidR="00402C76" w:rsidRPr="001B3FAC" w:rsidRDefault="00402C76" w:rsidP="008B0222">
            <w:pPr>
              <w:jc w:val="center"/>
            </w:pPr>
            <w:r w:rsidRPr="001B3FAC">
              <w:t>0,270</w:t>
            </w:r>
          </w:p>
        </w:tc>
      </w:tr>
      <w:tr w:rsidR="00402C76" w:rsidRPr="001B3FAC" w:rsidTr="00957FF3">
        <w:tc>
          <w:tcPr>
            <w:tcW w:w="1985" w:type="dxa"/>
            <w:gridSpan w:val="2"/>
            <w:vMerge w:val="restart"/>
            <w:vAlign w:val="center"/>
          </w:tcPr>
          <w:p w:rsidR="00402C76" w:rsidRPr="001B3FAC" w:rsidRDefault="00402C76" w:rsidP="008B0222">
            <w:pPr>
              <w:jc w:val="center"/>
              <w:rPr>
                <w:sz w:val="24"/>
                <w:szCs w:val="24"/>
              </w:rPr>
            </w:pPr>
            <w:r w:rsidRPr="001B3FAC">
              <w:rPr>
                <w:sz w:val="24"/>
                <w:szCs w:val="24"/>
              </w:rPr>
              <w:t>Адгезия с металлом</w:t>
            </w:r>
          </w:p>
        </w:tc>
        <w:tc>
          <w:tcPr>
            <w:tcW w:w="1134" w:type="dxa"/>
            <w:vAlign w:val="center"/>
          </w:tcPr>
          <w:p w:rsidR="00402C76" w:rsidRPr="001B3FAC" w:rsidRDefault="00402C76" w:rsidP="008B0222">
            <w:pPr>
              <w:jc w:val="center"/>
              <w:rPr>
                <w:sz w:val="24"/>
                <w:szCs w:val="24"/>
              </w:rPr>
            </w:pPr>
            <w:r w:rsidRPr="001B3FAC">
              <w:rPr>
                <w:sz w:val="24"/>
                <w:szCs w:val="24"/>
              </w:rPr>
              <w:t>М±</w:t>
            </w:r>
            <w:r w:rsidRPr="001B3FAC">
              <w:rPr>
                <w:sz w:val="24"/>
                <w:szCs w:val="24"/>
                <w:lang w:val="en-US"/>
              </w:rPr>
              <w:t>m</w:t>
            </w:r>
            <w:r w:rsidRPr="001B3FAC">
              <w:rPr>
                <w:sz w:val="24"/>
                <w:szCs w:val="24"/>
              </w:rPr>
              <w:t xml:space="preserve">, </w:t>
            </w:r>
            <w:r w:rsidRPr="001B3FAC">
              <w:rPr>
                <w:sz w:val="24"/>
                <w:szCs w:val="24"/>
                <w:lang w:val="uk-UA"/>
              </w:rPr>
              <w:t>МПа</w:t>
            </w:r>
          </w:p>
        </w:tc>
        <w:tc>
          <w:tcPr>
            <w:tcW w:w="1559" w:type="dxa"/>
            <w:vAlign w:val="center"/>
          </w:tcPr>
          <w:p w:rsidR="00402C76" w:rsidRPr="001B3FAC" w:rsidRDefault="00402C76" w:rsidP="008B0222">
            <w:pPr>
              <w:jc w:val="center"/>
            </w:pPr>
            <w:r w:rsidRPr="001B3FAC">
              <w:rPr>
                <w:lang w:val="uk-UA"/>
              </w:rPr>
              <w:t>≥1,5</w:t>
            </w:r>
          </w:p>
        </w:tc>
        <w:tc>
          <w:tcPr>
            <w:tcW w:w="1512" w:type="dxa"/>
            <w:vAlign w:val="center"/>
          </w:tcPr>
          <w:p w:rsidR="00402C76" w:rsidRPr="001B3FAC" w:rsidRDefault="00402C76" w:rsidP="008B0222">
            <w:pPr>
              <w:jc w:val="center"/>
              <w:rPr>
                <w:lang w:val="uk-UA"/>
              </w:rPr>
            </w:pPr>
            <w:r w:rsidRPr="001B3FAC">
              <w:rPr>
                <w:lang w:val="uk-UA"/>
              </w:rPr>
              <w:t>2,1</w:t>
            </w:r>
            <w:r w:rsidRPr="001B3FAC">
              <w:t>±</w:t>
            </w:r>
            <w:r w:rsidRPr="001B3FAC">
              <w:rPr>
                <w:lang w:val="uk-UA"/>
              </w:rPr>
              <w:t>0,1</w:t>
            </w:r>
          </w:p>
        </w:tc>
        <w:tc>
          <w:tcPr>
            <w:tcW w:w="1441" w:type="dxa"/>
            <w:vAlign w:val="center"/>
          </w:tcPr>
          <w:p w:rsidR="00402C76" w:rsidRPr="001B3FAC" w:rsidRDefault="00402C76" w:rsidP="008B0222">
            <w:pPr>
              <w:jc w:val="center"/>
              <w:rPr>
                <w:lang w:val="uk-UA"/>
              </w:rPr>
            </w:pPr>
            <w:r w:rsidRPr="001B3FAC">
              <w:rPr>
                <w:lang w:val="uk-UA"/>
              </w:rPr>
              <w:t>2,3</w:t>
            </w:r>
            <w:r w:rsidRPr="001B3FAC">
              <w:t>±</w:t>
            </w:r>
            <w:r w:rsidRPr="001B3FAC">
              <w:rPr>
                <w:lang w:val="uk-UA"/>
              </w:rPr>
              <w:t>0,2</w:t>
            </w:r>
            <w:r w:rsidRPr="001B3FAC">
              <w:rPr>
                <w:vertAlign w:val="superscript"/>
                <w:lang w:val="uk-UA"/>
              </w:rPr>
              <w:t xml:space="preserve"> с</w:t>
            </w:r>
          </w:p>
        </w:tc>
        <w:tc>
          <w:tcPr>
            <w:tcW w:w="1441" w:type="dxa"/>
            <w:vAlign w:val="center"/>
          </w:tcPr>
          <w:p w:rsidR="00402C76" w:rsidRPr="001B3FAC" w:rsidRDefault="00402C76" w:rsidP="008B0222">
            <w:pPr>
              <w:jc w:val="center"/>
            </w:pPr>
            <w:r w:rsidRPr="001B3FAC">
              <w:rPr>
                <w:lang w:val="uk-UA"/>
              </w:rPr>
              <w:t>2,0±0,2</w:t>
            </w:r>
            <w:r w:rsidRPr="001B3FAC">
              <w:rPr>
                <w:vertAlign w:val="superscript"/>
                <w:lang w:val="uk-UA"/>
              </w:rPr>
              <w:t>d</w:t>
            </w:r>
          </w:p>
        </w:tc>
        <w:tc>
          <w:tcPr>
            <w:tcW w:w="1404" w:type="dxa"/>
            <w:vAlign w:val="center"/>
          </w:tcPr>
          <w:p w:rsidR="00402C76" w:rsidRPr="001B3FAC" w:rsidRDefault="00402C76" w:rsidP="008B0222">
            <w:pPr>
              <w:jc w:val="center"/>
              <w:rPr>
                <w:lang w:val="uk-UA"/>
              </w:rPr>
            </w:pPr>
            <w:r w:rsidRPr="001B3FAC">
              <w:rPr>
                <w:lang w:val="uk-UA"/>
              </w:rPr>
              <w:t>1,7</w:t>
            </w:r>
            <w:r w:rsidRPr="001B3FAC">
              <w:t>±</w:t>
            </w:r>
            <w:r w:rsidRPr="001B3FAC">
              <w:rPr>
                <w:lang w:val="uk-UA"/>
              </w:rPr>
              <w:t>0,08</w:t>
            </w:r>
            <w:r w:rsidRPr="001B3FAC">
              <w:rPr>
                <w:vertAlign w:val="superscript"/>
                <w:lang w:val="uk-UA"/>
              </w:rPr>
              <w:t xml:space="preserve"> в</w:t>
            </w:r>
          </w:p>
        </w:tc>
      </w:tr>
      <w:tr w:rsidR="00402C76" w:rsidRPr="001B3FAC" w:rsidTr="00957FF3">
        <w:tc>
          <w:tcPr>
            <w:tcW w:w="1985" w:type="dxa"/>
            <w:gridSpan w:val="2"/>
            <w:vMerge/>
            <w:vAlign w:val="center"/>
          </w:tcPr>
          <w:p w:rsidR="00402C76" w:rsidRPr="001B3FAC" w:rsidRDefault="00402C76" w:rsidP="008B0222">
            <w:pPr>
              <w:jc w:val="center"/>
              <w:rPr>
                <w:sz w:val="24"/>
                <w:szCs w:val="24"/>
              </w:rPr>
            </w:pPr>
          </w:p>
        </w:tc>
        <w:tc>
          <w:tcPr>
            <w:tcW w:w="1134" w:type="dxa"/>
            <w:vAlign w:val="center"/>
          </w:tcPr>
          <w:p w:rsidR="00402C76" w:rsidRPr="001B3FAC" w:rsidRDefault="00402C76" w:rsidP="008B0222">
            <w:pPr>
              <w:jc w:val="center"/>
              <w:rPr>
                <w:sz w:val="24"/>
                <w:szCs w:val="24"/>
                <w:lang w:val="en-US"/>
              </w:rPr>
            </w:pPr>
            <w:r w:rsidRPr="001B3FAC">
              <w:rPr>
                <w:sz w:val="24"/>
                <w:szCs w:val="24"/>
                <w:lang w:val="en-US"/>
              </w:rPr>
              <w:t>S</w:t>
            </w:r>
          </w:p>
        </w:tc>
        <w:tc>
          <w:tcPr>
            <w:tcW w:w="1559" w:type="dxa"/>
            <w:vAlign w:val="center"/>
          </w:tcPr>
          <w:p w:rsidR="00402C76" w:rsidRPr="001B3FAC" w:rsidRDefault="00402C76" w:rsidP="008B0222">
            <w:pPr>
              <w:jc w:val="center"/>
              <w:rPr>
                <w:lang w:val="uk-UA"/>
              </w:rPr>
            </w:pPr>
            <w:r w:rsidRPr="001B3FAC">
              <w:rPr>
                <w:lang w:val="uk-UA"/>
              </w:rPr>
              <w:t>1,0</w:t>
            </w:r>
          </w:p>
        </w:tc>
        <w:tc>
          <w:tcPr>
            <w:tcW w:w="1512" w:type="dxa"/>
            <w:vAlign w:val="center"/>
          </w:tcPr>
          <w:p w:rsidR="00402C76" w:rsidRPr="001B3FAC" w:rsidRDefault="00402C76" w:rsidP="008B0222">
            <w:pPr>
              <w:jc w:val="center"/>
              <w:rPr>
                <w:lang w:val="uk-UA"/>
              </w:rPr>
            </w:pPr>
            <w:r w:rsidRPr="001B3FAC">
              <w:rPr>
                <w:lang w:val="uk-UA"/>
              </w:rPr>
              <w:t>0,714</w:t>
            </w:r>
          </w:p>
        </w:tc>
        <w:tc>
          <w:tcPr>
            <w:tcW w:w="1441" w:type="dxa"/>
            <w:vAlign w:val="center"/>
          </w:tcPr>
          <w:p w:rsidR="00402C76" w:rsidRPr="001B3FAC" w:rsidRDefault="00402C76" w:rsidP="008B0222">
            <w:pPr>
              <w:jc w:val="center"/>
              <w:rPr>
                <w:lang w:val="uk-UA"/>
              </w:rPr>
            </w:pPr>
            <w:r w:rsidRPr="001B3FAC">
              <w:rPr>
                <w:lang w:val="uk-UA"/>
              </w:rPr>
              <w:t>0,652</w:t>
            </w:r>
          </w:p>
        </w:tc>
        <w:tc>
          <w:tcPr>
            <w:tcW w:w="1441" w:type="dxa"/>
            <w:vAlign w:val="center"/>
          </w:tcPr>
          <w:p w:rsidR="00402C76" w:rsidRPr="001B3FAC" w:rsidRDefault="00402C76" w:rsidP="008B0222">
            <w:pPr>
              <w:jc w:val="center"/>
            </w:pPr>
            <w:r w:rsidRPr="001B3FAC">
              <w:rPr>
                <w:lang w:val="uk-UA"/>
              </w:rPr>
              <w:t>0,603</w:t>
            </w:r>
          </w:p>
        </w:tc>
        <w:tc>
          <w:tcPr>
            <w:tcW w:w="1404" w:type="dxa"/>
            <w:vAlign w:val="center"/>
          </w:tcPr>
          <w:p w:rsidR="00402C76" w:rsidRPr="001B3FAC" w:rsidRDefault="00402C76" w:rsidP="008B0222">
            <w:pPr>
              <w:jc w:val="center"/>
              <w:rPr>
                <w:lang w:val="uk-UA"/>
              </w:rPr>
            </w:pPr>
            <w:r w:rsidRPr="001B3FAC">
              <w:rPr>
                <w:lang w:val="uk-UA"/>
              </w:rPr>
              <w:t>0,882</w:t>
            </w:r>
          </w:p>
        </w:tc>
      </w:tr>
      <w:tr w:rsidR="00402C76" w:rsidRPr="001B3FAC" w:rsidTr="00957FF3">
        <w:tc>
          <w:tcPr>
            <w:tcW w:w="1985" w:type="dxa"/>
            <w:gridSpan w:val="2"/>
            <w:vMerge/>
            <w:vAlign w:val="center"/>
          </w:tcPr>
          <w:p w:rsidR="00402C76" w:rsidRPr="001B3FAC" w:rsidRDefault="00402C76" w:rsidP="008B0222">
            <w:pPr>
              <w:jc w:val="center"/>
              <w:rPr>
                <w:sz w:val="24"/>
                <w:szCs w:val="24"/>
              </w:rPr>
            </w:pPr>
          </w:p>
        </w:tc>
        <w:tc>
          <w:tcPr>
            <w:tcW w:w="1134" w:type="dxa"/>
            <w:vAlign w:val="center"/>
          </w:tcPr>
          <w:p w:rsidR="00402C76" w:rsidRPr="001B3FAC" w:rsidRDefault="00402C76" w:rsidP="008B0222">
            <w:pPr>
              <w:jc w:val="center"/>
              <w:rPr>
                <w:sz w:val="24"/>
                <w:szCs w:val="24"/>
                <w:lang w:val="en-US"/>
              </w:rPr>
            </w:pPr>
            <w:r w:rsidRPr="001B3FAC">
              <w:rPr>
                <w:sz w:val="24"/>
                <w:szCs w:val="24"/>
                <w:lang w:val="en-US"/>
              </w:rPr>
              <w:t>h</w:t>
            </w:r>
            <w:r w:rsidRPr="001B3FAC">
              <w:rPr>
                <w:sz w:val="24"/>
                <w:szCs w:val="24"/>
                <w:vertAlign w:val="subscript"/>
                <w:lang w:val="en-US"/>
              </w:rPr>
              <w:t>0</w:t>
            </w:r>
            <w:r w:rsidRPr="001B3FAC">
              <w:rPr>
                <w:sz w:val="24"/>
                <w:szCs w:val="24"/>
                <w:lang w:val="uk-UA"/>
              </w:rPr>
              <w:t>, біт</w:t>
            </w:r>
          </w:p>
        </w:tc>
        <w:tc>
          <w:tcPr>
            <w:tcW w:w="1559" w:type="dxa"/>
            <w:vAlign w:val="center"/>
          </w:tcPr>
          <w:p w:rsidR="00402C76" w:rsidRPr="001B3FAC" w:rsidRDefault="00402C76" w:rsidP="008B0222">
            <w:pPr>
              <w:jc w:val="center"/>
              <w:rPr>
                <w:lang w:val="en-US"/>
              </w:rPr>
            </w:pPr>
            <w:r w:rsidRPr="001B3FAC">
              <w:rPr>
                <w:lang w:val="en-US"/>
              </w:rPr>
              <w:t>0</w:t>
            </w:r>
          </w:p>
        </w:tc>
        <w:tc>
          <w:tcPr>
            <w:tcW w:w="1512" w:type="dxa"/>
            <w:vAlign w:val="center"/>
          </w:tcPr>
          <w:p w:rsidR="00402C76" w:rsidRPr="001B3FAC" w:rsidRDefault="00402C76" w:rsidP="008B0222">
            <w:pPr>
              <w:jc w:val="center"/>
            </w:pPr>
            <w:r w:rsidRPr="001B3FAC">
              <w:t>0,347</w:t>
            </w:r>
          </w:p>
        </w:tc>
        <w:tc>
          <w:tcPr>
            <w:tcW w:w="1441" w:type="dxa"/>
            <w:vAlign w:val="center"/>
          </w:tcPr>
          <w:p w:rsidR="00402C76" w:rsidRPr="001B3FAC" w:rsidRDefault="00402C76" w:rsidP="008B0222">
            <w:pPr>
              <w:jc w:val="center"/>
            </w:pPr>
            <w:r w:rsidRPr="001B3FAC">
              <w:t>0,402</w:t>
            </w:r>
          </w:p>
        </w:tc>
        <w:tc>
          <w:tcPr>
            <w:tcW w:w="1441" w:type="dxa"/>
            <w:vAlign w:val="center"/>
          </w:tcPr>
          <w:p w:rsidR="00402C76" w:rsidRPr="001B3FAC" w:rsidRDefault="00402C76" w:rsidP="008B0222">
            <w:pPr>
              <w:jc w:val="center"/>
            </w:pPr>
            <w:r w:rsidRPr="001B3FAC">
              <w:t>0,342</w:t>
            </w:r>
          </w:p>
        </w:tc>
        <w:tc>
          <w:tcPr>
            <w:tcW w:w="1404" w:type="dxa"/>
            <w:vAlign w:val="center"/>
          </w:tcPr>
          <w:p w:rsidR="00402C76" w:rsidRPr="001B3FAC" w:rsidRDefault="00402C76" w:rsidP="008B0222">
            <w:pPr>
              <w:jc w:val="center"/>
            </w:pPr>
            <w:r w:rsidRPr="001B3FAC">
              <w:t>0,160</w:t>
            </w:r>
          </w:p>
        </w:tc>
      </w:tr>
      <w:tr w:rsidR="00402C76" w:rsidRPr="001B3FAC" w:rsidTr="00957FF3">
        <w:tc>
          <w:tcPr>
            <w:tcW w:w="1985" w:type="dxa"/>
            <w:gridSpan w:val="2"/>
            <w:vMerge w:val="restart"/>
            <w:vAlign w:val="center"/>
          </w:tcPr>
          <w:p w:rsidR="00402C76" w:rsidRPr="001B3FAC" w:rsidRDefault="00402C76" w:rsidP="008B0222">
            <w:pPr>
              <w:jc w:val="center"/>
              <w:rPr>
                <w:sz w:val="24"/>
                <w:szCs w:val="24"/>
              </w:rPr>
            </w:pPr>
            <w:r w:rsidRPr="001B3FAC">
              <w:rPr>
                <w:spacing w:val="-10"/>
                <w:sz w:val="24"/>
                <w:szCs w:val="24"/>
              </w:rPr>
              <w:t>Вязкость условная</w:t>
            </w:r>
          </w:p>
        </w:tc>
        <w:tc>
          <w:tcPr>
            <w:tcW w:w="1134" w:type="dxa"/>
            <w:vAlign w:val="center"/>
          </w:tcPr>
          <w:p w:rsidR="00402C76" w:rsidRPr="001B3FAC" w:rsidRDefault="00402C76" w:rsidP="008B0222">
            <w:pPr>
              <w:jc w:val="center"/>
              <w:rPr>
                <w:sz w:val="24"/>
                <w:szCs w:val="24"/>
                <w:lang w:val="en-US"/>
              </w:rPr>
            </w:pPr>
            <w:r w:rsidRPr="001B3FAC">
              <w:rPr>
                <w:sz w:val="24"/>
                <w:szCs w:val="24"/>
              </w:rPr>
              <w:t>М±</w:t>
            </w:r>
            <w:r w:rsidRPr="001B3FAC">
              <w:rPr>
                <w:sz w:val="24"/>
                <w:szCs w:val="24"/>
                <w:lang w:val="en-US"/>
              </w:rPr>
              <w:t>m</w:t>
            </w:r>
            <w:r w:rsidRPr="001B3FAC">
              <w:rPr>
                <w:sz w:val="24"/>
                <w:szCs w:val="24"/>
              </w:rPr>
              <w:t xml:space="preserve">, </w:t>
            </w:r>
            <w:r w:rsidRPr="001B3FAC">
              <w:rPr>
                <w:sz w:val="24"/>
                <w:szCs w:val="24"/>
                <w:lang w:val="en-US"/>
              </w:rPr>
              <w:t>c</w:t>
            </w:r>
          </w:p>
        </w:tc>
        <w:tc>
          <w:tcPr>
            <w:tcW w:w="1559" w:type="dxa"/>
            <w:vAlign w:val="center"/>
          </w:tcPr>
          <w:p w:rsidR="00402C76" w:rsidRPr="001B3FAC" w:rsidRDefault="00402C76" w:rsidP="008B0222">
            <w:pPr>
              <w:jc w:val="center"/>
              <w:rPr>
                <w:lang w:val="uk-UA"/>
              </w:rPr>
            </w:pPr>
            <w:r w:rsidRPr="001B3FAC">
              <w:rPr>
                <w:lang w:val="uk-UA"/>
              </w:rPr>
              <w:t>≥60,0</w:t>
            </w:r>
          </w:p>
        </w:tc>
        <w:tc>
          <w:tcPr>
            <w:tcW w:w="1512" w:type="dxa"/>
            <w:vAlign w:val="center"/>
          </w:tcPr>
          <w:p w:rsidR="00402C76" w:rsidRPr="001B3FAC" w:rsidRDefault="00402C76" w:rsidP="008B0222">
            <w:pPr>
              <w:jc w:val="center"/>
              <w:rPr>
                <w:lang w:val="uk-UA"/>
              </w:rPr>
            </w:pPr>
            <w:r w:rsidRPr="001B3FAC">
              <w:rPr>
                <w:lang w:val="uk-UA"/>
              </w:rPr>
              <w:t>67,8</w:t>
            </w:r>
            <w:r w:rsidRPr="001B3FAC">
              <w:t>±</w:t>
            </w:r>
            <w:r w:rsidRPr="001B3FAC">
              <w:rPr>
                <w:lang w:val="uk-UA"/>
              </w:rPr>
              <w:t>0,2</w:t>
            </w:r>
          </w:p>
        </w:tc>
        <w:tc>
          <w:tcPr>
            <w:tcW w:w="1441" w:type="dxa"/>
            <w:vAlign w:val="center"/>
          </w:tcPr>
          <w:p w:rsidR="00402C76" w:rsidRPr="001B3FAC" w:rsidRDefault="00402C76" w:rsidP="008B0222">
            <w:pPr>
              <w:jc w:val="center"/>
              <w:rPr>
                <w:lang w:val="uk-UA"/>
              </w:rPr>
            </w:pPr>
            <w:r w:rsidRPr="001B3FAC">
              <w:rPr>
                <w:lang w:val="uk-UA"/>
              </w:rPr>
              <w:t>68,3</w:t>
            </w:r>
            <w:r w:rsidRPr="001B3FAC">
              <w:t>±</w:t>
            </w:r>
            <w:r w:rsidRPr="001B3FAC">
              <w:rPr>
                <w:lang w:val="uk-UA"/>
              </w:rPr>
              <w:t>0,2</w:t>
            </w:r>
            <w:r w:rsidRPr="001B3FAC">
              <w:rPr>
                <w:vertAlign w:val="superscript"/>
                <w:lang w:val="uk-UA"/>
              </w:rPr>
              <w:t xml:space="preserve"> с</w:t>
            </w:r>
          </w:p>
        </w:tc>
        <w:tc>
          <w:tcPr>
            <w:tcW w:w="1441" w:type="dxa"/>
            <w:vAlign w:val="center"/>
          </w:tcPr>
          <w:p w:rsidR="00402C76" w:rsidRPr="001B3FAC" w:rsidRDefault="00402C76" w:rsidP="008B0222">
            <w:pPr>
              <w:jc w:val="center"/>
            </w:pPr>
            <w:r w:rsidRPr="001B3FAC">
              <w:rPr>
                <w:lang w:val="uk-UA"/>
              </w:rPr>
              <w:t>65,3±0,2</w:t>
            </w:r>
            <w:r w:rsidRPr="001B3FAC">
              <w:rPr>
                <w:vertAlign w:val="superscript"/>
                <w:lang w:val="uk-UA"/>
              </w:rPr>
              <w:t>d</w:t>
            </w:r>
          </w:p>
        </w:tc>
        <w:tc>
          <w:tcPr>
            <w:tcW w:w="1404" w:type="dxa"/>
            <w:vAlign w:val="center"/>
          </w:tcPr>
          <w:p w:rsidR="00402C76" w:rsidRPr="001B3FAC" w:rsidRDefault="00402C76" w:rsidP="008B0222">
            <w:pPr>
              <w:jc w:val="center"/>
              <w:rPr>
                <w:lang w:val="uk-UA"/>
              </w:rPr>
            </w:pPr>
            <w:r w:rsidRPr="001B3FAC">
              <w:rPr>
                <w:lang w:val="uk-UA"/>
              </w:rPr>
              <w:t>62,0</w:t>
            </w:r>
            <w:r w:rsidRPr="001B3FAC">
              <w:t>±</w:t>
            </w:r>
            <w:r w:rsidRPr="001B3FAC">
              <w:rPr>
                <w:lang w:val="uk-UA"/>
              </w:rPr>
              <w:t>0,6</w:t>
            </w:r>
            <w:r w:rsidRPr="001B3FAC">
              <w:rPr>
                <w:vertAlign w:val="superscript"/>
                <w:lang w:val="uk-UA"/>
              </w:rPr>
              <w:t xml:space="preserve"> в</w:t>
            </w:r>
          </w:p>
        </w:tc>
      </w:tr>
      <w:tr w:rsidR="00402C76" w:rsidRPr="001B3FAC" w:rsidTr="00957FF3">
        <w:tc>
          <w:tcPr>
            <w:tcW w:w="1985" w:type="dxa"/>
            <w:gridSpan w:val="2"/>
            <w:vMerge/>
            <w:vAlign w:val="center"/>
          </w:tcPr>
          <w:p w:rsidR="00402C76" w:rsidRPr="001B3FAC" w:rsidRDefault="00402C76" w:rsidP="008B0222">
            <w:pPr>
              <w:jc w:val="center"/>
              <w:rPr>
                <w:sz w:val="24"/>
                <w:szCs w:val="24"/>
              </w:rPr>
            </w:pPr>
          </w:p>
        </w:tc>
        <w:tc>
          <w:tcPr>
            <w:tcW w:w="1134" w:type="dxa"/>
            <w:vAlign w:val="center"/>
          </w:tcPr>
          <w:p w:rsidR="00402C76" w:rsidRPr="001B3FAC" w:rsidRDefault="00402C76" w:rsidP="008B0222">
            <w:pPr>
              <w:jc w:val="center"/>
              <w:rPr>
                <w:sz w:val="24"/>
                <w:szCs w:val="24"/>
                <w:lang w:val="en-US"/>
              </w:rPr>
            </w:pPr>
            <w:r w:rsidRPr="001B3FAC">
              <w:rPr>
                <w:sz w:val="24"/>
                <w:szCs w:val="24"/>
                <w:lang w:val="en-US"/>
              </w:rPr>
              <w:t>S</w:t>
            </w:r>
          </w:p>
        </w:tc>
        <w:tc>
          <w:tcPr>
            <w:tcW w:w="1559" w:type="dxa"/>
            <w:vAlign w:val="center"/>
          </w:tcPr>
          <w:p w:rsidR="00402C76" w:rsidRPr="001B3FAC" w:rsidRDefault="00402C76" w:rsidP="008B0222">
            <w:pPr>
              <w:jc w:val="center"/>
              <w:rPr>
                <w:lang w:val="uk-UA"/>
              </w:rPr>
            </w:pPr>
            <w:r w:rsidRPr="001B3FAC">
              <w:rPr>
                <w:lang w:val="uk-UA"/>
              </w:rPr>
              <w:t>1,0</w:t>
            </w:r>
          </w:p>
        </w:tc>
        <w:tc>
          <w:tcPr>
            <w:tcW w:w="1512" w:type="dxa"/>
            <w:vAlign w:val="center"/>
          </w:tcPr>
          <w:p w:rsidR="00402C76" w:rsidRPr="001B3FAC" w:rsidRDefault="00402C76" w:rsidP="008B0222">
            <w:pPr>
              <w:jc w:val="center"/>
              <w:rPr>
                <w:lang w:val="uk-UA"/>
              </w:rPr>
            </w:pPr>
            <w:r w:rsidRPr="001B3FAC">
              <w:rPr>
                <w:lang w:val="uk-UA"/>
              </w:rPr>
              <w:t>0,882</w:t>
            </w:r>
          </w:p>
        </w:tc>
        <w:tc>
          <w:tcPr>
            <w:tcW w:w="1441" w:type="dxa"/>
            <w:vAlign w:val="center"/>
          </w:tcPr>
          <w:p w:rsidR="00402C76" w:rsidRPr="001B3FAC" w:rsidRDefault="00402C76" w:rsidP="008B0222">
            <w:pPr>
              <w:jc w:val="center"/>
              <w:rPr>
                <w:lang w:val="uk-UA"/>
              </w:rPr>
            </w:pPr>
            <w:r w:rsidRPr="001B3FAC">
              <w:rPr>
                <w:lang w:val="uk-UA"/>
              </w:rPr>
              <w:t>0,878</w:t>
            </w:r>
          </w:p>
        </w:tc>
        <w:tc>
          <w:tcPr>
            <w:tcW w:w="1441" w:type="dxa"/>
            <w:vAlign w:val="center"/>
          </w:tcPr>
          <w:p w:rsidR="00402C76" w:rsidRPr="001B3FAC" w:rsidRDefault="00402C76" w:rsidP="008B0222">
            <w:pPr>
              <w:jc w:val="center"/>
            </w:pPr>
            <w:r w:rsidRPr="001B3FAC">
              <w:rPr>
                <w:lang w:val="uk-UA"/>
              </w:rPr>
              <w:t>0,875</w:t>
            </w:r>
          </w:p>
        </w:tc>
        <w:tc>
          <w:tcPr>
            <w:tcW w:w="1404" w:type="dxa"/>
            <w:vAlign w:val="center"/>
          </w:tcPr>
          <w:p w:rsidR="00402C76" w:rsidRPr="001B3FAC" w:rsidRDefault="00402C76" w:rsidP="008B0222">
            <w:pPr>
              <w:jc w:val="center"/>
              <w:rPr>
                <w:lang w:val="uk-UA"/>
              </w:rPr>
            </w:pPr>
            <w:r w:rsidRPr="001B3FAC">
              <w:rPr>
                <w:lang w:val="uk-UA"/>
              </w:rPr>
              <w:t>0,967</w:t>
            </w:r>
          </w:p>
        </w:tc>
      </w:tr>
      <w:tr w:rsidR="00402C76" w:rsidRPr="001B3FAC" w:rsidTr="00957FF3">
        <w:tc>
          <w:tcPr>
            <w:tcW w:w="1985" w:type="dxa"/>
            <w:gridSpan w:val="2"/>
            <w:vMerge/>
            <w:vAlign w:val="center"/>
          </w:tcPr>
          <w:p w:rsidR="00402C76" w:rsidRPr="001B3FAC" w:rsidRDefault="00402C76" w:rsidP="008B0222">
            <w:pPr>
              <w:jc w:val="center"/>
              <w:rPr>
                <w:sz w:val="24"/>
                <w:szCs w:val="24"/>
              </w:rPr>
            </w:pPr>
          </w:p>
        </w:tc>
        <w:tc>
          <w:tcPr>
            <w:tcW w:w="1134" w:type="dxa"/>
            <w:vAlign w:val="center"/>
          </w:tcPr>
          <w:p w:rsidR="00402C76" w:rsidRPr="001B3FAC" w:rsidRDefault="00402C76" w:rsidP="008B0222">
            <w:pPr>
              <w:jc w:val="center"/>
              <w:rPr>
                <w:sz w:val="24"/>
                <w:szCs w:val="24"/>
                <w:lang w:val="en-US"/>
              </w:rPr>
            </w:pPr>
            <w:r w:rsidRPr="001B3FAC">
              <w:rPr>
                <w:sz w:val="24"/>
                <w:szCs w:val="24"/>
                <w:lang w:val="en-US"/>
              </w:rPr>
              <w:t>h</w:t>
            </w:r>
            <w:r w:rsidRPr="001B3FAC">
              <w:rPr>
                <w:sz w:val="24"/>
                <w:szCs w:val="24"/>
                <w:vertAlign w:val="subscript"/>
                <w:lang w:val="en-US"/>
              </w:rPr>
              <w:t>0</w:t>
            </w:r>
            <w:r w:rsidRPr="001B3FAC">
              <w:rPr>
                <w:sz w:val="24"/>
                <w:szCs w:val="24"/>
                <w:lang w:val="uk-UA"/>
              </w:rPr>
              <w:t>, біт</w:t>
            </w:r>
          </w:p>
        </w:tc>
        <w:tc>
          <w:tcPr>
            <w:tcW w:w="1559" w:type="dxa"/>
            <w:vAlign w:val="center"/>
          </w:tcPr>
          <w:p w:rsidR="00402C76" w:rsidRPr="001B3FAC" w:rsidRDefault="00402C76" w:rsidP="008B0222">
            <w:pPr>
              <w:jc w:val="center"/>
              <w:rPr>
                <w:lang w:val="en-US"/>
              </w:rPr>
            </w:pPr>
            <w:r w:rsidRPr="001B3FAC">
              <w:rPr>
                <w:lang w:val="en-US"/>
              </w:rPr>
              <w:t>0</w:t>
            </w:r>
          </w:p>
        </w:tc>
        <w:tc>
          <w:tcPr>
            <w:tcW w:w="1512" w:type="dxa"/>
            <w:vAlign w:val="center"/>
          </w:tcPr>
          <w:p w:rsidR="00402C76" w:rsidRPr="001B3FAC" w:rsidRDefault="00402C76" w:rsidP="008B0222">
            <w:pPr>
              <w:jc w:val="center"/>
            </w:pPr>
            <w:r w:rsidRPr="001B3FAC">
              <w:t>0,160</w:t>
            </w:r>
          </w:p>
        </w:tc>
        <w:tc>
          <w:tcPr>
            <w:tcW w:w="1441" w:type="dxa"/>
            <w:vAlign w:val="center"/>
          </w:tcPr>
          <w:p w:rsidR="00402C76" w:rsidRPr="001B3FAC" w:rsidRDefault="00402C76" w:rsidP="008B0222">
            <w:pPr>
              <w:jc w:val="center"/>
            </w:pPr>
            <w:r w:rsidRPr="001B3FAC">
              <w:t>0,165</w:t>
            </w:r>
          </w:p>
        </w:tc>
        <w:tc>
          <w:tcPr>
            <w:tcW w:w="1441" w:type="dxa"/>
            <w:vAlign w:val="center"/>
          </w:tcPr>
          <w:p w:rsidR="00402C76" w:rsidRPr="001B3FAC" w:rsidRDefault="00402C76" w:rsidP="008B0222">
            <w:pPr>
              <w:jc w:val="center"/>
            </w:pPr>
            <w:r w:rsidRPr="001B3FAC">
              <w:t>0,053</w:t>
            </w:r>
          </w:p>
        </w:tc>
        <w:tc>
          <w:tcPr>
            <w:tcW w:w="1404" w:type="dxa"/>
            <w:vAlign w:val="center"/>
          </w:tcPr>
          <w:p w:rsidR="00402C76" w:rsidRPr="001B3FAC" w:rsidRDefault="00402C76" w:rsidP="008B0222">
            <w:pPr>
              <w:jc w:val="center"/>
            </w:pPr>
            <w:r w:rsidRPr="001B3FAC">
              <w:t>0,047</w:t>
            </w:r>
          </w:p>
        </w:tc>
      </w:tr>
      <w:tr w:rsidR="00402C76" w:rsidRPr="001B3FAC" w:rsidTr="00957FF3">
        <w:tc>
          <w:tcPr>
            <w:tcW w:w="4678" w:type="dxa"/>
            <w:gridSpan w:val="4"/>
            <w:vAlign w:val="center"/>
          </w:tcPr>
          <w:p w:rsidR="00402C76" w:rsidRPr="001B3FAC" w:rsidRDefault="00402C76" w:rsidP="008B0222">
            <w:pPr>
              <w:jc w:val="center"/>
            </w:pPr>
            <w:r w:rsidRPr="001B3FAC">
              <w:t>Обобщенный показатель качества - Н, біт</w:t>
            </w:r>
          </w:p>
        </w:tc>
        <w:tc>
          <w:tcPr>
            <w:tcW w:w="1512" w:type="dxa"/>
            <w:vAlign w:val="center"/>
          </w:tcPr>
          <w:p w:rsidR="00402C76" w:rsidRPr="001B3FAC" w:rsidRDefault="00402C76" w:rsidP="008B0222">
            <w:pPr>
              <w:jc w:val="center"/>
            </w:pPr>
            <w:r w:rsidRPr="001B3FAC">
              <w:t>0,317</w:t>
            </w:r>
          </w:p>
        </w:tc>
        <w:tc>
          <w:tcPr>
            <w:tcW w:w="1441" w:type="dxa"/>
            <w:vAlign w:val="center"/>
          </w:tcPr>
          <w:p w:rsidR="00402C76" w:rsidRPr="001B3FAC" w:rsidRDefault="00402C76" w:rsidP="008B0222">
            <w:pPr>
              <w:jc w:val="center"/>
            </w:pPr>
            <w:r w:rsidRPr="001B3FAC">
              <w:t>0,327</w:t>
            </w:r>
          </w:p>
        </w:tc>
        <w:tc>
          <w:tcPr>
            <w:tcW w:w="1441" w:type="dxa"/>
            <w:vAlign w:val="center"/>
          </w:tcPr>
          <w:p w:rsidR="00402C76" w:rsidRPr="001B3FAC" w:rsidRDefault="00402C76" w:rsidP="008B0222">
            <w:pPr>
              <w:jc w:val="center"/>
            </w:pPr>
            <w:r w:rsidRPr="001B3FAC">
              <w:t>0,327</w:t>
            </w:r>
          </w:p>
        </w:tc>
        <w:tc>
          <w:tcPr>
            <w:tcW w:w="1404" w:type="dxa"/>
            <w:vAlign w:val="center"/>
          </w:tcPr>
          <w:p w:rsidR="00402C76" w:rsidRPr="001B3FAC" w:rsidRDefault="00402C76" w:rsidP="008B0222">
            <w:pPr>
              <w:jc w:val="center"/>
            </w:pPr>
            <w:r w:rsidRPr="001B3FAC">
              <w:t>0,327</w:t>
            </w:r>
          </w:p>
        </w:tc>
      </w:tr>
      <w:tr w:rsidR="00402C76" w:rsidRPr="001B3FAC" w:rsidTr="00957FF3">
        <w:tc>
          <w:tcPr>
            <w:tcW w:w="1276" w:type="dxa"/>
            <w:tcBorders>
              <w:left w:val="nil"/>
              <w:bottom w:val="nil"/>
              <w:right w:val="nil"/>
            </w:tcBorders>
          </w:tcPr>
          <w:p w:rsidR="00402C76" w:rsidRPr="001B3FAC" w:rsidRDefault="00402C76" w:rsidP="008B0222">
            <w:pPr>
              <w:rPr>
                <w:vertAlign w:val="superscript"/>
                <w:lang w:val="uk-UA"/>
              </w:rPr>
            </w:pPr>
          </w:p>
        </w:tc>
        <w:tc>
          <w:tcPr>
            <w:tcW w:w="9200" w:type="dxa"/>
            <w:gridSpan w:val="7"/>
            <w:tcBorders>
              <w:left w:val="nil"/>
              <w:bottom w:val="nil"/>
              <w:right w:val="nil"/>
            </w:tcBorders>
            <w:vAlign w:val="center"/>
          </w:tcPr>
          <w:p w:rsidR="00402C76" w:rsidRPr="001B3FAC" w:rsidRDefault="00402C76" w:rsidP="008B0222">
            <w:pPr>
              <w:rPr>
                <w:lang w:val="uk-UA"/>
              </w:rPr>
            </w:pPr>
            <w:r w:rsidRPr="001B3FAC">
              <w:rPr>
                <w:vertAlign w:val="superscript"/>
                <w:lang w:val="uk-UA"/>
              </w:rPr>
              <w:t>а</w:t>
            </w:r>
            <w:r w:rsidRPr="001B3FAC">
              <w:t xml:space="preserve"> – достоверные отличия между материалом 1 та материалом 2 на уровне р</w:t>
            </w:r>
            <w:r w:rsidRPr="001B3FAC">
              <w:rPr>
                <w:lang w:val="uk-UA"/>
              </w:rPr>
              <w:t>≤0,05;</w:t>
            </w:r>
          </w:p>
          <w:p w:rsidR="00402C76" w:rsidRPr="001B3FAC" w:rsidRDefault="00402C76" w:rsidP="008B0222">
            <w:pPr>
              <w:ind w:firstLine="11"/>
            </w:pPr>
            <w:r w:rsidRPr="001B3FAC">
              <w:rPr>
                <w:vertAlign w:val="superscript"/>
                <w:lang w:val="uk-UA"/>
              </w:rPr>
              <w:t xml:space="preserve"> в</w:t>
            </w:r>
            <w:r w:rsidRPr="001B3FAC">
              <w:t xml:space="preserve"> – достоверные отличия между материалом </w:t>
            </w:r>
            <w:r w:rsidRPr="001B3FAC">
              <w:rPr>
                <w:lang w:val="uk-UA"/>
              </w:rPr>
              <w:t xml:space="preserve">4 та </w:t>
            </w:r>
            <w:r w:rsidRPr="001B3FAC">
              <w:t>материалом 1 на уровне р≤0,05;</w:t>
            </w:r>
          </w:p>
          <w:p w:rsidR="00402C76" w:rsidRPr="001B3FAC" w:rsidRDefault="00402C76" w:rsidP="008B0222">
            <w:r w:rsidRPr="001B3FAC">
              <w:rPr>
                <w:vertAlign w:val="superscript"/>
              </w:rPr>
              <w:t>с</w:t>
            </w:r>
            <w:r w:rsidRPr="001B3FAC">
              <w:t xml:space="preserve"> – достоверные отличия между материалом 2 та материалом 3 на уровне р≤0,05;</w:t>
            </w:r>
          </w:p>
          <w:p w:rsidR="00402C76" w:rsidRPr="001B3FAC" w:rsidRDefault="00402C76" w:rsidP="008B0222">
            <w:r w:rsidRPr="001B3FAC">
              <w:rPr>
                <w:vertAlign w:val="superscript"/>
              </w:rPr>
              <w:t>d</w:t>
            </w:r>
            <w:r w:rsidRPr="001B3FAC">
              <w:t xml:space="preserve"> – достоверные отличия между материалом 3 та материалом 4 на уровне р≤0,05;</w:t>
            </w:r>
          </w:p>
          <w:p w:rsidR="00402C76" w:rsidRPr="001B3FAC" w:rsidRDefault="00402C76" w:rsidP="008B0222">
            <w:pPr>
              <w:rPr>
                <w:lang w:val="uk-UA"/>
              </w:rPr>
            </w:pPr>
            <w:r w:rsidRPr="001B3FAC">
              <w:t>S – относительный стандартизированный та h</w:t>
            </w:r>
            <w:r w:rsidRPr="001B3FAC">
              <w:rPr>
                <w:vertAlign w:val="subscript"/>
              </w:rPr>
              <w:t>0</w:t>
            </w:r>
            <w:r w:rsidRPr="001B3FAC">
              <w:t xml:space="preserve"> - квалиметрический коэффициенты материала</w:t>
            </w:r>
          </w:p>
        </w:tc>
      </w:tr>
    </w:tbl>
    <w:p w:rsidR="00402C76" w:rsidRPr="008B0222" w:rsidRDefault="00402C76" w:rsidP="008B0222">
      <w:pPr>
        <w:spacing w:line="360" w:lineRule="auto"/>
        <w:ind w:firstLine="720"/>
        <w:jc w:val="both"/>
        <w:rPr>
          <w:sz w:val="16"/>
          <w:szCs w:val="16"/>
          <w:lang w:val="en-US"/>
        </w:rPr>
      </w:pPr>
    </w:p>
    <w:p w:rsidR="00402C76" w:rsidRPr="000E19CB" w:rsidRDefault="00402C76" w:rsidP="008B0222">
      <w:pPr>
        <w:spacing w:line="360" w:lineRule="auto"/>
        <w:ind w:firstLine="720"/>
        <w:jc w:val="both"/>
      </w:pPr>
      <w:r w:rsidRPr="000E19CB">
        <w:t>Растворимость адгезивных материалов для увеличения качества фиксации съемных зубных протезов (см. табл. 1) характеризируется наибольшей (р≤0,001) для материала “Lacalut” - (41,5±0,9) мм/час, тогда как материалы “Стомафикс” - (35,8±0,6) мм/час и “</w:t>
      </w:r>
      <w:r w:rsidRPr="000E19CB">
        <w:rPr>
          <w:lang w:val="en-US"/>
        </w:rPr>
        <w:t>Fittydent</w:t>
      </w:r>
      <w:r w:rsidRPr="000E19CB">
        <w:t>” (35,5±0,8) мм/час по этому свойству не превышает индикативные показатели и, одновременно является достоверно меньшими, чем для материала “Lacalut”; квалиметрические закономерности отображаются показателями информативность, которые колеблются в пределах (0,223÷0,351) бит.</w:t>
      </w:r>
    </w:p>
    <w:p w:rsidR="00402C76" w:rsidRPr="000E19CB" w:rsidRDefault="00402C76" w:rsidP="008B0222">
      <w:pPr>
        <w:spacing w:line="360" w:lineRule="auto"/>
        <w:ind w:firstLine="720"/>
        <w:jc w:val="both"/>
      </w:pPr>
      <w:r w:rsidRPr="000E19CB">
        <w:t>По показателю адгезиии с пластмассой (см. табл. 1), исследуемые материалы на 40-45 % превышают индикативные значения ІSО-10873:2010, что способно обеспечивать сверхпрочность базиса при динамических нагрузках. Так, для материалjd “Lacalut” и “Corega” адгезия с пластмассой составляет (1,9±0,1) МПа, тогда как материалы “Стомафикс” - (2,4±0,4) Мпа, а “</w:t>
      </w:r>
      <w:r w:rsidRPr="000E19CB">
        <w:rPr>
          <w:lang w:val="en-US"/>
        </w:rPr>
        <w:t>Fittydent</w:t>
      </w:r>
      <w:r w:rsidRPr="000E19CB">
        <w:t xml:space="preserve"> ” - (2,9±0,3) Мпа. Для этих материалов получены и соответствующие относительные стандартизованные и квалиметрические показатели, которые колеблются в пределах (0,270÷0,424) бит, что свидетельствует про их чрезмерное технологическое качество. </w:t>
      </w:r>
    </w:p>
    <w:p w:rsidR="00402C76" w:rsidRPr="000E19CB" w:rsidRDefault="00402C76" w:rsidP="008B0222">
      <w:pPr>
        <w:spacing w:line="360" w:lineRule="auto"/>
        <w:ind w:firstLine="720"/>
        <w:jc w:val="both"/>
      </w:pPr>
      <w:r w:rsidRPr="000E19CB">
        <w:t>По показателям адгезии с металлом (см. табл.1), исследуемые материалы на 25-30% превышают индикативные значения ІSО-10873:2010, что повышает когезию металлического базиса съемного протеза к слизистой оболочке. Так, для материала “Lacalut” адгезия с металлом составляет (1,7±0,08) МПа, тогда как для материала “Стомафикс” - (2,1±0,1) Мпа, а “</w:t>
      </w:r>
      <w:r w:rsidRPr="000E19CB">
        <w:rPr>
          <w:lang w:val="en-US"/>
        </w:rPr>
        <w:t>Fittydent</w:t>
      </w:r>
      <w:r w:rsidRPr="000E19CB">
        <w:t>” - (2,3±0,2) Мпа. Для указанных материалов получены и соответствующие относительные стандартизованные и квалиметрические показатели, которые колеблются в пределах (0,160÷0,402) бит.</w:t>
      </w:r>
    </w:p>
    <w:p w:rsidR="00402C76" w:rsidRPr="000E19CB" w:rsidRDefault="00402C76" w:rsidP="008B0222">
      <w:pPr>
        <w:spacing w:line="360" w:lineRule="auto"/>
        <w:ind w:firstLine="720"/>
        <w:jc w:val="both"/>
      </w:pPr>
      <w:r w:rsidRPr="000E19CB">
        <w:t>Вязкость условная на момент использования адгезивных материалов для повышения качества фиксации съемных зубных протезов, которые колеблются в пределах (62,0-68,3) с становится наименьшей в случае применения “Lacalut” (62,0±0,06) с, а “</w:t>
      </w:r>
      <w:r w:rsidRPr="000E19CB">
        <w:rPr>
          <w:lang w:val="en-US"/>
        </w:rPr>
        <w:t>Fittydent</w:t>
      </w:r>
      <w:r w:rsidRPr="000E19CB">
        <w:t>” - (68,3±0,2) с, р≥0,05. При этом, в результате анализа данных лабораторных испытаний выявлено, что при наименьшей условной вязкости, соответственно снижается адгезия съемных зубных протезов и нарушает их фиксацию и стабилизацию при клинической эксплуатации, что значительно увеличивает термин адаптации пациента и снижает качество жизни. Для указанных материалов получены и указаны относительные стандартизованные и квалиметрические показатели, которые колеблются в пределах (0,047÷0,327) бит.</w:t>
      </w:r>
    </w:p>
    <w:p w:rsidR="00402C76" w:rsidRDefault="00402C76" w:rsidP="008B0222">
      <w:pPr>
        <w:spacing w:line="360" w:lineRule="auto"/>
        <w:ind w:firstLine="720"/>
        <w:jc w:val="both"/>
      </w:pPr>
      <w:r w:rsidRPr="000E19CB">
        <w:t>Обобщенный анализ изученных свойств свидетельствует о присутствии специфического кваметрического профиля для каждого из адгезивного материала для повышения фиксации съемных зубных протезов, что в свою очередь сократит период адаптации клинической адаптации, увеличит жевательную эффективность и качество жизни (</w:t>
      </w:r>
      <w:r w:rsidRPr="003B45CF">
        <w:t>рис</w:t>
      </w:r>
      <w:r w:rsidRPr="000E19CB">
        <w:t>.1).</w:t>
      </w:r>
    </w:p>
    <w:p w:rsidR="00402C76" w:rsidRPr="000E19CB" w:rsidRDefault="00402C76" w:rsidP="008D1313">
      <w:pPr>
        <w:jc w:val="both"/>
      </w:pPr>
      <w:r w:rsidRPr="00F05CF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78.5pt;height:369pt;visibility:visible">
            <v:imagedata r:id="rId6" o:title=""/>
          </v:shape>
        </w:pict>
      </w:r>
    </w:p>
    <w:p w:rsidR="00402C76" w:rsidRPr="008B0222" w:rsidRDefault="00402C76" w:rsidP="008B0222">
      <w:pPr>
        <w:tabs>
          <w:tab w:val="left" w:pos="8805"/>
        </w:tabs>
        <w:spacing w:line="360" w:lineRule="auto"/>
        <w:ind w:firstLine="720"/>
        <w:jc w:val="both"/>
        <w:rPr>
          <w:b/>
          <w:sz w:val="16"/>
          <w:szCs w:val="16"/>
          <w:lang w:val="en-US"/>
        </w:rPr>
      </w:pPr>
    </w:p>
    <w:p w:rsidR="00402C76" w:rsidRPr="000E19CB" w:rsidRDefault="00402C76" w:rsidP="008B0222">
      <w:pPr>
        <w:tabs>
          <w:tab w:val="left" w:pos="8805"/>
        </w:tabs>
        <w:spacing w:line="360" w:lineRule="auto"/>
        <w:ind w:firstLine="720"/>
        <w:jc w:val="both"/>
        <w:rPr>
          <w:b/>
        </w:rPr>
      </w:pPr>
      <w:r w:rsidRPr="000E19CB">
        <w:rPr>
          <w:b/>
        </w:rPr>
        <w:t>Выводы.</w:t>
      </w:r>
      <w:r w:rsidRPr="000E19CB">
        <w:rPr>
          <w:b/>
        </w:rPr>
        <w:tab/>
      </w:r>
    </w:p>
    <w:p w:rsidR="00402C76" w:rsidRPr="000E19CB" w:rsidRDefault="00402C76" w:rsidP="008B0222">
      <w:pPr>
        <w:spacing w:line="360" w:lineRule="auto"/>
        <w:ind w:firstLine="780"/>
        <w:jc w:val="both"/>
        <w:rPr>
          <w:color w:val="000000"/>
          <w:sz w:val="27"/>
          <w:szCs w:val="27"/>
          <w:lang w:eastAsia="ru-RU"/>
        </w:rPr>
      </w:pPr>
      <w:r w:rsidRPr="000E19CB">
        <w:rPr>
          <w:color w:val="000000"/>
          <w:lang w:eastAsia="ru-RU"/>
        </w:rPr>
        <w:t xml:space="preserve">Таким образом, на основании проведенной сравнительной характеристики </w:t>
      </w:r>
      <w:r w:rsidRPr="000E19CB">
        <w:t>адгезивных материалов для повышения качества фиксации съемных зубных протезов</w:t>
      </w:r>
      <w:r w:rsidRPr="000E19CB">
        <w:rPr>
          <w:color w:val="000000"/>
          <w:lang w:eastAsia="ru-RU"/>
        </w:rPr>
        <w:t xml:space="preserve"> можно сделать выводы, что по параметрам ISO-10873: 2010,  а конкретно прочности на разрыв, </w:t>
      </w:r>
      <w:r w:rsidRPr="000E19CB">
        <w:t>адгезиии с пластмассой, адгезии с металлом и условной вязкости</w:t>
      </w:r>
      <w:r w:rsidRPr="000E19CB">
        <w:rPr>
          <w:color w:val="000000"/>
          <w:lang w:eastAsia="ru-RU"/>
        </w:rPr>
        <w:t xml:space="preserve"> адгезивные материалы </w:t>
      </w:r>
      <w:r w:rsidRPr="000E19CB">
        <w:t xml:space="preserve">“Стомафикс”, </w:t>
      </w:r>
      <w:r w:rsidRPr="000E19CB">
        <w:rPr>
          <w:color w:val="000000"/>
          <w:lang w:eastAsia="ru-RU"/>
        </w:rPr>
        <w:t xml:space="preserve">АО </w:t>
      </w:r>
      <w:r w:rsidRPr="000E19CB">
        <w:t>“</w:t>
      </w:r>
      <w:r w:rsidRPr="000E19CB">
        <w:rPr>
          <w:color w:val="000000"/>
          <w:lang w:eastAsia="ru-RU"/>
        </w:rPr>
        <w:t>Стома</w:t>
      </w:r>
      <w:r w:rsidRPr="000E19CB">
        <w:t>”</w:t>
      </w:r>
      <w:r w:rsidRPr="000E19CB">
        <w:rPr>
          <w:color w:val="000000"/>
          <w:lang w:eastAsia="ru-RU"/>
        </w:rPr>
        <w:t xml:space="preserve"> (г. Харьков, Украина) и </w:t>
      </w:r>
      <w:r w:rsidRPr="000E19CB">
        <w:t xml:space="preserve">“Fittydent” (“Fittydent international GMBH”, Austria) </w:t>
      </w:r>
      <w:r w:rsidRPr="000E19CB">
        <w:rPr>
          <w:color w:val="000000"/>
          <w:lang w:eastAsia="ru-RU"/>
        </w:rPr>
        <w:t xml:space="preserve">превышают показатели аналогов </w:t>
      </w:r>
      <w:r w:rsidRPr="000E19CB">
        <w:t>“</w:t>
      </w:r>
      <w:r w:rsidRPr="000E19CB">
        <w:rPr>
          <w:color w:val="000000"/>
          <w:lang w:eastAsia="ru-RU"/>
        </w:rPr>
        <w:t>Lacalut</w:t>
      </w:r>
      <w:r w:rsidRPr="000E19CB">
        <w:t>”</w:t>
      </w:r>
      <w:r w:rsidRPr="000E19CB">
        <w:rPr>
          <w:color w:val="000000"/>
          <w:lang w:eastAsia="ru-RU"/>
        </w:rPr>
        <w:t xml:space="preserve"> (</w:t>
      </w:r>
      <w:r w:rsidRPr="000E19CB">
        <w:t>“</w:t>
      </w:r>
      <w:r w:rsidRPr="000E19CB">
        <w:rPr>
          <w:color w:val="000000"/>
          <w:lang w:eastAsia="ru-RU"/>
        </w:rPr>
        <w:t>Аркам Гмбх</w:t>
      </w:r>
      <w:r w:rsidRPr="000E19CB">
        <w:t>”</w:t>
      </w:r>
      <w:r w:rsidRPr="000E19CB">
        <w:rPr>
          <w:color w:val="000000"/>
          <w:lang w:eastAsia="ru-RU"/>
        </w:rPr>
        <w:t xml:space="preserve">, Германия) и </w:t>
      </w:r>
      <w:r w:rsidRPr="000E19CB">
        <w:t>“Corega” (“Стафорд Милер”, Ирландия),</w:t>
      </w:r>
      <w:r w:rsidRPr="000E19CB">
        <w:rPr>
          <w:color w:val="FF0000"/>
        </w:rPr>
        <w:t xml:space="preserve"> </w:t>
      </w:r>
      <w:r w:rsidRPr="000E19CB">
        <w:t xml:space="preserve">что </w:t>
      </w:r>
      <w:r w:rsidRPr="000E19CB">
        <w:rPr>
          <w:color w:val="000000"/>
          <w:lang w:eastAsia="ru-RU"/>
        </w:rPr>
        <w:t xml:space="preserve">соответственно показывает повышение </w:t>
      </w:r>
      <w:r w:rsidRPr="000E19CB">
        <w:t xml:space="preserve">жевательной эффективности, а также сокращения периода адаптации пациентов с полными съемными протезами, что дает нам возможность </w:t>
      </w:r>
      <w:r w:rsidRPr="000E19CB">
        <w:rPr>
          <w:color w:val="000000"/>
          <w:lang w:eastAsia="ru-RU"/>
        </w:rPr>
        <w:t xml:space="preserve">рекомендовать </w:t>
      </w:r>
      <w:r w:rsidRPr="000E19CB">
        <w:t xml:space="preserve">“Стомафикс”, </w:t>
      </w:r>
      <w:r w:rsidRPr="000E19CB">
        <w:rPr>
          <w:color w:val="000000"/>
          <w:lang w:eastAsia="ru-RU"/>
        </w:rPr>
        <w:t xml:space="preserve">АО </w:t>
      </w:r>
      <w:r w:rsidRPr="000E19CB">
        <w:t>“</w:t>
      </w:r>
      <w:r w:rsidRPr="000E19CB">
        <w:rPr>
          <w:color w:val="000000"/>
          <w:lang w:eastAsia="ru-RU"/>
        </w:rPr>
        <w:t>Стома</w:t>
      </w:r>
      <w:r w:rsidRPr="000E19CB">
        <w:t>”</w:t>
      </w:r>
      <w:r w:rsidRPr="000E19CB">
        <w:rPr>
          <w:color w:val="000000"/>
          <w:lang w:eastAsia="ru-RU"/>
        </w:rPr>
        <w:t xml:space="preserve"> (г. Харьков, Украина) и </w:t>
      </w:r>
      <w:r w:rsidRPr="000E19CB">
        <w:t xml:space="preserve">“Fittydent” (“Fittydent international GMBH”, Austria) </w:t>
      </w:r>
      <w:r w:rsidRPr="000E19CB">
        <w:rPr>
          <w:color w:val="000000"/>
          <w:lang w:eastAsia="ru-RU"/>
        </w:rPr>
        <w:t xml:space="preserve"> для применения в клинике ортопедической стоматологии.</w:t>
      </w:r>
    </w:p>
    <w:p w:rsidR="00402C76" w:rsidRPr="00AF71F5" w:rsidRDefault="00402C76" w:rsidP="008B0222">
      <w:pPr>
        <w:spacing w:line="360" w:lineRule="auto"/>
        <w:ind w:firstLine="720"/>
        <w:jc w:val="both"/>
      </w:pPr>
    </w:p>
    <w:p w:rsidR="00402C76" w:rsidRDefault="00402C76" w:rsidP="008B0222">
      <w:pPr>
        <w:spacing w:line="360" w:lineRule="auto"/>
        <w:jc w:val="both"/>
        <w:rPr>
          <w:b/>
        </w:rPr>
      </w:pPr>
      <w:r>
        <w:rPr>
          <w:b/>
        </w:rPr>
        <w:tab/>
        <w:t>Список используемой литературы.</w:t>
      </w:r>
    </w:p>
    <w:p w:rsidR="00402C76" w:rsidRPr="000E19CB" w:rsidRDefault="00402C76" w:rsidP="008B0222">
      <w:pPr>
        <w:pStyle w:val="Style100"/>
        <w:widowControl/>
        <w:tabs>
          <w:tab w:val="left" w:pos="288"/>
        </w:tabs>
        <w:spacing w:line="360" w:lineRule="auto"/>
        <w:ind w:firstLine="720"/>
        <w:rPr>
          <w:rStyle w:val="FontStyle134"/>
          <w:sz w:val="28"/>
        </w:rPr>
      </w:pPr>
      <w:r>
        <w:rPr>
          <w:color w:val="000000"/>
          <w:spacing w:val="11"/>
          <w:lang w:val="uk-UA"/>
        </w:rPr>
        <w:t>1.</w:t>
      </w:r>
      <w:r>
        <w:rPr>
          <w:color w:val="000000"/>
          <w:spacing w:val="11"/>
          <w:lang w:val="uk-UA"/>
        </w:rPr>
        <w:tab/>
      </w:r>
      <w:r w:rsidRPr="000E19CB">
        <w:rPr>
          <w:rStyle w:val="FontStyle134"/>
          <w:sz w:val="28"/>
        </w:rPr>
        <w:t>Арутюнов С.Д., Трезубов В.Н. Современные методы фиксации</w:t>
      </w:r>
      <w:r>
        <w:rPr>
          <w:rStyle w:val="FontStyle134"/>
          <w:sz w:val="28"/>
        </w:rPr>
        <w:t xml:space="preserve"> </w:t>
      </w:r>
      <w:r w:rsidRPr="000E19CB">
        <w:rPr>
          <w:rStyle w:val="FontStyle134"/>
          <w:sz w:val="28"/>
        </w:rPr>
        <w:t>съёмных зубных протезов: учебное пособие для медицинских вузов.</w:t>
      </w:r>
      <w:r>
        <w:rPr>
          <w:rStyle w:val="FontStyle134"/>
          <w:sz w:val="28"/>
        </w:rPr>
        <w:t xml:space="preserve"> </w:t>
      </w:r>
      <w:r w:rsidRPr="000E19CB">
        <w:rPr>
          <w:rStyle w:val="FontStyle134"/>
          <w:sz w:val="28"/>
        </w:rPr>
        <w:t>- М.: ТЕИС, 2009.</w:t>
      </w:r>
      <w:r>
        <w:rPr>
          <w:rStyle w:val="FontStyle134"/>
          <w:sz w:val="28"/>
        </w:rPr>
        <w:t xml:space="preserve"> </w:t>
      </w:r>
      <w:r w:rsidRPr="000E19CB">
        <w:rPr>
          <w:rStyle w:val="FontStyle134"/>
          <w:sz w:val="28"/>
        </w:rPr>
        <w:t>-123с.</w:t>
      </w:r>
    </w:p>
    <w:p w:rsidR="00402C76" w:rsidRPr="000E19CB" w:rsidRDefault="00402C76" w:rsidP="008B0222">
      <w:pPr>
        <w:widowControl w:val="0"/>
        <w:autoSpaceDE w:val="0"/>
        <w:autoSpaceDN w:val="0"/>
        <w:adjustRightInd w:val="0"/>
        <w:spacing w:line="360" w:lineRule="auto"/>
        <w:ind w:firstLine="720"/>
        <w:jc w:val="both"/>
        <w:rPr>
          <w:rFonts w:ascii="Times New Roman CYR" w:hAnsi="Times New Roman CYR" w:cs="Times New Roman CYR"/>
        </w:rPr>
      </w:pPr>
      <w:r w:rsidRPr="000E19CB">
        <w:rPr>
          <w:color w:val="000000"/>
          <w:spacing w:val="5"/>
        </w:rPr>
        <w:t>2.</w:t>
      </w:r>
      <w:r w:rsidRPr="000E19CB">
        <w:rPr>
          <w:color w:val="000000"/>
          <w:spacing w:val="5"/>
        </w:rPr>
        <w:tab/>
        <w:t>Кицул И.С.  Изучение потребности</w:t>
      </w:r>
      <w:r>
        <w:rPr>
          <w:color w:val="000000"/>
          <w:spacing w:val="5"/>
        </w:rPr>
        <w:t xml:space="preserve"> населения</w:t>
      </w:r>
      <w:r w:rsidRPr="000E19CB">
        <w:rPr>
          <w:color w:val="000000"/>
          <w:spacing w:val="5"/>
        </w:rPr>
        <w:t xml:space="preserve"> в ортопедической </w:t>
      </w:r>
      <w:r w:rsidRPr="000E19CB">
        <w:rPr>
          <w:color w:val="000000"/>
          <w:spacing w:val="1"/>
        </w:rPr>
        <w:t>стоматологическою, помощи // Проблемы социальной гигиены, ор</w:t>
      </w:r>
      <w:r w:rsidRPr="000E19CB">
        <w:rPr>
          <w:color w:val="000000"/>
          <w:spacing w:val="1"/>
        </w:rPr>
        <w:softHyphen/>
      </w:r>
      <w:r w:rsidRPr="000E19CB">
        <w:rPr>
          <w:color w:val="000000"/>
          <w:spacing w:val="3"/>
        </w:rPr>
        <w:t xml:space="preserve">ганизации здравоохранения и истории медицины. Иркутск, - 2007. </w:t>
      </w:r>
      <w:r w:rsidRPr="000E19CB">
        <w:rPr>
          <w:color w:val="000000"/>
          <w:spacing w:val="11"/>
        </w:rPr>
        <w:t xml:space="preserve">-33.-С.27-29.  </w:t>
      </w:r>
    </w:p>
    <w:p w:rsidR="00402C76" w:rsidRPr="000E19CB" w:rsidRDefault="00402C76" w:rsidP="008B0222">
      <w:pPr>
        <w:pStyle w:val="Style41"/>
        <w:widowControl/>
        <w:tabs>
          <w:tab w:val="left" w:pos="360"/>
        </w:tabs>
        <w:spacing w:line="360" w:lineRule="auto"/>
        <w:ind w:firstLine="720"/>
        <w:rPr>
          <w:rStyle w:val="FontStyle134"/>
          <w:sz w:val="28"/>
        </w:rPr>
      </w:pPr>
      <w:r w:rsidRPr="000E19CB">
        <w:rPr>
          <w:rStyle w:val="FontStyle134"/>
          <w:sz w:val="28"/>
        </w:rPr>
        <w:t>3.</w:t>
      </w:r>
      <w:r w:rsidRPr="000E19CB">
        <w:rPr>
          <w:rStyle w:val="FontStyle134"/>
          <w:sz w:val="28"/>
        </w:rPr>
        <w:tab/>
        <w:t>Леонтьев В.К., Шиленко Ю.В. Социальная стоматология на современном этапе // Стоматология. - 1999. - С. 5-11.</w:t>
      </w:r>
    </w:p>
    <w:p w:rsidR="00402C76" w:rsidRPr="000E19CB" w:rsidRDefault="00402C76" w:rsidP="008B0222">
      <w:pPr>
        <w:widowControl w:val="0"/>
        <w:shd w:val="clear" w:color="auto" w:fill="FFFFFF"/>
        <w:tabs>
          <w:tab w:val="left" w:pos="859"/>
        </w:tabs>
        <w:autoSpaceDE w:val="0"/>
        <w:autoSpaceDN w:val="0"/>
        <w:adjustRightInd w:val="0"/>
        <w:spacing w:line="360" w:lineRule="auto"/>
        <w:ind w:firstLine="720"/>
        <w:jc w:val="both"/>
        <w:rPr>
          <w:color w:val="000000"/>
          <w:spacing w:val="-6"/>
        </w:rPr>
      </w:pPr>
      <w:r w:rsidRPr="000E19CB">
        <w:rPr>
          <w:color w:val="000000"/>
          <w:spacing w:val="5"/>
        </w:rPr>
        <w:t>4.</w:t>
      </w:r>
      <w:r w:rsidRPr="000E19CB">
        <w:rPr>
          <w:color w:val="000000"/>
          <w:spacing w:val="5"/>
        </w:rPr>
        <w:tab/>
        <w:t xml:space="preserve">Яковлев О.Г., Архипов В.Д., Веткова С.Ф., Зуева С.А., Кравченко </w:t>
      </w:r>
      <w:r w:rsidRPr="000E19CB">
        <w:rPr>
          <w:color w:val="000000"/>
        </w:rPr>
        <w:t xml:space="preserve">В.В. Стоматологические медико-социальные аспекты реабилитации </w:t>
      </w:r>
      <w:r w:rsidRPr="000E19CB">
        <w:rPr>
          <w:color w:val="000000"/>
          <w:spacing w:val="4"/>
        </w:rPr>
        <w:t>пожилых. //Сборник статей и тезисов, докладов и лекций III Меж</w:t>
      </w:r>
      <w:r w:rsidRPr="000E19CB">
        <w:rPr>
          <w:color w:val="000000"/>
          <w:spacing w:val="2"/>
        </w:rPr>
        <w:t xml:space="preserve">дународного семинара по вопросам пожилых «Самарские лекции», </w:t>
      </w:r>
      <w:r w:rsidRPr="000E19CB">
        <w:rPr>
          <w:color w:val="000000"/>
          <w:spacing w:val="-6"/>
        </w:rPr>
        <w:t>1998.С.165-166</w:t>
      </w:r>
      <w:r>
        <w:rPr>
          <w:color w:val="000000"/>
          <w:spacing w:val="-6"/>
        </w:rPr>
        <w:t>.</w:t>
      </w:r>
    </w:p>
    <w:p w:rsidR="00402C76" w:rsidRDefault="00402C76" w:rsidP="008B0222">
      <w:pPr>
        <w:spacing w:line="360" w:lineRule="auto"/>
        <w:ind w:firstLine="708"/>
        <w:jc w:val="both"/>
      </w:pPr>
      <w:r w:rsidRPr="000E19CB">
        <w:rPr>
          <w:color w:val="000000"/>
          <w:spacing w:val="-6"/>
        </w:rPr>
        <w:t>5.</w:t>
      </w:r>
      <w:r w:rsidRPr="000E19CB">
        <w:rPr>
          <w:color w:val="000000"/>
          <w:spacing w:val="-6"/>
        </w:rPr>
        <w:tab/>
      </w:r>
      <w:r w:rsidRPr="000E19CB">
        <w:t>Голик В</w:t>
      </w:r>
      <w:r>
        <w:t>.П., Янишен И.В., Фадеева С.О. Изучение клинической эффективности применения кремов для фиксации съемных пластиночных протезов: материалы международной научно-практической конференции «Инновационные технологии в стоматологии и челюстно-лицевой хирургии», - Харьков, 2009. – С. 266.</w:t>
      </w:r>
    </w:p>
    <w:p w:rsidR="00402C76" w:rsidRDefault="00402C76" w:rsidP="008B0222">
      <w:pPr>
        <w:tabs>
          <w:tab w:val="left" w:pos="709"/>
        </w:tabs>
        <w:spacing w:line="360" w:lineRule="auto"/>
        <w:ind w:firstLine="709"/>
        <w:jc w:val="both"/>
        <w:rPr>
          <w:lang w:val="uk-UA"/>
        </w:rPr>
      </w:pPr>
      <w:r>
        <w:t>6.</w:t>
      </w:r>
      <w:r>
        <w:tab/>
      </w:r>
      <w:r w:rsidRPr="008B0222">
        <w:rPr>
          <w:spacing w:val="-6"/>
        </w:rPr>
        <w:t xml:space="preserve">Мовчан О.В. </w:t>
      </w:r>
      <w:r w:rsidRPr="008B0222">
        <w:rPr>
          <w:spacing w:val="-6"/>
          <w:lang w:val="uk-UA"/>
        </w:rPr>
        <w:t>Порівняльний аналіз якості та кваліметрична оцінка адгезивного матеріалу для фіксації знімних зубних протезів. Одеса. – 2014. – С. 82.</w:t>
      </w:r>
    </w:p>
    <w:p w:rsidR="00402C76" w:rsidRPr="008B0222" w:rsidRDefault="00402C76" w:rsidP="008B0222">
      <w:pPr>
        <w:tabs>
          <w:tab w:val="left" w:pos="709"/>
        </w:tabs>
        <w:spacing w:line="360" w:lineRule="auto"/>
        <w:ind w:firstLine="709"/>
        <w:jc w:val="both"/>
        <w:rPr>
          <w:lang w:val="uk-UA"/>
        </w:rPr>
      </w:pPr>
      <w:r>
        <w:rPr>
          <w:lang w:val="uk-UA"/>
        </w:rPr>
        <w:t>7.</w:t>
      </w:r>
      <w:r>
        <w:rPr>
          <w:lang w:val="uk-UA"/>
        </w:rPr>
        <w:tab/>
      </w:r>
      <w:hyperlink r:id="rId7" w:history="1">
        <w:r w:rsidRPr="008B0222">
          <w:rPr>
            <w:rStyle w:val="Hyperlink"/>
            <w:color w:val="auto"/>
            <w:lang w:val="en-US"/>
          </w:rPr>
          <w:t>www</w:t>
        </w:r>
        <w:r w:rsidRPr="008B0222">
          <w:rPr>
            <w:rStyle w:val="Hyperlink"/>
            <w:color w:val="auto"/>
          </w:rPr>
          <w:t>.</w:t>
        </w:r>
        <w:r w:rsidRPr="008B0222">
          <w:rPr>
            <w:rStyle w:val="Hyperlink"/>
            <w:color w:val="auto"/>
            <w:lang w:val="en-US"/>
          </w:rPr>
          <w:t>regard</w:t>
        </w:r>
        <w:r w:rsidRPr="008B0222">
          <w:rPr>
            <w:rStyle w:val="Hyperlink"/>
            <w:color w:val="auto"/>
          </w:rPr>
          <w:t>.</w:t>
        </w:r>
        <w:r w:rsidRPr="008B0222">
          <w:rPr>
            <w:rStyle w:val="Hyperlink"/>
            <w:color w:val="auto"/>
            <w:lang w:val="en-US"/>
          </w:rPr>
          <w:t>com</w:t>
        </w:r>
        <w:r w:rsidRPr="008B0222">
          <w:rPr>
            <w:rStyle w:val="Hyperlink"/>
            <w:color w:val="auto"/>
          </w:rPr>
          <w:t>.</w:t>
        </w:r>
        <w:r w:rsidRPr="008B0222">
          <w:rPr>
            <w:rStyle w:val="Hyperlink"/>
            <w:color w:val="auto"/>
            <w:lang w:val="en-US"/>
          </w:rPr>
          <w:t>ua</w:t>
        </w:r>
      </w:hyperlink>
      <w:r w:rsidRPr="001E553A">
        <w:t xml:space="preserve"> // </w:t>
      </w:r>
      <w:r>
        <w:rPr>
          <w:lang w:val="en-US"/>
        </w:rPr>
        <w:t>Fittydent</w:t>
      </w:r>
      <w:r w:rsidRPr="001E553A">
        <w:t xml:space="preserve"> // </w:t>
      </w:r>
      <w:r>
        <w:t>профессиональное стоматологическое издание «Дентаклуб». – декабрь 2014. - № 12. – С. 54</w:t>
      </w:r>
      <w:r>
        <w:rPr>
          <w:lang w:val="uk-UA"/>
        </w:rPr>
        <w:t>.</w:t>
      </w:r>
    </w:p>
    <w:p w:rsidR="00402C76" w:rsidRPr="000E19CB" w:rsidRDefault="00402C76" w:rsidP="008B0222">
      <w:pPr>
        <w:spacing w:line="360" w:lineRule="auto"/>
        <w:ind w:firstLine="708"/>
        <w:jc w:val="both"/>
        <w:rPr>
          <w:b/>
          <w:lang w:val="uk-UA"/>
        </w:rPr>
      </w:pPr>
    </w:p>
    <w:sectPr w:rsidR="00402C76" w:rsidRPr="000E19CB" w:rsidSect="00E968EB">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C76" w:rsidRDefault="00402C76" w:rsidP="00E3310E">
      <w:r>
        <w:separator/>
      </w:r>
    </w:p>
  </w:endnote>
  <w:endnote w:type="continuationSeparator" w:id="0">
    <w:p w:rsidR="00402C76" w:rsidRDefault="00402C76" w:rsidP="00E331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C76" w:rsidRDefault="00402C76" w:rsidP="00E3310E">
      <w:r>
        <w:separator/>
      </w:r>
    </w:p>
  </w:footnote>
  <w:footnote w:type="continuationSeparator" w:id="0">
    <w:p w:rsidR="00402C76" w:rsidRDefault="00402C76" w:rsidP="00E331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71F5"/>
    <w:rsid w:val="0003276C"/>
    <w:rsid w:val="00033829"/>
    <w:rsid w:val="000A2035"/>
    <w:rsid w:val="000B384B"/>
    <w:rsid w:val="000E19CB"/>
    <w:rsid w:val="0010772B"/>
    <w:rsid w:val="001907D8"/>
    <w:rsid w:val="001B3FAC"/>
    <w:rsid w:val="001B6ED7"/>
    <w:rsid w:val="001E553A"/>
    <w:rsid w:val="001F1487"/>
    <w:rsid w:val="00243298"/>
    <w:rsid w:val="00244635"/>
    <w:rsid w:val="00285970"/>
    <w:rsid w:val="002B5444"/>
    <w:rsid w:val="002B76CC"/>
    <w:rsid w:val="00311983"/>
    <w:rsid w:val="00351143"/>
    <w:rsid w:val="003852D1"/>
    <w:rsid w:val="003B45CF"/>
    <w:rsid w:val="003D48C7"/>
    <w:rsid w:val="00402C76"/>
    <w:rsid w:val="00465AC2"/>
    <w:rsid w:val="004E49A9"/>
    <w:rsid w:val="005005F2"/>
    <w:rsid w:val="005215F5"/>
    <w:rsid w:val="00533EDB"/>
    <w:rsid w:val="00541FD1"/>
    <w:rsid w:val="00546719"/>
    <w:rsid w:val="005A7005"/>
    <w:rsid w:val="005C348B"/>
    <w:rsid w:val="00617D32"/>
    <w:rsid w:val="006659F1"/>
    <w:rsid w:val="006C7AC2"/>
    <w:rsid w:val="00720E89"/>
    <w:rsid w:val="00726DCB"/>
    <w:rsid w:val="007C5795"/>
    <w:rsid w:val="007E31A0"/>
    <w:rsid w:val="0081793E"/>
    <w:rsid w:val="00827B75"/>
    <w:rsid w:val="00843584"/>
    <w:rsid w:val="00864741"/>
    <w:rsid w:val="008967A6"/>
    <w:rsid w:val="008B0222"/>
    <w:rsid w:val="008D1313"/>
    <w:rsid w:val="008D723D"/>
    <w:rsid w:val="008F0D4F"/>
    <w:rsid w:val="008F1C47"/>
    <w:rsid w:val="00901358"/>
    <w:rsid w:val="00904A1B"/>
    <w:rsid w:val="00957FF3"/>
    <w:rsid w:val="00964007"/>
    <w:rsid w:val="00966840"/>
    <w:rsid w:val="0097556F"/>
    <w:rsid w:val="009D24FB"/>
    <w:rsid w:val="009D2D37"/>
    <w:rsid w:val="00A1123B"/>
    <w:rsid w:val="00A17DAB"/>
    <w:rsid w:val="00A44800"/>
    <w:rsid w:val="00A802D5"/>
    <w:rsid w:val="00A90976"/>
    <w:rsid w:val="00AF669F"/>
    <w:rsid w:val="00AF71F5"/>
    <w:rsid w:val="00B14025"/>
    <w:rsid w:val="00B21B7C"/>
    <w:rsid w:val="00B72313"/>
    <w:rsid w:val="00B953E5"/>
    <w:rsid w:val="00C07604"/>
    <w:rsid w:val="00C07E31"/>
    <w:rsid w:val="00C624A7"/>
    <w:rsid w:val="00C71A9B"/>
    <w:rsid w:val="00C7278C"/>
    <w:rsid w:val="00D56BE2"/>
    <w:rsid w:val="00D6486B"/>
    <w:rsid w:val="00D86284"/>
    <w:rsid w:val="00DC284D"/>
    <w:rsid w:val="00DF64A6"/>
    <w:rsid w:val="00E2040B"/>
    <w:rsid w:val="00E2266F"/>
    <w:rsid w:val="00E3310E"/>
    <w:rsid w:val="00E968EB"/>
    <w:rsid w:val="00EC3CD5"/>
    <w:rsid w:val="00F05CF8"/>
    <w:rsid w:val="00F304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1F5"/>
    <w:pPr>
      <w:suppressAutoHyphens/>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310E"/>
    <w:pPr>
      <w:tabs>
        <w:tab w:val="center" w:pos="4677"/>
        <w:tab w:val="right" w:pos="9355"/>
      </w:tabs>
    </w:pPr>
  </w:style>
  <w:style w:type="character" w:customStyle="1" w:styleId="HeaderChar">
    <w:name w:val="Header Char"/>
    <w:basedOn w:val="DefaultParagraphFont"/>
    <w:link w:val="Header"/>
    <w:uiPriority w:val="99"/>
    <w:locked/>
    <w:rsid w:val="00E3310E"/>
    <w:rPr>
      <w:rFonts w:ascii="Times New Roman" w:hAnsi="Times New Roman" w:cs="Times New Roman"/>
      <w:sz w:val="24"/>
      <w:szCs w:val="24"/>
      <w:lang w:eastAsia="zh-CN"/>
    </w:rPr>
  </w:style>
  <w:style w:type="paragraph" w:styleId="Footer">
    <w:name w:val="footer"/>
    <w:basedOn w:val="Normal"/>
    <w:link w:val="FooterChar"/>
    <w:uiPriority w:val="99"/>
    <w:rsid w:val="00E3310E"/>
    <w:pPr>
      <w:tabs>
        <w:tab w:val="center" w:pos="4677"/>
        <w:tab w:val="right" w:pos="9355"/>
      </w:tabs>
    </w:pPr>
  </w:style>
  <w:style w:type="character" w:customStyle="1" w:styleId="FooterChar">
    <w:name w:val="Footer Char"/>
    <w:basedOn w:val="DefaultParagraphFont"/>
    <w:link w:val="Footer"/>
    <w:uiPriority w:val="99"/>
    <w:locked/>
    <w:rsid w:val="00E3310E"/>
    <w:rPr>
      <w:rFonts w:ascii="Times New Roman" w:hAnsi="Times New Roman" w:cs="Times New Roman"/>
      <w:sz w:val="24"/>
      <w:szCs w:val="24"/>
      <w:lang w:eastAsia="zh-CN"/>
    </w:rPr>
  </w:style>
  <w:style w:type="character" w:customStyle="1" w:styleId="FontStyle134">
    <w:name w:val="Font Style134"/>
    <w:uiPriority w:val="99"/>
    <w:rsid w:val="000E19CB"/>
    <w:rPr>
      <w:rFonts w:ascii="Times New Roman" w:hAnsi="Times New Roman"/>
      <w:sz w:val="26"/>
    </w:rPr>
  </w:style>
  <w:style w:type="paragraph" w:customStyle="1" w:styleId="Style100">
    <w:name w:val="Style100"/>
    <w:basedOn w:val="Normal"/>
    <w:uiPriority w:val="99"/>
    <w:rsid w:val="000E19CB"/>
    <w:pPr>
      <w:widowControl w:val="0"/>
      <w:suppressAutoHyphens w:val="0"/>
      <w:autoSpaceDE w:val="0"/>
      <w:autoSpaceDN w:val="0"/>
      <w:adjustRightInd w:val="0"/>
      <w:spacing w:line="485" w:lineRule="exact"/>
      <w:ind w:hanging="173"/>
      <w:jc w:val="both"/>
    </w:pPr>
    <w:rPr>
      <w:lang w:eastAsia="ru-RU"/>
    </w:rPr>
  </w:style>
  <w:style w:type="paragraph" w:customStyle="1" w:styleId="Style41">
    <w:name w:val="Style41"/>
    <w:basedOn w:val="Normal"/>
    <w:uiPriority w:val="99"/>
    <w:rsid w:val="000E19CB"/>
    <w:pPr>
      <w:widowControl w:val="0"/>
      <w:suppressAutoHyphens w:val="0"/>
      <w:autoSpaceDE w:val="0"/>
      <w:autoSpaceDN w:val="0"/>
      <w:adjustRightInd w:val="0"/>
      <w:spacing w:line="504" w:lineRule="exact"/>
      <w:ind w:hanging="350"/>
      <w:jc w:val="both"/>
    </w:pPr>
    <w:rPr>
      <w:lang w:eastAsia="ru-RU"/>
    </w:rPr>
  </w:style>
  <w:style w:type="character" w:styleId="Hyperlink">
    <w:name w:val="Hyperlink"/>
    <w:basedOn w:val="DefaultParagraphFont"/>
    <w:uiPriority w:val="99"/>
    <w:rsid w:val="001E553A"/>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gard.com.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311</TotalTime>
  <Pages>8</Pages>
  <Words>1858</Words>
  <Characters>10593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Admin</cp:lastModifiedBy>
  <cp:revision>59</cp:revision>
  <dcterms:created xsi:type="dcterms:W3CDTF">2015-01-28T10:42:00Z</dcterms:created>
  <dcterms:modified xsi:type="dcterms:W3CDTF">2015-02-04T13:48:00Z</dcterms:modified>
</cp:coreProperties>
</file>