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E" w:rsidRPr="000506BB" w:rsidRDefault="00ED342E" w:rsidP="00E56D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56D2C">
        <w:rPr>
          <w:rFonts w:ascii="Times New Roman" w:hAnsi="Times New Roman" w:cs="Times New Roman"/>
          <w:b/>
          <w:color w:val="000000"/>
          <w:sz w:val="28"/>
          <w:szCs w:val="28"/>
        </w:rPr>
        <w:t>ВЕДЕНИЕ ПАЦИЕНТОВ С АРТЕРИАЛЬНОЙ ГИПЕРТЕНЗИЕЙ В СОЧЕТАНИИ С САХАРНЫМ ДИАБЕТОМ</w:t>
      </w:r>
    </w:p>
    <w:p w:rsidR="00ED342E" w:rsidRPr="000506BB" w:rsidRDefault="00ED342E" w:rsidP="00E56D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342E" w:rsidRPr="00E56D2C" w:rsidRDefault="00ED342E" w:rsidP="00E56D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Корж </w:t>
      </w:r>
      <w:r w:rsidRPr="00E56D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А.Н.,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Краснокутский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СВ.,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Кочуев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Г.И., Лаврова Е.В.,</w:t>
      </w:r>
    </w:p>
    <w:p w:rsidR="00ED342E" w:rsidRPr="000506BB" w:rsidRDefault="00ED342E" w:rsidP="00E56D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>Павлова Е.А.</w:t>
      </w:r>
    </w:p>
    <w:p w:rsidR="00ED342E" w:rsidRPr="000506BB" w:rsidRDefault="00ED342E" w:rsidP="00E56D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342E" w:rsidRPr="000506BB" w:rsidRDefault="00ED342E" w:rsidP="00E56D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Харьковская медицинская академия последипломного образования</w:t>
      </w:r>
    </w:p>
    <w:p w:rsidR="00ED342E" w:rsidRPr="000506BB" w:rsidRDefault="00ED342E" w:rsidP="00E56D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342E" w:rsidRPr="00E56D2C" w:rsidRDefault="00ED342E" w:rsidP="00E56D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>Взаимосвязь артериальной гипертензии (АГ) и сахар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ного диабета 2 типа (СД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) давно установлена на основании результатов крупномасштабных эпидемиологических и популяционных исследований. Число больных </w:t>
      </w:r>
      <w:r w:rsidRPr="00E56D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АГ 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в сочетании с СД2 в последние годы неуклонно возрастает, увеличивая риск развития как макр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>, так и микрососудистых осложне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ний, что прогрессивно ухудшает их прогноз. Поэтому мно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госторонний подход к оценке спорных вопросов в тактике ведения больных АГ и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>, и определение путей их решения на основании научно обоснованных аргументов и фактов яв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ляется актуальной клинической задачей.</w:t>
      </w:r>
    </w:p>
    <w:p w:rsidR="00ED342E" w:rsidRPr="00E56D2C" w:rsidRDefault="00ED342E" w:rsidP="00E56D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Целевым уровнем АД для данной категории больных </w:t>
      </w:r>
      <w:r w:rsidRPr="00E56D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был принят уровень менее 140/90 мм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>. Для больных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и сердечно-сосудистыми заболеваниями уровень общего ХС</w:t>
      </w:r>
      <w:r w:rsidRPr="00E56D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рекомендовалось поддерживать менее 4,5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/л, ХС ЛПНП - менее 1,8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/л, ХС ЛПВП у мужчин более 1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/л, у женщин - более 1,2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/л, триглицеридов – менее 1,7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/л, отношение общего ХС к ХС ЛПВП - менее 3,0.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Рендовался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категорический отказ от курения. Относительно степени ожирения был выбран индекс массы тела на уровне менее 25 кг/м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или снижение веса на 10 % от исходной массы тела в год, окружность талии 80 см для европейских женщин и 94 см для европейских мужчин соответственно. Целевой уровень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гликолизированного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гемоглобин НЬА</w:t>
      </w:r>
      <w:r w:rsidRPr="00E56D2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1с 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рекомендовался менее 6,5 %, глюкозы плазмы крови натощак менее 6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/л,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постпрандиального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уровня глюкозы плазмы - менее 7,5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>/л.</w:t>
      </w:r>
    </w:p>
    <w:p w:rsidR="00ED342E" w:rsidRPr="00E56D2C" w:rsidRDefault="00ED342E" w:rsidP="00E56D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>Для контроля уровня АД у больных СД2 в качестве препаратов первой линии рекомендуется применение ингиби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торов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ангиотензинпревращающего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фермента (ИАПФ) и ан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тагонистов рецепторов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ангиотензина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II (АРА), для которых показана способность снижать как макр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>, так и микрососу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дистые осложнения. Кроме того, применение ИАПФ в допол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нение к другой лекарственной терапии снижает риск сердеч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но-сосудистых событий у больных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и стабильной ИБС.</w:t>
      </w:r>
    </w:p>
    <w:p w:rsidR="00ED342E" w:rsidRPr="00E56D2C" w:rsidRDefault="00ED342E" w:rsidP="00E56D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>Антагонисты кальция рассматриваются как более пред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почтительные препараты по сравнению с диуретиками и бета-блокаторами вследствие своего нейтрального влияния на уровень глюкозы и чувствительность к инсулину. При назна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чении бета-адреноблокаторов преимущество должно отда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карведилолу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его благоприятным влиянием на углеводный и липидный обмен. Продемонстрированы 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преи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мущества ряда препаратов (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атенолол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бисопролол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карведилол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>) у больных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ИБС и ХСН, после перене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сенного инфаркта миокарда.</w:t>
      </w:r>
    </w:p>
    <w:p w:rsidR="00ED342E" w:rsidRPr="00E56D2C" w:rsidRDefault="00ED342E" w:rsidP="00E56D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>Важное значение в снижении сердечно-сосудистых со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бытий и смерти у больных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и ССЗ имеют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статины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, начало терапии которыми не зависит от исходного уровня ХС ЛПНП, а целевой уровень при их назначении - менее 1,8-2,0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/л. Для коррекции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гипертриглицеридемии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ув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личить дозу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статинов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или комбинировать их с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фибратами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или пролонгированн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ыми формами никотиновой кислоты.</w:t>
      </w:r>
    </w:p>
    <w:p w:rsidR="00ED342E" w:rsidRPr="00E56D2C" w:rsidRDefault="00ED342E" w:rsidP="00E56D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получены данные о способности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нофибрата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снижать риска как макр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>, так и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микрососудистых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осложнений у больных СД2, особенно при профилактике 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прог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рессирования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ретинопатии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. Преимущества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фенофибра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оказались более выраженными у больных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со смешан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дислипидемией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при увеличении уровня триглицеридов и низком уровне ХС ЛПВП.</w:t>
      </w:r>
    </w:p>
    <w:p w:rsidR="00ED342E" w:rsidRPr="00E56D2C" w:rsidRDefault="00ED342E" w:rsidP="00E56D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>Для снижения сер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дечно-сосудистого риска из </w:t>
      </w:r>
      <w:proofErr w:type="spellStart"/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анти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агрегантных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препаратов у больных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назначать ацетилсалициловую кислоту в дозе 75-162 мг в сутки как для вторичной, так и для первичной профилактики сердечно-со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судистых осложнений, а при её непереносимости применяет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клопидогрел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в дозе 75 мг в сутки или их комбинация после перенесенных ишемических событий.</w:t>
      </w:r>
    </w:p>
    <w:p w:rsidR="00ED342E" w:rsidRPr="00E56D2C" w:rsidRDefault="00ED342E" w:rsidP="00E56D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>В настоящее время изучается целесообразность дву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кратного приёма ацетилсалициловой кислоты в день над однократным у больных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высокого риска. Полученные данные свидетельствуют о преимуществе назначения ацетил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салициловой кислоты в дозе 100 мг два раза в сутки в сниже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персистирующей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клеточной реактивности в сравнении с однократным приёмом препарата в дозе 100 мг в сутки.</w:t>
      </w:r>
    </w:p>
    <w:p w:rsidR="00ED342E" w:rsidRPr="00E56D2C" w:rsidRDefault="00ED342E" w:rsidP="00E56D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>Высокая частота сердечно-сосудистых событий у боль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с сопутствующими сердечно-сосудистыми заболе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ваниями, несмотря на использование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антитромботическиех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препаратов может быть св</w:t>
      </w:r>
      <w:r w:rsidR="00E56D2C">
        <w:rPr>
          <w:rFonts w:ascii="Times New Roman" w:hAnsi="Times New Roman" w:cs="Times New Roman"/>
          <w:color w:val="000000"/>
          <w:sz w:val="28"/>
          <w:szCs w:val="28"/>
        </w:rPr>
        <w:t xml:space="preserve">язана с более выраженной </w:t>
      </w:r>
      <w:proofErr w:type="spellStart"/>
      <w:r w:rsidR="00E56D2C">
        <w:rPr>
          <w:rFonts w:ascii="Times New Roman" w:hAnsi="Times New Roman" w:cs="Times New Roman"/>
          <w:color w:val="000000"/>
          <w:sz w:val="28"/>
          <w:szCs w:val="28"/>
        </w:rPr>
        <w:t>тромбо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цитарной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реактивностью у данных больных, что обуславли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вает поиск новых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антитромбоцитарных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средств.</w:t>
      </w:r>
    </w:p>
    <w:p w:rsidR="00ED342E" w:rsidRPr="00E56D2C" w:rsidRDefault="00ED342E" w:rsidP="00E56D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t>Выявлено различное воздействие на сердечно-сосуди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стый риск у больных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разных пероральных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сахароснижа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препаратов. Более предпочтительным препаратом для Учения больных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в сочетании с сердечно-сосудистыми заболеваниями является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метформин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>, достоверно снижаю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щий риск инфаркта миокарда. Особое внимание в послед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нее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время уделяется воз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можности применения </w:t>
      </w:r>
      <w:proofErr w:type="spellStart"/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метформина</w:t>
      </w:r>
      <w:proofErr w:type="spellEnd"/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больных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с различны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ми проявлениями </w:t>
      </w:r>
      <w:proofErr w:type="spellStart"/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атеротромбоза</w:t>
      </w:r>
      <w:proofErr w:type="spellEnd"/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.  По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лучены данные о снижении смертности среди больных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СД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56D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атеротромбозом 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в анамнезе под влиянием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метформи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торый может рассматриваться как средство вторичной профилактики.</w:t>
      </w:r>
    </w:p>
    <w:p w:rsidR="00223141" w:rsidRPr="00E56D2C" w:rsidRDefault="00ED342E" w:rsidP="00E56D2C">
      <w:pPr>
        <w:spacing w:after="0"/>
        <w:ind w:firstLine="567"/>
        <w:jc w:val="both"/>
        <w:rPr>
          <w:sz w:val="28"/>
          <w:szCs w:val="28"/>
        </w:rPr>
      </w:pPr>
      <w:r w:rsidRPr="00E56D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в последние годы наблюдается у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вели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чение распространённости сочетания АГ с СД2, харак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тери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зующееся неблагоприятным прогнозом в плане развития 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и микрососудистых осложнений, общей и сердечно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-со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судистой смертности. В тактике ведения пациентов АГ и </w:t>
      </w:r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СД</w:t>
      </w:r>
      <w:proofErr w:type="gramStart"/>
      <w:r w:rsidR="00F50359" w:rsidRPr="00E56D2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E56D2C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основным требован</w:t>
      </w:r>
      <w:r w:rsidR="00E56D2C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ием является индивидуализированный 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подход как в отношении выбора </w:t>
      </w:r>
      <w:proofErr w:type="spellStart"/>
      <w:r w:rsidR="00E56D2C" w:rsidRPr="00E56D2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антигипертензивны</w:t>
      </w:r>
      <w:r w:rsidR="00E56D2C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proofErr w:type="spellEnd"/>
      <w:r w:rsidR="00E56D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56D2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препаратов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, так и к выбору </w:t>
      </w:r>
      <w:proofErr w:type="spellStart"/>
      <w:r w:rsidRPr="00E56D2C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="00E56D2C" w:rsidRPr="00E56D2C">
        <w:rPr>
          <w:rFonts w:ascii="Times New Roman" w:hAnsi="Times New Roman" w:cs="Times New Roman"/>
          <w:color w:val="000000"/>
          <w:sz w:val="28"/>
          <w:szCs w:val="28"/>
        </w:rPr>
        <w:t>полипидемических</w:t>
      </w:r>
      <w:proofErr w:type="spellEnd"/>
      <w:r w:rsidR="00E56D2C"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E56D2C" w:rsidRPr="00E56D2C">
        <w:rPr>
          <w:rFonts w:ascii="Times New Roman" w:hAnsi="Times New Roman" w:cs="Times New Roman"/>
          <w:color w:val="000000"/>
          <w:sz w:val="28"/>
          <w:szCs w:val="28"/>
        </w:rPr>
        <w:t>сахароснижаю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t>щих</w:t>
      </w:r>
      <w:proofErr w:type="spellEnd"/>
      <w:r w:rsidRPr="00E56D2C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при обязательном использовании немедикамен</w:t>
      </w:r>
      <w:r w:rsidRPr="00E56D2C">
        <w:rPr>
          <w:rFonts w:ascii="Times New Roman" w:hAnsi="Times New Roman" w:cs="Times New Roman"/>
          <w:color w:val="000000"/>
          <w:sz w:val="28"/>
          <w:szCs w:val="28"/>
        </w:rPr>
        <w:softHyphen/>
        <w:t>тозных вмешательств, что может быть достигнуто только при высокой активности как врача, так и самого больного.</w:t>
      </w:r>
    </w:p>
    <w:sectPr w:rsidR="00223141" w:rsidRPr="00E56D2C" w:rsidSect="00ED34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059"/>
    <w:multiLevelType w:val="hybridMultilevel"/>
    <w:tmpl w:val="A244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42E"/>
    <w:rsid w:val="0004526A"/>
    <w:rsid w:val="000506BB"/>
    <w:rsid w:val="00223141"/>
    <w:rsid w:val="007D23F7"/>
    <w:rsid w:val="00E56D2C"/>
    <w:rsid w:val="00ED342E"/>
    <w:rsid w:val="00F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Патфизиология</cp:lastModifiedBy>
  <cp:revision>4</cp:revision>
  <dcterms:created xsi:type="dcterms:W3CDTF">2014-11-15T20:56:00Z</dcterms:created>
  <dcterms:modified xsi:type="dcterms:W3CDTF">2014-12-01T08:28:00Z</dcterms:modified>
</cp:coreProperties>
</file>