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D" w:rsidRPr="00B2272D" w:rsidRDefault="00B2272D" w:rsidP="00B2272D">
      <w:pPr>
        <w:tabs>
          <w:tab w:val="left" w:pos="1586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2272D">
        <w:rPr>
          <w:rFonts w:ascii="Times New Roman" w:hAnsi="Times New Roman" w:cs="Times New Roman"/>
          <w:b/>
          <w:sz w:val="28"/>
          <w:szCs w:val="28"/>
        </w:rPr>
        <w:t xml:space="preserve">УДК: 616.12-008.46-036.12-085.37:612.017.1 </w:t>
      </w:r>
    </w:p>
    <w:p w:rsidR="00B2272D" w:rsidRPr="00B2272D" w:rsidRDefault="00B2272D" w:rsidP="00B2272D">
      <w:pPr>
        <w:tabs>
          <w:tab w:val="left" w:pos="158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</w:rPr>
        <w:t>иммунокорекции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</w:rPr>
        <w:t xml:space="preserve"> на состояние специфической клеточной и гуморальной иммунологической реактивности больных</w:t>
      </w:r>
      <w:r w:rsidRPr="00B2272D">
        <w:rPr>
          <w:rFonts w:ascii="Times New Roman" w:hAnsi="Times New Roman" w:cs="Times New Roman"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22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хронической сердечной недостаточностью.</w:t>
      </w:r>
    </w:p>
    <w:p w:rsidR="00B2272D" w:rsidRPr="00B2272D" w:rsidRDefault="00B2272D" w:rsidP="00B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sz w:val="28"/>
          <w:szCs w:val="28"/>
        </w:rPr>
        <w:t>Е.А. Павлова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, д. мед</w:t>
      </w:r>
      <w:proofErr w:type="gramStart"/>
      <w:r w:rsidRPr="00B2272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Pr="00B22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72D" w:rsidRPr="00B2272D" w:rsidRDefault="00B2272D" w:rsidP="00B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B2272D" w:rsidRDefault="00B2272D" w:rsidP="00B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патологической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физиологии</w:t>
      </w:r>
      <w:proofErr w:type="spellEnd"/>
    </w:p>
    <w:p w:rsidR="00B2272D" w:rsidRPr="00B2272D" w:rsidRDefault="00B2272D" w:rsidP="00B22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Сердечно-сосудистые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как важнейшая медико-социальная проблема современного здравоохранения, по распространённости, занимают лидирующие позиции</w:t>
      </w:r>
      <w:r w:rsidRPr="00B2272D">
        <w:rPr>
          <w:rFonts w:ascii="Times New Roman" w:hAnsi="Times New Roman" w:cs="Times New Roman"/>
          <w:sz w:val="28"/>
          <w:szCs w:val="28"/>
        </w:rPr>
        <w:t xml:space="preserve"> в структуре заболеваемости и смертности населения нашей страны 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[1,2]</w:t>
      </w:r>
      <w:r w:rsidRPr="00B2272D">
        <w:rPr>
          <w:rFonts w:ascii="Times New Roman" w:hAnsi="Times New Roman" w:cs="Times New Roman"/>
          <w:sz w:val="28"/>
          <w:szCs w:val="28"/>
        </w:rPr>
        <w:t>. Одним из наиболее распространенных и тяжелых синдромов является х</w:t>
      </w:r>
      <w:r w:rsidRPr="00B2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роническая сердечная недостаточность (ХСН) -</w:t>
      </w:r>
      <w:r w:rsidRPr="00B2272D">
        <w:rPr>
          <w:rFonts w:ascii="Times New Roman" w:hAnsi="Times New Roman" w:cs="Times New Roman"/>
          <w:color w:val="333333"/>
          <w:sz w:val="28"/>
          <w:szCs w:val="28"/>
        </w:rPr>
        <w:t xml:space="preserve"> неспособность сердца обеспечивать питательными веществами ткани организма в соответствии с их метаболическими потребностями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вследствие кардиальной дисфункции. На особенности течения и прогноза ХСН в дальнейшем оказывают влияние нарушения иммунологической реактивности организма  возникающие в условиях ишемии, гемодинамической перегрузки, интоксикации [4,6,8-12,14-18]. </w:t>
      </w:r>
      <w:r w:rsidRPr="00B2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Фрамингемского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исследования, основной причиной ХСН является ишемическая болезнь сердца (ИБС), которая в 70% случаев выступает этиологическим фактором декомпенсации ХСН 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[18,19]</w:t>
      </w:r>
      <w:r w:rsidRPr="00B2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272D">
        <w:rPr>
          <w:rFonts w:ascii="Times New Roman" w:eastAsia="Arial" w:hAnsi="Times New Roman" w:cs="Times New Roman"/>
          <w:color w:val="000000"/>
          <w:sz w:val="28"/>
          <w:szCs w:val="28"/>
        </w:rPr>
        <w:t>Целью настоящей работы явилось изучение закономерностей сдвигов показателей  специфического клеточного и гуморального иммунитета у больных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c 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</w:rPr>
        <w:t>ХСН до и после стандартной терапии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и у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аналогичных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больных</w:t>
      </w:r>
      <w:proofErr w:type="spellEnd"/>
      <w:proofErr w:type="gramEnd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где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дополнение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к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стандартной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терапии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 xml:space="preserve"> проводилась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</w:rPr>
        <w:t>иммунокоррекция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b/>
          <w:sz w:val="28"/>
        </w:rPr>
        <w:t>Материалы и методы.</w:t>
      </w:r>
      <w:r w:rsidRPr="00B2272D">
        <w:rPr>
          <w:rFonts w:ascii="Times New Roman" w:hAnsi="Times New Roman" w:cs="Times New Roman"/>
          <w:sz w:val="28"/>
        </w:rPr>
        <w:t xml:space="preserve"> Под наблюдением находились </w:t>
      </w:r>
      <w:r w:rsidRPr="00B2272D">
        <w:rPr>
          <w:rFonts w:ascii="Times New Roman" w:hAnsi="Times New Roman" w:cs="Times New Roman"/>
          <w:sz w:val="28"/>
          <w:lang w:val="uk-UA"/>
        </w:rPr>
        <w:t>18</w:t>
      </w:r>
      <w:r w:rsidRPr="00B2272D">
        <w:rPr>
          <w:rFonts w:ascii="Times New Roman" w:hAnsi="Times New Roman" w:cs="Times New Roman"/>
          <w:sz w:val="28"/>
        </w:rPr>
        <w:t xml:space="preserve"> больных, возрасте (45 - 65 лет).</w:t>
      </w:r>
      <w:r w:rsidRPr="00B2272D">
        <w:rPr>
          <w:rFonts w:ascii="Times New Roman" w:hAnsi="Times New Roman" w:cs="Times New Roman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 xml:space="preserve">Из них 9 человек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(группа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, контроль) - больные ИБС, 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функциональный класс (ФК) (одышка, сердцебиение, ангинозные боли возникали при обычной физической нагрузке), ХСН - 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А ст. (нарушения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гемодинамики-умеренные), проводилась стандартная терапия. И 9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наблюдаемых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группа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В)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– больные ИБС, 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ФК, ХСН - 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ст., которым</w:t>
      </w:r>
      <w:r w:rsidRPr="00B2272D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профилактическая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szCs w:val="28"/>
        </w:rPr>
        <w:t>иммунокоррекция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</w:rPr>
        <w:t>на фоне общепринятой терапии. В качестве иммуномодулятора использовался и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ммунофан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который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вводили по 1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мл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0,005%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раствора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внутримышечно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один раз в сутки в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течение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7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дней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. </w:t>
      </w:r>
      <w:r w:rsidRPr="00B2272D">
        <w:rPr>
          <w:rFonts w:ascii="Times New Roman" w:hAnsi="Times New Roman" w:cs="Times New Roman"/>
          <w:sz w:val="28"/>
        </w:rPr>
        <w:t xml:space="preserve">Длительность заболевания колебалась от 3-х до 5-ти лет. </w:t>
      </w:r>
      <w:r w:rsidRPr="00B2272D">
        <w:rPr>
          <w:rFonts w:ascii="Times New Roman" w:hAnsi="Times New Roman" w:cs="Times New Roman"/>
          <w:sz w:val="28"/>
          <w:szCs w:val="28"/>
        </w:rPr>
        <w:t>При определении ФК стенокардии напряжения пользовались критериями Нью-Йоркской ассоциации сердца (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NYHA</w:t>
      </w:r>
      <w:r w:rsidRPr="00B2272D">
        <w:rPr>
          <w:rFonts w:ascii="Times New Roman" w:hAnsi="Times New Roman" w:cs="Times New Roman"/>
          <w:sz w:val="28"/>
          <w:szCs w:val="28"/>
        </w:rPr>
        <w:t xml:space="preserve">), диагноз устанавливался на основании жалоб, анамнеза заболевания, данных объективного обследования, 6-минутного теста-ходьбы </w:t>
      </w:r>
      <w:r w:rsidRPr="00B2272D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[7]</w:t>
      </w:r>
      <w:r w:rsidRPr="00B2272D">
        <w:rPr>
          <w:rFonts w:ascii="Times New Roman" w:hAnsi="Times New Roman" w:cs="Times New Roman"/>
          <w:sz w:val="28"/>
          <w:szCs w:val="28"/>
        </w:rPr>
        <w:t>.</w:t>
      </w:r>
    </w:p>
    <w:p w:rsidR="00B2272D" w:rsidRPr="00B2272D" w:rsidRDefault="00B2272D" w:rsidP="00B2272D">
      <w:pPr>
        <w:pStyle w:val="WW-Default1"/>
        <w:spacing w:line="360" w:lineRule="auto"/>
        <w:ind w:firstLine="680"/>
        <w:jc w:val="both"/>
        <w:rPr>
          <w:rFonts w:eastAsia="Times New Roman"/>
          <w:color w:val="auto"/>
          <w:sz w:val="28"/>
          <w:szCs w:val="28"/>
        </w:rPr>
      </w:pPr>
      <w:r w:rsidRPr="00B2272D">
        <w:rPr>
          <w:sz w:val="28"/>
        </w:rPr>
        <w:t xml:space="preserve">Исследование иммунного статуса проводили дважды: до начала лечения и через 10 дней после начала  лечения. Забор крови из локтевой вены проводили в утренние часы натощак. Для получения чистой суспензии лимфоцитов венозную кровь больных (2-3мл), смешанную с </w:t>
      </w:r>
      <w:proofErr w:type="spellStart"/>
      <w:r w:rsidRPr="00B2272D">
        <w:rPr>
          <w:sz w:val="28"/>
        </w:rPr>
        <w:t>этилендиаминтетрацетатом</w:t>
      </w:r>
      <w:proofErr w:type="spellEnd"/>
      <w:r w:rsidRPr="00B2272D">
        <w:rPr>
          <w:sz w:val="28"/>
        </w:rPr>
        <w:t xml:space="preserve"> натрия (10мМ), разбавляли изотоническим раствором </w:t>
      </w:r>
      <w:proofErr w:type="spellStart"/>
      <w:r w:rsidRPr="00B2272D">
        <w:rPr>
          <w:sz w:val="28"/>
          <w:lang w:val="en-US"/>
        </w:rPr>
        <w:t>NaCl</w:t>
      </w:r>
      <w:proofErr w:type="spellEnd"/>
      <w:r w:rsidRPr="00B2272D">
        <w:rPr>
          <w:sz w:val="28"/>
        </w:rPr>
        <w:t xml:space="preserve"> (1:1) и центрифугировали в градиенте плотности </w:t>
      </w:r>
      <w:proofErr w:type="spellStart"/>
      <w:r w:rsidRPr="00B2272D">
        <w:rPr>
          <w:sz w:val="28"/>
        </w:rPr>
        <w:t>фиколл-верографин</w:t>
      </w:r>
      <w:proofErr w:type="spellEnd"/>
      <w:r w:rsidRPr="00B2272D">
        <w:rPr>
          <w:sz w:val="28"/>
        </w:rPr>
        <w:t xml:space="preserve"> (</w:t>
      </w:r>
      <w:r w:rsidRPr="00B2272D">
        <w:rPr>
          <w:sz w:val="28"/>
          <w:lang w:val="en-US"/>
        </w:rPr>
        <w:t>d</w:t>
      </w:r>
      <w:r w:rsidRPr="00B2272D">
        <w:rPr>
          <w:sz w:val="28"/>
        </w:rPr>
        <w:t xml:space="preserve">=1,077). Выделенные лимфоциты трижды промывали изотоническим раствором </w:t>
      </w:r>
      <w:proofErr w:type="spellStart"/>
      <w:r w:rsidRPr="00B2272D">
        <w:rPr>
          <w:sz w:val="28"/>
          <w:lang w:val="en-US"/>
        </w:rPr>
        <w:t>NaCl</w:t>
      </w:r>
      <w:proofErr w:type="spellEnd"/>
      <w:r w:rsidRPr="00B2272D">
        <w:t xml:space="preserve">, </w:t>
      </w:r>
      <w:proofErr w:type="spellStart"/>
      <w:r w:rsidRPr="00B2272D">
        <w:rPr>
          <w:sz w:val="28"/>
          <w:szCs w:val="28"/>
        </w:rPr>
        <w:t>ресуспендировали</w:t>
      </w:r>
      <w:proofErr w:type="spellEnd"/>
      <w:r w:rsidRPr="00B2272D">
        <w:rPr>
          <w:sz w:val="28"/>
          <w:szCs w:val="28"/>
        </w:rPr>
        <w:t xml:space="preserve"> в 1 мл</w:t>
      </w:r>
      <w:r w:rsidRPr="00B2272D">
        <w:t xml:space="preserve"> </w:t>
      </w:r>
      <w:r w:rsidRPr="00B2272D">
        <w:rPr>
          <w:sz w:val="28"/>
        </w:rPr>
        <w:t xml:space="preserve">этого раствора, и подсчитывали количество клеток в камере Горяева [9]. Определение популяций и </w:t>
      </w:r>
      <w:proofErr w:type="spellStart"/>
      <w:r w:rsidRPr="00B2272D">
        <w:rPr>
          <w:sz w:val="28"/>
        </w:rPr>
        <w:t>субпопуляций</w:t>
      </w:r>
      <w:proofErr w:type="spellEnd"/>
      <w:r w:rsidRPr="00B2272D">
        <w:rPr>
          <w:sz w:val="28"/>
        </w:rPr>
        <w:t xml:space="preserve"> лимфоцитов (</w:t>
      </w:r>
      <w:proofErr w:type="spellStart"/>
      <w:r w:rsidRPr="00B2272D">
        <w:rPr>
          <w:sz w:val="28"/>
        </w:rPr>
        <w:t>иммунофенотипирование</w:t>
      </w:r>
      <w:proofErr w:type="spellEnd"/>
      <w:r w:rsidRPr="00B2272D">
        <w:rPr>
          <w:sz w:val="28"/>
        </w:rPr>
        <w:t xml:space="preserve"> клеток) проводили с использованием панели </w:t>
      </w:r>
      <w:proofErr w:type="spellStart"/>
      <w:r w:rsidRPr="00B2272D">
        <w:rPr>
          <w:sz w:val="28"/>
        </w:rPr>
        <w:t>моноклональных</w:t>
      </w:r>
      <w:proofErr w:type="spellEnd"/>
      <w:r w:rsidRPr="00B2272D">
        <w:rPr>
          <w:sz w:val="28"/>
        </w:rPr>
        <w:t xml:space="preserve"> антител к поверхностным антигенам лейкоцитов человека (С</w:t>
      </w:r>
      <w:proofErr w:type="gramStart"/>
      <w:r w:rsidRPr="00B2272D">
        <w:rPr>
          <w:sz w:val="28"/>
          <w:lang w:val="en-US"/>
        </w:rPr>
        <w:t>D</w:t>
      </w:r>
      <w:proofErr w:type="gramEnd"/>
      <w:r w:rsidRPr="00B2272D">
        <w:rPr>
          <w:sz w:val="28"/>
        </w:rPr>
        <w:t>-маркеры) («</w:t>
      </w:r>
      <w:proofErr w:type="spellStart"/>
      <w:r w:rsidRPr="00B2272D">
        <w:rPr>
          <w:sz w:val="28"/>
        </w:rPr>
        <w:t>Клоноспектр</w:t>
      </w:r>
      <w:proofErr w:type="spellEnd"/>
      <w:r w:rsidRPr="00B2272D">
        <w:rPr>
          <w:sz w:val="28"/>
        </w:rPr>
        <w:t xml:space="preserve">», г. Москва) методом </w:t>
      </w:r>
      <w:proofErr w:type="spellStart"/>
      <w:r w:rsidRPr="00B2272D">
        <w:rPr>
          <w:sz w:val="28"/>
        </w:rPr>
        <w:t>иммунофлуоресцентной</w:t>
      </w:r>
      <w:proofErr w:type="spellEnd"/>
      <w:r w:rsidRPr="00B2272D">
        <w:rPr>
          <w:sz w:val="28"/>
        </w:rPr>
        <w:t xml:space="preserve"> микроскопии. Изучали относительное и абсолютное содержание следующих клеток: СD3+, CD4+, CD8+, СD16+, CD19+, а также определяли соотношение CD4+/CD8+ - </w:t>
      </w:r>
      <w:proofErr w:type="spellStart"/>
      <w:r w:rsidRPr="00B2272D">
        <w:rPr>
          <w:sz w:val="28"/>
        </w:rPr>
        <w:t>иммунорегуляторный</w:t>
      </w:r>
      <w:proofErr w:type="spellEnd"/>
      <w:r w:rsidRPr="00B2272D">
        <w:rPr>
          <w:sz w:val="28"/>
        </w:rPr>
        <w:t xml:space="preserve"> индекс (ИРИ). Учет результатов реакции производили непосредственно на предметных стеклах. Просмотр препаратов осуществляли на флуоресцентном микроскопе </w:t>
      </w:r>
      <w:proofErr w:type="spellStart"/>
      <w:r w:rsidRPr="00B2272D">
        <w:rPr>
          <w:sz w:val="28"/>
          <w:lang w:val="en-US"/>
        </w:rPr>
        <w:t>JenaVal</w:t>
      </w:r>
      <w:proofErr w:type="spellEnd"/>
      <w:r w:rsidRPr="00B2272D">
        <w:rPr>
          <w:sz w:val="28"/>
        </w:rPr>
        <w:t xml:space="preserve"> производства </w:t>
      </w:r>
      <w:r w:rsidRPr="00B2272D">
        <w:rPr>
          <w:sz w:val="28"/>
          <w:lang w:val="en-US"/>
        </w:rPr>
        <w:t>Karl</w:t>
      </w:r>
      <w:r w:rsidRPr="00B2272D">
        <w:rPr>
          <w:sz w:val="28"/>
        </w:rPr>
        <w:t xml:space="preserve"> </w:t>
      </w:r>
      <w:r w:rsidRPr="00B2272D">
        <w:rPr>
          <w:sz w:val="28"/>
          <w:lang w:val="en-US"/>
        </w:rPr>
        <w:t>Zeiss</w:t>
      </w:r>
      <w:r w:rsidRPr="00B2272D">
        <w:rPr>
          <w:sz w:val="28"/>
        </w:rPr>
        <w:t xml:space="preserve"> (Германия). Результаты реакции учитывали через 24 часа после ее выполнения. Количество </w:t>
      </w:r>
      <w:proofErr w:type="spellStart"/>
      <w:r w:rsidRPr="00B2272D">
        <w:rPr>
          <w:sz w:val="28"/>
        </w:rPr>
        <w:t>антигенположительных</w:t>
      </w:r>
      <w:proofErr w:type="spellEnd"/>
      <w:r w:rsidRPr="00B2272D">
        <w:rPr>
          <w:sz w:val="28"/>
        </w:rPr>
        <w:t xml:space="preserve"> клеток определяли как % </w:t>
      </w:r>
      <w:r w:rsidRPr="00B2272D">
        <w:rPr>
          <w:sz w:val="28"/>
        </w:rPr>
        <w:lastRenderedPageBreak/>
        <w:t>флуоресцирующих клеток при просматривании 200 лимфоцитов за вычетом % флуоресцирующих клеток в препарате отрицательного контроля [11]. Уровень крупно- и низко</w:t>
      </w:r>
      <w:r w:rsidRPr="00B2272D">
        <w:rPr>
          <w:sz w:val="28"/>
          <w:shd w:val="clear" w:color="auto" w:fill="FFFFFF"/>
        </w:rPr>
        <w:t>молекулярных</w:t>
      </w:r>
      <w:r w:rsidRPr="00B2272D">
        <w:rPr>
          <w:sz w:val="28"/>
        </w:rPr>
        <w:t xml:space="preserve"> циркулирующих иммунных комплексов (ЦИК) в сыворотке крови определяли на спектрофотометре при длине волны 450 нм после преципитации 3,5% и 7% раствором </w:t>
      </w:r>
      <w:proofErr w:type="spellStart"/>
      <w:r w:rsidRPr="00B2272D">
        <w:rPr>
          <w:sz w:val="28"/>
        </w:rPr>
        <w:t>полиэтиленгликоля</w:t>
      </w:r>
      <w:proofErr w:type="spellEnd"/>
      <w:r w:rsidRPr="00B2272D">
        <w:rPr>
          <w:sz w:val="28"/>
        </w:rPr>
        <w:t xml:space="preserve"> 6000 (по методике Гриневича Ю.А.) [5]. Содержание сывороточных иммуноглобулинов (</w:t>
      </w:r>
      <w:r w:rsidRPr="00B2272D">
        <w:rPr>
          <w:sz w:val="28"/>
          <w:lang w:val="en-US"/>
        </w:rPr>
        <w:t>IgA</w:t>
      </w:r>
      <w:r w:rsidRPr="00B2272D">
        <w:rPr>
          <w:sz w:val="28"/>
        </w:rPr>
        <w:t xml:space="preserve">, </w:t>
      </w:r>
      <w:proofErr w:type="spellStart"/>
      <w:r w:rsidRPr="00B2272D">
        <w:rPr>
          <w:sz w:val="28"/>
          <w:lang w:val="en-US"/>
        </w:rPr>
        <w:t>IgM</w:t>
      </w:r>
      <w:proofErr w:type="spellEnd"/>
      <w:r w:rsidRPr="00B2272D">
        <w:rPr>
          <w:sz w:val="28"/>
        </w:rPr>
        <w:t xml:space="preserve">, </w:t>
      </w:r>
      <w:proofErr w:type="spellStart"/>
      <w:r w:rsidRPr="00B2272D">
        <w:rPr>
          <w:sz w:val="28"/>
          <w:lang w:val="en-US"/>
        </w:rPr>
        <w:t>IgG</w:t>
      </w:r>
      <w:proofErr w:type="spellEnd"/>
      <w:r w:rsidRPr="00B2272D">
        <w:rPr>
          <w:sz w:val="28"/>
        </w:rPr>
        <w:t xml:space="preserve">) определяли методом </w:t>
      </w:r>
      <w:proofErr w:type="gramStart"/>
      <w:r w:rsidRPr="00B2272D">
        <w:rPr>
          <w:sz w:val="28"/>
        </w:rPr>
        <w:t>радиальной</w:t>
      </w:r>
      <w:proofErr w:type="gramEnd"/>
      <w:r w:rsidRPr="00B2272D">
        <w:rPr>
          <w:sz w:val="28"/>
        </w:rPr>
        <w:t xml:space="preserve"> </w:t>
      </w:r>
      <w:proofErr w:type="spellStart"/>
      <w:r w:rsidRPr="00B2272D">
        <w:rPr>
          <w:sz w:val="28"/>
        </w:rPr>
        <w:t>иммунодифузии</w:t>
      </w:r>
      <w:proofErr w:type="spellEnd"/>
      <w:r w:rsidRPr="00B2272D">
        <w:rPr>
          <w:sz w:val="28"/>
        </w:rPr>
        <w:t xml:space="preserve"> в агаровом геле</w:t>
      </w:r>
      <w:r w:rsidRPr="00B2272D">
        <w:t xml:space="preserve"> </w:t>
      </w:r>
      <w:r w:rsidRPr="00B2272D">
        <w:rPr>
          <w:sz w:val="28"/>
        </w:rPr>
        <w:t xml:space="preserve">по </w:t>
      </w:r>
      <w:r w:rsidRPr="00B2272D">
        <w:rPr>
          <w:sz w:val="28"/>
          <w:lang w:val="en-US"/>
        </w:rPr>
        <w:t>G</w:t>
      </w:r>
      <w:r w:rsidRPr="00B2272D">
        <w:rPr>
          <w:sz w:val="28"/>
        </w:rPr>
        <w:t xml:space="preserve">. </w:t>
      </w:r>
      <w:proofErr w:type="spellStart"/>
      <w:proofErr w:type="gramStart"/>
      <w:r w:rsidRPr="00B2272D">
        <w:rPr>
          <w:sz w:val="28"/>
          <w:lang w:val="en-US"/>
        </w:rPr>
        <w:t>Manchini</w:t>
      </w:r>
      <w:proofErr w:type="spellEnd"/>
      <w:r w:rsidRPr="00B2272D">
        <w:rPr>
          <w:sz w:val="28"/>
        </w:rPr>
        <w:t xml:space="preserve"> с использованием наборов моноспецифических </w:t>
      </w:r>
      <w:proofErr w:type="spellStart"/>
      <w:r w:rsidRPr="00B2272D">
        <w:rPr>
          <w:sz w:val="28"/>
        </w:rPr>
        <w:t>антисывороток</w:t>
      </w:r>
      <w:proofErr w:type="spellEnd"/>
      <w:r w:rsidRPr="00B2272D">
        <w:rPr>
          <w:sz w:val="28"/>
        </w:rPr>
        <w:t xml:space="preserve"> к иммуноглобулинам разных классов, с помощью </w:t>
      </w:r>
      <w:proofErr w:type="spellStart"/>
      <w:r w:rsidRPr="00B2272D">
        <w:rPr>
          <w:sz w:val="28"/>
        </w:rPr>
        <w:t>иммунодиффузионных</w:t>
      </w:r>
      <w:proofErr w:type="spellEnd"/>
      <w:r w:rsidRPr="00B2272D">
        <w:rPr>
          <w:sz w:val="28"/>
        </w:rPr>
        <w:t xml:space="preserve"> планшетов производства "РЕАФАРМ", г. Москва</w:t>
      </w:r>
      <w:r w:rsidRPr="00B2272D">
        <w:rPr>
          <w:color w:val="auto"/>
          <w:sz w:val="28"/>
        </w:rPr>
        <w:t xml:space="preserve"> </w:t>
      </w:r>
      <w:r w:rsidRPr="00B2272D">
        <w:rPr>
          <w:sz w:val="28"/>
        </w:rPr>
        <w:t>[5].</w:t>
      </w:r>
      <w:proofErr w:type="gramEnd"/>
      <w:r w:rsidRPr="00B2272D">
        <w:rPr>
          <w:color w:val="auto"/>
          <w:sz w:val="28"/>
        </w:rPr>
        <w:t xml:space="preserve"> </w:t>
      </w:r>
      <w:r w:rsidRPr="00B2272D">
        <w:rPr>
          <w:rFonts w:eastAsia="Times New Roman"/>
          <w:color w:val="auto"/>
          <w:sz w:val="28"/>
          <w:szCs w:val="28"/>
        </w:rPr>
        <w:t xml:space="preserve">Основная часть математических расчетов выполнена с помощью пакета </w:t>
      </w:r>
      <w:r w:rsidRPr="00B2272D">
        <w:rPr>
          <w:rFonts w:eastAsia="Times New Roman"/>
          <w:color w:val="auto"/>
          <w:sz w:val="28"/>
          <w:szCs w:val="28"/>
          <w:lang w:val="en-US"/>
        </w:rPr>
        <w:t>STATISTICA</w:t>
      </w:r>
      <w:r w:rsidRPr="00B2272D">
        <w:rPr>
          <w:rFonts w:eastAsia="Times New Roman"/>
          <w:color w:val="auto"/>
          <w:sz w:val="28"/>
          <w:szCs w:val="28"/>
        </w:rPr>
        <w:t xml:space="preserve"> </w:t>
      </w:r>
      <w:r w:rsidRPr="00B2272D">
        <w:rPr>
          <w:rFonts w:eastAsia="Times New Roman"/>
          <w:color w:val="auto"/>
          <w:sz w:val="28"/>
          <w:szCs w:val="28"/>
          <w:lang w:val="en-US"/>
        </w:rPr>
        <w:t>v</w:t>
      </w:r>
      <w:r w:rsidRPr="00B2272D">
        <w:rPr>
          <w:rFonts w:eastAsia="Times New Roman"/>
          <w:color w:val="auto"/>
          <w:sz w:val="28"/>
          <w:szCs w:val="28"/>
        </w:rPr>
        <w:t xml:space="preserve">.6.0 (компания </w:t>
      </w:r>
      <w:proofErr w:type="spellStart"/>
      <w:r w:rsidRPr="00B2272D">
        <w:rPr>
          <w:rFonts w:eastAsia="Times New Roman"/>
          <w:color w:val="auto"/>
          <w:sz w:val="28"/>
          <w:szCs w:val="28"/>
          <w:lang w:val="en-US"/>
        </w:rPr>
        <w:t>StatSoft</w:t>
      </w:r>
      <w:proofErr w:type="spellEnd"/>
      <w:r w:rsidRPr="00B2272D">
        <w:rPr>
          <w:rFonts w:eastAsia="Times New Roman"/>
          <w:color w:val="auto"/>
          <w:sz w:val="28"/>
          <w:szCs w:val="28"/>
        </w:rPr>
        <w:t xml:space="preserve">, </w:t>
      </w:r>
      <w:r w:rsidRPr="00B2272D">
        <w:rPr>
          <w:rFonts w:eastAsia="Times New Roman"/>
          <w:color w:val="auto"/>
          <w:sz w:val="28"/>
          <w:szCs w:val="28"/>
          <w:lang w:val="en-US"/>
        </w:rPr>
        <w:t>Inc</w:t>
      </w:r>
      <w:r w:rsidRPr="00B2272D">
        <w:rPr>
          <w:rFonts w:eastAsia="Times New Roman"/>
          <w:color w:val="auto"/>
          <w:sz w:val="28"/>
          <w:szCs w:val="28"/>
        </w:rPr>
        <w:t xml:space="preserve"> ®) [3,13].</w:t>
      </w: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>Результаты исследований и их обсуждение.</w:t>
      </w:r>
      <w:r w:rsidRPr="00B2272D">
        <w:rPr>
          <w:rFonts w:ascii="Times New Roman" w:eastAsia="Arial" w:hAnsi="Times New Roman" w:cs="Times New Roman"/>
          <w:color w:val="000000"/>
          <w:sz w:val="28"/>
        </w:rPr>
        <w:t xml:space="preserve"> </w:t>
      </w:r>
    </w:p>
    <w:p w:rsidR="00B2272D" w:rsidRPr="00B2272D" w:rsidRDefault="00B2272D" w:rsidP="00B227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Анализ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результатов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исследований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,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отражающих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состояние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специфической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клеточной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иммунологической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 </w:t>
      </w:r>
      <w:proofErr w:type="spellStart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реактивности</w:t>
      </w:r>
      <w:proofErr w:type="spellEnd"/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 xml:space="preserve">, </w:t>
      </w:r>
      <w:r w:rsidRPr="00B2272D">
        <w:rPr>
          <w:rFonts w:ascii="Times New Roman" w:eastAsia="Arial" w:hAnsi="Times New Roman" w:cs="Times New Roman"/>
          <w:color w:val="000000"/>
          <w:sz w:val="28"/>
        </w:rPr>
        <w:t>больных с ХСН средней тяжести, возникшей на фоне ИБС</w:t>
      </w:r>
      <w:r w:rsidRPr="00B2272D">
        <w:rPr>
          <w:rFonts w:ascii="Times New Roman" w:hAnsi="Times New Roman" w:cs="Times New Roman"/>
          <w:sz w:val="28"/>
        </w:rPr>
        <w:t xml:space="preserve"> указывает на положительную динамику после применения иммуномодулирующих препаратов в дополнение к стандартной терапии. Так, общее количество лейкоцитов до лечения существенно не отличалось от контроля (6</w:t>
      </w:r>
      <w:r w:rsidRPr="00B2272D">
        <w:rPr>
          <w:rFonts w:ascii="Times New Roman" w:hAnsi="Times New Roman" w:cs="Times New Roman"/>
          <w:sz w:val="28"/>
          <w:lang w:val="uk-UA"/>
        </w:rPr>
        <w:t>,21 (0,42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>/л и 6,78 (0,64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/л), в то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время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определялся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некоторый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рост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показателя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1,2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по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исходным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данным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(с </w:t>
      </w:r>
      <w:r w:rsidRPr="00B2272D">
        <w:rPr>
          <w:rFonts w:ascii="Times New Roman" w:hAnsi="Times New Roman" w:cs="Times New Roman"/>
          <w:sz w:val="28"/>
        </w:rPr>
        <w:t>6</w:t>
      </w:r>
      <w:r w:rsidRPr="00B2272D">
        <w:rPr>
          <w:rFonts w:ascii="Times New Roman" w:hAnsi="Times New Roman" w:cs="Times New Roman"/>
          <w:sz w:val="28"/>
          <w:lang w:val="uk-UA"/>
        </w:rPr>
        <w:t>,21 (0,42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  до </w:t>
      </w:r>
      <w:r w:rsidRPr="00B2272D">
        <w:rPr>
          <w:rFonts w:ascii="Times New Roman" w:hAnsi="Times New Roman" w:cs="Times New Roman"/>
          <w:sz w:val="28"/>
        </w:rPr>
        <w:t>7</w:t>
      </w:r>
      <w:r w:rsidRPr="00B2272D">
        <w:rPr>
          <w:rFonts w:ascii="Times New Roman" w:hAnsi="Times New Roman" w:cs="Times New Roman"/>
          <w:sz w:val="28"/>
          <w:lang w:val="uk-UA"/>
        </w:rPr>
        <w:t>,70 (1,07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увеличение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1,12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>&lt;0,01) -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по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контролю </w:t>
      </w:r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(табл. 1)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2272D" w:rsidRPr="00B2272D" w:rsidRDefault="00B2272D" w:rsidP="00B227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lang w:val="uk-UA"/>
        </w:rPr>
      </w:pPr>
    </w:p>
    <w:p w:rsidR="00B2272D" w:rsidRPr="00B2272D" w:rsidRDefault="00B2272D" w:rsidP="00B227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lang w:val="uk-UA"/>
        </w:rPr>
      </w:pPr>
    </w:p>
    <w:p w:rsidR="00B2272D" w:rsidRPr="00B2272D" w:rsidRDefault="00B2272D" w:rsidP="00B227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lang w:val="uk-UA"/>
        </w:rPr>
      </w:pPr>
    </w:p>
    <w:p w:rsidR="00B2272D" w:rsidRPr="00B2272D" w:rsidRDefault="00B2272D" w:rsidP="00B2272D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B2272D" w:rsidRPr="00B2272D" w:rsidRDefault="00B2272D" w:rsidP="00B227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клеточной специфической иммунологической реактивности у больных с ХСН средней степени тяжести на фоне обычной терапии </w:t>
      </w:r>
      <w:r w:rsidRPr="00B2272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22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</w:rPr>
        <w:t>иммунокоррекцией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(М </w:t>
      </w:r>
      <w:r w:rsidRPr="00B2272D">
        <w:rPr>
          <w:rFonts w:ascii="Times New Roman" w:hAnsi="Times New Roman" w:cs="Times New Roman"/>
          <w:b/>
          <w:sz w:val="28"/>
          <w:szCs w:val="28"/>
        </w:rPr>
        <w:t>(</w:t>
      </w: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m</w:t>
      </w:r>
      <w:r w:rsidRPr="00B2272D">
        <w:rPr>
          <w:rFonts w:ascii="Times New Roman" w:hAnsi="Times New Roman" w:cs="Times New Roman"/>
          <w:b/>
          <w:sz w:val="28"/>
          <w:szCs w:val="28"/>
        </w:rPr>
        <w:t>)</w:t>
      </w: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n </w:t>
      </w:r>
      <w:r w:rsidRPr="00B2272D">
        <w:rPr>
          <w:rFonts w:ascii="Times New Roman" w:hAnsi="Times New Roman" w:cs="Times New Roman"/>
          <w:b/>
          <w:sz w:val="28"/>
          <w:szCs w:val="28"/>
        </w:rPr>
        <w:t>= 9</w:t>
      </w: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7638" w:type="dxa"/>
        <w:jc w:val="center"/>
        <w:tblLayout w:type="fixed"/>
        <w:tblLook w:val="0000" w:firstRow="0" w:lastRow="0" w:firstColumn="0" w:lastColumn="0" w:noHBand="0" w:noVBand="0"/>
      </w:tblPr>
      <w:tblGrid>
        <w:gridCol w:w="2224"/>
        <w:gridCol w:w="1228"/>
        <w:gridCol w:w="1418"/>
        <w:gridCol w:w="1209"/>
        <w:gridCol w:w="1559"/>
      </w:tblGrid>
      <w:tr w:rsidR="00B2272D" w:rsidRPr="00B2272D" w:rsidTr="00231740">
        <w:trPr>
          <w:trHeight w:val="1310"/>
          <w:jc w:val="center"/>
        </w:trPr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</w:tr>
      <w:tr w:rsidR="00B2272D" w:rsidRPr="00B2272D" w:rsidTr="00231740">
        <w:trPr>
          <w:trHeight w:val="831"/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Лейкоциты,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6,78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(0,64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6,21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( 0,42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6,94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(1,16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7,70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(1,07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B2272D" w:rsidRPr="00B2272D" w:rsidTr="00231740">
        <w:trPr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Абсолютное кол-во </w:t>
            </w:r>
            <w:proofErr w:type="spellStart"/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лимфо</w:t>
            </w:r>
            <w:proofErr w:type="spellEnd"/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цитов</w:t>
            </w:r>
            <w:proofErr w:type="spellEnd"/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, х10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(0,17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(0,22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Нейтрофилы 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/я, %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56,60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(2,84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67,78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(3,02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62,90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(3,35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59,89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(3,36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#</w:t>
            </w:r>
          </w:p>
        </w:tc>
      </w:tr>
      <w:tr w:rsidR="00B2272D" w:rsidRPr="00B2272D" w:rsidTr="00231740">
        <w:trPr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Моноциты, %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(0,46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(0,43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(0,45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(0,35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Лимфоциты, %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32,20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(2,48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21,33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(2,73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26,70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(3,57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28,89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(3,45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2272D" w:rsidRPr="00B2272D" w:rsidTr="00231740">
        <w:trPr>
          <w:trHeight w:val="794"/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Т-л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(CD3</w:t>
            </w:r>
            <w:r w:rsidRPr="00B2272D">
              <w:rPr>
                <w:rFonts w:ascii="Times New Roman" w:hAnsi="Times New Roman" w:cs="Times New Roman"/>
                <w:szCs w:val="28"/>
              </w:rPr>
              <w:t>+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(0,08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(0,08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(0,07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0,89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trHeight w:val="802"/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Т-х (CD4</w:t>
            </w:r>
            <w:r w:rsidRPr="00B2272D">
              <w:rPr>
                <w:rFonts w:ascii="Times New Roman" w:hAnsi="Times New Roman" w:cs="Times New Roman"/>
                <w:szCs w:val="28"/>
              </w:rPr>
              <w:t>+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Т-с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(CD8</w:t>
            </w:r>
            <w:r w:rsidRPr="00B2272D">
              <w:rPr>
                <w:rFonts w:ascii="Times New Roman" w:hAnsi="Times New Roman" w:cs="Times New Roman"/>
                <w:szCs w:val="28"/>
              </w:rPr>
              <w:t>+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х10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#</w:t>
            </w:r>
          </w:p>
        </w:tc>
      </w:tr>
      <w:tr w:rsidR="00B2272D" w:rsidRPr="00B2272D" w:rsidTr="00231740">
        <w:trPr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NK-</w:t>
            </w:r>
            <w:proofErr w:type="spell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(CD16</w:t>
            </w:r>
            <w:r w:rsidRPr="00B2272D">
              <w:rPr>
                <w:rFonts w:ascii="Times New Roman" w:hAnsi="Times New Roman" w:cs="Times New Roman"/>
                <w:szCs w:val="28"/>
              </w:rPr>
              <w:t>+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), х10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2272D" w:rsidRPr="00B2272D" w:rsidTr="00231740">
        <w:trPr>
          <w:trHeight w:val="843"/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ИРИ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(0,20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2272D" w:rsidRPr="00B2272D" w:rsidTr="00231740">
        <w:trPr>
          <w:trHeight w:val="715"/>
          <w:jc w:val="center"/>
        </w:trPr>
        <w:tc>
          <w:tcPr>
            <w:tcW w:w="22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Лейко 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- клеточный индекс</w:t>
            </w:r>
          </w:p>
        </w:tc>
        <w:tc>
          <w:tcPr>
            <w:tcW w:w="122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7,39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(0,91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12,38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(1,35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9,88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(1,45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72D" w:rsidRPr="00B2272D" w:rsidRDefault="00B2272D" w:rsidP="0023174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  <w:p w:rsidR="00B2272D" w:rsidRPr="00B2272D" w:rsidRDefault="00B2272D" w:rsidP="002317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(1,13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#</w:t>
            </w:r>
          </w:p>
        </w:tc>
      </w:tr>
    </w:tbl>
    <w:p w:rsidR="00B2272D" w:rsidRPr="00B2272D" w:rsidRDefault="00B2272D" w:rsidP="00B227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t>Примечание: группа А – ХСН, средняя тяжесть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обычная терапия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г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руппа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В – ХСН, средняя тяжесть,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иммунокоррекция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на фоне обычной терапии. *- 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>&lt;0,05; **- р&lt;0,01- достоверность различий с контролем и (#) данными до лечения.</w:t>
      </w:r>
    </w:p>
    <w:p w:rsidR="00B2272D" w:rsidRPr="00B2272D" w:rsidRDefault="00B2272D" w:rsidP="00B2272D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Абсолютное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количество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до начала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было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1,6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меньше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значений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</w:t>
      </w:r>
      <w:r w:rsidRPr="00B2272D">
        <w:rPr>
          <w:rFonts w:ascii="Times New Roman" w:hAnsi="Times New Roman" w:cs="Times New Roman"/>
          <w:sz w:val="28"/>
        </w:rPr>
        <w:t>1</w:t>
      </w:r>
      <w:r w:rsidRPr="00B2272D">
        <w:rPr>
          <w:rFonts w:ascii="Times New Roman" w:hAnsi="Times New Roman" w:cs="Times New Roman"/>
          <w:sz w:val="28"/>
          <w:lang w:val="uk-UA"/>
        </w:rPr>
        <w:t>,34 (0,22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>/л и 2,09 (0,17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>/л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отмечалось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достоверное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в 1,6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р&lt;0,01)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исходного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(с </w:t>
      </w:r>
      <w:r w:rsidRPr="00B2272D">
        <w:rPr>
          <w:rFonts w:ascii="Times New Roman" w:hAnsi="Times New Roman" w:cs="Times New Roman"/>
          <w:sz w:val="28"/>
        </w:rPr>
        <w:t>1</w:t>
      </w:r>
      <w:r w:rsidRPr="00B2272D">
        <w:rPr>
          <w:rFonts w:ascii="Times New Roman" w:hAnsi="Times New Roman" w:cs="Times New Roman"/>
          <w:sz w:val="28"/>
          <w:lang w:val="uk-UA"/>
        </w:rPr>
        <w:t>,34 (0,22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>/л до 2,13 (0,32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>/л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) и - в 1,3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-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относительно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lang w:val="uk-UA"/>
        </w:rPr>
        <w:t>(2,13 (0,32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>/л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lang w:val="uk-UA"/>
        </w:rPr>
        <w:t>и 1,61 (0,12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соответственно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(табл. 1)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Возрастало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содержание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CD3+</w:t>
      </w:r>
      <w:r w:rsidRPr="00B2272D">
        <w:rPr>
          <w:rFonts w:ascii="Times New Roman" w:hAnsi="Times New Roman" w:cs="Times New Roman"/>
          <w:sz w:val="28"/>
          <w:lang w:val="uk-UA"/>
        </w:rPr>
        <w:t>,</w:t>
      </w:r>
      <w:r w:rsidRPr="00B2272D">
        <w:rPr>
          <w:rFonts w:ascii="Times New Roman" w:hAnsi="Times New Roman" w:cs="Times New Roman"/>
          <w:sz w:val="28"/>
        </w:rPr>
        <w:t xml:space="preserve"> CD4+, CD8+- клеток и ИРИ. До начала лечения интегральный показатель Т-лимфоцитов (С</w:t>
      </w:r>
      <w:r w:rsidRPr="00B2272D">
        <w:rPr>
          <w:rFonts w:ascii="Times New Roman" w:hAnsi="Times New Roman" w:cs="Times New Roman"/>
          <w:sz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</w:rPr>
        <w:t xml:space="preserve">3+) был в 1,8 раза </w:t>
      </w:r>
      <w:r w:rsidRPr="00B2272D">
        <w:rPr>
          <w:rFonts w:ascii="Times New Roman" w:hAnsi="Times New Roman" w:cs="Times New Roman"/>
          <w:b/>
          <w:szCs w:val="28"/>
        </w:rPr>
        <w:t>(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>&lt;0,05)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меньше такового в контрольной группе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наблюдалось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увеличение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CD3+-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клеток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1,6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р&lt;0,01)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по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исходным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данным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и в 1,2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контролю.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Количество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основних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/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индукторов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</w:t>
      </w:r>
      <w:r w:rsidRPr="00B2272D">
        <w:rPr>
          <w:rFonts w:ascii="Times New Roman" w:hAnsi="Times New Roman" w:cs="Times New Roman"/>
          <w:sz w:val="28"/>
        </w:rPr>
        <w:t>С</w:t>
      </w:r>
      <w:r w:rsidRPr="00B2272D">
        <w:rPr>
          <w:rFonts w:ascii="Times New Roman" w:hAnsi="Times New Roman" w:cs="Times New Roman"/>
          <w:sz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</w:rPr>
        <w:t>4+)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при первичном обследовании определялось на уровне 0</w:t>
      </w:r>
      <w:r w:rsidRPr="00B2272D">
        <w:rPr>
          <w:rFonts w:ascii="Times New Roman" w:hAnsi="Times New Roman" w:cs="Times New Roman"/>
          <w:sz w:val="28"/>
          <w:lang w:val="uk-UA"/>
        </w:rPr>
        <w:t>,19 (0,02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было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1,8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р&lt;0,01)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ниже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(0,34 (0,05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× 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/л), в то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время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количество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увеличивалось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1,9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–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относительно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исходных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данных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0,37 (0,05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 и </w:t>
      </w:r>
      <w:r w:rsidRPr="00B2272D">
        <w:rPr>
          <w:rFonts w:ascii="Times New Roman" w:hAnsi="Times New Roman" w:cs="Times New Roman"/>
          <w:sz w:val="28"/>
        </w:rPr>
        <w:t>0</w:t>
      </w:r>
      <w:r w:rsidRPr="00B2272D">
        <w:rPr>
          <w:rFonts w:ascii="Times New Roman" w:hAnsi="Times New Roman" w:cs="Times New Roman"/>
          <w:sz w:val="28"/>
          <w:lang w:val="uk-UA"/>
        </w:rPr>
        <w:t>,19 (0,02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было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в 1,5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, -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однако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недостоверно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больше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значений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eastAsia="Arial" w:hAnsi="Times New Roman" w:cs="Times New Roman"/>
          <w:color w:val="000000"/>
          <w:sz w:val="28"/>
          <w:lang w:val="uk-UA"/>
        </w:rPr>
        <w:t>(табл. 1)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Эффекторные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С</w:t>
      </w:r>
      <w:r w:rsidRPr="00B2272D">
        <w:rPr>
          <w:rFonts w:ascii="Times New Roman" w:hAnsi="Times New Roman" w:cs="Times New Roman"/>
          <w:sz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</w:rPr>
        <w:t>8+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- </w:t>
      </w:r>
      <w:r w:rsidRPr="00B2272D">
        <w:rPr>
          <w:rFonts w:ascii="Times New Roman" w:hAnsi="Times New Roman" w:cs="Times New Roman"/>
          <w:sz w:val="28"/>
        </w:rPr>
        <w:t>лимфоциты определялись на уровне  0</w:t>
      </w:r>
      <w:r w:rsidRPr="00B2272D">
        <w:rPr>
          <w:rFonts w:ascii="Times New Roman" w:hAnsi="Times New Roman" w:cs="Times New Roman"/>
          <w:sz w:val="28"/>
          <w:lang w:val="uk-UA"/>
        </w:rPr>
        <w:t>,13 (0,02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было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1,7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ниже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(0,22 (0,03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/л),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затем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число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возрастало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– в 1,7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по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исходным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данным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0,22 (0,03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 и в 1,3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превышало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lastRenderedPageBreak/>
        <w:t>значения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контрольной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группы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0,17 (0,02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/л),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составив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0</w:t>
      </w:r>
      <w:r w:rsidRPr="00B2272D">
        <w:rPr>
          <w:rFonts w:ascii="Times New Roman" w:hAnsi="Times New Roman" w:cs="Times New Roman"/>
          <w:sz w:val="28"/>
          <w:lang w:val="uk-UA"/>
        </w:rPr>
        <w:t>,22 (0,03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/л.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Изменений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естественных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киллеров</w:t>
      </w:r>
      <w:proofErr w:type="spellEnd"/>
      <w:r w:rsidRPr="00B2272D">
        <w:rPr>
          <w:rFonts w:ascii="Times New Roman" w:hAnsi="Times New Roman" w:cs="Times New Roman"/>
          <w:sz w:val="28"/>
        </w:rPr>
        <w:t xml:space="preserve"> (С</w:t>
      </w:r>
      <w:r w:rsidRPr="00B2272D">
        <w:rPr>
          <w:rFonts w:ascii="Times New Roman" w:hAnsi="Times New Roman" w:cs="Times New Roman"/>
          <w:sz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</w:rPr>
        <w:t>16+) мы не наблюдали.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2272D">
        <w:rPr>
          <w:rFonts w:ascii="Times New Roman" w:hAnsi="Times New Roman" w:cs="Times New Roman"/>
          <w:sz w:val="28"/>
          <w:lang w:val="uk-UA"/>
        </w:rPr>
        <w:t xml:space="preserve">ИРИ до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имел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тенденцию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смещению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влево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(1,53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0,13)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существенно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отличался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от ИРИ в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(1,60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0,10)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подтверждало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существующий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>дисбаланс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>4+/С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 xml:space="preserve">8+ у больных исследуемой группы.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наблюдалась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положительная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динамика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показатель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возрастал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(с 1,53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0,13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до 1,83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0,20)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и в 1,2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превышал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значения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контрольной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группы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(1,83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0,20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и 1,57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0,09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соотвестственно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),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позволяет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предполагать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функциональную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перестройку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Т-клеточного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звена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иммунитета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под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влиянием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является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положительным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для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дальнейшего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прогноза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болезни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.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Лейко-Т-клеточный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индекс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при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первичном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обследовании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был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выше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такового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контрольной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1,7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р&lt;0,01)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снижался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1,3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по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исходным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значениям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и в 1,1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контролю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свидетельствуя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стабилизации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процесса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.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Изучение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данных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отражающих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гуморального специфического звена иммунитета у больных с ХСН средней тяжести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(табл. 2) </w:t>
      </w:r>
      <w:r w:rsidRPr="00B2272D">
        <w:rPr>
          <w:rFonts w:ascii="Times New Roman" w:hAnsi="Times New Roman" w:cs="Times New Roman"/>
          <w:sz w:val="28"/>
          <w:szCs w:val="28"/>
        </w:rPr>
        <w:t>показало, что количество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>19+-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до начала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в 1,7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ниже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0,31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0,04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 и </w:t>
      </w:r>
      <w:r w:rsidRPr="00B2272D">
        <w:rPr>
          <w:rFonts w:ascii="Times New Roman" w:hAnsi="Times New Roman" w:cs="Times New Roman"/>
          <w:sz w:val="28"/>
        </w:rPr>
        <w:t>0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,52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0,06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>×10</w:t>
      </w:r>
      <w:r w:rsidRPr="00B2272D">
        <w:rPr>
          <w:rFonts w:ascii="Times New Roman" w:hAnsi="Times New Roman" w:cs="Times New Roman"/>
          <w:sz w:val="28"/>
          <w:vertAlign w:val="superscript"/>
          <w:lang w:val="uk-UA"/>
        </w:rPr>
        <w:t>9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/л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соответственно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)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применением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наблюдалось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достоверное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>19+-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относительно исходного уровня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2272D">
        <w:rPr>
          <w:rFonts w:ascii="Times New Roman" w:hAnsi="Times New Roman" w:cs="Times New Roman"/>
          <w:sz w:val="28"/>
          <w:szCs w:val="28"/>
        </w:rPr>
        <w:t xml:space="preserve"> в 1,6 раза (р&lt;0,05)  и в 1,3</w:t>
      </w:r>
      <w:r w:rsidRPr="00B2272D">
        <w:rPr>
          <w:rFonts w:ascii="Times New Roman" w:hAnsi="Times New Roman" w:cs="Times New Roman"/>
          <w:b/>
          <w:szCs w:val="28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>раза - относительно контроля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Лейко-В-клеточный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индекс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при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первичном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обследовании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превышал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1,6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р&lt;0,05)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-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значения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контроля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, а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затем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>снижался -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в 1,2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- по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исходным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данням. 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lang w:val="uk-UA"/>
        </w:rPr>
        <w:t>С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B22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в сыворотке крови больных исследуемой группы до лечения существенно не отличалось от таковых в контроле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(табл. 2)</w:t>
      </w:r>
      <w:r w:rsidRPr="00B2272D">
        <w:rPr>
          <w:rFonts w:ascii="Times New Roman" w:hAnsi="Times New Roman" w:cs="Times New Roman"/>
          <w:sz w:val="28"/>
          <w:szCs w:val="28"/>
        </w:rPr>
        <w:t>.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B2272D">
        <w:rPr>
          <w:rFonts w:ascii="Times New Roman" w:hAnsi="Times New Roman" w:cs="Times New Roman"/>
          <w:sz w:val="28"/>
          <w:szCs w:val="28"/>
        </w:rPr>
        <w:t xml:space="preserve">осле лечения содержание 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IgA</w:t>
      </w:r>
      <w:r w:rsidRPr="00B2272D">
        <w:rPr>
          <w:rFonts w:ascii="Times New Roman" w:hAnsi="Times New Roman" w:cs="Times New Roman"/>
          <w:sz w:val="28"/>
          <w:szCs w:val="28"/>
        </w:rPr>
        <w:t xml:space="preserve"> в исследуемой группе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достоверно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увеличивалось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- в 1,33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Cs w:val="28"/>
        </w:rPr>
        <w:t>(</w:t>
      </w:r>
      <w:r w:rsidRPr="00B2272D">
        <w:rPr>
          <w:rFonts w:ascii="Times New Roman" w:hAnsi="Times New Roman" w:cs="Times New Roman"/>
          <w:sz w:val="28"/>
          <w:szCs w:val="28"/>
        </w:rPr>
        <w:t>р&lt;0,01)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(3,01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0,31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г/л и 2,26 </w:t>
      </w:r>
      <w:r w:rsidRPr="00B2272D">
        <w:rPr>
          <w:rFonts w:ascii="Times New Roman" w:hAnsi="Times New Roman" w:cs="Times New Roman"/>
          <w:sz w:val="28"/>
        </w:rPr>
        <w:t>(</w:t>
      </w:r>
      <w:r w:rsidRPr="00B2272D">
        <w:rPr>
          <w:rFonts w:ascii="Times New Roman" w:hAnsi="Times New Roman" w:cs="Times New Roman"/>
          <w:sz w:val="28"/>
          <w:lang w:val="uk-UA"/>
        </w:rPr>
        <w:t>0,20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г/л) по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отношению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исходным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данным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было несколько выше таковых контроля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Изменениям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был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подвержен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уровень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. В начале исследования он был  существенно выше значений контрольной группы - в 1,4 раза </w:t>
      </w:r>
      <w:r w:rsidRPr="00B2272D">
        <w:rPr>
          <w:rFonts w:ascii="Times New Roman" w:hAnsi="Times New Roman" w:cs="Times New Roman"/>
          <w:szCs w:val="28"/>
        </w:rPr>
        <w:t>(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>&lt;0,05)</w:t>
      </w:r>
      <w:r w:rsidRPr="00B2272D">
        <w:rPr>
          <w:rFonts w:ascii="Times New Roman" w:hAnsi="Times New Roman" w:cs="Times New Roman"/>
          <w:sz w:val="28"/>
          <w:lang w:val="uk-UA"/>
        </w:rPr>
        <w:t>.</w:t>
      </w:r>
      <w:r w:rsidRPr="00B2272D">
        <w:rPr>
          <w:rFonts w:ascii="Times New Roman" w:hAnsi="Times New Roman" w:cs="Times New Roman"/>
          <w:sz w:val="28"/>
          <w:szCs w:val="28"/>
        </w:rPr>
        <w:t xml:space="preserve"> При последующем исследовании, после лечения уровень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достоверно снижался - в 1,6 раза </w:t>
      </w:r>
      <w:r w:rsidRPr="00B2272D">
        <w:rPr>
          <w:rFonts w:ascii="Times New Roman" w:hAnsi="Times New Roman" w:cs="Times New Roman"/>
          <w:szCs w:val="28"/>
        </w:rPr>
        <w:t>(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>&lt;0,01) - по отношению к исходным данным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,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было несколько ниже такового в группе контроля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(табл. 2)</w:t>
      </w:r>
      <w:r w:rsidRPr="00B227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- антитела первичного иммунного ответа лучше других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активирующие систему комплемента и вместе с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А принимает участие в местном иммунитете слизистых оболочек Под влиянием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наблюдается своевременное переключение на синтез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, которые являются более специфическими и лучше проникают в ткани так как имеют меньший размер и участвуют в 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образовании  ЦИК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272D" w:rsidRPr="00B2272D" w:rsidRDefault="00B2272D" w:rsidP="00B2272D">
      <w:pPr>
        <w:tabs>
          <w:tab w:val="left" w:pos="2025"/>
        </w:tabs>
        <w:spacing w:line="360" w:lineRule="auto"/>
        <w:ind w:firstLine="9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272D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B2272D" w:rsidRPr="00B2272D" w:rsidRDefault="00B2272D" w:rsidP="00B2272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гуморальной специфической иммунологической реактивности  у больных с ХСН средней степени тяжести на фоне обычной терапии с </w:t>
      </w:r>
      <w:proofErr w:type="spellStart"/>
      <w:r w:rsidRPr="00B2272D">
        <w:rPr>
          <w:rFonts w:ascii="Times New Roman" w:hAnsi="Times New Roman" w:cs="Times New Roman"/>
          <w:b/>
          <w:bCs/>
          <w:sz w:val="28"/>
          <w:szCs w:val="28"/>
        </w:rPr>
        <w:t>иммунокоррекцией</w:t>
      </w:r>
      <w:proofErr w:type="spellEnd"/>
      <w:r w:rsidRPr="00B227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(М 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2272D">
        <w:rPr>
          <w:rFonts w:ascii="Times New Roman" w:hAnsi="Times New Roman" w:cs="Times New Roman"/>
          <w:b/>
          <w:bCs/>
          <w:sz w:val="28"/>
          <w:szCs w:val="28"/>
          <w:lang w:val="uk-UA"/>
        </w:rPr>
        <w:t>m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2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n 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= 9</w:t>
      </w:r>
      <w:r w:rsidRPr="00B2272D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tbl>
      <w:tblPr>
        <w:tblW w:w="7655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1321"/>
        <w:gridCol w:w="1337"/>
        <w:gridCol w:w="1453"/>
        <w:gridCol w:w="1453"/>
      </w:tblGrid>
      <w:tr w:rsidR="00B2272D" w:rsidRPr="00B2272D" w:rsidTr="00231740">
        <w:trPr>
          <w:trHeight w:val="1460"/>
          <w:jc w:val="center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А до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В до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после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лечения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В-л</w:t>
            </w:r>
            <w:proofErr w:type="gram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CD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2272D">
              <w:rPr>
                <w:rFonts w:ascii="Times New Roman" w:hAnsi="Times New Roman" w:cs="Times New Roman"/>
                <w:szCs w:val="28"/>
              </w:rPr>
              <w:t>+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х 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/л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(0,03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(0,04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(0,04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Лейко-</w:t>
            </w:r>
            <w:proofErr w:type="gramStart"/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End"/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клет</w:t>
            </w:r>
            <w:proofErr w:type="spell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. индекс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14,52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(2,38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23,14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(2,70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19,10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(3,01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19,10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(2,78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, г/л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2,19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(0,23)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2,26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(0,20)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2,29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(0,25)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3,01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(0,1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2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Ig</w:t>
            </w:r>
            <w:proofErr w:type="spellEnd"/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, г/л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13,78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(0,80)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13,49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(1,41)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14,91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(1,30)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,37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(0,79)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2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Ig</w:t>
            </w:r>
            <w:proofErr w:type="spellEnd"/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, г/л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(0,14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2,93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(0,22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2,17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(0,16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(0,17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ЦИК с 3,5% ПЭГ,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4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0,07 (0,001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227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val="en-US"/>
              </w:rPr>
              <w:t>##</w:t>
            </w:r>
          </w:p>
        </w:tc>
      </w:tr>
      <w:tr w:rsidR="00B2272D" w:rsidRPr="00B2272D" w:rsidTr="00231740">
        <w:trPr>
          <w:jc w:val="center"/>
        </w:trPr>
        <w:tc>
          <w:tcPr>
            <w:tcW w:w="209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ЦИК с 7%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ПЭГ,</w:t>
            </w:r>
          </w:p>
        </w:tc>
        <w:tc>
          <w:tcPr>
            <w:tcW w:w="1321" w:type="dxa"/>
            <w:tcBorders>
              <w:left w:val="single" w:sz="8" w:space="0" w:color="000000"/>
              <w:bottom w:val="single" w:sz="8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8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3" w:type="dxa"/>
            <w:tcBorders>
              <w:left w:val="single" w:sz="8" w:space="0" w:color="000000"/>
              <w:bottom w:val="single" w:sz="8" w:space="0" w:color="000000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B2272D" w:rsidRPr="00B2272D" w:rsidRDefault="00B2272D" w:rsidP="0023174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  <w:p w:rsidR="00B2272D" w:rsidRPr="00B2272D" w:rsidRDefault="00B2272D" w:rsidP="002317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72D">
              <w:rPr>
                <w:rFonts w:ascii="Times New Roman" w:hAnsi="Times New Roman" w:cs="Times New Roman"/>
                <w:sz w:val="28"/>
                <w:szCs w:val="28"/>
              </w:rPr>
              <w:t xml:space="preserve"> (0,01</w:t>
            </w:r>
            <w:r w:rsidRPr="00B227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B2272D" w:rsidRPr="00B2272D" w:rsidRDefault="00B2272D" w:rsidP="00B227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t>Примечание: группа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- ХСН, средняя степень тяжести, обычная терапия, группа В – ХСН, средняя  тяжесть,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иммунокоррекция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на фоне обычной терапии. </w:t>
      </w:r>
    </w:p>
    <w:p w:rsidR="00B2272D" w:rsidRPr="00B2272D" w:rsidRDefault="00B2272D" w:rsidP="00B227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*- 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>&lt;0,05; **- р&lt;0,01- достоверность различий с контролем.</w:t>
      </w:r>
    </w:p>
    <w:p w:rsidR="00B2272D" w:rsidRPr="00B2272D" w:rsidRDefault="00B2272D" w:rsidP="00B227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#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- р&lt;0,05; </w:t>
      </w:r>
      <w:r w:rsidRPr="00B2272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##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- р&lt;0,01 - достоверность различий показателей до и после лечения в группах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и Е.</w:t>
      </w:r>
    </w:p>
    <w:p w:rsidR="00B2272D" w:rsidRPr="00B2272D" w:rsidRDefault="00B2272D" w:rsidP="00B227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72D" w:rsidRPr="00B2272D" w:rsidRDefault="00B2272D" w:rsidP="00B2272D">
      <w:pPr>
        <w:tabs>
          <w:tab w:val="left" w:pos="2025"/>
        </w:tabs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lang w:val="uk-UA"/>
        </w:rPr>
        <w:t xml:space="preserve">Так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уровень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до лечения  не отличался от такового в контрольной группе  </w:t>
      </w:r>
      <w:r w:rsidRPr="00B2272D">
        <w:rPr>
          <w:rFonts w:ascii="Times New Roman" w:hAnsi="Times New Roman" w:cs="Times New Roman"/>
          <w:sz w:val="28"/>
          <w:lang w:val="uk-UA"/>
        </w:rPr>
        <w:t>(13,49 (1,41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г/л и 13,78 (0,80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г/л). </w:t>
      </w:r>
      <w:r w:rsidRPr="00B2272D">
        <w:rPr>
          <w:rFonts w:ascii="Times New Roman" w:hAnsi="Times New Roman" w:cs="Times New Roman"/>
          <w:sz w:val="28"/>
          <w:szCs w:val="28"/>
        </w:rPr>
        <w:t xml:space="preserve">После лечения уровень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достоверно увеличивался относительно исходного уровня (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>&lt;0,01) и контроля (р&lt;0,05)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(18,37 (0,79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г/л и 14,91 (1,30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г/л).</w:t>
      </w:r>
      <w:r w:rsidRPr="00B2272D">
        <w:rPr>
          <w:rFonts w:ascii="Times New Roman" w:hAnsi="Times New Roman" w:cs="Times New Roman"/>
          <w:sz w:val="28"/>
          <w:szCs w:val="28"/>
        </w:rPr>
        <w:t xml:space="preserve"> Концентрация ЦИК в крови больных была несколько ниже - в 1,25 раза - показателей контрольной группы (0,08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(0,01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е.о.п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. и 0,10 (0,01</w:t>
      </w:r>
      <w:r w:rsidRPr="00B2272D">
        <w:rPr>
          <w:rFonts w:ascii="Times New Roman" w:hAnsi="Times New Roman" w:cs="Times New Roman"/>
          <w:sz w:val="28"/>
        </w:rPr>
        <w:t>)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е.о.п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соответственно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)</w:t>
      </w:r>
      <w:r w:rsidRPr="00B2272D">
        <w:rPr>
          <w:rFonts w:ascii="Times New Roman" w:hAnsi="Times New Roman" w:cs="Times New Roman"/>
          <w:sz w:val="28"/>
          <w:szCs w:val="28"/>
        </w:rPr>
        <w:t xml:space="preserve">, что позволяет предполагать менее активную антигенную стимуляцию  гуморального звена иммунитета в исследуемой группе и более активное разрушение ЦИК фагоцитами. 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72D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в сочетании со стандартной терапией приводит к восстановлению потенциала иммунной системы, за счет коррекции Т-клеточного звена и межклеточного (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 xml:space="preserve"> и B-лимфоцитов) взаимодействия влияющего на процесс образования антител, цитокинов приводя к уменьшению выраженности иммунологических расстройств, что ассоциируется с тяжестью ХСН. Вышеприведенное подтверждает, что для эффективного осуществления гуморальных реакций необходимо вовлечение клеточного компонента, и, наоборот эффективность клеточного иммунитета возрастает при параллельном синтезе специфических антител. 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72D">
        <w:rPr>
          <w:rFonts w:ascii="Times New Roman" w:hAnsi="Times New Roman" w:cs="Times New Roman"/>
          <w:sz w:val="28"/>
          <w:szCs w:val="18"/>
        </w:rPr>
        <w:t xml:space="preserve">Перспективы дальнейших исследований в данном направлении возможны, в частности, в виде изучения показателей специфического клеточного и гуморального иммунитета у больных с ХСН тяжелой степени, </w:t>
      </w:r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осложнившейся застойной пневмонией до и после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стандартной терапии.</w:t>
      </w:r>
    </w:p>
    <w:p w:rsidR="00B2272D" w:rsidRPr="00B2272D" w:rsidRDefault="00B2272D" w:rsidP="00B2272D">
      <w:pPr>
        <w:autoSpaceDE w:val="0"/>
        <w:spacing w:line="360" w:lineRule="auto"/>
        <w:ind w:left="-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2272D" w:rsidRPr="00B2272D" w:rsidRDefault="00B2272D" w:rsidP="00B2272D">
      <w:pPr>
        <w:ind w:left="142"/>
        <w:jc w:val="center"/>
        <w:rPr>
          <w:rFonts w:ascii="Times New Roman" w:hAnsi="Times New Roman" w:cs="Times New Roman"/>
          <w:szCs w:val="28"/>
        </w:rPr>
      </w:pPr>
    </w:p>
    <w:p w:rsidR="00B2272D" w:rsidRPr="00B2272D" w:rsidRDefault="00B2272D" w:rsidP="00B2272D">
      <w:pPr>
        <w:numPr>
          <w:ilvl w:val="0"/>
          <w:numId w:val="2"/>
        </w:numPr>
        <w:tabs>
          <w:tab w:val="left" w:pos="-698"/>
          <w:tab w:val="left" w:pos="-573"/>
          <w:tab w:val="left" w:pos="-524"/>
          <w:tab w:val="left" w:pos="-399"/>
          <w:tab w:val="left" w:pos="-350"/>
          <w:tab w:val="left" w:pos="-225"/>
          <w:tab w:val="left" w:pos="-176"/>
          <w:tab w:val="left" w:pos="-51"/>
          <w:tab w:val="left" w:pos="0"/>
          <w:tab w:val="left" w:pos="123"/>
          <w:tab w:val="left" w:pos="172"/>
          <w:tab w:val="left" w:pos="297"/>
          <w:tab w:val="left" w:pos="471"/>
          <w:tab w:val="left" w:pos="520"/>
          <w:tab w:val="left" w:pos="819"/>
          <w:tab w:val="left" w:pos="868"/>
          <w:tab w:val="left" w:pos="993"/>
          <w:tab w:val="left" w:pos="1042"/>
          <w:tab w:val="left" w:pos="1167"/>
          <w:tab w:val="left" w:pos="1216"/>
          <w:tab w:val="left" w:pos="1341"/>
          <w:tab w:val="left" w:pos="1750"/>
          <w:tab w:val="left" w:pos="1875"/>
          <w:tab w:val="left" w:pos="2595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Применение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дополнение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общепринятой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терапией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для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лечения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 xml:space="preserve">ХСН средней </w:t>
      </w:r>
      <w:r w:rsidRPr="00B2272D">
        <w:rPr>
          <w:rFonts w:ascii="Times New Roman" w:hAnsi="Times New Roman" w:cs="Times New Roman"/>
          <w:sz w:val="28"/>
        </w:rPr>
        <w:t>тяжести</w:t>
      </w:r>
      <w:r w:rsidRPr="00B2272D">
        <w:rPr>
          <w:rFonts w:ascii="Times New Roman" w:hAnsi="Times New Roman" w:cs="Times New Roman"/>
          <w:sz w:val="28"/>
          <w:szCs w:val="28"/>
        </w:rPr>
        <w:t>, сопровождается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увеличением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интегрального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>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>3+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-Т-клеточного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пула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, абсолютного числа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сравнению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с контролем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, 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функциональной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перестройкой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Т-клеточного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звена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иммунитета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>влияющего на процесс образования антител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является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показателем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положительной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динамики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течении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болезни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>.</w:t>
      </w:r>
    </w:p>
    <w:p w:rsidR="00B2272D" w:rsidRPr="00B2272D" w:rsidRDefault="00B2272D" w:rsidP="00B2272D">
      <w:pPr>
        <w:numPr>
          <w:ilvl w:val="0"/>
          <w:numId w:val="2"/>
        </w:numPr>
        <w:tabs>
          <w:tab w:val="left" w:pos="-523"/>
          <w:tab w:val="left" w:pos="-349"/>
          <w:tab w:val="left" w:pos="-175"/>
          <w:tab w:val="left" w:pos="0"/>
          <w:tab w:val="left" w:pos="173"/>
          <w:tab w:val="left" w:pos="521"/>
          <w:tab w:val="left" w:pos="869"/>
          <w:tab w:val="left" w:pos="1043"/>
          <w:tab w:val="left" w:pos="1217"/>
          <w:tab w:val="left" w:pos="1391"/>
          <w:tab w:val="left" w:pos="1925"/>
          <w:tab w:val="left" w:pos="2645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szCs w:val="28"/>
        </w:rPr>
        <w:t xml:space="preserve">Гуморальное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специфическое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 xml:space="preserve">звено иммунитета после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характеризуется увеличением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 xml:space="preserve">19+-В-лимфоцитов, снижением образования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proofErr w:type="gramStart"/>
      <w:r w:rsidRPr="00B227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 xml:space="preserve">,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увеличением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А, ЦИК с 3,5% ПЭГ, что коррелирует с тяжестью заболевания и  связано с повторным взаимодействием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антигенспецифических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CD4</w:t>
      </w:r>
      <w:r w:rsidRPr="00B2272D">
        <w:rPr>
          <w:rFonts w:ascii="Times New Roman" w:hAnsi="Times New Roman" w:cs="Times New Roman"/>
          <w:szCs w:val="28"/>
        </w:rPr>
        <w:t>+-</w:t>
      </w:r>
      <w:r w:rsidRPr="00B2272D">
        <w:rPr>
          <w:rFonts w:ascii="Times New Roman" w:hAnsi="Times New Roman" w:cs="Times New Roman"/>
          <w:sz w:val="28"/>
          <w:szCs w:val="28"/>
        </w:rPr>
        <w:t xml:space="preserve">клеток с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плазмоцитами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>.</w:t>
      </w:r>
    </w:p>
    <w:p w:rsidR="00B2272D" w:rsidRPr="00B2272D" w:rsidRDefault="00B2272D" w:rsidP="00B2272D">
      <w:pPr>
        <w:numPr>
          <w:ilvl w:val="0"/>
          <w:numId w:val="2"/>
        </w:numPr>
        <w:tabs>
          <w:tab w:val="left" w:pos="-510"/>
          <w:tab w:val="left" w:pos="-336"/>
          <w:tab w:val="left" w:pos="-162"/>
          <w:tab w:val="left" w:pos="0"/>
          <w:tab w:val="left" w:pos="186"/>
          <w:tab w:val="left" w:pos="360"/>
          <w:tab w:val="left" w:pos="534"/>
          <w:tab w:val="left" w:pos="882"/>
          <w:tab w:val="left" w:pos="1056"/>
          <w:tab w:val="left" w:pos="1230"/>
          <w:tab w:val="left" w:pos="1404"/>
          <w:tab w:val="left" w:pos="1938"/>
          <w:tab w:val="left" w:pos="2658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szCs w:val="28"/>
        </w:rPr>
        <w:t xml:space="preserve">Вторичная недостаточность специфического клеточного и гуморального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t>иммуннитета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при ХСН средней тяжести, требует применения </w:t>
      </w:r>
      <w:proofErr w:type="spellStart"/>
      <w:r w:rsidRPr="00B2272D">
        <w:rPr>
          <w:rFonts w:ascii="Times New Roman" w:hAnsi="Times New Roman" w:cs="Times New Roman"/>
          <w:sz w:val="28"/>
          <w:szCs w:val="28"/>
        </w:rPr>
        <w:lastRenderedPageBreak/>
        <w:t>иммунокоррекции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для восстановления измененных и иммунных показателей путем нормализации кооперативного взаимодействия </w:t>
      </w:r>
      <w:proofErr w:type="gramStart"/>
      <w:r w:rsidRPr="00B2272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2272D">
        <w:rPr>
          <w:rFonts w:ascii="Times New Roman" w:hAnsi="Times New Roman" w:cs="Times New Roman"/>
          <w:sz w:val="28"/>
          <w:szCs w:val="28"/>
        </w:rPr>
        <w:t xml:space="preserve"> и B-лимфоцитов  в процессе антителообразования. </w:t>
      </w:r>
    </w:p>
    <w:p w:rsidR="00B2272D" w:rsidRPr="00B2272D" w:rsidRDefault="00B2272D" w:rsidP="00B2272D">
      <w:pPr>
        <w:tabs>
          <w:tab w:val="left" w:pos="1440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Барна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О.М.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Маркери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запалення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стратифікації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ризику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серцево-судинних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захворювань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Ліки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>. - 2007. - № 115-116. - С. 6 - 11.</w:t>
      </w:r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Беловол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 А. Н.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Стратификация прогноза больных хронической сердечной недостаточностью / </w:t>
      </w:r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А. Н. </w:t>
      </w: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Беловол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П. Г. </w:t>
      </w: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Кравчун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Ю. Н. Мозговая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// Врачебная практика. – 2006. – № 4. – С. 44–47.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Гмурман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В.Е. Теория вероятностей и математическая статистика.- М.: Высшая школа, 2001. — 479 с.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t>Выявление особенностей аутоиммунных реакций при хронической сердечной недостаточности различной этиологии / К. А. Зыков, С. Н.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Татенкулова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, В. П.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Масенко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[и др.] // Терапевтический архив. – 2009. – Т. 81, № 4. – С. 22–28. 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2272D">
        <w:rPr>
          <w:rFonts w:ascii="Times New Roman" w:hAnsi="Times New Roman" w:cs="Times New Roman"/>
          <w:color w:val="000000"/>
          <w:sz w:val="28"/>
        </w:rPr>
        <w:t xml:space="preserve">Медицинские лабораторные технологии /Под ред.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</w:rPr>
        <w:t>А.И.Карпищенко</w:t>
      </w:r>
      <w:proofErr w:type="spellEnd"/>
      <w:proofErr w:type="gramStart"/>
      <w:r w:rsidRPr="00B2272D">
        <w:rPr>
          <w:rFonts w:ascii="Times New Roman" w:hAnsi="Times New Roman" w:cs="Times New Roman"/>
          <w:color w:val="000000"/>
          <w:sz w:val="28"/>
        </w:rPr>
        <w:t>.-</w:t>
      </w:r>
      <w:proofErr w:type="gramEnd"/>
      <w:r w:rsidRPr="00B2272D">
        <w:rPr>
          <w:rFonts w:ascii="Times New Roman" w:hAnsi="Times New Roman" w:cs="Times New Roman"/>
          <w:color w:val="000000"/>
          <w:sz w:val="28"/>
        </w:rPr>
        <w:t>С-Пб.: Интермедика,1999.-Т.2.-656 с.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Ольбинская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 Л.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Патогенез хронической сердечной недостаточности /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Л. </w:t>
      </w: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Ольбинская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// Врач. – 2002. – № 12. – С. 11–15.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Перепеч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 Н. Б.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Применение пробы с 6-минутной ходьбой для оценки состояния больных с хронической сердечной недостаточностью /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Н. Б. </w:t>
      </w:r>
      <w:proofErr w:type="spellStart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Перепеч</w:t>
      </w:r>
      <w:proofErr w:type="spellEnd"/>
      <w:r w:rsidRPr="00B227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А. Э. Кутузова, А. О. Недошивин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// Клиническая медицина. – 2000. – № 12. – С. 31–33.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дин Г. В.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Активационные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маркеры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как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показатели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дизрегуляции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иммунной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системы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воспалении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/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 Г. В. Пор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ядин,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Ж. М. Салм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аси,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А. Н. Казимирс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кий //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 Патологическа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физиология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экспериментальная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терапия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uk-UA"/>
        </w:rPr>
        <w:t>. – 2006. – № 1. – С. 2–7.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-142"/>
          <w:tab w:val="left" w:pos="0"/>
        </w:tabs>
        <w:suppressAutoHyphens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</w:pPr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Прилуцкий А. С. </w:t>
      </w:r>
      <w:proofErr w:type="spellStart"/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Иммунодефицитные</w:t>
      </w:r>
      <w:proofErr w:type="spellEnd"/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состояния в клинической практике. Варианты, клинико-лабораторные признаки, методы оценки// </w:t>
      </w:r>
      <w:proofErr w:type="spellStart"/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Лікування</w:t>
      </w:r>
      <w:proofErr w:type="spellEnd"/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діагностика</w:t>
      </w:r>
      <w:proofErr w:type="spellEnd"/>
      <w:r w:rsidRPr="00B2272D">
        <w:rPr>
          <w:rFonts w:ascii="Times New Roman" w:eastAsia="TimesNewRomanPSMT" w:hAnsi="Times New Roman" w:cs="Times New Roman"/>
          <w:color w:val="000000"/>
          <w:sz w:val="28"/>
          <w:szCs w:val="28"/>
          <w:shd w:val="clear" w:color="auto" w:fill="FFFFFF"/>
        </w:rPr>
        <w:t>. - 2004. - № 2. - С. 25-32.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Роль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иммуновоспалительных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механизмов в развитии хронической сердечной недостаточности / М. Н.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Кочуева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>, А. С. Шалимова, Г. И.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Кочуев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>, А. П.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Браславская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Експериментальна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клінічна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медицина. – 2010. – № 3. – С. 88–92.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142"/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</w:rPr>
        <w:t>Тополян</w:t>
      </w:r>
      <w:proofErr w:type="spellEnd"/>
      <w:r w:rsidRPr="00B2272D">
        <w:rPr>
          <w:rFonts w:ascii="Times New Roman" w:hAnsi="Times New Roman" w:cs="Times New Roman"/>
          <w:color w:val="000000"/>
          <w:sz w:val="28"/>
        </w:rPr>
        <w:t xml:space="preserve"> А.А.,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</w:rPr>
        <w:t>Балдуева</w:t>
      </w:r>
      <w:proofErr w:type="spellEnd"/>
      <w:r w:rsidRPr="00B2272D">
        <w:rPr>
          <w:rFonts w:ascii="Times New Roman" w:hAnsi="Times New Roman" w:cs="Times New Roman"/>
          <w:color w:val="000000"/>
          <w:sz w:val="28"/>
        </w:rPr>
        <w:t xml:space="preserve"> И.А. и др. 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272D">
        <w:rPr>
          <w:rFonts w:ascii="Times New Roman" w:hAnsi="Times New Roman" w:cs="Times New Roman"/>
          <w:color w:val="000000"/>
          <w:sz w:val="28"/>
        </w:rPr>
        <w:t xml:space="preserve">тандартизация методов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</w:rPr>
        <w:t>иммунофенотипирования</w:t>
      </w:r>
      <w:proofErr w:type="spellEnd"/>
      <w:r w:rsidRPr="00B2272D">
        <w:rPr>
          <w:rFonts w:ascii="Times New Roman" w:hAnsi="Times New Roman" w:cs="Times New Roman"/>
          <w:color w:val="000000"/>
          <w:sz w:val="28"/>
        </w:rPr>
        <w:t xml:space="preserve"> клеток крови и костного мозга человека// Клин</w:t>
      </w:r>
      <w:proofErr w:type="gramStart"/>
      <w:r w:rsidRPr="00B2272D">
        <w:rPr>
          <w:rFonts w:ascii="Times New Roman" w:hAnsi="Times New Roman" w:cs="Times New Roman"/>
          <w:color w:val="000000"/>
          <w:sz w:val="28"/>
        </w:rPr>
        <w:t>.л</w:t>
      </w:r>
      <w:proofErr w:type="gramEnd"/>
      <w:r w:rsidRPr="00B2272D">
        <w:rPr>
          <w:rFonts w:ascii="Times New Roman" w:hAnsi="Times New Roman" w:cs="Times New Roman"/>
          <w:color w:val="000000"/>
          <w:sz w:val="28"/>
        </w:rPr>
        <w:t>аб.диагностика.-2001.-№8.-С.38-45.</w:t>
      </w:r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</w:rPr>
        <w:t>Хроническая сердечная недостаточность, обусловленная ишемической болезнью сердца / Н. Т. Ватутин, Н. В. Калинкина, А. Н.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Шевелек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>, В. В.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Адаричев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Серцева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недостатність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>. – 2010. – № 2. – С. 95–106.</w:t>
      </w:r>
    </w:p>
    <w:p w:rsidR="00B2272D" w:rsidRPr="00B2272D" w:rsidRDefault="00B2272D" w:rsidP="00B2272D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Халафян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А.А. </w:t>
      </w: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STATISTICA</w:t>
      </w:r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6. Статистический анализ данных. 3-е изд. - М.: ООО «Бином-Пресс», 2007. — 512 с. </w:t>
      </w:r>
    </w:p>
    <w:p w:rsidR="00B2272D" w:rsidRPr="00B2272D" w:rsidRDefault="00B2272D" w:rsidP="00B2272D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Ярилин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> А. А. Естественные регуляторные Т-клетки / А. А.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</w:rPr>
        <w:t>Ярилин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</w:rPr>
        <w:t xml:space="preserve"> // Российский медицинский журнал. – 2007. – № 1. – С. 43–48. </w:t>
      </w:r>
    </w:p>
    <w:p w:rsidR="00B2272D" w:rsidRPr="00B2272D" w:rsidRDefault="00B2272D" w:rsidP="00B2272D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Characterization of cells of the B lineage in the human adult greater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omentum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 L.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Boursier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Attard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Montalto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Raju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[et al.] // Immunology. – 2006. – Vol. 119, N 1. – P. 90–97</w:t>
      </w:r>
    </w:p>
    <w:p w:rsidR="00B2272D" w:rsidRPr="00B2272D" w:rsidRDefault="00B2272D" w:rsidP="00B2272D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709"/>
        </w:tabs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Dunkelberger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 J. R. Role and mechanism of action of complement in regulating T cell immunity / J. R.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Dunkelberger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W. C. Song // Mol.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Immunol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2010. – Vol. 47, N 13. – P. 2176–2186.</w:t>
      </w:r>
    </w:p>
    <w:p w:rsidR="00B2272D" w:rsidRPr="00B2272D" w:rsidRDefault="00B2272D" w:rsidP="00B2272D">
      <w:pPr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Similar CD19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dysregulation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two autoantibody-associated autoimmune diseases suggests a shared mechanism of B-Cell tolerance Loss / A. D.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Culton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M. W. Nicholas, D. O. Bunch [et al.] // J.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Immunol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2007. – Vol. 27, N 1. – P. 53–68.</w:t>
      </w:r>
    </w:p>
    <w:p w:rsidR="00B2272D" w:rsidRPr="00B2272D" w:rsidRDefault="00B2272D" w:rsidP="00B2272D">
      <w:pPr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502"/>
          <w:tab w:val="left" w:pos="709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T and B lymphocyte subpopulations and activation/differentiation markers in patients with selective IgA deficiency / J.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Litzman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Vlkova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, Z. 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Pikulova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[et al.] //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Clin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Exp.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Immunol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2006. – Vol. 147, N 2. – P. 249–254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..</w:t>
      </w:r>
      <w:proofErr w:type="gramEnd"/>
    </w:p>
    <w:p w:rsidR="00B2272D" w:rsidRPr="00B2272D" w:rsidRDefault="00B2272D" w:rsidP="00B2272D">
      <w:pPr>
        <w:numPr>
          <w:ilvl w:val="0"/>
          <w:numId w:val="3"/>
        </w:numPr>
        <w:tabs>
          <w:tab w:val="left" w:pos="0"/>
          <w:tab w:val="left" w:pos="502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Zourdidaks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E.,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Avanzas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</w:t>
      </w:r>
      <w:proofErr w:type="spell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Marcers</w:t>
      </w:r>
      <w:proofErr w:type="spell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inflammation and rapid coronary artery disease progression in patients with stable angina pectoris// Circulation. - 2004.-V. 110</w:t>
      </w:r>
      <w:proofErr w:type="gramStart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>.-</w:t>
      </w:r>
      <w:proofErr w:type="gramEnd"/>
      <w:r w:rsidRPr="00B2272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 1747-1753.</w:t>
      </w:r>
    </w:p>
    <w:p w:rsidR="00B2272D" w:rsidRPr="00B2272D" w:rsidRDefault="00B2272D" w:rsidP="00B2272D">
      <w:pPr>
        <w:tabs>
          <w:tab w:val="left" w:pos="0"/>
          <w:tab w:val="left" w:pos="502"/>
        </w:tabs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szCs w:val="28"/>
        </w:rPr>
        <w:t>Е.А. Павлова</w:t>
      </w:r>
    </w:p>
    <w:p w:rsidR="00B2272D" w:rsidRPr="00B2272D" w:rsidRDefault="00B2272D" w:rsidP="00B227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</w:rPr>
        <w:t>иммунокорекции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</w:rPr>
        <w:t xml:space="preserve"> на состояние специфической клеточной и гуморальной иммунологической реактивности больных</w:t>
      </w:r>
      <w:r w:rsidRPr="00B2272D">
        <w:rPr>
          <w:rFonts w:ascii="Times New Roman" w:hAnsi="Times New Roman" w:cs="Times New Roman"/>
          <w:sz w:val="28"/>
          <w:szCs w:val="28"/>
        </w:rPr>
        <w:t xml:space="preserve"> 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227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bCs/>
          <w:sz w:val="28"/>
          <w:szCs w:val="28"/>
        </w:rPr>
        <w:t>хронической сердечной недостаточностью</w:t>
      </w:r>
    </w:p>
    <w:p w:rsidR="00B2272D" w:rsidRPr="00B2272D" w:rsidRDefault="00B2272D" w:rsidP="00B227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B2272D" w:rsidRPr="00B2272D" w:rsidRDefault="00B2272D" w:rsidP="00B2272D">
      <w:pPr>
        <w:tabs>
          <w:tab w:val="left" w:pos="-523"/>
          <w:tab w:val="left" w:pos="-349"/>
          <w:tab w:val="left" w:pos="-175"/>
          <w:tab w:val="left" w:pos="0"/>
          <w:tab w:val="left" w:pos="173"/>
          <w:tab w:val="left" w:pos="521"/>
          <w:tab w:val="left" w:pos="869"/>
          <w:tab w:val="left" w:pos="1043"/>
          <w:tab w:val="left" w:pos="1217"/>
          <w:tab w:val="left" w:pos="1391"/>
          <w:tab w:val="left" w:pos="1925"/>
          <w:tab w:val="left" w:pos="26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ab/>
      </w:r>
      <w:r w:rsidRPr="00B2272D">
        <w:rPr>
          <w:rFonts w:ascii="Times New Roman" w:hAnsi="Times New Roman" w:cs="Times New Roman"/>
          <w:w w:val="105"/>
          <w:sz w:val="28"/>
          <w:szCs w:val="28"/>
        </w:rPr>
        <w:t xml:space="preserve">После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</w:rPr>
        <w:t>иммунокоррекции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</w:rPr>
        <w:t>, проведенной в сочетании с базисной терапией, п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ри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хронической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сердечной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недостаточности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средней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тяжести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возникшей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фоне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</w:rPr>
        <w:t xml:space="preserve">ишемической болезни сердца, по сравнению с контролем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установлено:</w:t>
      </w:r>
      <w:r w:rsidRPr="00B2272D">
        <w:rPr>
          <w:rFonts w:ascii="Times New Roman" w:hAnsi="Times New Roman" w:cs="Times New Roman"/>
          <w:sz w:val="28"/>
          <w:szCs w:val="28"/>
        </w:rPr>
        <w:t xml:space="preserve"> увеличение интегрального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>3+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-клеточного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пула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основном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счет</w:t>
      </w:r>
      <w:proofErr w:type="spellEnd"/>
      <w:r w:rsidRPr="00B2272D">
        <w:rPr>
          <w:rFonts w:ascii="Times New Roman" w:hAnsi="Times New Roman" w:cs="Times New Roman"/>
          <w:sz w:val="28"/>
          <w:szCs w:val="28"/>
        </w:rPr>
        <w:t xml:space="preserve">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</w:rPr>
        <w:t>4+ -клеток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увеличение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абсолютного числа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лимфоцитов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что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видимо,</w:t>
      </w:r>
      <w:r w:rsidRPr="00B2272D">
        <w:rPr>
          <w:rFonts w:ascii="Times New Roman" w:hAnsi="Times New Roman" w:cs="Times New Roman"/>
          <w:sz w:val="28"/>
        </w:rPr>
        <w:t xml:space="preserve"> связано с</w:t>
      </w:r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функциональной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перестройкой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Т-клеточного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звена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иммунитета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и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как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lang w:val="uk-UA"/>
        </w:rPr>
        <w:t>следствие</w:t>
      </w:r>
      <w:proofErr w:type="spellEnd"/>
      <w:r w:rsidRPr="00B2272D">
        <w:rPr>
          <w:rFonts w:ascii="Times New Roman" w:hAnsi="Times New Roman" w:cs="Times New Roman"/>
          <w:sz w:val="28"/>
          <w:lang w:val="uk-UA"/>
        </w:rPr>
        <w:t xml:space="preserve"> к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уменьшению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продукции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</w:t>
      </w:r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увеличению</w:t>
      </w:r>
      <w:proofErr w:type="spellEnd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272D">
        <w:rPr>
          <w:rFonts w:ascii="Times New Roman" w:hAnsi="Times New Roman" w:cs="Times New Roman"/>
          <w:sz w:val="28"/>
          <w:szCs w:val="28"/>
        </w:rPr>
        <w:t>циркулирующих иммунных комплексов</w:t>
      </w:r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2272D">
        <w:rPr>
          <w:rFonts w:ascii="Times New Roman" w:hAnsi="Times New Roman" w:cs="Times New Roman"/>
          <w:sz w:val="28"/>
          <w:szCs w:val="28"/>
        </w:rPr>
        <w:t xml:space="preserve">что коррелирует с тяжестью заболевания, свидетельствуя об </w:t>
      </w:r>
      <w:r w:rsidRPr="00B2272D">
        <w:rPr>
          <w:rFonts w:ascii="Times New Roman" w:hAnsi="Times New Roman" w:cs="Times New Roman"/>
          <w:sz w:val="28"/>
        </w:rPr>
        <w:t>уменьшении активности процесса.</w:t>
      </w:r>
      <w:r w:rsidRPr="00B2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72D" w:rsidRPr="00B2272D" w:rsidRDefault="00B2272D" w:rsidP="00B2272D">
      <w:pPr>
        <w:ind w:left="2340" w:hanging="2340"/>
        <w:jc w:val="both"/>
        <w:rPr>
          <w:rFonts w:ascii="Times New Roman" w:hAnsi="Times New Roman" w:cs="Times New Roman"/>
          <w:sz w:val="28"/>
          <w:szCs w:val="28"/>
        </w:rPr>
      </w:pPr>
      <w:r w:rsidRPr="00B2272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хроническая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сердечная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недостаточность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272D">
        <w:rPr>
          <w:rFonts w:ascii="Times New Roman" w:hAnsi="Times New Roman" w:cs="Times New Roman"/>
          <w:sz w:val="28"/>
          <w:szCs w:val="28"/>
        </w:rPr>
        <w:t xml:space="preserve"> ишемическая болезнь сердца,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иммунокоррекция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272D">
        <w:rPr>
          <w:rFonts w:ascii="Times New Roman" w:hAnsi="Times New Roman" w:cs="Times New Roman"/>
          <w:sz w:val="28"/>
          <w:szCs w:val="28"/>
        </w:rPr>
        <w:t xml:space="preserve"> специфический клеточный и гуморальный иммунитет.</w:t>
      </w: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sz w:val="28"/>
          <w:szCs w:val="28"/>
          <w:lang w:val="uk-UA"/>
        </w:rPr>
        <w:t>О.О. Павлова</w:t>
      </w:r>
    </w:p>
    <w:p w:rsidR="00B2272D" w:rsidRPr="00B2272D" w:rsidRDefault="00B2272D" w:rsidP="00B227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Вплив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імунокорекції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стан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специфічної клітинної та гуморальної імунологічної реактивності хворих на хронічну серцеву недостатність.</w:t>
      </w:r>
    </w:p>
    <w:p w:rsidR="00B2272D" w:rsidRPr="00B2272D" w:rsidRDefault="00B2272D" w:rsidP="00B227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 xml:space="preserve">Після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імунокорекції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,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проведенної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 сполученні із базовим лікуванням хронічної серцевої недостатності середньої важкості, яка виникла на тлі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ішемічної хвороби серця,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в порівнянні з контролем встановлено: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інтегрального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3+-Т-клітинного пулу за рахунок С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4+-лімфоцитів</w:t>
      </w:r>
      <w:r w:rsidRPr="00B2272D">
        <w:rPr>
          <w:rFonts w:ascii="Times New Roman" w:hAnsi="Times New Roman" w:cs="Times New Roman"/>
          <w:szCs w:val="28"/>
          <w:lang w:val="uk-UA"/>
        </w:rPr>
        <w:t>;</w:t>
      </w:r>
      <w:r w:rsidRPr="00B2272D">
        <w:rPr>
          <w:rFonts w:ascii="Times New Roman" w:hAnsi="Times New Roman" w:cs="Times New Roman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збільшення абсолютного числа лімфоцитів, що мабуть, пов'язано з функціональною перебудовою Т-клітинної ланки імунітету,</w:t>
      </w:r>
      <w:r w:rsidRPr="00B2272D">
        <w:rPr>
          <w:rFonts w:ascii="Times New Roman" w:hAnsi="Times New Roman" w:cs="Times New Roman"/>
          <w:lang w:val="uk-UA"/>
        </w:rPr>
        <w:t xml:space="preserve">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>і як наслідок зменшенню продукції</w:t>
      </w:r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М, а також 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продукції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А та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2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циркулюючих імунних комплексів,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що корелює з важкістю захворювання та  свідчить про зменшення активності процесу.</w:t>
      </w:r>
    </w:p>
    <w:p w:rsidR="00B2272D" w:rsidRPr="00B2272D" w:rsidRDefault="00B2272D" w:rsidP="00B2272D">
      <w:pPr>
        <w:ind w:left="2410" w:hanging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Ключевые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слова:</w:t>
      </w:r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хронічна серцева недостатність, ішемічна хвороба серця, 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імунокорекція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, специфічний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клитинний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і гуморальний імунітет.</w:t>
      </w:r>
    </w:p>
    <w:p w:rsidR="00B2272D" w:rsidRPr="00B2272D" w:rsidRDefault="00B2272D" w:rsidP="00B2272D">
      <w:pPr>
        <w:ind w:left="1284" w:hanging="27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272D" w:rsidRPr="00B2272D" w:rsidRDefault="00B2272D" w:rsidP="00B2272D">
      <w:pPr>
        <w:spacing w:line="360" w:lineRule="auto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Ye.A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.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Pavlova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</w:p>
    <w:p w:rsidR="00B2272D" w:rsidRPr="00B2272D" w:rsidRDefault="00B2272D" w:rsidP="00B2272D">
      <w:pPr>
        <w:spacing w:line="360" w:lineRule="auto"/>
        <w:jc w:val="center"/>
        <w:rPr>
          <w:rFonts w:ascii="Times New Roman" w:hAnsi="Times New Roman" w:cs="Times New Roman"/>
          <w:b/>
          <w:w w:val="105"/>
          <w:sz w:val="28"/>
          <w:szCs w:val="28"/>
          <w:lang w:val="uk-UA"/>
        </w:rPr>
      </w:pPr>
      <w:proofErr w:type="spellStart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Iinfluence</w:t>
      </w:r>
      <w:proofErr w:type="spellEnd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 xml:space="preserve"> o</w:t>
      </w:r>
      <w:r w:rsidRPr="00B2272D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>f</w:t>
      </w:r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the</w:t>
      </w:r>
      <w:proofErr w:type="spellEnd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en-US"/>
        </w:rPr>
        <w:t>immunocorrection</w:t>
      </w:r>
      <w:proofErr w:type="spellEnd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on</w:t>
      </w:r>
      <w:proofErr w:type="spellEnd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state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w w:val="105"/>
          <w:sz w:val="28"/>
          <w:szCs w:val="28"/>
          <w:lang w:val="uk-UA"/>
        </w:rPr>
        <w:t>specific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cellular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humoral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immunological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reactivity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>patients</w:t>
      </w:r>
      <w:proofErr w:type="spellEnd"/>
      <w:r w:rsidRPr="00B22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b/>
          <w:sz w:val="28"/>
          <w:szCs w:val="28"/>
          <w:lang w:val="en-US"/>
        </w:rPr>
        <w:t>with</w:t>
      </w:r>
      <w:r w:rsidRPr="00B2272D">
        <w:rPr>
          <w:rFonts w:ascii="Times New Roman" w:hAnsi="Times New Roman" w:cs="Times New Roman"/>
          <w:b/>
          <w:w w:val="105"/>
          <w:sz w:val="28"/>
          <w:szCs w:val="28"/>
          <w:lang w:val="en-US"/>
        </w:rPr>
        <w:t xml:space="preserve"> chronic heart failure</w:t>
      </w:r>
    </w:p>
    <w:p w:rsidR="00B2272D" w:rsidRPr="00B2272D" w:rsidRDefault="00B2272D" w:rsidP="00B2272D">
      <w:pPr>
        <w:tabs>
          <w:tab w:val="center" w:pos="4844"/>
          <w:tab w:val="right" w:pos="9689"/>
        </w:tabs>
        <w:spacing w:line="360" w:lineRule="auto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ab/>
        <w:t>Kharkov National Medical University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ab/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fte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en-US"/>
        </w:rPr>
        <w:t>immunocorrection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en-US"/>
        </w:rPr>
        <w:t xml:space="preserve">which is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carr</w:t>
      </w:r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en-US"/>
        </w:rPr>
        <w:t>ied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out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in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the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combination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with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basic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therapy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of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chronic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heart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>failure</w:t>
      </w:r>
      <w:proofErr w:type="spellEnd"/>
      <w:r w:rsidRPr="00B2272D">
        <w:rPr>
          <w:rFonts w:ascii="Times New Roman" w:hAnsi="Times New Roman" w:cs="Times New Roman"/>
          <w:color w:val="000000"/>
          <w:w w:val="105"/>
          <w:sz w:val="28"/>
          <w:szCs w:val="28"/>
          <w:shd w:val="clear" w:color="auto" w:fill="FFFFFF"/>
          <w:lang w:val="uk-UA"/>
        </w:rPr>
        <w:t xml:space="preserve">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of moderate severity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arised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en-US"/>
        </w:rPr>
        <w:t xml:space="preserve"> during ischemic heart disease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>in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>comparison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>with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uk-UA"/>
        </w:rPr>
        <w:t>control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shd w:val="clear" w:color="auto" w:fill="FFFFFF"/>
          <w:lang w:val="en-US"/>
        </w:rPr>
        <w:t>,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it is established: increasing the integral CD3+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-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cell pool, mainly due CD4+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-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cells; increase in the absolute number of lymphocytes, which is apparently associated with a functional reorganization of the T-cell immunity and as a result a decrease in production of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IgM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, increased formation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of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IgG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, IgA, and circulating immune complexes, which correlates with disease severity, suggesting a decrease in activity of the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process.</w:t>
      </w:r>
      <w:r w:rsidRPr="00B2272D">
        <w:rPr>
          <w:rFonts w:ascii="Times New Roman" w:hAnsi="Times New Roman" w:cs="Times New Roman"/>
          <w:b/>
          <w:w w:val="105"/>
          <w:lang w:val="en-US"/>
        </w:rPr>
        <w:t>Key</w:t>
      </w:r>
      <w:proofErr w:type="spellEnd"/>
      <w:r w:rsidRPr="00B2272D">
        <w:rPr>
          <w:rFonts w:ascii="Times New Roman" w:hAnsi="Times New Roman" w:cs="Times New Roman"/>
          <w:b/>
          <w:w w:val="105"/>
          <w:lang w:val="en-US"/>
        </w:rPr>
        <w:t xml:space="preserve"> words:</w:t>
      </w:r>
      <w:r w:rsidRPr="00B2272D">
        <w:rPr>
          <w:rFonts w:ascii="Times New Roman" w:hAnsi="Times New Roman" w:cs="Times New Roman"/>
          <w:w w:val="105"/>
          <w:lang w:val="en-US"/>
        </w:rPr>
        <w:t xml:space="preserve">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>c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hronic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cardiac insufficiency,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ischemic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heart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uk-UA"/>
        </w:rPr>
        <w:t>disease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, preventive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immunocorrection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, specific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cellular and </w:t>
      </w:r>
      <w:proofErr w:type="spellStart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>humoral</w:t>
      </w:r>
      <w:proofErr w:type="spellEnd"/>
      <w:r w:rsidRPr="00B2272D">
        <w:rPr>
          <w:rFonts w:ascii="Times New Roman" w:hAnsi="Times New Roman" w:cs="Times New Roman"/>
          <w:w w:val="105"/>
          <w:sz w:val="28"/>
          <w:szCs w:val="28"/>
          <w:lang w:val="en-US"/>
        </w:rPr>
        <w:t xml:space="preserve"> immunity.</w:t>
      </w:r>
    </w:p>
    <w:p w:rsidR="00B2272D" w:rsidRPr="00B2272D" w:rsidRDefault="00B2272D" w:rsidP="00B2272D">
      <w:pPr>
        <w:spacing w:line="360" w:lineRule="auto"/>
        <w:ind w:firstLine="708"/>
        <w:jc w:val="both"/>
        <w:rPr>
          <w:rFonts w:ascii="Times New Roman" w:hAnsi="Times New Roman" w:cs="Times New Roman"/>
          <w:w w:val="105"/>
          <w:sz w:val="28"/>
          <w:szCs w:val="28"/>
          <w:lang w:val="en-US"/>
        </w:rPr>
      </w:pPr>
    </w:p>
    <w:p w:rsidR="00B2272D" w:rsidRPr="00B2272D" w:rsidRDefault="00B2272D" w:rsidP="00B2272D">
      <w:pPr>
        <w:spacing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72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 words:</w:t>
      </w:r>
      <w:r w:rsidRPr="00B2272D">
        <w:rPr>
          <w:rFonts w:ascii="Times New Roman" w:hAnsi="Times New Roman" w:cs="Times New Roman"/>
          <w:sz w:val="28"/>
          <w:szCs w:val="28"/>
          <w:lang w:val="en-US"/>
        </w:rPr>
        <w:t xml:space="preserve"> chronic heart failure, coronary heart disease, immunotherapy, specific cellular and </w:t>
      </w:r>
      <w:proofErr w:type="spellStart"/>
      <w:r w:rsidRPr="00B2272D">
        <w:rPr>
          <w:rFonts w:ascii="Times New Roman" w:hAnsi="Times New Roman" w:cs="Times New Roman"/>
          <w:sz w:val="28"/>
          <w:szCs w:val="28"/>
          <w:lang w:val="en-US"/>
        </w:rPr>
        <w:t>humoral</w:t>
      </w:r>
      <w:proofErr w:type="spellEnd"/>
      <w:r w:rsidRPr="00B2272D">
        <w:rPr>
          <w:rFonts w:ascii="Times New Roman" w:hAnsi="Times New Roman" w:cs="Times New Roman"/>
          <w:sz w:val="28"/>
          <w:szCs w:val="28"/>
          <w:lang w:val="en-US"/>
        </w:rPr>
        <w:t xml:space="preserve"> immunity.</w:t>
      </w:r>
    </w:p>
    <w:p w:rsidR="007E3224" w:rsidRPr="00B2272D" w:rsidRDefault="007E3224">
      <w:pPr>
        <w:rPr>
          <w:rFonts w:ascii="Times New Roman" w:hAnsi="Times New Roman" w:cs="Times New Roman"/>
          <w:lang w:val="en-US"/>
        </w:rPr>
      </w:pPr>
    </w:p>
    <w:sectPr w:rsidR="007E3224" w:rsidRPr="00B2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A57"/>
    <w:multiLevelType w:val="hybridMultilevel"/>
    <w:tmpl w:val="3EB6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347D1"/>
    <w:multiLevelType w:val="hybridMultilevel"/>
    <w:tmpl w:val="E1785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D3436"/>
    <w:multiLevelType w:val="hybridMultilevel"/>
    <w:tmpl w:val="92262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72D"/>
    <w:rsid w:val="007E3224"/>
    <w:rsid w:val="0082659D"/>
    <w:rsid w:val="00B2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2D"/>
    <w:pPr>
      <w:ind w:left="720"/>
      <w:contextualSpacing/>
    </w:pPr>
  </w:style>
  <w:style w:type="paragraph" w:customStyle="1" w:styleId="WW-Default1">
    <w:name w:val="WW-Default1"/>
    <w:rsid w:val="00B227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Патфизиология</cp:lastModifiedBy>
  <cp:revision>3</cp:revision>
  <dcterms:created xsi:type="dcterms:W3CDTF">2014-11-25T18:23:00Z</dcterms:created>
  <dcterms:modified xsi:type="dcterms:W3CDTF">2014-12-01T08:52:00Z</dcterms:modified>
</cp:coreProperties>
</file>