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CDC7" w14:textId="77777777" w:rsidR="004F5108" w:rsidRPr="00C66F53" w:rsidRDefault="004F5108" w:rsidP="007869C0">
      <w:pPr>
        <w:spacing w:line="360" w:lineRule="auto"/>
        <w:ind w:firstLine="709"/>
        <w:jc w:val="right"/>
        <w:rPr>
          <w:rFonts w:ascii="Times" w:hAnsi="Times"/>
          <w:lang w:val="uk-UA"/>
        </w:rPr>
      </w:pPr>
      <w:r w:rsidRPr="00C66F53">
        <w:rPr>
          <w:rFonts w:ascii="Times" w:hAnsi="Times"/>
          <w:lang w:val="uk-UA"/>
        </w:rPr>
        <w:t>2. Клінічна медицина</w:t>
      </w:r>
    </w:p>
    <w:p w14:paraId="30591DDD" w14:textId="342C7B56" w:rsidR="00370473" w:rsidRPr="008353CB" w:rsidRDefault="00802ADC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  <w:r w:rsidRPr="008353CB">
        <w:rPr>
          <w:rFonts w:ascii="Times" w:hAnsi="Times"/>
          <w:b/>
          <w:sz w:val="28"/>
          <w:szCs w:val="28"/>
          <w:lang w:val="uk-UA"/>
        </w:rPr>
        <w:t>Прозапальн</w:t>
      </w:r>
      <w:r w:rsidR="00B35DF2" w:rsidRPr="008353CB">
        <w:rPr>
          <w:rFonts w:ascii="Times" w:hAnsi="Times"/>
          <w:b/>
          <w:sz w:val="28"/>
          <w:szCs w:val="28"/>
          <w:lang w:val="uk-UA"/>
        </w:rPr>
        <w:t>а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 </w:t>
      </w:r>
      <w:r w:rsidR="00B35DF2" w:rsidRPr="008353CB">
        <w:rPr>
          <w:rFonts w:ascii="Times" w:hAnsi="Times"/>
          <w:b/>
          <w:sz w:val="28"/>
          <w:szCs w:val="28"/>
          <w:lang w:val="uk-UA"/>
        </w:rPr>
        <w:t>цитокінова ланка імунітету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 у </w:t>
      </w:r>
      <w:r w:rsidR="00B523F0" w:rsidRPr="008353CB">
        <w:rPr>
          <w:rFonts w:ascii="Times" w:hAnsi="Times"/>
          <w:b/>
          <w:sz w:val="28"/>
          <w:szCs w:val="28"/>
          <w:lang w:val="uk-UA"/>
        </w:rPr>
        <w:t xml:space="preserve">патогенезі коморбідності </w:t>
      </w:r>
      <w:r w:rsidRPr="008353CB">
        <w:rPr>
          <w:rFonts w:ascii="Times" w:hAnsi="Times"/>
          <w:b/>
          <w:sz w:val="28"/>
          <w:szCs w:val="28"/>
          <w:lang w:val="uk-UA"/>
        </w:rPr>
        <w:t xml:space="preserve">хронічного обструктивного захворювання легень та хронічного </w:t>
      </w:r>
      <w:bookmarkStart w:id="0" w:name="_GoBack"/>
      <w:bookmarkEnd w:id="0"/>
      <w:r w:rsidRPr="008353CB">
        <w:rPr>
          <w:rFonts w:ascii="Times" w:hAnsi="Times"/>
          <w:b/>
          <w:sz w:val="28"/>
          <w:szCs w:val="28"/>
          <w:lang w:val="uk-UA"/>
        </w:rPr>
        <w:t>панкреатиту</w:t>
      </w:r>
    </w:p>
    <w:p w14:paraId="65DB8791" w14:textId="77777777" w:rsidR="00370473" w:rsidRPr="004E5EBF" w:rsidRDefault="00370473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</w:p>
    <w:p w14:paraId="31ECAF2D" w14:textId="77777777" w:rsidR="00370473" w:rsidRPr="004E5EBF" w:rsidRDefault="00370473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Железнякова</w:t>
      </w:r>
      <w:r w:rsidR="00802ADC" w:rsidRPr="004E5EBF">
        <w:rPr>
          <w:rFonts w:ascii="Times" w:hAnsi="Times"/>
          <w:b/>
          <w:sz w:val="28"/>
          <w:szCs w:val="28"/>
          <w:lang w:val="uk-UA"/>
        </w:rPr>
        <w:t xml:space="preserve"> Наталя Мерабівна</w:t>
      </w:r>
      <w:r w:rsidR="005159CC" w:rsidRPr="004E5EBF">
        <w:rPr>
          <w:rFonts w:ascii="Times" w:hAnsi="Times"/>
          <w:sz w:val="28"/>
          <w:szCs w:val="28"/>
          <w:lang w:val="uk-UA"/>
        </w:rPr>
        <w:t>, д. мед. н., доцент</w:t>
      </w:r>
      <w:r w:rsidR="00802ADC" w:rsidRPr="004E5EBF">
        <w:rPr>
          <w:rFonts w:ascii="Times" w:hAnsi="Times"/>
          <w:sz w:val="28"/>
          <w:szCs w:val="28"/>
          <w:lang w:val="uk-UA"/>
        </w:rPr>
        <w:t>,</w:t>
      </w:r>
    </w:p>
    <w:p w14:paraId="60092198" w14:textId="77777777" w:rsidR="005159C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</w:t>
      </w:r>
      <w:r w:rsidR="00802ADC" w:rsidRPr="004E5EBF">
        <w:rPr>
          <w:rFonts w:ascii="Times" w:hAnsi="Times"/>
          <w:sz w:val="28"/>
          <w:szCs w:val="28"/>
          <w:lang w:val="uk-UA"/>
        </w:rPr>
        <w:t>аціональний</w:t>
      </w:r>
      <w:r w:rsidRPr="004E5EBF">
        <w:rPr>
          <w:rFonts w:ascii="Times" w:hAnsi="Times"/>
          <w:sz w:val="28"/>
          <w:szCs w:val="28"/>
          <w:lang w:val="uk-UA"/>
        </w:rPr>
        <w:t xml:space="preserve"> медичний університет</w:t>
      </w:r>
    </w:p>
    <w:p w14:paraId="595AB2A9" w14:textId="77777777" w:rsidR="005159C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Гопцій Олена Вікторівна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802ADC" w:rsidRPr="004E5EBF">
        <w:rPr>
          <w:rFonts w:ascii="Times" w:hAnsi="Times"/>
          <w:sz w:val="28"/>
          <w:szCs w:val="28"/>
          <w:lang w:val="uk-UA"/>
        </w:rPr>
        <w:t xml:space="preserve"> </w:t>
      </w:r>
      <w:r w:rsidRPr="004E5EBF">
        <w:rPr>
          <w:rFonts w:ascii="Times" w:hAnsi="Times"/>
          <w:sz w:val="28"/>
          <w:szCs w:val="28"/>
          <w:lang w:val="uk-UA"/>
        </w:rPr>
        <w:t>к. мед. н., асистент,</w:t>
      </w:r>
    </w:p>
    <w:p w14:paraId="0784F38F" w14:textId="77777777" w:rsidR="00802ADC" w:rsidRPr="004E5EBF" w:rsidRDefault="005159CC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національний медичний університет</w:t>
      </w:r>
    </w:p>
    <w:p w14:paraId="12807996" w14:textId="77777777" w:rsidR="004F5108" w:rsidRPr="004E5EBF" w:rsidRDefault="004F5108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Зелена Ірина Іванівна</w:t>
      </w:r>
      <w:r w:rsidRPr="004E5EBF">
        <w:rPr>
          <w:rFonts w:ascii="Times" w:hAnsi="Times"/>
          <w:sz w:val="28"/>
          <w:szCs w:val="28"/>
          <w:lang w:val="uk-UA"/>
        </w:rPr>
        <w:t>, к. мед. н., асистент,</w:t>
      </w:r>
    </w:p>
    <w:p w14:paraId="65C531A7" w14:textId="77777777" w:rsidR="00370473" w:rsidRPr="004E5EBF" w:rsidRDefault="004F5108" w:rsidP="007869C0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Харківський національний медичний університет</w:t>
      </w:r>
    </w:p>
    <w:p w14:paraId="590EBC6B" w14:textId="77777777" w:rsidR="00370473" w:rsidRPr="004E5EBF" w:rsidRDefault="00370473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14:paraId="255F2C2A" w14:textId="428AE594" w:rsidR="00264EA2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Проблема мульти-і коморбидности в медицині </w:t>
      </w:r>
      <w:r w:rsidR="007869C0" w:rsidRPr="004E5EBF">
        <w:rPr>
          <w:rFonts w:ascii="Times" w:hAnsi="Times"/>
          <w:sz w:val="28"/>
          <w:szCs w:val="28"/>
          <w:lang w:val="uk-UA"/>
        </w:rPr>
        <w:t>на теперішній</w:t>
      </w:r>
      <w:r w:rsidRPr="004E5EBF">
        <w:rPr>
          <w:rFonts w:ascii="Times" w:hAnsi="Times"/>
          <w:sz w:val="28"/>
          <w:szCs w:val="28"/>
          <w:lang w:val="uk-UA"/>
        </w:rPr>
        <w:t xml:space="preserve"> час привертає підвищену увагу багатьох </w:t>
      </w:r>
      <w:r w:rsidR="007869C0" w:rsidRPr="004E5EBF">
        <w:rPr>
          <w:rFonts w:ascii="Times" w:hAnsi="Times"/>
          <w:sz w:val="28"/>
          <w:szCs w:val="28"/>
          <w:lang w:val="uk-UA"/>
        </w:rPr>
        <w:t>дослідників. Це пов'язано з тим</w:t>
      </w:r>
      <w:r w:rsidRPr="004E5EBF">
        <w:rPr>
          <w:rFonts w:ascii="Times" w:hAnsi="Times"/>
          <w:sz w:val="28"/>
          <w:szCs w:val="28"/>
          <w:lang w:val="uk-UA"/>
        </w:rPr>
        <w:t xml:space="preserve">, що </w:t>
      </w:r>
      <w:r w:rsidR="004E5EBF" w:rsidRPr="004E5EBF">
        <w:rPr>
          <w:rFonts w:ascii="Times" w:hAnsi="Times"/>
          <w:sz w:val="28"/>
          <w:szCs w:val="28"/>
          <w:lang w:val="uk-UA"/>
        </w:rPr>
        <w:t>переважна</w:t>
      </w:r>
      <w:r w:rsidRPr="004E5EBF">
        <w:rPr>
          <w:rFonts w:ascii="Times" w:hAnsi="Times"/>
          <w:sz w:val="28"/>
          <w:szCs w:val="28"/>
          <w:lang w:val="uk-UA"/>
        </w:rPr>
        <w:t xml:space="preserve"> частина хв</w:t>
      </w:r>
      <w:r w:rsidR="007869C0" w:rsidRPr="004E5EBF">
        <w:rPr>
          <w:rFonts w:ascii="Times" w:hAnsi="Times"/>
          <w:sz w:val="28"/>
          <w:szCs w:val="28"/>
          <w:lang w:val="uk-UA"/>
        </w:rPr>
        <w:t>орих, які звертаються до лікаря</w:t>
      </w:r>
      <w:r w:rsidRPr="004E5EBF">
        <w:rPr>
          <w:rFonts w:ascii="Times" w:hAnsi="Times"/>
          <w:sz w:val="28"/>
          <w:szCs w:val="28"/>
          <w:lang w:val="uk-UA"/>
        </w:rPr>
        <w:t>, має ні одне, а кілька о</w:t>
      </w:r>
      <w:r w:rsidR="007869C0" w:rsidRPr="004E5EBF">
        <w:rPr>
          <w:rFonts w:ascii="Times" w:hAnsi="Times"/>
          <w:sz w:val="28"/>
          <w:szCs w:val="28"/>
          <w:lang w:val="uk-UA"/>
        </w:rPr>
        <w:t>дночасно протікають захворювань</w:t>
      </w:r>
      <w:r w:rsidRPr="004E5EBF">
        <w:rPr>
          <w:rFonts w:ascii="Times" w:hAnsi="Times"/>
          <w:sz w:val="28"/>
          <w:szCs w:val="28"/>
          <w:lang w:val="uk-UA"/>
        </w:rPr>
        <w:t>. В останні роки багато дослідників все більш</w:t>
      </w:r>
      <w:r w:rsidR="007869C0" w:rsidRPr="004E5EBF">
        <w:rPr>
          <w:rFonts w:ascii="Times" w:hAnsi="Times"/>
          <w:sz w:val="28"/>
          <w:szCs w:val="28"/>
          <w:lang w:val="uk-UA"/>
        </w:rPr>
        <w:t>у</w:t>
      </w:r>
      <w:r w:rsidRPr="004E5EBF">
        <w:rPr>
          <w:rFonts w:ascii="Times" w:hAnsi="Times"/>
          <w:sz w:val="28"/>
          <w:szCs w:val="28"/>
          <w:lang w:val="uk-UA"/>
        </w:rPr>
        <w:t xml:space="preserve"> уваг</w:t>
      </w:r>
      <w:r w:rsidR="007869C0" w:rsidRPr="004E5EBF">
        <w:rPr>
          <w:rFonts w:ascii="Times" w:hAnsi="Times"/>
          <w:sz w:val="28"/>
          <w:szCs w:val="28"/>
          <w:lang w:val="uk-UA"/>
        </w:rPr>
        <w:t>у</w:t>
      </w:r>
      <w:r w:rsidRPr="004E5EBF">
        <w:rPr>
          <w:rFonts w:ascii="Times" w:hAnsi="Times"/>
          <w:sz w:val="28"/>
          <w:szCs w:val="28"/>
          <w:lang w:val="uk-UA"/>
        </w:rPr>
        <w:t xml:space="preserve"> приділяють вивченню патогенетичних взаємоді</w:t>
      </w:r>
      <w:r w:rsidR="004E5EBF" w:rsidRPr="004E5EBF">
        <w:rPr>
          <w:rFonts w:ascii="Times" w:hAnsi="Times"/>
          <w:sz w:val="28"/>
          <w:szCs w:val="28"/>
          <w:lang w:val="uk-UA"/>
        </w:rPr>
        <w:t>й при поєднаної патології</w:t>
      </w:r>
      <w:r w:rsidRPr="004E5EBF">
        <w:rPr>
          <w:rFonts w:ascii="Times" w:hAnsi="Times"/>
          <w:sz w:val="28"/>
          <w:szCs w:val="28"/>
          <w:lang w:val="uk-UA"/>
        </w:rPr>
        <w:t>, так як саме вони визначають тактику ведення так</w:t>
      </w:r>
      <w:r w:rsidR="004E5EBF" w:rsidRPr="004E5EBF">
        <w:rPr>
          <w:rFonts w:ascii="Times" w:hAnsi="Times"/>
          <w:sz w:val="28"/>
          <w:szCs w:val="28"/>
          <w:lang w:val="uk-UA"/>
        </w:rPr>
        <w:t>их хворих, як на діагностичному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701EA7">
        <w:rPr>
          <w:rFonts w:ascii="Times" w:hAnsi="Times"/>
          <w:sz w:val="28"/>
          <w:szCs w:val="28"/>
          <w:lang w:val="uk-UA"/>
        </w:rPr>
        <w:t xml:space="preserve"> так і лікувальному етапах</w:t>
      </w:r>
      <w:r w:rsidRPr="004E5EBF">
        <w:rPr>
          <w:rFonts w:ascii="Times" w:hAnsi="Times"/>
          <w:sz w:val="28"/>
          <w:szCs w:val="28"/>
          <w:lang w:val="uk-UA"/>
        </w:rPr>
        <w:t>.</w:t>
      </w:r>
    </w:p>
    <w:p w14:paraId="4F2E122F" w14:textId="3920DB5C" w:rsidR="00264EA2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Серед таких захворювань пріо</w:t>
      </w:r>
      <w:r w:rsidR="004E5EBF" w:rsidRPr="004E5EBF">
        <w:rPr>
          <w:rFonts w:ascii="Times" w:hAnsi="Times"/>
          <w:sz w:val="28"/>
          <w:szCs w:val="28"/>
          <w:lang w:val="uk-UA"/>
        </w:rPr>
        <w:t>ритет належить хворобам серцево-судинної</w:t>
      </w:r>
      <w:r w:rsidR="004E5EBF">
        <w:rPr>
          <w:rFonts w:ascii="Times" w:hAnsi="Times"/>
          <w:sz w:val="28"/>
          <w:szCs w:val="28"/>
          <w:lang w:val="uk-UA"/>
        </w:rPr>
        <w:t>, травної та дихальної систем</w:t>
      </w:r>
      <w:r w:rsidRPr="004E5EBF">
        <w:rPr>
          <w:rFonts w:ascii="Times" w:hAnsi="Times"/>
          <w:sz w:val="28"/>
          <w:szCs w:val="28"/>
          <w:lang w:val="uk-UA"/>
        </w:rPr>
        <w:t>. За даними ст</w:t>
      </w:r>
      <w:r w:rsidR="004E5EBF">
        <w:rPr>
          <w:rFonts w:ascii="Times" w:hAnsi="Times"/>
          <w:sz w:val="28"/>
          <w:szCs w:val="28"/>
          <w:lang w:val="uk-UA"/>
        </w:rPr>
        <w:t>атистики</w:t>
      </w:r>
      <w:r w:rsidRPr="004E5EBF">
        <w:rPr>
          <w:rFonts w:ascii="Times" w:hAnsi="Times"/>
          <w:sz w:val="28"/>
          <w:szCs w:val="28"/>
          <w:lang w:val="uk-UA"/>
        </w:rPr>
        <w:t>, в структурі даної патології нерідко реєструються хронічне обструктивне захворювання легень (</w:t>
      </w:r>
      <w:r w:rsidR="004E5EBF">
        <w:rPr>
          <w:rFonts w:ascii="Times" w:hAnsi="Times"/>
          <w:sz w:val="28"/>
          <w:szCs w:val="28"/>
          <w:lang w:val="uk-UA"/>
        </w:rPr>
        <w:t>ХОЗЛ) і хронічний панкреатит (ХП)</w:t>
      </w:r>
      <w:r w:rsidRPr="004E5EBF">
        <w:rPr>
          <w:rFonts w:ascii="Times" w:hAnsi="Times"/>
          <w:sz w:val="28"/>
          <w:szCs w:val="28"/>
          <w:lang w:val="uk-UA"/>
        </w:rPr>
        <w:t>, які широко поширені серед всіх верств населення і мають тенденцію до п</w:t>
      </w:r>
      <w:r w:rsidR="004E5EBF">
        <w:rPr>
          <w:rFonts w:ascii="Times" w:hAnsi="Times"/>
          <w:sz w:val="28"/>
          <w:szCs w:val="28"/>
          <w:lang w:val="uk-UA"/>
        </w:rPr>
        <w:t xml:space="preserve">рогресування захворюваності. </w:t>
      </w:r>
      <w:r w:rsidR="00FF195C">
        <w:rPr>
          <w:rFonts w:ascii="Times" w:hAnsi="Times"/>
          <w:sz w:val="28"/>
          <w:szCs w:val="28"/>
          <w:lang w:val="uk-UA"/>
        </w:rPr>
        <w:t>Дана обставина</w:t>
      </w:r>
      <w:r w:rsidR="004E5EBF">
        <w:rPr>
          <w:rFonts w:ascii="Times" w:hAnsi="Times"/>
          <w:sz w:val="28"/>
          <w:szCs w:val="28"/>
          <w:lang w:val="uk-UA"/>
        </w:rPr>
        <w:t>, мабуть</w:t>
      </w:r>
      <w:r w:rsidRPr="004E5EBF">
        <w:rPr>
          <w:rFonts w:ascii="Times" w:hAnsi="Times"/>
          <w:sz w:val="28"/>
          <w:szCs w:val="28"/>
          <w:lang w:val="uk-UA"/>
        </w:rPr>
        <w:t>, пов'язан</w:t>
      </w:r>
      <w:r w:rsidR="00FF195C">
        <w:rPr>
          <w:rFonts w:ascii="Times" w:hAnsi="Times"/>
          <w:sz w:val="28"/>
          <w:szCs w:val="28"/>
          <w:lang w:val="uk-UA"/>
        </w:rPr>
        <w:t>а</w:t>
      </w:r>
      <w:r w:rsidRPr="004E5EBF">
        <w:rPr>
          <w:rFonts w:ascii="Times" w:hAnsi="Times"/>
          <w:sz w:val="28"/>
          <w:szCs w:val="28"/>
          <w:lang w:val="uk-UA"/>
        </w:rPr>
        <w:t xml:space="preserve"> з </w:t>
      </w:r>
      <w:r w:rsidR="00FF195C">
        <w:rPr>
          <w:rFonts w:ascii="Times" w:hAnsi="Times"/>
          <w:sz w:val="28"/>
          <w:szCs w:val="28"/>
          <w:lang w:val="uk-UA"/>
        </w:rPr>
        <w:t>існуванням цілого ряду спільних факторів</w:t>
      </w:r>
      <w:r w:rsidRPr="004E5EBF">
        <w:rPr>
          <w:rFonts w:ascii="Times" w:hAnsi="Times"/>
          <w:sz w:val="28"/>
          <w:szCs w:val="28"/>
          <w:lang w:val="uk-UA"/>
        </w:rPr>
        <w:t>, які чинять нега</w:t>
      </w:r>
      <w:r w:rsidR="00FF195C">
        <w:rPr>
          <w:rFonts w:ascii="Times" w:hAnsi="Times"/>
          <w:sz w:val="28"/>
          <w:szCs w:val="28"/>
          <w:lang w:val="uk-UA"/>
        </w:rPr>
        <w:t>тивний вплив на перебіг як ХОЗЛ, так і ХП</w:t>
      </w:r>
      <w:r w:rsidRPr="004E5EBF">
        <w:rPr>
          <w:rFonts w:ascii="Times" w:hAnsi="Times"/>
          <w:sz w:val="28"/>
          <w:szCs w:val="28"/>
          <w:lang w:val="uk-UA"/>
        </w:rPr>
        <w:t>, таких як:</w:t>
      </w:r>
      <w:r w:rsidR="00FF195C">
        <w:rPr>
          <w:rFonts w:ascii="Times" w:hAnsi="Times"/>
          <w:sz w:val="28"/>
          <w:szCs w:val="28"/>
          <w:lang w:val="uk-UA"/>
        </w:rPr>
        <w:t xml:space="preserve"> куріння, зловживання алкоголем, вплив ряду токсичних речовин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FF195C">
        <w:rPr>
          <w:rFonts w:ascii="Times" w:hAnsi="Times"/>
          <w:sz w:val="28"/>
          <w:szCs w:val="28"/>
          <w:lang w:val="uk-UA"/>
        </w:rPr>
        <w:t>факторів зовнішнього середо</w:t>
      </w:r>
      <w:r w:rsidR="00701EA7">
        <w:rPr>
          <w:rFonts w:ascii="Times" w:hAnsi="Times"/>
          <w:sz w:val="28"/>
          <w:szCs w:val="28"/>
          <w:lang w:val="uk-UA"/>
        </w:rPr>
        <w:t>вища, вірусів, бактерій та ін [</w:t>
      </w:r>
      <w:r w:rsidR="00FF195C">
        <w:rPr>
          <w:rFonts w:ascii="Times" w:hAnsi="Times"/>
          <w:sz w:val="28"/>
          <w:szCs w:val="28"/>
          <w:lang w:val="uk-UA"/>
        </w:rPr>
        <w:t>3,</w:t>
      </w:r>
      <w:r w:rsidR="00701EA7">
        <w:rPr>
          <w:rFonts w:ascii="Times" w:hAnsi="Times"/>
          <w:sz w:val="28"/>
          <w:szCs w:val="28"/>
          <w:lang w:val="uk-UA"/>
        </w:rPr>
        <w:t xml:space="preserve"> с. 62, </w:t>
      </w:r>
      <w:r w:rsidR="00FF195C">
        <w:rPr>
          <w:rFonts w:ascii="Times" w:hAnsi="Times"/>
          <w:sz w:val="28"/>
          <w:szCs w:val="28"/>
          <w:lang w:val="uk-UA"/>
        </w:rPr>
        <w:t>4</w:t>
      </w:r>
      <w:r w:rsidR="00701EA7">
        <w:rPr>
          <w:rFonts w:ascii="Times" w:hAnsi="Times"/>
          <w:sz w:val="28"/>
          <w:szCs w:val="28"/>
          <w:lang w:val="uk-UA"/>
        </w:rPr>
        <w:t>, с.</w:t>
      </w:r>
      <w:r w:rsidR="009D5D6C">
        <w:rPr>
          <w:rFonts w:ascii="Times" w:hAnsi="Times"/>
          <w:sz w:val="28"/>
          <w:szCs w:val="28"/>
          <w:lang w:val="uk-UA"/>
        </w:rPr>
        <w:t xml:space="preserve"> 550</w:t>
      </w:r>
      <w:r w:rsidR="00FF195C">
        <w:rPr>
          <w:rFonts w:ascii="Times" w:hAnsi="Times"/>
          <w:sz w:val="28"/>
          <w:szCs w:val="28"/>
          <w:lang w:val="uk-UA"/>
        </w:rPr>
        <w:t>,</w:t>
      </w:r>
      <w:r w:rsidR="009D5D6C">
        <w:rPr>
          <w:rFonts w:ascii="Times" w:hAnsi="Times"/>
          <w:sz w:val="28"/>
          <w:szCs w:val="28"/>
          <w:lang w:val="uk-UA"/>
        </w:rPr>
        <w:t xml:space="preserve"> </w:t>
      </w:r>
      <w:r w:rsidR="00FF195C">
        <w:rPr>
          <w:rFonts w:ascii="Times" w:hAnsi="Times"/>
          <w:sz w:val="28"/>
          <w:szCs w:val="28"/>
          <w:lang w:val="uk-UA"/>
        </w:rPr>
        <w:t>5</w:t>
      </w:r>
      <w:r w:rsidR="009D5D6C">
        <w:rPr>
          <w:rFonts w:ascii="Times" w:hAnsi="Times"/>
          <w:sz w:val="28"/>
          <w:szCs w:val="28"/>
          <w:lang w:val="uk-UA"/>
        </w:rPr>
        <w:t>, с.205</w:t>
      </w:r>
      <w:r w:rsidR="00FF195C">
        <w:rPr>
          <w:rFonts w:ascii="Times" w:hAnsi="Times"/>
          <w:sz w:val="28"/>
          <w:szCs w:val="28"/>
          <w:lang w:val="uk-UA"/>
        </w:rPr>
        <w:t>]. У той же час</w:t>
      </w:r>
      <w:r w:rsidRPr="004E5EBF">
        <w:rPr>
          <w:rFonts w:ascii="Times" w:hAnsi="Times"/>
          <w:sz w:val="28"/>
          <w:szCs w:val="28"/>
          <w:lang w:val="uk-UA"/>
        </w:rPr>
        <w:t>, як</w:t>
      </w:r>
      <w:r w:rsidR="00FF195C">
        <w:rPr>
          <w:rFonts w:ascii="Times" w:hAnsi="Times"/>
          <w:sz w:val="28"/>
          <w:szCs w:val="28"/>
          <w:lang w:val="uk-UA"/>
        </w:rPr>
        <w:t xml:space="preserve"> ХОЗЛ</w:t>
      </w:r>
      <w:r w:rsidRPr="004E5EBF">
        <w:rPr>
          <w:rFonts w:ascii="Times" w:hAnsi="Times"/>
          <w:sz w:val="28"/>
          <w:szCs w:val="28"/>
          <w:lang w:val="uk-UA"/>
        </w:rPr>
        <w:t>, так і ХП притаманна ст</w:t>
      </w:r>
      <w:r w:rsidR="00FF195C">
        <w:rPr>
          <w:rFonts w:ascii="Times" w:hAnsi="Times"/>
          <w:sz w:val="28"/>
          <w:szCs w:val="28"/>
          <w:lang w:val="uk-UA"/>
        </w:rPr>
        <w:t>адійність патологічного процесу</w:t>
      </w:r>
      <w:r w:rsidRPr="004E5EBF">
        <w:rPr>
          <w:rFonts w:ascii="Times" w:hAnsi="Times"/>
          <w:sz w:val="28"/>
          <w:szCs w:val="28"/>
          <w:lang w:val="uk-UA"/>
        </w:rPr>
        <w:t>: фази загострення змінюються періодами різного ступеня вираженості ремісії; обидва захворюван</w:t>
      </w:r>
      <w:r w:rsidR="00FF195C">
        <w:rPr>
          <w:rFonts w:ascii="Times" w:hAnsi="Times"/>
          <w:sz w:val="28"/>
          <w:szCs w:val="28"/>
          <w:lang w:val="uk-UA"/>
        </w:rPr>
        <w:t xml:space="preserve">ня носять </w:t>
      </w:r>
      <w:r w:rsidR="00FF195C">
        <w:rPr>
          <w:rFonts w:ascii="Times" w:hAnsi="Times"/>
          <w:sz w:val="28"/>
          <w:szCs w:val="28"/>
          <w:lang w:val="uk-UA"/>
        </w:rPr>
        <w:lastRenderedPageBreak/>
        <w:t>прогресуючий характер</w:t>
      </w:r>
      <w:r w:rsidRPr="004E5EBF">
        <w:rPr>
          <w:rFonts w:ascii="Times" w:hAnsi="Times"/>
          <w:sz w:val="28"/>
          <w:szCs w:val="28"/>
          <w:lang w:val="uk-UA"/>
        </w:rPr>
        <w:t>, істотно вп</w:t>
      </w:r>
      <w:r w:rsidR="00FF195C">
        <w:rPr>
          <w:rFonts w:ascii="Times" w:hAnsi="Times"/>
          <w:sz w:val="28"/>
          <w:szCs w:val="28"/>
          <w:lang w:val="uk-UA"/>
        </w:rPr>
        <w:t>ливає на якість життя пацієнтів</w:t>
      </w:r>
      <w:r w:rsidRPr="004E5EBF">
        <w:rPr>
          <w:rFonts w:ascii="Times" w:hAnsi="Times"/>
          <w:sz w:val="28"/>
          <w:szCs w:val="28"/>
          <w:lang w:val="uk-UA"/>
        </w:rPr>
        <w:t>, призводять до швидкого розвитку ускладнень та інвалідизації даної категорії хворих.</w:t>
      </w:r>
    </w:p>
    <w:p w14:paraId="357C877E" w14:textId="2C70EC91" w:rsidR="00153DBF" w:rsidRPr="004E5EBF" w:rsidRDefault="00264EA2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 Фаза загострення па</w:t>
      </w:r>
      <w:r w:rsidR="008E6482">
        <w:rPr>
          <w:rFonts w:ascii="Times" w:hAnsi="Times"/>
          <w:sz w:val="28"/>
          <w:szCs w:val="28"/>
          <w:lang w:val="uk-UA"/>
        </w:rPr>
        <w:t>тологічного процесу, насамперед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8E6482">
        <w:rPr>
          <w:rFonts w:ascii="Times" w:hAnsi="Times"/>
          <w:sz w:val="28"/>
          <w:szCs w:val="28"/>
          <w:lang w:val="uk-UA"/>
        </w:rPr>
        <w:t>включає в себе імунну відповідь</w:t>
      </w:r>
      <w:r w:rsidRPr="004E5EBF">
        <w:rPr>
          <w:rFonts w:ascii="Times" w:hAnsi="Times"/>
          <w:sz w:val="28"/>
          <w:szCs w:val="28"/>
          <w:lang w:val="uk-UA"/>
        </w:rPr>
        <w:t>, ініціацію якого пов'язують з активацією прозапально</w:t>
      </w:r>
      <w:r w:rsidR="008E6482">
        <w:rPr>
          <w:rFonts w:ascii="Times" w:hAnsi="Times"/>
          <w:sz w:val="28"/>
          <w:szCs w:val="28"/>
          <w:lang w:val="uk-UA"/>
        </w:rPr>
        <w:t xml:space="preserve">ї </w:t>
      </w:r>
      <w:r w:rsidRPr="004E5EBF">
        <w:rPr>
          <w:rFonts w:ascii="Times" w:hAnsi="Times"/>
          <w:sz w:val="28"/>
          <w:szCs w:val="28"/>
          <w:lang w:val="uk-UA"/>
        </w:rPr>
        <w:t>циток</w:t>
      </w:r>
      <w:r w:rsidR="008E6482">
        <w:rPr>
          <w:rFonts w:ascii="Times" w:hAnsi="Times"/>
          <w:sz w:val="28"/>
          <w:szCs w:val="28"/>
          <w:lang w:val="uk-UA"/>
        </w:rPr>
        <w:t>інової ланки імунної системи (</w:t>
      </w:r>
      <w:r w:rsidRPr="004E5EBF">
        <w:rPr>
          <w:rFonts w:ascii="Times" w:hAnsi="Times"/>
          <w:sz w:val="28"/>
          <w:szCs w:val="28"/>
          <w:lang w:val="uk-UA"/>
        </w:rPr>
        <w:t>інтер</w:t>
      </w:r>
      <w:r w:rsidR="008E6482">
        <w:rPr>
          <w:rFonts w:ascii="Times" w:hAnsi="Times"/>
          <w:sz w:val="28"/>
          <w:szCs w:val="28"/>
          <w:lang w:val="uk-UA"/>
        </w:rPr>
        <w:t>лейкіну-1β і ФНП-α)</w:t>
      </w:r>
      <w:r w:rsidRPr="004E5EBF">
        <w:rPr>
          <w:rFonts w:ascii="Times" w:hAnsi="Times"/>
          <w:sz w:val="28"/>
          <w:szCs w:val="28"/>
          <w:lang w:val="uk-UA"/>
        </w:rPr>
        <w:t>,</w:t>
      </w:r>
      <w:r w:rsidR="008E6482">
        <w:rPr>
          <w:rFonts w:ascii="Times" w:hAnsi="Times"/>
          <w:sz w:val="28"/>
          <w:szCs w:val="28"/>
          <w:lang w:val="uk-UA"/>
        </w:rPr>
        <w:t xml:space="preserve"> які, в свою чергу,  виступають у якості пускового механізму цілого каскад</w:t>
      </w:r>
      <w:r w:rsidR="00AA23F5">
        <w:rPr>
          <w:rFonts w:ascii="Times" w:hAnsi="Times"/>
          <w:sz w:val="28"/>
          <w:szCs w:val="28"/>
          <w:lang w:val="uk-UA"/>
        </w:rPr>
        <w:t>у</w:t>
      </w:r>
      <w:r w:rsidR="008E6482">
        <w:rPr>
          <w:rFonts w:ascii="Times" w:hAnsi="Times"/>
          <w:sz w:val="28"/>
          <w:szCs w:val="28"/>
          <w:lang w:val="uk-UA"/>
        </w:rPr>
        <w:t xml:space="preserve"> імунних реакцій</w:t>
      </w:r>
      <w:r w:rsidRPr="004E5EBF">
        <w:rPr>
          <w:rFonts w:ascii="Times" w:hAnsi="Times"/>
          <w:sz w:val="28"/>
          <w:szCs w:val="28"/>
          <w:lang w:val="uk-UA"/>
        </w:rPr>
        <w:t>, які й ви</w:t>
      </w:r>
      <w:r w:rsidR="00AA23F5">
        <w:rPr>
          <w:rFonts w:ascii="Times" w:hAnsi="Times"/>
          <w:sz w:val="28"/>
          <w:szCs w:val="28"/>
          <w:lang w:val="uk-UA"/>
        </w:rPr>
        <w:t>значають перебіг захворювання [1,</w:t>
      </w:r>
      <w:r w:rsidR="009D5D6C">
        <w:rPr>
          <w:rFonts w:ascii="Times" w:hAnsi="Times"/>
          <w:sz w:val="28"/>
          <w:szCs w:val="28"/>
          <w:lang w:val="uk-UA"/>
        </w:rPr>
        <w:t xml:space="preserve"> с. 31, </w:t>
      </w:r>
      <w:r w:rsidR="00AA23F5">
        <w:rPr>
          <w:rFonts w:ascii="Times" w:hAnsi="Times"/>
          <w:sz w:val="28"/>
          <w:szCs w:val="28"/>
          <w:lang w:val="uk-UA"/>
        </w:rPr>
        <w:t>2</w:t>
      </w:r>
      <w:r w:rsidR="009D5D6C">
        <w:rPr>
          <w:rFonts w:ascii="Times" w:hAnsi="Times"/>
          <w:sz w:val="28"/>
          <w:szCs w:val="28"/>
          <w:lang w:val="uk-UA"/>
        </w:rPr>
        <w:t>, с. 6</w:t>
      </w:r>
      <w:r w:rsidR="00AA23F5">
        <w:rPr>
          <w:rFonts w:ascii="Times" w:hAnsi="Times"/>
          <w:sz w:val="28"/>
          <w:szCs w:val="28"/>
          <w:lang w:val="uk-UA"/>
        </w:rPr>
        <w:t>]</w:t>
      </w:r>
      <w:r w:rsidRPr="004E5EBF">
        <w:rPr>
          <w:rFonts w:ascii="Times" w:hAnsi="Times"/>
          <w:sz w:val="28"/>
          <w:szCs w:val="28"/>
          <w:lang w:val="uk-UA"/>
        </w:rPr>
        <w:t>.</w:t>
      </w:r>
      <w:r w:rsidR="00AA23F5">
        <w:rPr>
          <w:rFonts w:ascii="Times" w:hAnsi="Times"/>
          <w:sz w:val="28"/>
          <w:szCs w:val="28"/>
          <w:lang w:val="uk-UA"/>
        </w:rPr>
        <w:t xml:space="preserve"> Усе вищезазначене й було поштовхом до проведення даного дослідження.</w:t>
      </w:r>
    </w:p>
    <w:p w14:paraId="0566AE44" w14:textId="77777777"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AA23F5">
        <w:rPr>
          <w:rFonts w:ascii="Times" w:hAnsi="Times"/>
          <w:b/>
          <w:sz w:val="28"/>
          <w:szCs w:val="28"/>
          <w:lang w:val="uk-UA"/>
        </w:rPr>
        <w:t>Мета</w:t>
      </w:r>
      <w:r w:rsidR="00AA23F5">
        <w:rPr>
          <w:rFonts w:ascii="Times" w:hAnsi="Times"/>
          <w:sz w:val="28"/>
          <w:szCs w:val="28"/>
          <w:lang w:val="uk-UA"/>
        </w:rPr>
        <w:t>.</w:t>
      </w:r>
      <w:r w:rsidRPr="004E5EBF">
        <w:rPr>
          <w:rFonts w:ascii="Times" w:hAnsi="Times"/>
          <w:sz w:val="28"/>
          <w:szCs w:val="28"/>
          <w:lang w:val="uk-UA"/>
        </w:rPr>
        <w:t xml:space="preserve"> Визначення стану протизапального цитокінового ланки імунітету у хворих з поєднаним перебігом ХОЗЛ та ХП .</w:t>
      </w:r>
    </w:p>
    <w:p w14:paraId="4F3810BD" w14:textId="77777777" w:rsidR="006B4D0B" w:rsidRPr="004E5EBF" w:rsidRDefault="00AA23F5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Матеріали і методи дослідження</w:t>
      </w:r>
      <w:r w:rsidR="006B4D0B" w:rsidRPr="00AA23F5">
        <w:rPr>
          <w:rFonts w:ascii="Times" w:hAnsi="Times"/>
          <w:b/>
          <w:sz w:val="28"/>
          <w:szCs w:val="28"/>
          <w:lang w:val="uk-UA"/>
        </w:rPr>
        <w:t>.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Під нагля</w:t>
      </w:r>
      <w:r w:rsidR="002409A4">
        <w:rPr>
          <w:rFonts w:ascii="Times" w:hAnsi="Times"/>
          <w:sz w:val="28"/>
          <w:szCs w:val="28"/>
          <w:lang w:val="uk-UA"/>
        </w:rPr>
        <w:t>дом перебувало 97 хворих з ХОЗЛ</w:t>
      </w:r>
      <w:r w:rsidR="006B4D0B" w:rsidRPr="004E5EBF">
        <w:rPr>
          <w:rFonts w:ascii="Times" w:hAnsi="Times"/>
          <w:sz w:val="28"/>
          <w:szCs w:val="28"/>
          <w:lang w:val="uk-UA"/>
        </w:rPr>
        <w:t>. Сер</w:t>
      </w:r>
      <w:r w:rsidR="002409A4">
        <w:rPr>
          <w:rFonts w:ascii="Times" w:hAnsi="Times"/>
          <w:sz w:val="28"/>
          <w:szCs w:val="28"/>
          <w:lang w:val="uk-UA"/>
        </w:rPr>
        <w:t>едній вік обстежених склав 49,2±8,6 років</w:t>
      </w:r>
      <w:r w:rsidR="006B4D0B" w:rsidRPr="004E5EBF">
        <w:rPr>
          <w:rFonts w:ascii="Times" w:hAnsi="Times"/>
          <w:sz w:val="28"/>
          <w:szCs w:val="28"/>
          <w:lang w:val="uk-UA"/>
        </w:rPr>
        <w:t>, тривалість захворювання коливалася від 4 до 2</w:t>
      </w:r>
      <w:r w:rsidR="002409A4">
        <w:rPr>
          <w:rFonts w:ascii="Times" w:hAnsi="Times"/>
          <w:sz w:val="28"/>
          <w:szCs w:val="28"/>
          <w:lang w:val="uk-UA"/>
        </w:rPr>
        <w:t>2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років. У 61 пацієнта з ХОЗЛ </w:t>
      </w:r>
      <w:r w:rsidR="002409A4">
        <w:rPr>
          <w:rFonts w:ascii="Times" w:hAnsi="Times"/>
          <w:sz w:val="28"/>
          <w:szCs w:val="28"/>
          <w:lang w:val="uk-UA"/>
        </w:rPr>
        <w:t>перебігало на тлі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хронічн</w:t>
      </w:r>
      <w:r w:rsidR="002409A4">
        <w:rPr>
          <w:rFonts w:ascii="Times" w:hAnsi="Times"/>
          <w:sz w:val="28"/>
          <w:szCs w:val="28"/>
          <w:lang w:val="uk-UA"/>
        </w:rPr>
        <w:t>ого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панкреат</w:t>
      </w:r>
      <w:r w:rsidR="002409A4">
        <w:rPr>
          <w:rFonts w:ascii="Times" w:hAnsi="Times"/>
          <w:sz w:val="28"/>
          <w:szCs w:val="28"/>
          <w:lang w:val="uk-UA"/>
        </w:rPr>
        <w:t>у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2409A4">
        <w:rPr>
          <w:rFonts w:ascii="Times" w:hAnsi="Times"/>
          <w:sz w:val="28"/>
          <w:szCs w:val="28"/>
          <w:lang w:val="uk-UA"/>
        </w:rPr>
        <w:t>(</w:t>
      </w:r>
      <w:r w:rsidR="006B4D0B" w:rsidRPr="004E5EBF">
        <w:rPr>
          <w:rFonts w:ascii="Times" w:hAnsi="Times"/>
          <w:sz w:val="28"/>
          <w:szCs w:val="28"/>
          <w:lang w:val="uk-UA"/>
        </w:rPr>
        <w:t>основна група). Тривалість анамнезу по Х</w:t>
      </w:r>
      <w:r w:rsidR="002409A4">
        <w:rPr>
          <w:rFonts w:ascii="Times" w:hAnsi="Times"/>
          <w:sz w:val="28"/>
          <w:szCs w:val="28"/>
          <w:lang w:val="uk-UA"/>
        </w:rPr>
        <w:t>П коливалася в межах 2-17 років</w:t>
      </w:r>
      <w:r w:rsidR="006B4D0B" w:rsidRPr="004E5EBF">
        <w:rPr>
          <w:rFonts w:ascii="Times" w:hAnsi="Times"/>
          <w:sz w:val="28"/>
          <w:szCs w:val="28"/>
          <w:lang w:val="uk-UA"/>
        </w:rPr>
        <w:t>, частота загострень захворювання не перевищувала 2-3 разів на рік. Показники норми були отримані при обстеженні 20 практично здорових</w:t>
      </w:r>
      <w:r w:rsidR="002409A4">
        <w:rPr>
          <w:rFonts w:ascii="Times" w:hAnsi="Times"/>
          <w:sz w:val="28"/>
          <w:szCs w:val="28"/>
          <w:lang w:val="uk-UA"/>
        </w:rPr>
        <w:t xml:space="preserve"> осіб аналогічного статі і віку</w:t>
      </w:r>
      <w:r w:rsidR="006B4D0B" w:rsidRPr="004E5EBF">
        <w:rPr>
          <w:rFonts w:ascii="Times" w:hAnsi="Times"/>
          <w:sz w:val="28"/>
          <w:szCs w:val="28"/>
          <w:lang w:val="uk-UA"/>
        </w:rPr>
        <w:t>, що дозволило зіставити отримані результати.</w:t>
      </w:r>
    </w:p>
    <w:p w14:paraId="34E6F8AE" w14:textId="77777777"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Дослідження прозапального ланки імунітету про</w:t>
      </w:r>
      <w:r w:rsidR="002409A4">
        <w:rPr>
          <w:rFonts w:ascii="Times" w:hAnsi="Times"/>
          <w:sz w:val="28"/>
          <w:szCs w:val="28"/>
          <w:lang w:val="uk-UA"/>
        </w:rPr>
        <w:t>водилося шляхом визначення ФНП-α , ІЛ-</w:t>
      </w:r>
      <w:r w:rsidRPr="004E5EBF">
        <w:rPr>
          <w:rFonts w:ascii="Times" w:hAnsi="Times"/>
          <w:sz w:val="28"/>
          <w:szCs w:val="28"/>
          <w:lang w:val="uk-UA"/>
        </w:rPr>
        <w:t>1β з використання</w:t>
      </w:r>
      <w:r w:rsidR="002409A4">
        <w:rPr>
          <w:rFonts w:ascii="Times" w:hAnsi="Times"/>
          <w:sz w:val="28"/>
          <w:szCs w:val="28"/>
          <w:lang w:val="uk-UA"/>
        </w:rPr>
        <w:t>м сертифікованих в Україні тест-</w:t>
      </w:r>
      <w:r w:rsidR="005602F1">
        <w:rPr>
          <w:rFonts w:ascii="Times" w:hAnsi="Times"/>
          <w:sz w:val="28"/>
          <w:szCs w:val="28"/>
          <w:lang w:val="uk-UA"/>
        </w:rPr>
        <w:t>систем виробництва ТОВ «Протеинов</w:t>
      </w:r>
      <w:r w:rsidR="005602F1">
        <w:rPr>
          <w:rFonts w:ascii="Times" w:hAnsi="Times"/>
          <w:sz w:val="28"/>
          <w:szCs w:val="28"/>
        </w:rPr>
        <w:t>ы</w:t>
      </w:r>
      <w:r w:rsidRPr="004E5EBF">
        <w:rPr>
          <w:rFonts w:ascii="Times" w:hAnsi="Times"/>
          <w:sz w:val="28"/>
          <w:szCs w:val="28"/>
          <w:lang w:val="uk-UA"/>
        </w:rPr>
        <w:t>й конт</w:t>
      </w:r>
      <w:r w:rsidR="005602F1">
        <w:rPr>
          <w:rFonts w:ascii="Times" w:hAnsi="Times"/>
          <w:sz w:val="28"/>
          <w:szCs w:val="28"/>
          <w:lang w:val="uk-UA"/>
        </w:rPr>
        <w:t>ур» (ProCon), СПБ, Росія</w:t>
      </w:r>
      <w:r w:rsidRPr="004E5EBF">
        <w:rPr>
          <w:rFonts w:ascii="Times" w:hAnsi="Times"/>
          <w:sz w:val="28"/>
          <w:szCs w:val="28"/>
          <w:lang w:val="uk-UA"/>
        </w:rPr>
        <w:t>. Дослідження проводили на імуноферментному аналізаторі PR 1200 Sanofi Diagnostics Pasteur (Франція).</w:t>
      </w:r>
    </w:p>
    <w:p w14:paraId="1BDEF2C5" w14:textId="77777777" w:rsidR="00892754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Статистична обробка отриманих результатів проводилася за допомогою одно- і багатофак</w:t>
      </w:r>
      <w:r w:rsidR="00892754">
        <w:rPr>
          <w:rFonts w:ascii="Times" w:hAnsi="Times"/>
          <w:sz w:val="28"/>
          <w:szCs w:val="28"/>
          <w:lang w:val="uk-UA"/>
        </w:rPr>
        <w:t>торного дисперсійного аналізу (пакет ліцензійних програм "Microsoft Exel", "Stadia.6.prof", "Statistica")</w:t>
      </w:r>
      <w:r w:rsidRPr="004E5EBF">
        <w:rPr>
          <w:rFonts w:ascii="Times" w:hAnsi="Times"/>
          <w:sz w:val="28"/>
          <w:szCs w:val="28"/>
          <w:lang w:val="uk-UA"/>
        </w:rPr>
        <w:t xml:space="preserve">. </w:t>
      </w:r>
    </w:p>
    <w:p w14:paraId="531434F3" w14:textId="77777777" w:rsidR="00264EA2" w:rsidRDefault="00892754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Результати дослідження</w:t>
      </w:r>
      <w:r w:rsidR="006B4D0B" w:rsidRPr="00892754">
        <w:rPr>
          <w:rFonts w:ascii="Times" w:hAnsi="Times"/>
          <w:b/>
          <w:sz w:val="28"/>
          <w:szCs w:val="28"/>
          <w:lang w:val="uk-UA"/>
        </w:rPr>
        <w:t>.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Рівень прозапальних цитокінів достовірно перевищував показники норми </w:t>
      </w:r>
      <w:r>
        <w:rPr>
          <w:rFonts w:ascii="Times" w:hAnsi="Times"/>
          <w:sz w:val="28"/>
          <w:szCs w:val="28"/>
          <w:lang w:val="uk-UA"/>
        </w:rPr>
        <w:t>в обох групах обстежених хворих</w:t>
      </w:r>
      <w:r w:rsidR="006B4D0B" w:rsidRPr="004E5EBF">
        <w:rPr>
          <w:rFonts w:ascii="Times" w:hAnsi="Times"/>
          <w:sz w:val="28"/>
          <w:szCs w:val="28"/>
          <w:lang w:val="uk-UA"/>
        </w:rPr>
        <w:t>, однак при</w:t>
      </w:r>
      <w:r>
        <w:rPr>
          <w:rFonts w:ascii="Times" w:hAnsi="Times"/>
          <w:sz w:val="28"/>
          <w:szCs w:val="28"/>
          <w:lang w:val="uk-UA"/>
        </w:rPr>
        <w:t xml:space="preserve"> поєднаної патології рівні ФНП-α, ІЛ-</w:t>
      </w:r>
      <w:r w:rsidR="006B4D0B" w:rsidRPr="004E5EBF">
        <w:rPr>
          <w:rFonts w:ascii="Times" w:hAnsi="Times"/>
          <w:sz w:val="28"/>
          <w:szCs w:val="28"/>
          <w:lang w:val="uk-UA"/>
        </w:rPr>
        <w:t>1β були значно вище і достовірно відрізнялися від таких у групі порівняння (табл.1).</w:t>
      </w:r>
    </w:p>
    <w:p w14:paraId="49402FC2" w14:textId="77777777" w:rsidR="00892754" w:rsidRPr="004E5EBF" w:rsidRDefault="00892754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14:paraId="3E750B61" w14:textId="77777777" w:rsidR="006B4D0B" w:rsidRPr="004E5EBF" w:rsidRDefault="006B4D0B" w:rsidP="00892754">
      <w:pPr>
        <w:spacing w:line="360" w:lineRule="auto"/>
        <w:ind w:firstLine="709"/>
        <w:jc w:val="right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Таблиця 1 </w:t>
      </w:r>
    </w:p>
    <w:p w14:paraId="2B426347" w14:textId="77777777" w:rsidR="006B4D0B" w:rsidRPr="00892754" w:rsidRDefault="00892754" w:rsidP="007869C0">
      <w:pPr>
        <w:spacing w:line="360" w:lineRule="auto"/>
        <w:ind w:firstLine="709"/>
        <w:jc w:val="both"/>
        <w:rPr>
          <w:rFonts w:ascii="Times" w:hAnsi="Times"/>
          <w:b/>
          <w:sz w:val="28"/>
          <w:szCs w:val="28"/>
          <w:lang w:val="uk-UA"/>
        </w:rPr>
      </w:pPr>
      <w:r>
        <w:rPr>
          <w:rFonts w:ascii="Times" w:hAnsi="Times"/>
          <w:b/>
          <w:sz w:val="28"/>
          <w:szCs w:val="28"/>
          <w:lang w:val="uk-UA"/>
        </w:rPr>
        <w:t>В</w:t>
      </w:r>
      <w:r w:rsidR="006B4D0B" w:rsidRPr="00892754">
        <w:rPr>
          <w:rFonts w:ascii="Times" w:hAnsi="Times"/>
          <w:b/>
          <w:sz w:val="28"/>
          <w:szCs w:val="28"/>
          <w:lang w:val="uk-UA"/>
        </w:rPr>
        <w:t>міст окремих цитокінів в сироватці крові у обстежених хворих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266"/>
        <w:gridCol w:w="2758"/>
        <w:gridCol w:w="2664"/>
      </w:tblGrid>
      <w:tr w:rsidR="006B4D0B" w:rsidRPr="004E5EBF" w14:paraId="51A133E4" w14:textId="77777777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8DF" w14:textId="77777777" w:rsidR="00BF2641" w:rsidRDefault="006B4D0B" w:rsidP="00BF2641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Показ</w:t>
            </w:r>
            <w:r w:rsidR="00BF2641">
              <w:rPr>
                <w:rFonts w:ascii="Times" w:hAnsi="Times"/>
                <w:b/>
                <w:sz w:val="28"/>
                <w:szCs w:val="28"/>
                <w:lang w:val="uk-UA"/>
              </w:rPr>
              <w:t>ник</w:t>
            </w:r>
          </w:p>
          <w:p w14:paraId="44AEF0D4" w14:textId="77777777" w:rsidR="006B4D0B" w:rsidRPr="004E5EBF" w:rsidRDefault="00BF2641" w:rsidP="00BF2641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(нг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/л)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C93D" w14:textId="77777777" w:rsidR="006B4D0B" w:rsidRPr="004E5EBF" w:rsidRDefault="00BF2641" w:rsidP="00892754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Хворі на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 ХОЗЛ (n=36)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9E2EE" w14:textId="77777777" w:rsidR="006B4D0B" w:rsidRPr="004E5EBF" w:rsidRDefault="00BF2641" w:rsidP="00892754">
            <w:pPr>
              <w:spacing w:line="360" w:lineRule="auto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>
              <w:rPr>
                <w:rFonts w:ascii="Times" w:hAnsi="Times"/>
                <w:b/>
                <w:sz w:val="28"/>
                <w:szCs w:val="28"/>
                <w:lang w:val="uk-UA"/>
              </w:rPr>
              <w:t>Хворі на</w:t>
            </w: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 ХОЗЛ </w:t>
            </w:r>
            <w:r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та </w:t>
            </w:r>
            <w:r w:rsidR="006B4D0B"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ХП (n=61)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3A005" w14:textId="77777777"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Контроль</w:t>
            </w:r>
          </w:p>
          <w:p w14:paraId="6AAEDEAB" w14:textId="77777777"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b/>
                <w:sz w:val="28"/>
                <w:szCs w:val="28"/>
                <w:lang w:val="uk-UA"/>
              </w:rPr>
              <w:t>(n=20)</w:t>
            </w:r>
          </w:p>
        </w:tc>
      </w:tr>
      <w:tr w:rsidR="006B4D0B" w:rsidRPr="004E5EBF" w14:paraId="2C74B8DD" w14:textId="77777777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FA4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ФНО-α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49F1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39,8±2,1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*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86158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92,5±3,4*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/**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9B28B1" w14:textId="77777777"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24,2±1,5</w:t>
            </w:r>
          </w:p>
        </w:tc>
      </w:tr>
      <w:tr w:rsidR="006B4D0B" w:rsidRPr="004E5EBF" w14:paraId="587A645E" w14:textId="77777777" w:rsidTr="0089275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05C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ИЛ-1β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422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44,5±2,6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*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4345B" w14:textId="77777777" w:rsidR="006B4D0B" w:rsidRPr="004E5EBF" w:rsidRDefault="006B4D0B" w:rsidP="00892754">
            <w:pPr>
              <w:spacing w:line="360" w:lineRule="auto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71,2±3,2*</w:t>
            </w:r>
            <w:r w:rsidR="00710149">
              <w:rPr>
                <w:rFonts w:ascii="Times" w:hAnsi="Times"/>
                <w:sz w:val="28"/>
                <w:szCs w:val="28"/>
                <w:lang w:val="uk-UA"/>
              </w:rPr>
              <w:t>/**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97641" w14:textId="77777777" w:rsidR="006B4D0B" w:rsidRPr="004E5EBF" w:rsidRDefault="006B4D0B" w:rsidP="00892754">
            <w:pPr>
              <w:spacing w:line="360" w:lineRule="auto"/>
              <w:ind w:left="109" w:firstLine="38"/>
              <w:jc w:val="center"/>
              <w:rPr>
                <w:rFonts w:ascii="Times" w:hAnsi="Times"/>
                <w:sz w:val="28"/>
                <w:szCs w:val="28"/>
                <w:lang w:val="uk-UA"/>
              </w:rPr>
            </w:pPr>
            <w:r w:rsidRPr="004E5EBF">
              <w:rPr>
                <w:rFonts w:ascii="Times" w:hAnsi="Times"/>
                <w:sz w:val="28"/>
                <w:szCs w:val="28"/>
                <w:lang w:val="uk-UA"/>
              </w:rPr>
              <w:t>26,0±1,6</w:t>
            </w:r>
          </w:p>
        </w:tc>
      </w:tr>
    </w:tbl>
    <w:p w14:paraId="6A69524C" w14:textId="77777777" w:rsidR="006B4D0B" w:rsidRDefault="00BF2641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Примітка: *</w:t>
      </w:r>
      <w:r w:rsidR="00710149">
        <w:rPr>
          <w:rFonts w:ascii="Times" w:hAnsi="Times"/>
          <w:sz w:val="28"/>
          <w:szCs w:val="28"/>
          <w:lang w:val="uk-UA"/>
        </w:rPr>
        <w:t xml:space="preserve"> </w:t>
      </w:r>
      <w:r>
        <w:rPr>
          <w:rFonts w:ascii="Times" w:hAnsi="Times"/>
          <w:sz w:val="28"/>
          <w:szCs w:val="28"/>
          <w:lang w:val="uk-UA"/>
        </w:rPr>
        <w:t>-</w:t>
      </w:r>
      <w:r w:rsidR="00710149">
        <w:rPr>
          <w:rFonts w:ascii="Times" w:hAnsi="Times"/>
          <w:sz w:val="28"/>
          <w:szCs w:val="28"/>
          <w:lang w:val="uk-UA"/>
        </w:rPr>
        <w:t xml:space="preserve"> </w:t>
      </w:r>
      <w:r>
        <w:rPr>
          <w:rFonts w:ascii="Times" w:hAnsi="Times"/>
          <w:sz w:val="28"/>
          <w:szCs w:val="28"/>
          <w:lang w:val="uk-UA"/>
        </w:rPr>
        <w:t xml:space="preserve">при </w:t>
      </w:r>
      <w:r w:rsidR="00710149" w:rsidRPr="00710149">
        <w:rPr>
          <w:rFonts w:ascii="Times" w:hAnsi="Times"/>
          <w:sz w:val="28"/>
          <w:szCs w:val="28"/>
          <w:lang w:val="uk-UA"/>
        </w:rPr>
        <w:t>р</w:t>
      </w:r>
      <w:r w:rsidR="006B4D0B" w:rsidRPr="004E5EBF">
        <w:rPr>
          <w:rFonts w:ascii="Times" w:hAnsi="Times"/>
          <w:sz w:val="28"/>
          <w:szCs w:val="28"/>
          <w:lang w:val="uk-UA"/>
        </w:rPr>
        <w:t>&lt;0,05 при порівнянні з контролем</w:t>
      </w:r>
      <w:r w:rsidR="00710149">
        <w:rPr>
          <w:rFonts w:ascii="Times" w:hAnsi="Times"/>
          <w:sz w:val="28"/>
          <w:szCs w:val="28"/>
          <w:lang w:val="uk-UA"/>
        </w:rPr>
        <w:t xml:space="preserve">; ** - при </w:t>
      </w:r>
      <w:r w:rsidR="00710149" w:rsidRPr="00710149">
        <w:rPr>
          <w:rFonts w:ascii="Times" w:hAnsi="Times"/>
          <w:sz w:val="28"/>
          <w:szCs w:val="28"/>
          <w:lang w:val="uk-UA"/>
        </w:rPr>
        <w:t>р</w:t>
      </w:r>
      <w:r w:rsidR="00710149" w:rsidRPr="004E5EBF">
        <w:rPr>
          <w:rFonts w:ascii="Times" w:hAnsi="Times"/>
          <w:sz w:val="28"/>
          <w:szCs w:val="28"/>
          <w:lang w:val="uk-UA"/>
        </w:rPr>
        <w:t>&lt;0,05 при порівнянні</w:t>
      </w:r>
      <w:r w:rsidR="006B4D0B" w:rsidRPr="004E5EBF">
        <w:rPr>
          <w:rFonts w:ascii="Times" w:hAnsi="Times"/>
          <w:sz w:val="28"/>
          <w:szCs w:val="28"/>
          <w:lang w:val="uk-UA"/>
        </w:rPr>
        <w:t xml:space="preserve"> і аналогічними показниками групи хворих з ХОЗЛ.</w:t>
      </w:r>
    </w:p>
    <w:p w14:paraId="658719E1" w14:textId="77777777" w:rsidR="00BF2641" w:rsidRPr="004E5EBF" w:rsidRDefault="00BF2641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p w14:paraId="0AF8B8A3" w14:textId="77777777"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 xml:space="preserve">Як </w:t>
      </w:r>
      <w:r w:rsidR="00710149">
        <w:rPr>
          <w:rFonts w:ascii="Times" w:hAnsi="Times"/>
          <w:sz w:val="28"/>
          <w:szCs w:val="28"/>
          <w:lang w:val="uk-UA"/>
        </w:rPr>
        <w:t>наведено у таблиці 1</w:t>
      </w:r>
      <w:r w:rsidRPr="004E5EBF">
        <w:rPr>
          <w:rFonts w:ascii="Times" w:hAnsi="Times"/>
          <w:sz w:val="28"/>
          <w:szCs w:val="28"/>
          <w:lang w:val="uk-UA"/>
        </w:rPr>
        <w:t>, при поєднаному перебігу ХОЗЛ та ХП спостерігається значна активаці</w:t>
      </w:r>
      <w:r w:rsidR="00710149">
        <w:rPr>
          <w:rFonts w:ascii="Times" w:hAnsi="Times"/>
          <w:sz w:val="28"/>
          <w:szCs w:val="28"/>
          <w:lang w:val="uk-UA"/>
        </w:rPr>
        <w:t>я прозапального ланки імунітету</w:t>
      </w:r>
      <w:r w:rsidRPr="004E5EBF">
        <w:rPr>
          <w:rFonts w:ascii="Times" w:hAnsi="Times"/>
          <w:sz w:val="28"/>
          <w:szCs w:val="28"/>
          <w:lang w:val="uk-UA"/>
        </w:rPr>
        <w:t>, незважаючи на стадію ремісії панкреатиту. Можна припустити, що наявність</w:t>
      </w:r>
      <w:r w:rsidR="003D026F">
        <w:rPr>
          <w:rFonts w:ascii="Times" w:hAnsi="Times"/>
          <w:sz w:val="28"/>
          <w:szCs w:val="28"/>
          <w:lang w:val="uk-UA"/>
        </w:rPr>
        <w:t xml:space="preserve"> клінічної ремісії захворювання</w:t>
      </w:r>
      <w:r w:rsidRPr="004E5EBF">
        <w:rPr>
          <w:rFonts w:ascii="Times" w:hAnsi="Times"/>
          <w:sz w:val="28"/>
          <w:szCs w:val="28"/>
          <w:lang w:val="uk-UA"/>
        </w:rPr>
        <w:t>, не завжди супроводжується його лабораторної ремісією і відображає справжній стан патологічних процесів в ор</w:t>
      </w:r>
      <w:r w:rsidR="003D026F">
        <w:rPr>
          <w:rFonts w:ascii="Times" w:hAnsi="Times"/>
          <w:sz w:val="28"/>
          <w:szCs w:val="28"/>
          <w:lang w:val="uk-UA"/>
        </w:rPr>
        <w:t>ганізмі</w:t>
      </w:r>
      <w:r w:rsidRPr="004E5EBF">
        <w:rPr>
          <w:rFonts w:ascii="Times" w:hAnsi="Times"/>
          <w:sz w:val="28"/>
          <w:szCs w:val="28"/>
          <w:lang w:val="uk-UA"/>
        </w:rPr>
        <w:t>, що при йог</w:t>
      </w:r>
      <w:r w:rsidR="003D026F">
        <w:rPr>
          <w:rFonts w:ascii="Times" w:hAnsi="Times"/>
          <w:sz w:val="28"/>
          <w:szCs w:val="28"/>
          <w:lang w:val="uk-UA"/>
        </w:rPr>
        <w:t>о поєднанні з іншою патологією</w:t>
      </w:r>
      <w:r w:rsidRPr="004E5EBF">
        <w:rPr>
          <w:rFonts w:ascii="Times" w:hAnsi="Times"/>
          <w:sz w:val="28"/>
          <w:szCs w:val="28"/>
          <w:lang w:val="uk-UA"/>
        </w:rPr>
        <w:t>, привносить ди</w:t>
      </w:r>
      <w:r w:rsidR="003D026F">
        <w:rPr>
          <w:rFonts w:ascii="Times" w:hAnsi="Times"/>
          <w:sz w:val="28"/>
          <w:szCs w:val="28"/>
          <w:lang w:val="uk-UA"/>
        </w:rPr>
        <w:t>сонанс у роботу імунної системи</w:t>
      </w:r>
      <w:r w:rsidRPr="004E5EBF">
        <w:rPr>
          <w:rFonts w:ascii="Times" w:hAnsi="Times"/>
          <w:sz w:val="28"/>
          <w:szCs w:val="28"/>
          <w:lang w:val="uk-UA"/>
        </w:rPr>
        <w:t xml:space="preserve">, </w:t>
      </w:r>
      <w:r w:rsidR="003D026F">
        <w:rPr>
          <w:rFonts w:ascii="Times" w:hAnsi="Times"/>
          <w:sz w:val="28"/>
          <w:szCs w:val="28"/>
          <w:lang w:val="uk-UA"/>
        </w:rPr>
        <w:t xml:space="preserve">тим самим </w:t>
      </w:r>
      <w:r w:rsidRPr="004E5EBF">
        <w:rPr>
          <w:rFonts w:ascii="Times" w:hAnsi="Times"/>
          <w:sz w:val="28"/>
          <w:szCs w:val="28"/>
          <w:lang w:val="uk-UA"/>
        </w:rPr>
        <w:t>при</w:t>
      </w:r>
      <w:r w:rsidR="003D026F">
        <w:rPr>
          <w:rFonts w:ascii="Times" w:hAnsi="Times"/>
          <w:sz w:val="28"/>
          <w:szCs w:val="28"/>
          <w:lang w:val="uk-UA"/>
        </w:rPr>
        <w:t>з</w:t>
      </w:r>
      <w:r w:rsidRPr="004E5EBF">
        <w:rPr>
          <w:rFonts w:ascii="Times" w:hAnsi="Times"/>
          <w:sz w:val="28"/>
          <w:szCs w:val="28"/>
          <w:lang w:val="uk-UA"/>
        </w:rPr>
        <w:t>во</w:t>
      </w:r>
      <w:r w:rsidR="003D026F">
        <w:rPr>
          <w:rFonts w:ascii="Times" w:hAnsi="Times"/>
          <w:sz w:val="28"/>
          <w:szCs w:val="28"/>
          <w:lang w:val="uk-UA"/>
        </w:rPr>
        <w:t>дячи до її неадекватної реакції</w:t>
      </w:r>
      <w:r w:rsidR="004C543F">
        <w:rPr>
          <w:rFonts w:ascii="Times" w:hAnsi="Times"/>
          <w:sz w:val="28"/>
          <w:szCs w:val="28"/>
          <w:lang w:val="uk-UA"/>
        </w:rPr>
        <w:t>. Даний факт, можливо, й</w:t>
      </w:r>
      <w:r w:rsidRPr="004E5EBF">
        <w:rPr>
          <w:rFonts w:ascii="Times" w:hAnsi="Times"/>
          <w:sz w:val="28"/>
          <w:szCs w:val="28"/>
          <w:lang w:val="uk-UA"/>
        </w:rPr>
        <w:t xml:space="preserve"> пояснює наявність достовірних відмінностей у показниках прозапальних цитокінів у пацієнті</w:t>
      </w:r>
      <w:r w:rsidR="004C543F">
        <w:rPr>
          <w:rFonts w:ascii="Times" w:hAnsi="Times"/>
          <w:sz w:val="28"/>
          <w:szCs w:val="28"/>
          <w:lang w:val="uk-UA"/>
        </w:rPr>
        <w:t>в з ізольованим перебігом ХОЗЛ та</w:t>
      </w:r>
      <w:r w:rsidRPr="004E5EBF">
        <w:rPr>
          <w:rFonts w:ascii="Times" w:hAnsi="Times"/>
          <w:sz w:val="28"/>
          <w:szCs w:val="28"/>
          <w:lang w:val="uk-UA"/>
        </w:rPr>
        <w:t xml:space="preserve"> пр</w:t>
      </w:r>
      <w:r w:rsidR="004C543F">
        <w:rPr>
          <w:rFonts w:ascii="Times" w:hAnsi="Times"/>
          <w:sz w:val="28"/>
          <w:szCs w:val="28"/>
          <w:lang w:val="uk-UA"/>
        </w:rPr>
        <w:t>и його поєднаному перебігу з ХП</w:t>
      </w:r>
      <w:r w:rsidRPr="004E5EBF">
        <w:rPr>
          <w:rFonts w:ascii="Times" w:hAnsi="Times"/>
          <w:sz w:val="28"/>
          <w:szCs w:val="28"/>
          <w:lang w:val="uk-UA"/>
        </w:rPr>
        <w:t>, навіть у стадію ремісії останнього.</w:t>
      </w:r>
    </w:p>
    <w:p w14:paraId="02D00E46" w14:textId="77777777"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  <w:r w:rsidRPr="004C543F">
        <w:rPr>
          <w:rFonts w:ascii="Times" w:hAnsi="Times"/>
          <w:b/>
          <w:sz w:val="28"/>
          <w:szCs w:val="28"/>
          <w:lang w:val="uk-UA"/>
        </w:rPr>
        <w:t>Висновки</w:t>
      </w:r>
      <w:r w:rsidRPr="004E5EBF">
        <w:rPr>
          <w:rFonts w:ascii="Times" w:hAnsi="Times"/>
          <w:sz w:val="28"/>
          <w:szCs w:val="28"/>
          <w:lang w:val="uk-UA"/>
        </w:rPr>
        <w:t>. У хворих хронічним обструктивним захворюванням легень активна фаза захворювання супровод</w:t>
      </w:r>
      <w:r w:rsidR="004C543F">
        <w:rPr>
          <w:rFonts w:ascii="Times" w:hAnsi="Times"/>
          <w:sz w:val="28"/>
          <w:szCs w:val="28"/>
          <w:lang w:val="uk-UA"/>
        </w:rPr>
        <w:t>жується активацією прозапальної</w:t>
      </w:r>
      <w:r w:rsidRPr="004E5EBF">
        <w:rPr>
          <w:rFonts w:ascii="Times" w:hAnsi="Times"/>
          <w:sz w:val="28"/>
          <w:szCs w:val="28"/>
          <w:lang w:val="uk-UA"/>
        </w:rPr>
        <w:t xml:space="preserve"> ланки імунітету. При поєднанні ХОЗЛ і хронічного панкреатиту зміни в пр</w:t>
      </w:r>
      <w:r w:rsidR="004C543F">
        <w:rPr>
          <w:rFonts w:ascii="Times" w:hAnsi="Times"/>
          <w:sz w:val="28"/>
          <w:szCs w:val="28"/>
          <w:lang w:val="uk-UA"/>
        </w:rPr>
        <w:t>озапальному цитокіновому статусі</w:t>
      </w:r>
      <w:r w:rsidRPr="004E5EBF">
        <w:rPr>
          <w:rFonts w:ascii="Times" w:hAnsi="Times"/>
          <w:sz w:val="28"/>
          <w:szCs w:val="28"/>
          <w:lang w:val="uk-UA"/>
        </w:rPr>
        <w:t>, незважаючи на відс</w:t>
      </w:r>
      <w:r w:rsidR="004C543F">
        <w:rPr>
          <w:rFonts w:ascii="Times" w:hAnsi="Times"/>
          <w:sz w:val="28"/>
          <w:szCs w:val="28"/>
          <w:lang w:val="uk-UA"/>
        </w:rPr>
        <w:t>утність загострення хронічного панкреатиту, достовірно посилюються, що потенціює процеси запалення, тим самим, сприяючи більш швидкому прогресуванню</w:t>
      </w:r>
      <w:r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DC2733">
        <w:rPr>
          <w:rFonts w:ascii="Times" w:hAnsi="Times"/>
          <w:sz w:val="28"/>
          <w:szCs w:val="28"/>
          <w:lang w:val="uk-UA"/>
        </w:rPr>
        <w:t>патології</w:t>
      </w:r>
      <w:r w:rsidRPr="004E5EBF">
        <w:rPr>
          <w:rFonts w:ascii="Times" w:hAnsi="Times"/>
          <w:sz w:val="28"/>
          <w:szCs w:val="28"/>
          <w:lang w:val="uk-UA"/>
        </w:rPr>
        <w:t>, більш ранньому формуванню ускладнень та інвалідизації даної категорії х</w:t>
      </w:r>
      <w:r w:rsidR="00DC2733">
        <w:rPr>
          <w:rFonts w:ascii="Times" w:hAnsi="Times"/>
          <w:sz w:val="28"/>
          <w:szCs w:val="28"/>
          <w:lang w:val="uk-UA"/>
        </w:rPr>
        <w:t>ворих. Отже, можна стверджувати, що поєднаний</w:t>
      </w:r>
      <w:r w:rsidRPr="004E5EBF">
        <w:rPr>
          <w:rFonts w:ascii="Times" w:hAnsi="Times"/>
          <w:sz w:val="28"/>
          <w:szCs w:val="28"/>
          <w:lang w:val="uk-UA"/>
        </w:rPr>
        <w:t xml:space="preserve"> </w:t>
      </w:r>
      <w:r w:rsidR="00DC2733">
        <w:rPr>
          <w:rFonts w:ascii="Times" w:hAnsi="Times"/>
          <w:sz w:val="28"/>
          <w:szCs w:val="28"/>
          <w:lang w:val="uk-UA"/>
        </w:rPr>
        <w:t>перебіг ХОЗЛ та ХП має взає</w:t>
      </w:r>
      <w:r w:rsidRPr="004E5EBF">
        <w:rPr>
          <w:rFonts w:ascii="Times" w:hAnsi="Times"/>
          <w:sz w:val="28"/>
          <w:szCs w:val="28"/>
          <w:lang w:val="uk-UA"/>
        </w:rPr>
        <w:t>мо</w:t>
      </w:r>
      <w:r w:rsidR="00DC2733">
        <w:rPr>
          <w:rFonts w:ascii="Times" w:hAnsi="Times"/>
          <w:sz w:val="28"/>
          <w:szCs w:val="28"/>
          <w:lang w:val="uk-UA"/>
        </w:rPr>
        <w:t>обтяжливий вплив на обидві патології</w:t>
      </w:r>
      <w:r w:rsidR="00CF2E90">
        <w:rPr>
          <w:rFonts w:ascii="Times" w:hAnsi="Times"/>
          <w:sz w:val="28"/>
          <w:szCs w:val="28"/>
          <w:lang w:val="uk-UA"/>
        </w:rPr>
        <w:t xml:space="preserve"> та </w:t>
      </w:r>
      <w:r w:rsidRPr="004E5EBF">
        <w:rPr>
          <w:rFonts w:ascii="Times" w:hAnsi="Times"/>
          <w:sz w:val="28"/>
          <w:szCs w:val="28"/>
          <w:lang w:val="uk-UA"/>
        </w:rPr>
        <w:t>проявляється прогресуванням захворювання за рахунок посилення імунних реакцій.</w:t>
      </w:r>
    </w:p>
    <w:p w14:paraId="02C04ABB" w14:textId="77777777" w:rsidR="007869C0" w:rsidRPr="004E5EBF" w:rsidRDefault="007869C0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</w:p>
    <w:p w14:paraId="25FF9D5D" w14:textId="77777777" w:rsidR="006B4D0B" w:rsidRPr="004E5EBF" w:rsidRDefault="006B4D0B" w:rsidP="007869C0">
      <w:pPr>
        <w:spacing w:line="360" w:lineRule="auto"/>
        <w:ind w:firstLine="709"/>
        <w:jc w:val="center"/>
        <w:rPr>
          <w:rFonts w:ascii="Times" w:hAnsi="Times"/>
          <w:b/>
          <w:sz w:val="28"/>
          <w:szCs w:val="28"/>
          <w:lang w:val="uk-UA"/>
        </w:rPr>
      </w:pPr>
      <w:r w:rsidRPr="004E5EBF">
        <w:rPr>
          <w:rFonts w:ascii="Times" w:hAnsi="Times"/>
          <w:b/>
          <w:sz w:val="28"/>
          <w:szCs w:val="28"/>
          <w:lang w:val="uk-UA"/>
        </w:rPr>
        <w:t>Л</w:t>
      </w:r>
      <w:r w:rsidR="007869C0" w:rsidRPr="004E5EBF">
        <w:rPr>
          <w:rFonts w:ascii="Times" w:hAnsi="Times"/>
          <w:b/>
          <w:sz w:val="28"/>
          <w:szCs w:val="28"/>
          <w:lang w:val="uk-UA"/>
        </w:rPr>
        <w:t>І</w:t>
      </w:r>
      <w:r w:rsidRPr="004E5EBF">
        <w:rPr>
          <w:rFonts w:ascii="Times" w:hAnsi="Times"/>
          <w:b/>
          <w:sz w:val="28"/>
          <w:szCs w:val="28"/>
          <w:lang w:val="uk-UA"/>
        </w:rPr>
        <w:t>ТЕРАТУРА</w:t>
      </w:r>
    </w:p>
    <w:p w14:paraId="5A44B073" w14:textId="77777777" w:rsidR="006B4D0B" w:rsidRPr="004E5EBF" w:rsidRDefault="006B4D0B" w:rsidP="007869C0">
      <w:pPr>
        <w:numPr>
          <w:ilvl w:val="0"/>
          <w:numId w:val="1"/>
        </w:numPr>
        <w:tabs>
          <w:tab w:val="left" w:pos="-142"/>
          <w:tab w:val="left" w:pos="0"/>
          <w:tab w:val="left" w:pos="360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Макарова В.И.Роль цитокинов в реал</w:t>
      </w:r>
      <w:r w:rsidR="002F09FF">
        <w:rPr>
          <w:rFonts w:ascii="Times" w:hAnsi="Times"/>
          <w:sz w:val="28"/>
          <w:szCs w:val="28"/>
          <w:lang w:val="uk-UA"/>
        </w:rPr>
        <w:t xml:space="preserve">изации воспалительной реакции / В.И.Макарова, А.И Макаров </w:t>
      </w:r>
      <w:r w:rsidRPr="004E5EBF">
        <w:rPr>
          <w:rFonts w:ascii="Times" w:hAnsi="Times"/>
          <w:sz w:val="28"/>
          <w:szCs w:val="28"/>
          <w:lang w:val="uk-UA"/>
        </w:rPr>
        <w:t>// Экология человека. - 2008. - №5. - С.31-35.</w:t>
      </w:r>
    </w:p>
    <w:p w14:paraId="183222C4" w14:textId="77777777" w:rsidR="006B4D0B" w:rsidRPr="004E5EBF" w:rsidRDefault="006B4D0B" w:rsidP="007869C0">
      <w:pPr>
        <w:numPr>
          <w:ilvl w:val="0"/>
          <w:numId w:val="1"/>
        </w:numPr>
        <w:tabs>
          <w:tab w:val="left" w:pos="-142"/>
          <w:tab w:val="left" w:pos="0"/>
          <w:tab w:val="left" w:pos="360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Серебренникова С.Н. Роль цитокинов в воспалительном процессе (сообщение 1) / С.Н.Серебренникова, И.Ж. Семинский // Сибирск. мед. журн. - 2008. - №6. - С.5-8.</w:t>
      </w:r>
    </w:p>
    <w:p w14:paraId="566C7DC3" w14:textId="77777777" w:rsidR="006B4D0B" w:rsidRPr="004E5EBF" w:rsidRDefault="006B4D0B" w:rsidP="007869C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iCs/>
          <w:sz w:val="28"/>
          <w:szCs w:val="28"/>
          <w:lang w:val="uk-UA"/>
        </w:rPr>
        <w:t xml:space="preserve">Христич Т.Н. </w:t>
      </w:r>
      <w:r w:rsidRPr="004E5EBF">
        <w:rPr>
          <w:rFonts w:ascii="Times" w:hAnsi="Times"/>
          <w:sz w:val="28"/>
          <w:szCs w:val="28"/>
          <w:lang w:val="uk-UA"/>
        </w:rPr>
        <w:t xml:space="preserve">Клинико-патогенетические особенности сочетания хронического панкреатита и хронической обструктивной болезни легких / </w:t>
      </w:r>
      <w:r w:rsidRPr="004E5EBF">
        <w:rPr>
          <w:rFonts w:ascii="Times" w:hAnsi="Times"/>
          <w:iCs/>
          <w:sz w:val="28"/>
          <w:szCs w:val="28"/>
          <w:lang w:val="uk-UA"/>
        </w:rPr>
        <w:t>Т.Н.Христич, Л.Д</w:t>
      </w:r>
      <w:r w:rsidRPr="004E5EBF">
        <w:rPr>
          <w:rFonts w:ascii="Times" w:hAnsi="Times"/>
          <w:sz w:val="28"/>
          <w:szCs w:val="28"/>
          <w:lang w:val="uk-UA"/>
        </w:rPr>
        <w:t xml:space="preserve">. </w:t>
      </w:r>
      <w:r w:rsidRPr="004E5EBF">
        <w:rPr>
          <w:rFonts w:ascii="Times" w:hAnsi="Times"/>
          <w:iCs/>
          <w:sz w:val="28"/>
          <w:szCs w:val="28"/>
          <w:lang w:val="uk-UA"/>
        </w:rPr>
        <w:t xml:space="preserve">Кушнир </w:t>
      </w:r>
      <w:r w:rsidRPr="004E5EBF">
        <w:rPr>
          <w:rFonts w:ascii="Times" w:hAnsi="Times"/>
          <w:sz w:val="28"/>
          <w:szCs w:val="28"/>
          <w:lang w:val="uk-UA"/>
        </w:rPr>
        <w:t>// Укр. тер. журн.—2006.— № 1.— С. 62—63.</w:t>
      </w:r>
    </w:p>
    <w:p w14:paraId="1B218366" w14:textId="77777777" w:rsidR="006B4D0B" w:rsidRPr="004E5EBF" w:rsidRDefault="006B4D0B" w:rsidP="007869C0">
      <w:pPr>
        <w:numPr>
          <w:ilvl w:val="0"/>
          <w:numId w:val="1"/>
        </w:numPr>
        <w:tabs>
          <w:tab w:val="left" w:pos="0"/>
          <w:tab w:val="left" w:pos="33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Chatila W.M. Comorbidities in chronic obstructive pulmonary disease / W.M. Chatila, B.M. Thomashow, O.A. Minai // Proc. Am. Thorac. Soc. - 2008. - Vol.5. - P.549-555.</w:t>
      </w:r>
    </w:p>
    <w:p w14:paraId="6FBAA68F" w14:textId="77777777" w:rsidR="006B4D0B" w:rsidRPr="004E5EBF" w:rsidRDefault="006B4D0B" w:rsidP="007869C0">
      <w:pPr>
        <w:numPr>
          <w:ilvl w:val="0"/>
          <w:numId w:val="1"/>
        </w:numPr>
        <w:tabs>
          <w:tab w:val="left" w:pos="0"/>
          <w:tab w:val="left" w:pos="33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hAnsi="Times"/>
          <w:sz w:val="28"/>
          <w:szCs w:val="28"/>
          <w:lang w:val="uk-UA"/>
        </w:rPr>
      </w:pPr>
      <w:r w:rsidRPr="004E5EBF">
        <w:rPr>
          <w:rFonts w:ascii="Times" w:hAnsi="Times"/>
          <w:sz w:val="28"/>
          <w:szCs w:val="28"/>
          <w:lang w:val="uk-UA"/>
        </w:rPr>
        <w:t>Fabbri L.M. Complex chronic comorbidities of COPD / L.M. Fabbri, F. Luppi, B.Beghe [et al.] // Eur. Respir. J. - 2008. Vol.31. - P.204-212.</w:t>
      </w:r>
    </w:p>
    <w:p w14:paraId="6694B93A" w14:textId="77777777" w:rsidR="006B4D0B" w:rsidRPr="004E5EBF" w:rsidRDefault="006B4D0B" w:rsidP="007869C0">
      <w:pPr>
        <w:spacing w:line="360" w:lineRule="auto"/>
        <w:ind w:firstLine="709"/>
        <w:jc w:val="both"/>
        <w:rPr>
          <w:rFonts w:ascii="Times" w:hAnsi="Times"/>
          <w:sz w:val="28"/>
          <w:szCs w:val="28"/>
          <w:lang w:val="uk-UA"/>
        </w:rPr>
      </w:pPr>
    </w:p>
    <w:sectPr w:rsidR="006B4D0B" w:rsidRPr="004E5EBF" w:rsidSect="004F510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E2F"/>
    <w:multiLevelType w:val="hybridMultilevel"/>
    <w:tmpl w:val="692E6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153DBF"/>
    <w:rsid w:val="002409A4"/>
    <w:rsid w:val="00264EA2"/>
    <w:rsid w:val="002F09FF"/>
    <w:rsid w:val="00370473"/>
    <w:rsid w:val="003D026F"/>
    <w:rsid w:val="004C543F"/>
    <w:rsid w:val="004E5EBF"/>
    <w:rsid w:val="004F5108"/>
    <w:rsid w:val="005159CC"/>
    <w:rsid w:val="005602F1"/>
    <w:rsid w:val="006B4D0B"/>
    <w:rsid w:val="00701EA7"/>
    <w:rsid w:val="00710149"/>
    <w:rsid w:val="007869C0"/>
    <w:rsid w:val="00802ADC"/>
    <w:rsid w:val="008353CB"/>
    <w:rsid w:val="00892754"/>
    <w:rsid w:val="008E6482"/>
    <w:rsid w:val="009D5D6C"/>
    <w:rsid w:val="00AA23F5"/>
    <w:rsid w:val="00B35DF2"/>
    <w:rsid w:val="00B523F0"/>
    <w:rsid w:val="00BF2641"/>
    <w:rsid w:val="00C66F53"/>
    <w:rsid w:val="00CF2E90"/>
    <w:rsid w:val="00DC2733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3F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931</Words>
  <Characters>5307</Characters>
  <Application>Microsoft Macintosh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4</cp:revision>
  <dcterms:created xsi:type="dcterms:W3CDTF">2014-01-21T08:54:00Z</dcterms:created>
  <dcterms:modified xsi:type="dcterms:W3CDTF">2014-01-21T15:29:00Z</dcterms:modified>
</cp:coreProperties>
</file>