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07" w:rsidRDefault="00E67007" w:rsidP="00E67007">
      <w:pPr>
        <w:spacing w:before="16" w:line="321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Департамент здравоохранения и социальной защиты населения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Белгородской области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Белгородский государственный национальный </w:t>
      </w:r>
      <w:r>
        <w:rPr>
          <w:rFonts w:eastAsia="Times New Roman"/>
          <w:color w:val="000000"/>
          <w:sz w:val="28"/>
          <w:lang w:val="ru-RU"/>
        </w:rPr>
        <w:br/>
        <w:t xml:space="preserve">исследовательский университет </w:t>
      </w:r>
      <w:r>
        <w:rPr>
          <w:rFonts w:eastAsia="Times New Roman"/>
          <w:color w:val="000000"/>
          <w:sz w:val="28"/>
          <w:lang w:val="ru-RU"/>
        </w:rPr>
        <w:br/>
        <w:t xml:space="preserve">Стоматологическая ассоциация России </w:t>
      </w:r>
      <w:r>
        <w:rPr>
          <w:rFonts w:eastAsia="Times New Roman"/>
          <w:color w:val="000000"/>
          <w:sz w:val="28"/>
          <w:lang w:val="ru-RU"/>
        </w:rPr>
        <w:br/>
        <w:t>Белгородская стоматологическая ассоциация</w:t>
      </w:r>
    </w:p>
    <w:p w:rsidR="00E67007" w:rsidRDefault="00E67007" w:rsidP="00E67007">
      <w:pPr>
        <w:spacing w:before="1934" w:line="464" w:lineRule="exact"/>
        <w:textAlignment w:val="baseline"/>
        <w:rPr>
          <w:rFonts w:eastAsia="Times New Roman"/>
          <w:color w:val="000000"/>
          <w:spacing w:val="1"/>
          <w:sz w:val="39"/>
          <w:lang w:val="ru-RU"/>
        </w:rPr>
      </w:pPr>
      <w:r>
        <w:rPr>
          <w:rFonts w:eastAsia="Times New Roman"/>
          <w:color w:val="000000"/>
          <w:spacing w:val="1"/>
          <w:sz w:val="39"/>
          <w:lang w:val="ru-RU"/>
        </w:rPr>
        <w:t>СТОМАТОЛОГИЯ СЛАВЯНСКИХ ГОСУДАРСТВ</w:t>
      </w:r>
    </w:p>
    <w:p w:rsidR="00E67007" w:rsidRDefault="00E67007" w:rsidP="00E67007">
      <w:pPr>
        <w:spacing w:before="322" w:line="370" w:lineRule="exact"/>
        <w:jc w:val="center"/>
        <w:textAlignment w:val="baseline"/>
        <w:rPr>
          <w:rFonts w:eastAsia="Times New Roman"/>
          <w:color w:val="000000"/>
          <w:sz w:val="32"/>
          <w:lang w:val="ru-RU"/>
        </w:rPr>
      </w:pPr>
      <w:r>
        <w:rPr>
          <w:rFonts w:eastAsia="Times New Roman"/>
          <w:color w:val="000000"/>
          <w:sz w:val="32"/>
          <w:lang w:val="ru-RU"/>
        </w:rPr>
        <w:t xml:space="preserve">Труды VII Международной </w:t>
      </w:r>
      <w:r>
        <w:rPr>
          <w:rFonts w:eastAsia="Times New Roman"/>
          <w:color w:val="000000"/>
          <w:sz w:val="32"/>
          <w:lang w:val="ru-RU"/>
        </w:rPr>
        <w:br/>
        <w:t>научно-практической конференции</w:t>
      </w:r>
    </w:p>
    <w:p w:rsidR="00E67007" w:rsidRDefault="00E67007" w:rsidP="00E67007">
      <w:pPr>
        <w:spacing w:before="953" w:line="326" w:lineRule="exact"/>
        <w:jc w:val="center"/>
        <w:textAlignment w:val="baseline"/>
        <w:rPr>
          <w:rFonts w:eastAsia="Times New Roman"/>
          <w:i/>
          <w:color w:val="000000"/>
          <w:spacing w:val="-3"/>
          <w:sz w:val="29"/>
          <w:lang w:val="ru-RU"/>
        </w:rPr>
      </w:pPr>
      <w:r>
        <w:rPr>
          <w:rFonts w:eastAsia="Times New Roman"/>
          <w:i/>
          <w:color w:val="000000"/>
          <w:spacing w:val="-3"/>
          <w:sz w:val="29"/>
          <w:lang w:val="ru-RU"/>
        </w:rPr>
        <w:t>Под редакцией</w:t>
      </w:r>
    </w:p>
    <w:p w:rsidR="00E67007" w:rsidRDefault="00E67007" w:rsidP="00E67007">
      <w:pPr>
        <w:spacing w:after="3699" w:line="326" w:lineRule="exact"/>
        <w:jc w:val="center"/>
        <w:textAlignment w:val="baseline"/>
        <w:rPr>
          <w:rFonts w:eastAsia="Times New Roman"/>
          <w:i/>
          <w:color w:val="000000"/>
          <w:sz w:val="29"/>
          <w:lang w:val="ru-RU"/>
        </w:rPr>
      </w:pPr>
      <w:r>
        <w:rPr>
          <w:rFonts w:eastAsia="Times New Roman"/>
          <w:i/>
          <w:color w:val="000000"/>
          <w:sz w:val="29"/>
          <w:lang w:val="ru-RU"/>
        </w:rPr>
        <w:t>проф. А.В. Цимбалистова, проф. Б.В. Трифонова</w:t>
      </w:r>
      <w:r>
        <w:rPr>
          <w:rFonts w:eastAsia="Times New Roman"/>
          <w:i/>
          <w:color w:val="000000"/>
          <w:sz w:val="28"/>
          <w:lang w:val="ru-RU"/>
        </w:rPr>
        <w:t xml:space="preserve">, </w:t>
      </w:r>
      <w:r>
        <w:rPr>
          <w:rFonts w:eastAsia="Times New Roman"/>
          <w:i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29"/>
          <w:lang w:val="ru-RU"/>
        </w:rPr>
        <w:t>доц. А.А. Копытова</w:t>
      </w:r>
    </w:p>
    <w:p w:rsidR="00E67007" w:rsidRDefault="00E67007" w:rsidP="00E67007">
      <w:pPr>
        <w:ind w:left="3240" w:right="3274"/>
        <w:textAlignment w:val="baselin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9357360</wp:posOffset>
                </wp:positionV>
                <wp:extent cx="697865" cy="408940"/>
                <wp:effectExtent l="3175" t="381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07" w:rsidRDefault="00E67007" w:rsidP="00E67007">
                            <w:pPr>
                              <w:spacing w:line="31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  <w:t>Белгород</w:t>
                            </w:r>
                          </w:p>
                          <w:p w:rsidR="00E67007" w:rsidRDefault="00E67007" w:rsidP="00E67007">
                            <w:pPr>
                              <w:spacing w:before="6" w:line="32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25pt;margin-top:736.8pt;width:54.95pt;height:3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eFugIAAKg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" filled="f" stroked="f">
                <v:textbox inset="0,0,0,0">
                  <w:txbxContent>
                    <w:p w:rsidR="00E67007" w:rsidRDefault="00E67007" w:rsidP="00E67007">
                      <w:pPr>
                        <w:spacing w:line="317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  <w:t>Белгород</w:t>
                      </w:r>
                    </w:p>
                    <w:p w:rsidR="00E67007" w:rsidRDefault="00E67007" w:rsidP="00E67007">
                      <w:pPr>
                        <w:spacing w:before="6" w:line="320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  <w:t>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07DEB5D0" wp14:editId="05F1945A">
            <wp:extent cx="1515110" cy="11950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07" w:rsidRDefault="00E67007" w:rsidP="00E67007">
      <w:pPr>
        <w:sectPr w:rsidR="00E67007">
          <w:type w:val="continuous"/>
          <w:pgSz w:w="11909" w:h="16838"/>
          <w:pgMar w:top="1120" w:right="1502" w:bottom="1706" w:left="1507" w:header="720" w:footer="720" w:gutter="0"/>
          <w:cols w:space="720"/>
        </w:sectPr>
      </w:pPr>
    </w:p>
    <w:p w:rsidR="00E67007" w:rsidRDefault="00E67007" w:rsidP="00E67007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  <w:r>
        <w:rPr>
          <w:rFonts w:eastAsia="Times New Roman"/>
          <w:color w:val="000000"/>
          <w:spacing w:val="30"/>
          <w:sz w:val="24"/>
          <w:lang w:val="ru-RU"/>
        </w:rPr>
        <w:lastRenderedPageBreak/>
        <w:t>479</w:t>
      </w:r>
    </w:p>
    <w:p w:rsidR="00E67007" w:rsidRDefault="00E67007" w:rsidP="00E67007">
      <w:pPr>
        <w:spacing w:before="242" w:line="322" w:lineRule="exact"/>
        <w:ind w:left="144"/>
        <w:textAlignment w:val="baseline"/>
        <w:rPr>
          <w:rFonts w:eastAsia="Times New Roman"/>
          <w:b/>
          <w:i/>
          <w:color w:val="000000"/>
          <w:sz w:val="28"/>
          <w:lang w:val="ru-RU"/>
        </w:rPr>
      </w:pPr>
      <w:r>
        <w:rPr>
          <w:rFonts w:eastAsia="Times New Roman"/>
          <w:b/>
          <w:i/>
          <w:color w:val="000000"/>
          <w:sz w:val="28"/>
          <w:lang w:val="ru-RU"/>
        </w:rPr>
        <w:t>Денисова Е.Г., Соколова И.И.</w:t>
      </w:r>
    </w:p>
    <w:p w:rsidR="00E67007" w:rsidRDefault="00E67007" w:rsidP="00E67007">
      <w:pPr>
        <w:spacing w:line="321" w:lineRule="exact"/>
        <w:ind w:left="144" w:right="129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ПРОБИОТИК В КОМПЛЕКСЕ ЛЕЧЕБНО-ПРОФИЛАКТИЧЕСКИХ МЕРОПРИЯТИЙ У ДЕТЕЙ С КАРИЕСОМ НА ФОНЕ </w:t>
      </w:r>
      <w:proofErr w:type="gramStart"/>
      <w:r>
        <w:rPr>
          <w:rFonts w:eastAsia="Times New Roman"/>
          <w:color w:val="000000"/>
          <w:sz w:val="28"/>
          <w:lang w:val="ru-RU"/>
        </w:rPr>
        <w:t>СИСТЕМНОЙ</w:t>
      </w:r>
      <w:proofErr w:type="gramEnd"/>
    </w:p>
    <w:p w:rsidR="00E67007" w:rsidRDefault="00E67007" w:rsidP="00E67007">
      <w:pPr>
        <w:tabs>
          <w:tab w:val="left" w:leader="dot" w:pos="9072"/>
        </w:tabs>
        <w:spacing w:line="324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ГИПОПЛАЗИИ ВРЕМЕННЫХ ЗУБОВ</w:t>
      </w:r>
      <w:r>
        <w:rPr>
          <w:rFonts w:eastAsia="Times New Roman"/>
          <w:color w:val="000000"/>
          <w:sz w:val="28"/>
          <w:lang w:val="ru-RU"/>
        </w:rPr>
        <w:tab/>
        <w:t xml:space="preserve">105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Дмитриенко Н.Ю., Подзорова Е.А., Сарап Л.Р., Лошкарева К.О.</w:t>
      </w:r>
    </w:p>
    <w:p w:rsidR="00E67007" w:rsidRDefault="00E67007" w:rsidP="00E67007">
      <w:pPr>
        <w:spacing w:line="325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АНАЛИЗ РЕЗУЛЬТАТОВ ЛЕЧЕНИЯ ПУЛЬПИТА ВРЕМЕННЫХ ЗУБОВ</w:t>
      </w:r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МЕТОДОМ ВИТЕЛЬНОЙ ПУЛЬПОТОМИИ</w:t>
      </w:r>
      <w:r>
        <w:rPr>
          <w:rFonts w:eastAsia="Times New Roman"/>
          <w:color w:val="000000"/>
          <w:sz w:val="28"/>
          <w:lang w:val="ru-RU"/>
        </w:rPr>
        <w:tab/>
        <w:t xml:space="preserve">107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Доля Э.И., Яковлева Д.Ю.</w:t>
      </w:r>
    </w:p>
    <w:p w:rsidR="00E67007" w:rsidRDefault="00E67007" w:rsidP="00E67007">
      <w:pPr>
        <w:spacing w:line="319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ЭНДЕМИЧЕСКИЙ ФЛЮОРОЗ В УСЛОВИЯХ ЧУГУЕВСКОГО</w:t>
      </w:r>
    </w:p>
    <w:p w:rsidR="00E67007" w:rsidRDefault="00E67007" w:rsidP="00E67007">
      <w:pPr>
        <w:tabs>
          <w:tab w:val="left" w:leader="dot" w:pos="9072"/>
        </w:tabs>
        <w:spacing w:before="1" w:line="319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РАЙОНАХАРЬКОВСКОЙ ОБЛАСТИ</w:t>
      </w:r>
      <w:r>
        <w:rPr>
          <w:rFonts w:eastAsia="Times New Roman"/>
          <w:color w:val="000000"/>
          <w:sz w:val="28"/>
          <w:lang w:val="ru-RU"/>
        </w:rPr>
        <w:tab/>
        <w:t>109</w:t>
      </w:r>
      <w:proofErr w:type="gramStart"/>
      <w:r>
        <w:rPr>
          <w:rFonts w:eastAsia="Times New Roman"/>
          <w:color w:val="000000"/>
          <w:sz w:val="28"/>
          <w:lang w:val="ru-RU"/>
        </w:rPr>
        <w:t xml:space="preserve"> </w:t>
      </w:r>
      <w:r>
        <w:rPr>
          <w:rFonts w:eastAsia="Times New Roman"/>
          <w:color w:val="000000"/>
          <w:sz w:val="28"/>
          <w:lang w:val="ru-RU"/>
        </w:rPr>
        <w:br/>
        <w:t>К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ВОПРОСУ О ВСТРЕЧАЕМОСТИ ЭРОЗИЙ ТВЕРДЫХ ТКАНЕЙ ЗУБОВ</w:t>
      </w:r>
    </w:p>
    <w:p w:rsidR="00E67007" w:rsidRDefault="00E67007" w:rsidP="00E67007">
      <w:pPr>
        <w:tabs>
          <w:tab w:val="left" w:leader="dot" w:pos="9072"/>
        </w:tabs>
        <w:spacing w:line="323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ВОЗРАСТНОМ АСПЕКТЕ</w:t>
      </w:r>
      <w:r>
        <w:rPr>
          <w:rFonts w:eastAsia="Times New Roman"/>
          <w:color w:val="000000"/>
          <w:sz w:val="28"/>
          <w:lang w:val="ru-RU"/>
        </w:rPr>
        <w:tab/>
        <w:t xml:space="preserve">112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Елисеева О.В., Соколова И.И.</w:t>
      </w:r>
    </w:p>
    <w:p w:rsidR="00E67007" w:rsidRDefault="00E67007" w:rsidP="00E67007">
      <w:pPr>
        <w:spacing w:line="321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ВЛИЯНИЕ ЛИЗОЦИМСОДЕРЖАЩИХ ЛЕКАРСТВЕННЫХ ПРЕПАРАТОВ НА ТКАНИ ПАРОДОНТА У БОЛЬНЫХ </w:t>
      </w:r>
      <w:proofErr w:type="gramStart"/>
      <w:r>
        <w:rPr>
          <w:rFonts w:eastAsia="Times New Roman"/>
          <w:color w:val="000000"/>
          <w:sz w:val="28"/>
          <w:lang w:val="ru-RU"/>
        </w:rPr>
        <w:t>ХРОНИЧЕСКИМ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ГЕНЕРАЛИЗОВАННЫМ ПАРОДОНТИТОМ НА ФОНЕ КРАСНОГО</w:t>
      </w:r>
    </w:p>
    <w:p w:rsidR="00E67007" w:rsidRDefault="00E67007" w:rsidP="00E67007">
      <w:pPr>
        <w:tabs>
          <w:tab w:val="left" w:leader="dot" w:pos="9072"/>
        </w:tabs>
        <w:spacing w:before="10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ПЛОСКОГО ЛИШАЯ</w:t>
      </w:r>
      <w:r>
        <w:rPr>
          <w:rFonts w:eastAsia="Times New Roman"/>
          <w:color w:val="000000"/>
          <w:sz w:val="28"/>
          <w:lang w:val="ru-RU"/>
        </w:rPr>
        <w:tab/>
        <w:t xml:space="preserve">113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Есауленко И.Э., Ведринцев В.В., Ширяев О.Ю., Кунин В.А., Бурлачук В.Т., Алексеева Д.Н., Махортова И.С., Цапина А.А.</w:t>
      </w:r>
    </w:p>
    <w:p w:rsidR="00E67007" w:rsidRDefault="00E67007" w:rsidP="00E67007">
      <w:pPr>
        <w:spacing w:line="318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О ФЕНОМЕНЕ ЭМОЦИОНАЛЬНОГО ВЫГОРАНИЯ В </w:t>
      </w:r>
      <w:proofErr w:type="gramStart"/>
      <w:r>
        <w:rPr>
          <w:rFonts w:eastAsia="Times New Roman"/>
          <w:color w:val="000000"/>
          <w:sz w:val="28"/>
          <w:lang w:val="ru-RU"/>
        </w:rPr>
        <w:t>МЕДИЦИНСКОЙ</w:t>
      </w:r>
      <w:proofErr w:type="gramEnd"/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ПРОФЕССИИ</w:t>
      </w:r>
      <w:r>
        <w:rPr>
          <w:rFonts w:eastAsia="Times New Roman"/>
          <w:color w:val="000000"/>
          <w:sz w:val="28"/>
          <w:lang w:val="ru-RU"/>
        </w:rPr>
        <w:tab/>
        <w:t xml:space="preserve">116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Есауленко И.Э., Кунин В.А.</w:t>
      </w:r>
    </w:p>
    <w:p w:rsidR="00E67007" w:rsidRDefault="00E67007" w:rsidP="00E67007">
      <w:pPr>
        <w:spacing w:line="318" w:lineRule="exact"/>
        <w:ind w:left="144" w:right="288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ВОРОНЕЖСКИЙ СТОМАТОЛОГИЧЕСКИЙ ИНСТИТУТ В ПЕРИОД ВЕЛИКОЙ ОТЕЧЕСТВЕННОЙ ВОЙНЫ. ИСТОРИЧЕСКАЯ ВЗАИМОСВЯЗЬ</w:t>
      </w:r>
    </w:p>
    <w:p w:rsidR="00E67007" w:rsidRDefault="00E67007" w:rsidP="00E67007">
      <w:pPr>
        <w:tabs>
          <w:tab w:val="left" w:leader="dot" w:pos="9072"/>
        </w:tabs>
        <w:spacing w:line="324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КРАСНОЯРСКИМ МЕДИЦИНСКИМ ИНСТИТУТОМ</w:t>
      </w:r>
      <w:r>
        <w:rPr>
          <w:rFonts w:eastAsia="Times New Roman"/>
          <w:color w:val="000000"/>
          <w:sz w:val="28"/>
          <w:lang w:val="ru-RU"/>
        </w:rPr>
        <w:tab/>
        <w:t xml:space="preserve">118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Есауленко И.Э., Кунин А.А., Кунин В.А., Харитонов Д.Ю.</w:t>
      </w:r>
    </w:p>
    <w:p w:rsidR="00E67007" w:rsidRDefault="00E67007" w:rsidP="00E67007">
      <w:pPr>
        <w:spacing w:line="322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СТАНОВЛЕНИЕ </w:t>
      </w:r>
      <w:proofErr w:type="gramStart"/>
      <w:r>
        <w:rPr>
          <w:rFonts w:eastAsia="Times New Roman"/>
          <w:color w:val="000000"/>
          <w:sz w:val="28"/>
          <w:lang w:val="ru-RU"/>
        </w:rPr>
        <w:t>ЗУБОВРАЧЕБНОГО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И СТОМАТОЛОГИЧЕСКОГО</w:t>
      </w:r>
    </w:p>
    <w:p w:rsidR="00E67007" w:rsidRDefault="00E67007" w:rsidP="00E67007">
      <w:pPr>
        <w:tabs>
          <w:tab w:val="left" w:leader="dot" w:pos="9072"/>
        </w:tabs>
        <w:spacing w:before="8" w:line="321" w:lineRule="exact"/>
        <w:ind w:left="144" w:righ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ОБРАЗОВАНИЯ В ВОРОНЕЖЕ. РОЛЬ А.И. ЕВДОКИМОВА</w:t>
      </w:r>
      <w:r>
        <w:rPr>
          <w:rFonts w:eastAsia="Times New Roman"/>
          <w:color w:val="000000"/>
          <w:sz w:val="28"/>
          <w:lang w:val="ru-RU"/>
        </w:rPr>
        <w:tab/>
        <w:t xml:space="preserve">124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 xml:space="preserve">Еськов В.М., Гонтарев С.Н., Гонтарева И.С., Глаголева Я.В. </w:t>
      </w:r>
      <w:r>
        <w:rPr>
          <w:rFonts w:eastAsia="Times New Roman"/>
          <w:color w:val="000000"/>
          <w:sz w:val="28"/>
          <w:lang w:val="ru-RU"/>
        </w:rPr>
        <w:t>СРАВНИТЕЛЬНЫЙ МАТЕМАТИЧЕСКИЙ АНАЛИЗ ПАРАМЕТРОВ КВАЗИАТТРАКТОРОВ ВЕКТОРА СОСТОЯНИЯ СТОМАТОЛОГИЧЕСКОГО СТАТУСА ДЕТЕЙ Г. СУРГУТА И ДЕТЕЙ – ПРЕДСТАВИТЕЛЕЙ КМНС (КОРЕННЫЕ МАЛОЧИСЛЕННЫЕ НАРОДЫ СЕВЕРА) ЖИТЕЛЕЙ</w:t>
      </w:r>
    </w:p>
    <w:p w:rsidR="00E67007" w:rsidRDefault="00E67007" w:rsidP="00E67007">
      <w:pPr>
        <w:tabs>
          <w:tab w:val="left" w:leader="dot" w:pos="9072"/>
        </w:tabs>
        <w:spacing w:before="4" w:line="321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СУРГУТСКОГО РАЙОНА</w:t>
      </w:r>
      <w:r>
        <w:rPr>
          <w:rFonts w:eastAsia="Times New Roman"/>
          <w:color w:val="000000"/>
          <w:sz w:val="28"/>
          <w:lang w:val="ru-RU"/>
        </w:rPr>
        <w:tab/>
        <w:t xml:space="preserve">127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Ефимов А.В., Башегуров А.Н.</w:t>
      </w:r>
    </w:p>
    <w:p w:rsidR="00E67007" w:rsidRDefault="00E67007" w:rsidP="00E67007">
      <w:pPr>
        <w:spacing w:line="314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КОРРЕЛЯЦИЯ АДАПТАЦИОННОГО ПОТЕНЦИАЛА ПОЖИЛЫХ ЛЮДЕЙ</w:t>
      </w:r>
    </w:p>
    <w:p w:rsidR="00E67007" w:rsidRDefault="00E67007" w:rsidP="00E67007">
      <w:pPr>
        <w:tabs>
          <w:tab w:val="left" w:leader="dot" w:pos="9072"/>
        </w:tabs>
        <w:spacing w:line="324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ЗАНЯТОСТЬЮ И СОЦИАЛЬНЫМ СТАТУСОМ</w:t>
      </w:r>
      <w:r>
        <w:rPr>
          <w:rFonts w:eastAsia="Times New Roman"/>
          <w:color w:val="000000"/>
          <w:sz w:val="28"/>
          <w:lang w:val="ru-RU"/>
        </w:rPr>
        <w:tab/>
        <w:t xml:space="preserve">132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Ефимова А.С.</w:t>
      </w:r>
    </w:p>
    <w:p w:rsidR="00E67007" w:rsidRDefault="00E67007" w:rsidP="00E67007">
      <w:pPr>
        <w:spacing w:line="317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ВЛИЯНИЕ ФАКТОРОВ ВНЕШНЕЙ СРЕДЫ НА РАСПРОСТРАНЁННОСТЬ</w:t>
      </w:r>
    </w:p>
    <w:p w:rsidR="00E67007" w:rsidRDefault="00E67007" w:rsidP="00E67007">
      <w:pPr>
        <w:tabs>
          <w:tab w:val="left" w:leader="dot" w:pos="9072"/>
        </w:tabs>
        <w:spacing w:line="323" w:lineRule="exact"/>
        <w:ind w:left="144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СИСТЕМНОЙ ГИПОПЛАЗИИ ЭМАЛИ ЗУБОВ У ДЕТЕЙ</w:t>
      </w:r>
      <w:r>
        <w:rPr>
          <w:rFonts w:eastAsia="Times New Roman"/>
          <w:color w:val="000000"/>
          <w:sz w:val="28"/>
          <w:lang w:val="ru-RU"/>
        </w:rPr>
        <w:tab/>
        <w:t xml:space="preserve">134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b/>
          <w:i/>
          <w:color w:val="000000"/>
          <w:sz w:val="28"/>
          <w:lang w:val="ru-RU"/>
        </w:rPr>
        <w:t>Жмудь М.В., Иорданишвили А.К.</w:t>
      </w:r>
    </w:p>
    <w:p w:rsidR="00E67007" w:rsidRDefault="00E67007" w:rsidP="00E67007">
      <w:pPr>
        <w:spacing w:line="322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КЛИНИКА И ЛЕЧЕНИЕ СЛЮННОКАМЕННОЙ БОЛЕЗНИ У ЛЮДЕЙ</w:t>
      </w:r>
    </w:p>
    <w:p w:rsidR="00E67007" w:rsidRDefault="00E67007" w:rsidP="00E67007">
      <w:pPr>
        <w:tabs>
          <w:tab w:val="left" w:leader="dot" w:pos="9072"/>
        </w:tabs>
        <w:spacing w:before="6" w:line="319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СТАРШИХ ВОЗРАСТНЫХ ГРУПП</w:t>
      </w:r>
      <w:r>
        <w:rPr>
          <w:rFonts w:eastAsia="Times New Roman"/>
          <w:color w:val="000000"/>
          <w:sz w:val="28"/>
          <w:lang w:val="ru-RU"/>
        </w:rPr>
        <w:tab/>
        <w:t>135</w:t>
      </w:r>
    </w:p>
    <w:p w:rsidR="000211F5" w:rsidRDefault="000211F5" w:rsidP="000211F5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23"/>
          <w:sz w:val="24"/>
          <w:lang w:val="ru-RU"/>
        </w:rPr>
      </w:pPr>
      <w:r>
        <w:rPr>
          <w:rFonts w:eastAsia="Times New Roman"/>
          <w:color w:val="000000"/>
          <w:spacing w:val="23"/>
          <w:sz w:val="24"/>
          <w:lang w:val="ru-RU"/>
        </w:rPr>
        <w:t>105</w:t>
      </w:r>
    </w:p>
    <w:p w:rsidR="000211F5" w:rsidRDefault="000211F5" w:rsidP="000211F5">
      <w:pPr>
        <w:spacing w:before="252" w:line="309" w:lineRule="exact"/>
        <w:jc w:val="center"/>
        <w:textAlignment w:val="baseline"/>
        <w:rPr>
          <w:rFonts w:eastAsia="Times New Roman"/>
          <w:b/>
          <w:color w:val="000000"/>
          <w:sz w:val="27"/>
          <w:lang w:val="ru-RU"/>
        </w:rPr>
      </w:pPr>
      <w:r>
        <w:rPr>
          <w:rFonts w:eastAsia="Times New Roman"/>
          <w:b/>
          <w:color w:val="000000"/>
          <w:sz w:val="27"/>
          <w:lang w:val="ru-RU"/>
        </w:rPr>
        <w:lastRenderedPageBreak/>
        <w:t>ПРОБИОТИК В КОМПЛЕКСЕ ЛЕЧЕБНО</w:t>
      </w:r>
      <w:r>
        <w:rPr>
          <w:rFonts w:eastAsia="Times New Roman"/>
          <w:b/>
          <w:color w:val="000000"/>
          <w:sz w:val="28"/>
          <w:lang w:val="ru-RU"/>
        </w:rPr>
        <w:t>-</w:t>
      </w:r>
      <w:r>
        <w:rPr>
          <w:rFonts w:eastAsia="Times New Roman"/>
          <w:b/>
          <w:color w:val="000000"/>
          <w:sz w:val="27"/>
          <w:lang w:val="ru-RU"/>
        </w:rPr>
        <w:t xml:space="preserve">ПРОФИЛАКТИЧЕСКИХ </w:t>
      </w:r>
      <w:r>
        <w:rPr>
          <w:rFonts w:eastAsia="Times New Roman"/>
          <w:b/>
          <w:color w:val="000000"/>
          <w:sz w:val="27"/>
          <w:lang w:val="ru-RU"/>
        </w:rPr>
        <w:br/>
        <w:t>МЕРОПРИЯТИЙ У ДЕТЕЙ С КАРИЕСОМ</w:t>
      </w:r>
    </w:p>
    <w:p w:rsidR="000211F5" w:rsidRDefault="000211F5" w:rsidP="000211F5">
      <w:pPr>
        <w:spacing w:line="307" w:lineRule="exact"/>
        <w:jc w:val="center"/>
        <w:textAlignment w:val="baseline"/>
        <w:rPr>
          <w:rFonts w:eastAsia="Times New Roman"/>
          <w:b/>
          <w:color w:val="000000"/>
          <w:spacing w:val="6"/>
          <w:sz w:val="27"/>
          <w:lang w:val="ru-RU"/>
        </w:rPr>
      </w:pPr>
      <w:r>
        <w:rPr>
          <w:rFonts w:eastAsia="Times New Roman"/>
          <w:b/>
          <w:color w:val="000000"/>
          <w:spacing w:val="6"/>
          <w:sz w:val="27"/>
          <w:lang w:val="ru-RU"/>
        </w:rPr>
        <w:t>НА ФОНЕ СИСТЕМНОЙ ГИПОПЛАЗИИ ВРЕМЕННЫХ ЗУБОВ</w:t>
      </w:r>
    </w:p>
    <w:p w:rsidR="000211F5" w:rsidRDefault="000211F5" w:rsidP="000211F5">
      <w:pPr>
        <w:spacing w:before="121" w:line="315" w:lineRule="exact"/>
        <w:jc w:val="center"/>
        <w:textAlignment w:val="baseline"/>
        <w:rPr>
          <w:rFonts w:eastAsia="Times New Roman"/>
          <w:b/>
          <w:i/>
          <w:color w:val="000000"/>
          <w:sz w:val="28"/>
          <w:lang w:val="ru-RU"/>
        </w:rPr>
      </w:pPr>
      <w:r>
        <w:rPr>
          <w:rFonts w:eastAsia="Times New Roman"/>
          <w:b/>
          <w:i/>
          <w:color w:val="000000"/>
          <w:sz w:val="28"/>
          <w:lang w:val="ru-RU"/>
        </w:rPr>
        <w:t>Денисова Е.Г., Соколова И.И.</w:t>
      </w:r>
    </w:p>
    <w:p w:rsidR="000211F5" w:rsidRDefault="000211F5" w:rsidP="000211F5">
      <w:pPr>
        <w:spacing w:line="313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Харьковский национальный медицинский университет, г. Харьков</w:t>
      </w:r>
    </w:p>
    <w:p w:rsidR="000211F5" w:rsidRDefault="000211F5" w:rsidP="000211F5">
      <w:pPr>
        <w:spacing w:before="326" w:line="308" w:lineRule="exact"/>
        <w:ind w:right="72" w:firstLine="792"/>
        <w:jc w:val="both"/>
        <w:textAlignment w:val="baseline"/>
        <w:rPr>
          <w:rFonts w:eastAsia="Times New Roman"/>
          <w:color w:val="000000"/>
          <w:spacing w:val="2"/>
          <w:sz w:val="28"/>
          <w:lang w:val="ru-RU"/>
        </w:rPr>
      </w:pPr>
      <w:r>
        <w:rPr>
          <w:rFonts w:eastAsia="Times New Roman"/>
          <w:color w:val="000000"/>
          <w:spacing w:val="2"/>
          <w:sz w:val="28"/>
          <w:lang w:val="ru-RU"/>
        </w:rPr>
        <w:t xml:space="preserve">Кариес зубов остаётся одной из самых актуальных проблем современной детской стоматологии, особенно у детей первых трех лет жизни. Это поражение в мировой стоматологии обозначают термином ранний детский кариес - «Early Childhood Caries», ECC (Ismail, 1998). При наличии множественных поражений временных зубов, включая переднюю группу зубов на верхней челюсти, используется термин «Severe Early Childhood Caries» (S-ECC) – тяжелый ранний детский кариес. Наиболее агрессивным является разрушение пренатально сформированной эмали [1]. Факторы, которые </w:t>
      </w:r>
      <w:proofErr w:type="gramStart"/>
      <w:r>
        <w:rPr>
          <w:rFonts w:eastAsia="Times New Roman"/>
          <w:color w:val="000000"/>
          <w:spacing w:val="2"/>
          <w:sz w:val="28"/>
          <w:lang w:val="ru-RU"/>
        </w:rPr>
        <w:t>влияют на этот период развития зуба приводят</w:t>
      </w:r>
      <w:proofErr w:type="gramEnd"/>
      <w:r>
        <w:rPr>
          <w:rFonts w:eastAsia="Times New Roman"/>
          <w:color w:val="000000"/>
          <w:spacing w:val="2"/>
          <w:sz w:val="28"/>
          <w:lang w:val="ru-RU"/>
        </w:rPr>
        <w:t xml:space="preserve"> к нарушению формирования твердых тканей и, как следствие, возникновению такого заболевания как системная гипоплазия эмали. Caufield P.W. и соавт. предлагают использовать термин гипоплазия, ассоциированная с тяжелым ранним кариесом – Hypoplasia-associated severe early childhood caries (HAS-ECC), т.к. это определение охватывает не только одну болезнь, а несколько, каждая </w:t>
      </w:r>
      <w:proofErr w:type="gramStart"/>
      <w:r>
        <w:rPr>
          <w:rFonts w:eastAsia="Times New Roman"/>
          <w:color w:val="000000"/>
          <w:spacing w:val="2"/>
          <w:sz w:val="28"/>
          <w:lang w:val="ru-RU"/>
        </w:rPr>
        <w:t>из</w:t>
      </w:r>
      <w:proofErr w:type="gramEnd"/>
      <w:r>
        <w:rPr>
          <w:rFonts w:eastAsia="Times New Roman"/>
          <w:color w:val="000000"/>
          <w:spacing w:val="2"/>
          <w:sz w:val="28"/>
          <w:lang w:val="ru-RU"/>
        </w:rPr>
        <w:t xml:space="preserve"> которых имеет различные этиологические, гистологические и патогенетические факторы [2]. Дифференциация HAS-ECC от других форм раннего детского кариеса является оправданным из-за его отличной этиологии, клинической картины, и в конечном итоге тактики лечения. В то же время дифференцировать пятна при гипоплазии эмали от кариозных «меловидных пятен», связанных с накоплением бляшки и кариесогенной диеты может быть сложно [3, 4, 5].</w:t>
      </w:r>
    </w:p>
    <w:p w:rsidR="000211F5" w:rsidRDefault="000211F5" w:rsidP="000211F5">
      <w:pPr>
        <w:spacing w:before="11" w:line="307" w:lineRule="exact"/>
        <w:ind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настоящее время новым направлением в профилактике и лечении кариеса зубов у детей является применение пробиотиков. Всемирная организация здравоохранения определяет пробиотики как «живые микроорганизмы, которые при введении в адекватных количествах, оказывают пользу для здоровья организма» [6]. Эти бактерии, являясь представителями нормальной микрофлоры ротовой полости, не играют роли в инициировании развития кариеса зубов, даже, несмотря на то, что они относятся к сахаролитикам и ферментируют углеводы [7, 8].</w:t>
      </w:r>
    </w:p>
    <w:p w:rsidR="000211F5" w:rsidRDefault="000211F5" w:rsidP="000211F5">
      <w:pPr>
        <w:spacing w:line="306" w:lineRule="exact"/>
        <w:ind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Цель исследования – изучение эффективности применения пробиотика в комплексе лечебно – профилактических мероприятий при раннем детском кариесе у детей с системной гипоплазией временных зубов.</w:t>
      </w:r>
    </w:p>
    <w:p w:rsidR="000211F5" w:rsidRDefault="000211F5" w:rsidP="000211F5">
      <w:pPr>
        <w:spacing w:before="23" w:line="307" w:lineRule="exact"/>
        <w:ind w:right="72" w:firstLine="792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Материал и методы исследования. Было обследовано 14 детей в возрасте от 1,5 года до 2 лет. Гигиеническое состояние зубов оценивали с использованием индекса для оценки зубного налета у детей раннего возраста (ИОЗН, Э.М. Кузьмина, 2000г.) [9]. Дифференциальную диагностику между некариозными поражениями твердых тканей зубов и кариесом проводили по традиционным критериям (окрашивание метиленовым синим, высушивание поверхности эмали и т. д.). Клиническое обследование предусматривало оценку распространенности и интенсивности поражения зубов и поверхностей кариесом (индексы кп</w:t>
      </w:r>
      <w:r>
        <w:rPr>
          <w:rFonts w:eastAsia="Times New Roman"/>
          <w:color w:val="000000"/>
          <w:spacing w:val="1"/>
          <w:sz w:val="28"/>
          <w:vertAlign w:val="subscript"/>
          <w:lang w:val="ru-RU"/>
        </w:rPr>
        <w:t>з</w:t>
      </w:r>
      <w:r>
        <w:rPr>
          <w:rFonts w:eastAsia="Times New Roman"/>
          <w:color w:val="000000"/>
          <w:spacing w:val="1"/>
          <w:sz w:val="28"/>
          <w:lang w:val="ru-RU"/>
        </w:rPr>
        <w:t>, кп</w:t>
      </w:r>
      <w:r>
        <w:rPr>
          <w:rFonts w:eastAsia="Times New Roman"/>
          <w:color w:val="000000"/>
          <w:spacing w:val="1"/>
          <w:sz w:val="28"/>
          <w:vertAlign w:val="subscript"/>
          <w:lang w:val="ru-RU"/>
        </w:rPr>
        <w:t>п</w:t>
      </w:r>
      <w:r>
        <w:rPr>
          <w:rFonts w:eastAsia="Times New Roman"/>
          <w:color w:val="000000"/>
          <w:spacing w:val="1"/>
          <w:sz w:val="28"/>
          <w:lang w:val="ru-RU"/>
        </w:rPr>
        <w:t xml:space="preserve">, где к – кариес, </w:t>
      </w:r>
      <w:proofErr w:type="gramStart"/>
      <w:r>
        <w:rPr>
          <w:rFonts w:eastAsia="Times New Roman"/>
          <w:color w:val="000000"/>
          <w:spacing w:val="1"/>
          <w:sz w:val="28"/>
          <w:lang w:val="ru-RU"/>
        </w:rPr>
        <w:t>п</w:t>
      </w:r>
      <w:proofErr w:type="gramEnd"/>
      <w:r>
        <w:rPr>
          <w:rFonts w:eastAsia="Times New Roman"/>
          <w:color w:val="000000"/>
          <w:spacing w:val="1"/>
          <w:sz w:val="28"/>
          <w:lang w:val="ru-RU"/>
        </w:rPr>
        <w:t xml:space="preserve"> – пломбированные) [10,11].</w:t>
      </w:r>
    </w:p>
    <w:p w:rsidR="000211F5" w:rsidRPr="00EB0CDB" w:rsidRDefault="000211F5" w:rsidP="000211F5">
      <w:pPr>
        <w:rPr>
          <w:lang w:val="ru-RU"/>
        </w:rPr>
        <w:sectPr w:rsidR="000211F5" w:rsidRPr="00EB0CDB">
          <w:pgSz w:w="11909" w:h="16838"/>
          <w:pgMar w:top="700" w:right="1014" w:bottom="842" w:left="1015" w:header="720" w:footer="720" w:gutter="0"/>
          <w:cols w:space="720"/>
        </w:sectPr>
      </w:pPr>
    </w:p>
    <w:p w:rsidR="000211F5" w:rsidRDefault="000211F5" w:rsidP="000211F5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5"/>
          <w:sz w:val="24"/>
          <w:lang w:val="ru-RU"/>
        </w:rPr>
      </w:pPr>
      <w:r>
        <w:rPr>
          <w:rFonts w:eastAsia="Times New Roman"/>
          <w:color w:val="000000"/>
          <w:spacing w:val="25"/>
          <w:sz w:val="24"/>
          <w:lang w:val="ru-RU"/>
        </w:rPr>
        <w:lastRenderedPageBreak/>
        <w:t>106</w:t>
      </w:r>
    </w:p>
    <w:p w:rsidR="000211F5" w:rsidRDefault="000211F5" w:rsidP="000211F5">
      <w:pPr>
        <w:spacing w:before="245" w:line="322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Дети были разделены на 2 группы: первая группа (7 детей) проводили гигиенические мероприятия (гигиена полости рта 2 раза в день после еды) с использованием только зубной щетки [12]; вторая группа (7 детей) – гигиена полости рта с использованием зубной щетки и применение пробиотика </w:t>
      </w:r>
      <w:r>
        <w:rPr>
          <w:rFonts w:eastAsia="Times New Roman"/>
          <w:b/>
          <w:color w:val="000000"/>
          <w:sz w:val="28"/>
          <w:lang w:val="ru-RU"/>
        </w:rPr>
        <w:t>«</w:t>
      </w:r>
      <w:r>
        <w:rPr>
          <w:rFonts w:eastAsia="Times New Roman"/>
          <w:color w:val="000000"/>
          <w:sz w:val="28"/>
          <w:lang w:val="ru-RU"/>
        </w:rPr>
        <w:t>BioGaia Protectis Baby» (Farmasierra Manufacturing S.L., Испания): 5 капель один раз в сутки в течение десяти дней, курс повторяли 1 раз в 3 месяца. [13]. Контрольные осмотры проводили через 1, 3, 6, 12 месяцев.</w:t>
      </w:r>
    </w:p>
    <w:p w:rsidR="000211F5" w:rsidRDefault="000211F5" w:rsidP="000211F5">
      <w:pPr>
        <w:spacing w:before="2" w:line="322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Статистическую обработку полученных данных проводили с помощью программы </w:t>
      </w:r>
      <w:r>
        <w:rPr>
          <w:rFonts w:eastAsia="Times New Roman"/>
          <w:b/>
          <w:color w:val="000000"/>
          <w:sz w:val="28"/>
          <w:lang w:val="ru-RU"/>
        </w:rPr>
        <w:t>«</w:t>
      </w:r>
      <w:r>
        <w:rPr>
          <w:rFonts w:eastAsia="Times New Roman"/>
          <w:i/>
          <w:color w:val="000000"/>
          <w:sz w:val="28"/>
          <w:lang w:val="ru-RU"/>
        </w:rPr>
        <w:t>STATISTICA</w:t>
      </w:r>
      <w:r>
        <w:rPr>
          <w:rFonts w:eastAsia="Times New Roman"/>
          <w:b/>
          <w:i/>
          <w:color w:val="000000"/>
          <w:sz w:val="28"/>
          <w:lang w:val="ru-RU"/>
        </w:rPr>
        <w:t xml:space="preserve">, </w:t>
      </w:r>
      <w:r>
        <w:rPr>
          <w:rFonts w:eastAsia="Times New Roman"/>
          <w:color w:val="000000"/>
          <w:sz w:val="28"/>
          <w:lang w:val="ru-RU"/>
        </w:rPr>
        <w:t>StatSoft Inc. 1984 - 2011».</w:t>
      </w:r>
    </w:p>
    <w:p w:rsidR="000211F5" w:rsidRDefault="000211F5" w:rsidP="000211F5">
      <w:pPr>
        <w:spacing w:before="2" w:line="320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Результаты исследования. Уровень гигиены у обследованных детей был равен 0,32± 0,07 балла (удовлетворительный), но достоверно не различался между группами. Интенсивность кариеса зубов представлена в таблице 1, разница в значениях исследуемых индексов была статистически не значима (t &lt; 2). При анализе частоты поражения кариесом отдельных зубов и различных поверхностей выявлено, что во всех группах чаще всего поражается вестибулярная и медиальная поверхность верхних резцов, пришеечная и жевательная поверхность первых и вторых моляров.</w:t>
      </w:r>
    </w:p>
    <w:p w:rsidR="000211F5" w:rsidRDefault="000211F5" w:rsidP="000211F5">
      <w:pPr>
        <w:spacing w:line="277" w:lineRule="exact"/>
        <w:ind w:left="72" w:right="144"/>
        <w:jc w:val="right"/>
        <w:textAlignment w:val="baseline"/>
        <w:rPr>
          <w:rFonts w:eastAsia="Times New Roman"/>
          <w:i/>
          <w:color w:val="000000"/>
          <w:spacing w:val="-3"/>
          <w:sz w:val="24"/>
          <w:lang w:val="ru-RU"/>
        </w:rPr>
      </w:pPr>
      <w:r>
        <w:rPr>
          <w:rFonts w:eastAsia="Times New Roman"/>
          <w:i/>
          <w:color w:val="000000"/>
          <w:spacing w:val="-3"/>
          <w:sz w:val="24"/>
          <w:lang w:val="ru-RU"/>
        </w:rPr>
        <w:t>Таблица 1</w:t>
      </w:r>
    </w:p>
    <w:p w:rsidR="000211F5" w:rsidRDefault="000211F5" w:rsidP="000211F5">
      <w:pPr>
        <w:spacing w:after="109" w:line="288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Интенсивность кариеса у детей (M±m)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1296"/>
        <w:gridCol w:w="1497"/>
        <w:gridCol w:w="1325"/>
        <w:gridCol w:w="1469"/>
      </w:tblGrid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5" w:line="28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Исследуемый показатель</w:t>
            </w:r>
          </w:p>
        </w:tc>
        <w:tc>
          <w:tcPr>
            <w:tcW w:w="2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5" w:line="283" w:lineRule="exact"/>
              <w:ind w:right="929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Группа 1</w:t>
            </w:r>
          </w:p>
        </w:tc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5" w:line="283" w:lineRule="exact"/>
              <w:ind w:left="85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Группа 2</w:t>
            </w:r>
          </w:p>
        </w:tc>
      </w:tr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6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кп</w:t>
            </w:r>
            <w:r>
              <w:rPr>
                <w:rFonts w:eastAsia="Times New Roman"/>
                <w:color w:val="000000"/>
                <w:sz w:val="24"/>
                <w:vertAlign w:val="subscript"/>
                <w:lang w:val="ru-RU"/>
              </w:rPr>
              <w:t>з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211F5" w:rsidRDefault="000211F5" w:rsidP="00BD7E76">
            <w:pPr>
              <w:spacing w:line="268" w:lineRule="exact"/>
              <w:ind w:right="29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4,43</w:t>
            </w:r>
          </w:p>
        </w:tc>
        <w:tc>
          <w:tcPr>
            <w:tcW w:w="149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68" w:lineRule="exact"/>
              <w:ind w:left="3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± 2,07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211F5" w:rsidRDefault="000211F5" w:rsidP="00BD7E76">
            <w:pPr>
              <w:spacing w:line="268" w:lineRule="exact"/>
              <w:ind w:left="85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4,14</w:t>
            </w:r>
          </w:p>
        </w:tc>
        <w:tc>
          <w:tcPr>
            <w:tcW w:w="146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68" w:lineRule="exact"/>
              <w:ind w:right="860"/>
              <w:jc w:val="right"/>
              <w:textAlignment w:val="baseline"/>
              <w:rPr>
                <w:rFonts w:eastAsia="Times New Roman"/>
                <w:color w:val="000000"/>
                <w:spacing w:val="-16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pacing w:val="-16"/>
                <w:sz w:val="24"/>
                <w:lang w:val="ru-RU"/>
              </w:rPr>
              <w:t>± 1,86</w:t>
            </w:r>
          </w:p>
        </w:tc>
      </w:tr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8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кп</w:t>
            </w:r>
            <w:r>
              <w:rPr>
                <w:rFonts w:eastAsia="Times New Roman"/>
                <w:color w:val="000000"/>
                <w:sz w:val="24"/>
                <w:vertAlign w:val="subscript"/>
                <w:lang w:val="ru-RU"/>
              </w:rPr>
              <w:t>п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211F5" w:rsidRDefault="000211F5" w:rsidP="00BD7E76">
            <w:pPr>
              <w:spacing w:after="9" w:line="279" w:lineRule="exact"/>
              <w:ind w:right="29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4,6</w:t>
            </w:r>
          </w:p>
        </w:tc>
        <w:tc>
          <w:tcPr>
            <w:tcW w:w="149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9" w:line="279" w:lineRule="exact"/>
              <w:ind w:left="33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± 2,2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211F5" w:rsidRDefault="000211F5" w:rsidP="00BD7E76">
            <w:pPr>
              <w:spacing w:after="9" w:line="279" w:lineRule="exact"/>
              <w:ind w:left="850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4,14</w:t>
            </w:r>
          </w:p>
        </w:tc>
        <w:tc>
          <w:tcPr>
            <w:tcW w:w="146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9" w:line="279" w:lineRule="exact"/>
              <w:ind w:right="860"/>
              <w:jc w:val="righ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± 1,9</w:t>
            </w:r>
          </w:p>
        </w:tc>
      </w:tr>
    </w:tbl>
    <w:p w:rsidR="000211F5" w:rsidRDefault="000211F5" w:rsidP="000211F5">
      <w:pPr>
        <w:spacing w:before="109" w:line="313" w:lineRule="exact"/>
        <w:ind w:left="72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Лечебно-профилактические мероприятия во всех группах включали в себя профессиональную чистку зубов, пломбирования кариозных полостей («Кариклинз», ВладМиВа) с последующим использованием в качестве пломбировочного материала стеклоиономерный цемент – </w:t>
      </w:r>
      <w:proofErr w:type="gramStart"/>
      <w:r>
        <w:rPr>
          <w:rFonts w:eastAsia="Times New Roman"/>
          <w:color w:val="000000"/>
          <w:sz w:val="28"/>
          <w:lang w:val="ru-RU"/>
        </w:rPr>
        <w:t>Ю</w:t>
      </w:r>
      <w:proofErr w:type="gramEnd"/>
      <w:r>
        <w:rPr>
          <w:rFonts w:eastAsia="Times New Roman"/>
          <w:color w:val="000000"/>
          <w:sz w:val="28"/>
          <w:lang w:val="ru-RU"/>
        </w:rPr>
        <w:t>va luting, SDI), обучения мамы (или опекуна ребенка) правилам чистки зубов.</w:t>
      </w:r>
    </w:p>
    <w:p w:rsidR="000211F5" w:rsidRDefault="000211F5" w:rsidP="000211F5">
      <w:pPr>
        <w:spacing w:line="308" w:lineRule="exact"/>
        <w:ind w:left="72" w:right="144" w:firstLine="648"/>
        <w:jc w:val="both"/>
        <w:textAlignment w:val="baseline"/>
        <w:rPr>
          <w:rFonts w:eastAsia="Times New Roman"/>
          <w:color w:val="000000"/>
          <w:spacing w:val="-4"/>
          <w:sz w:val="28"/>
          <w:lang w:val="ru-RU"/>
        </w:rPr>
      </w:pPr>
      <w:r>
        <w:rPr>
          <w:rFonts w:eastAsia="Times New Roman"/>
          <w:color w:val="000000"/>
          <w:spacing w:val="-4"/>
          <w:sz w:val="28"/>
          <w:lang w:val="ru-RU"/>
        </w:rPr>
        <w:t xml:space="preserve">Во всех исследуемых группах отмечена положительная динамика процесса после лечебно-профилактических мероприятий. Контрольный осмотр через 1 месяц показал, что гигиена полости рта </w:t>
      </w:r>
      <w:proofErr w:type="gramStart"/>
      <w:r>
        <w:rPr>
          <w:rFonts w:eastAsia="Times New Roman"/>
          <w:color w:val="000000"/>
          <w:spacing w:val="-4"/>
          <w:sz w:val="28"/>
          <w:lang w:val="ru-RU"/>
        </w:rPr>
        <w:t>изменилась во всех обследуемых группах и характеризовалось</w:t>
      </w:r>
      <w:proofErr w:type="gramEnd"/>
      <w:r>
        <w:rPr>
          <w:rFonts w:eastAsia="Times New Roman"/>
          <w:color w:val="000000"/>
          <w:spacing w:val="-4"/>
          <w:sz w:val="28"/>
          <w:lang w:val="ru-RU"/>
        </w:rPr>
        <w:t xml:space="preserve"> как хорошая по значению индекса ИОЗН (ИОЗН – 0 баллов). Пломбы были все сохранены. Через 3 месяца состояние в полости рта несколько изменилось у детей 1 группы: отмечалось наличие зубного налета на зубах и нарушение краевого прилегания некоторых пломб, при этом различия в значениях индекса ИОЗН сразу после санации и в момент обследования были значимы (ИОЗН – 0,14 ± 0,06 баллов, </w:t>
      </w:r>
      <w:proofErr w:type="gramStart"/>
      <w:r>
        <w:rPr>
          <w:rFonts w:eastAsia="Times New Roman"/>
          <w:color w:val="000000"/>
          <w:spacing w:val="-4"/>
          <w:sz w:val="28"/>
          <w:lang w:val="ru-RU"/>
        </w:rPr>
        <w:t>р</w:t>
      </w:r>
      <w:proofErr w:type="gramEnd"/>
      <w:r>
        <w:rPr>
          <w:rFonts w:eastAsia="Times New Roman"/>
          <w:color w:val="000000"/>
          <w:spacing w:val="-4"/>
          <w:sz w:val="28"/>
          <w:lang w:val="ru-RU"/>
        </w:rPr>
        <w:t xml:space="preserve"> &lt; 0,05). У детей 2 группы ситуация была аналогичная (ИОЗН – 0,17 ± 0,051 баллов, </w:t>
      </w:r>
      <w:proofErr w:type="gramStart"/>
      <w:r>
        <w:rPr>
          <w:rFonts w:eastAsia="Times New Roman"/>
          <w:color w:val="000000"/>
          <w:spacing w:val="-4"/>
          <w:sz w:val="28"/>
          <w:lang w:val="ru-RU"/>
        </w:rPr>
        <w:t>р</w:t>
      </w:r>
      <w:proofErr w:type="gramEnd"/>
      <w:r>
        <w:rPr>
          <w:rFonts w:eastAsia="Times New Roman"/>
          <w:color w:val="000000"/>
          <w:spacing w:val="-4"/>
          <w:sz w:val="28"/>
          <w:lang w:val="ru-RU"/>
        </w:rPr>
        <w:t xml:space="preserve"> &lt; 0,05), но родители отмечали, что в период приема курса пробиотика гигиена полости рта у детей была значительно лучше (визуально не отмечался зубной налет).</w:t>
      </w:r>
    </w:p>
    <w:p w:rsidR="000211F5" w:rsidRDefault="000211F5" w:rsidP="000211F5">
      <w:pPr>
        <w:spacing w:line="308" w:lineRule="exact"/>
        <w:ind w:left="72" w:right="144" w:firstLine="648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Через 6 месяцев гигиеническое состояние полости рта у детей 1 и 2 групп хотя и было в пределах удовлетворительных значений (ИОЗН – 0,3 ± 0,8 баллов), но, ухудшилось по сравнению с первоначальными цифрами. При этом появились новые кариозные полости, отмечалось нарушение краевого прилегания пломб на участках гипоплазированной эмали в области шейки зубов. Все это потребовало дополнительных лечебных мероприятий.</w:t>
      </w:r>
    </w:p>
    <w:p w:rsidR="000211F5" w:rsidRPr="00EB0CDB" w:rsidRDefault="000211F5" w:rsidP="000211F5">
      <w:pPr>
        <w:rPr>
          <w:lang w:val="ru-RU"/>
        </w:rPr>
        <w:sectPr w:rsidR="000211F5" w:rsidRPr="00EB0CDB">
          <w:pgSz w:w="11909" w:h="16838"/>
          <w:pgMar w:top="700" w:right="976" w:bottom="922" w:left="1053" w:header="720" w:footer="720" w:gutter="0"/>
          <w:cols w:space="720"/>
        </w:sectPr>
      </w:pPr>
    </w:p>
    <w:p w:rsidR="000211F5" w:rsidRDefault="000211F5" w:rsidP="000211F5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4"/>
          <w:sz w:val="24"/>
          <w:lang w:val="ru-RU"/>
        </w:rPr>
      </w:pPr>
      <w:r>
        <w:rPr>
          <w:rFonts w:eastAsia="Times New Roman"/>
          <w:color w:val="000000"/>
          <w:spacing w:val="24"/>
          <w:sz w:val="24"/>
          <w:lang w:val="ru-RU"/>
        </w:rPr>
        <w:lastRenderedPageBreak/>
        <w:t>107</w:t>
      </w:r>
    </w:p>
    <w:p w:rsidR="000211F5" w:rsidRDefault="000211F5" w:rsidP="000211F5">
      <w:pPr>
        <w:spacing w:before="247" w:line="311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Результаты гигиенического тестирования через 12 месяцев были следующие: 1 группа – 0,23 ± 0,04 (t – 2,98), 2 группа – 0,19 ± 0,04 (t – 4,8). Таким образом, разница в показателях была статистически значима. Но следует отметить, что в этот контрольный визит произошли изменения как в полости рта (увеличения количества зубов), так и в расширении рациона питания, с преобладанием более жесткой пищи. Интенсивность кариеса через 12 месяцев представлена в табл. 2.</w:t>
      </w:r>
    </w:p>
    <w:p w:rsidR="000211F5" w:rsidRDefault="000211F5" w:rsidP="000211F5">
      <w:pPr>
        <w:spacing w:line="278" w:lineRule="exact"/>
        <w:ind w:left="72" w:right="144"/>
        <w:jc w:val="right"/>
        <w:textAlignment w:val="baseline"/>
        <w:rPr>
          <w:rFonts w:eastAsia="Times New Roman"/>
          <w:i/>
          <w:color w:val="000000"/>
          <w:spacing w:val="-2"/>
          <w:sz w:val="24"/>
          <w:lang w:val="ru-RU"/>
        </w:rPr>
      </w:pPr>
      <w:r>
        <w:rPr>
          <w:rFonts w:eastAsia="Times New Roman"/>
          <w:i/>
          <w:color w:val="000000"/>
          <w:spacing w:val="-2"/>
          <w:sz w:val="24"/>
          <w:lang w:val="ru-RU"/>
        </w:rPr>
        <w:t>Таблица 2</w:t>
      </w:r>
    </w:p>
    <w:p w:rsidR="000211F5" w:rsidRDefault="000211F5" w:rsidP="000211F5">
      <w:pPr>
        <w:spacing w:before="7" w:after="61" w:line="268" w:lineRule="exact"/>
        <w:ind w:left="1440"/>
        <w:jc w:val="right"/>
        <w:textAlignment w:val="baseline"/>
        <w:rPr>
          <w:rFonts w:eastAsia="Times New Roman"/>
          <w:color w:val="000000"/>
          <w:sz w:val="25"/>
          <w:lang w:val="ru-RU"/>
        </w:rPr>
      </w:pPr>
      <w:r>
        <w:rPr>
          <w:rFonts w:eastAsia="Times New Roman"/>
          <w:color w:val="000000"/>
          <w:sz w:val="25"/>
          <w:lang w:val="ru-RU"/>
        </w:rPr>
        <w:t xml:space="preserve">Интенсивность кариеса зубов и гигиенический индекс у детей через 12 месяцев после начала лечебных мероприятий, </w:t>
      </w:r>
      <w:r>
        <w:rPr>
          <w:rFonts w:eastAsia="Times New Roman"/>
          <w:b/>
          <w:color w:val="000000"/>
          <w:sz w:val="24"/>
          <w:lang w:val="ru-RU"/>
        </w:rPr>
        <w:t>(M</w:t>
      </w:r>
      <w:r>
        <w:rPr>
          <w:rFonts w:eastAsia="Times New Roman"/>
          <w:color w:val="000000"/>
          <w:sz w:val="25"/>
          <w:lang w:val="ru-RU"/>
        </w:rPr>
        <w:t>±</w:t>
      </w:r>
      <w:r>
        <w:rPr>
          <w:rFonts w:eastAsia="Times New Roman"/>
          <w:b/>
          <w:color w:val="000000"/>
          <w:sz w:val="24"/>
          <w:lang w:val="ru-RU"/>
        </w:rPr>
        <w:t>m)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3120"/>
        <w:gridCol w:w="3485"/>
      </w:tblGrid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1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Исследуемый показатель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1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Группа 1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1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Группа 2</w:t>
            </w:r>
          </w:p>
        </w:tc>
      </w:tr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5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кп</w:t>
            </w:r>
            <w:r>
              <w:rPr>
                <w:rFonts w:eastAsia="Times New Roman"/>
                <w:color w:val="000000"/>
                <w:sz w:val="25"/>
                <w:vertAlign w:val="subscript"/>
                <w:lang w:val="ru-RU"/>
              </w:rPr>
              <w:t>з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5" w:line="273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5,7 ± 1,6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5" w:line="273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4,3 ± 0,8</w:t>
            </w:r>
          </w:p>
        </w:tc>
      </w:tr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0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кп</w:t>
            </w:r>
            <w:r>
              <w:rPr>
                <w:rFonts w:eastAsia="Times New Roman"/>
                <w:color w:val="000000"/>
                <w:sz w:val="25"/>
                <w:vertAlign w:val="subscript"/>
                <w:lang w:val="ru-RU"/>
              </w:rPr>
              <w:t>п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6,9 ± 0,9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5,14 ± 1,9</w:t>
            </w:r>
          </w:p>
        </w:tc>
      </w:tr>
      <w:tr w:rsidR="000211F5" w:rsidTr="00BD7E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9" w:line="273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ИОЗН, баллы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9" w:line="273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0,23 ± 0,05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11F5" w:rsidRDefault="000211F5" w:rsidP="00BD7E76">
            <w:pPr>
              <w:spacing w:after="9" w:line="273" w:lineRule="exact"/>
              <w:jc w:val="center"/>
              <w:textAlignment w:val="baseline"/>
              <w:rPr>
                <w:rFonts w:eastAsia="Times New Roman"/>
                <w:color w:val="000000"/>
                <w:sz w:val="25"/>
                <w:lang w:val="ru-RU"/>
              </w:rPr>
            </w:pPr>
            <w:r>
              <w:rPr>
                <w:rFonts w:eastAsia="Times New Roman"/>
                <w:color w:val="000000"/>
                <w:sz w:val="25"/>
                <w:lang w:val="ru-RU"/>
              </w:rPr>
              <w:t>0,2 ± 0,04</w:t>
            </w:r>
          </w:p>
        </w:tc>
      </w:tr>
    </w:tbl>
    <w:p w:rsidR="000211F5" w:rsidRDefault="000211F5" w:rsidP="000211F5">
      <w:pPr>
        <w:spacing w:after="109" w:line="20" w:lineRule="exact"/>
      </w:pPr>
    </w:p>
    <w:p w:rsidR="000211F5" w:rsidRDefault="000211F5" w:rsidP="000211F5">
      <w:pPr>
        <w:spacing w:before="12" w:line="312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Таким образом, анализируя показатели интенсивности кариеса в течение года наблюдения было установлено, что прирост интенсивности кариеса наблюдался как в </w:t>
      </w:r>
      <w:proofErr w:type="gramStart"/>
      <w:r>
        <w:rPr>
          <w:rFonts w:eastAsia="Times New Roman"/>
          <w:color w:val="000000"/>
          <w:sz w:val="28"/>
          <w:lang w:val="ru-RU"/>
        </w:rPr>
        <w:t>1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так и во 2 группах, соответственно 1,3 ± 0,95 и 0,7 ± 1,25. Прирост интенсивности кариеса поверхностей был равен: 2,3 ± 1,7 и 1 ± 0,8. Значения во второй группе были незначительны, что объяснялось применением пробиотика.</w:t>
      </w:r>
    </w:p>
    <w:p w:rsidR="000211F5" w:rsidRDefault="000211F5" w:rsidP="000211F5">
      <w:pPr>
        <w:spacing w:before="5" w:line="312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Выводы: применение пробиотика при кариесе зубов на фоне системной гипоплазии эмали у детей раннего возраста проводит к улучшению гигиенического состояния полости рта, снижается прирост интенсивности кариеса зубов, но прирост интенсивности кариеса поверхностей наблюдается, что по нашему мнению объясняется особенностью клинического течения заболевания.</w:t>
      </w:r>
    </w:p>
    <w:p w:rsidR="000211F5" w:rsidRDefault="000211F5" w:rsidP="00E67007">
      <w:pPr>
        <w:tabs>
          <w:tab w:val="left" w:leader="dot" w:pos="9072"/>
        </w:tabs>
        <w:spacing w:before="6" w:line="319" w:lineRule="exact"/>
        <w:ind w:left="144"/>
        <w:textAlignment w:val="baseline"/>
        <w:rPr>
          <w:rFonts w:eastAsia="Times New Roman"/>
          <w:color w:val="000000"/>
          <w:sz w:val="28"/>
          <w:lang w:val="ru-RU"/>
        </w:rPr>
      </w:pPr>
      <w:bookmarkStart w:id="0" w:name="_GoBack"/>
      <w:bookmarkEnd w:id="0"/>
    </w:p>
    <w:sectPr w:rsidR="000211F5" w:rsidSect="00E670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7"/>
    <w:rsid w:val="000211F5"/>
    <w:rsid w:val="000B710A"/>
    <w:rsid w:val="00851526"/>
    <w:rsid w:val="00E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0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07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0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07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2014-11-04T12:50:00Z</dcterms:created>
  <dcterms:modified xsi:type="dcterms:W3CDTF">2014-11-04T12:50:00Z</dcterms:modified>
</cp:coreProperties>
</file>