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07" w:rsidRDefault="00E67007" w:rsidP="00E67007">
      <w:pPr>
        <w:spacing w:before="16" w:line="321" w:lineRule="exact"/>
        <w:jc w:val="center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 xml:space="preserve">Департамент здравоохранения и социальной защиты населения </w:t>
      </w:r>
      <w:r>
        <w:rPr>
          <w:rFonts w:eastAsia="Times New Roman"/>
          <w:color w:val="000000"/>
          <w:sz w:val="28"/>
          <w:lang w:val="ru-RU"/>
        </w:rPr>
        <w:br/>
        <w:t xml:space="preserve">Белгородской области </w:t>
      </w:r>
      <w:r>
        <w:rPr>
          <w:rFonts w:eastAsia="Times New Roman"/>
          <w:color w:val="000000"/>
          <w:sz w:val="28"/>
          <w:lang w:val="ru-RU"/>
        </w:rPr>
        <w:br/>
        <w:t xml:space="preserve">Белгородский государственный национальный </w:t>
      </w:r>
      <w:r>
        <w:rPr>
          <w:rFonts w:eastAsia="Times New Roman"/>
          <w:color w:val="000000"/>
          <w:sz w:val="28"/>
          <w:lang w:val="ru-RU"/>
        </w:rPr>
        <w:br/>
        <w:t xml:space="preserve">исследовательский университет </w:t>
      </w:r>
      <w:r>
        <w:rPr>
          <w:rFonts w:eastAsia="Times New Roman"/>
          <w:color w:val="000000"/>
          <w:sz w:val="28"/>
          <w:lang w:val="ru-RU"/>
        </w:rPr>
        <w:br/>
        <w:t xml:space="preserve">Стоматологическая ассоциация России </w:t>
      </w:r>
      <w:r>
        <w:rPr>
          <w:rFonts w:eastAsia="Times New Roman"/>
          <w:color w:val="000000"/>
          <w:sz w:val="28"/>
          <w:lang w:val="ru-RU"/>
        </w:rPr>
        <w:br/>
        <w:t>Белгородская стоматологическая ассоциация</w:t>
      </w:r>
    </w:p>
    <w:p w:rsidR="00E67007" w:rsidRDefault="00E67007" w:rsidP="00E67007">
      <w:pPr>
        <w:spacing w:before="1934" w:line="464" w:lineRule="exact"/>
        <w:textAlignment w:val="baseline"/>
        <w:rPr>
          <w:rFonts w:eastAsia="Times New Roman"/>
          <w:color w:val="000000"/>
          <w:spacing w:val="1"/>
          <w:sz w:val="39"/>
          <w:lang w:val="ru-RU"/>
        </w:rPr>
      </w:pPr>
      <w:r>
        <w:rPr>
          <w:rFonts w:eastAsia="Times New Roman"/>
          <w:color w:val="000000"/>
          <w:spacing w:val="1"/>
          <w:sz w:val="39"/>
          <w:lang w:val="ru-RU"/>
        </w:rPr>
        <w:t>СТОМАТОЛОГИЯ СЛАВЯНСКИХ ГОСУДАРСТВ</w:t>
      </w:r>
    </w:p>
    <w:p w:rsidR="00E67007" w:rsidRDefault="00E67007" w:rsidP="00E67007">
      <w:pPr>
        <w:spacing w:before="322" w:line="370" w:lineRule="exact"/>
        <w:jc w:val="center"/>
        <w:textAlignment w:val="baseline"/>
        <w:rPr>
          <w:rFonts w:eastAsia="Times New Roman"/>
          <w:color w:val="000000"/>
          <w:sz w:val="32"/>
          <w:lang w:val="ru-RU"/>
        </w:rPr>
      </w:pPr>
      <w:r>
        <w:rPr>
          <w:rFonts w:eastAsia="Times New Roman"/>
          <w:color w:val="000000"/>
          <w:sz w:val="32"/>
          <w:lang w:val="ru-RU"/>
        </w:rPr>
        <w:t xml:space="preserve">Труды VII Международной </w:t>
      </w:r>
      <w:r>
        <w:rPr>
          <w:rFonts w:eastAsia="Times New Roman"/>
          <w:color w:val="000000"/>
          <w:sz w:val="32"/>
          <w:lang w:val="ru-RU"/>
        </w:rPr>
        <w:br/>
        <w:t>научно-практической конференции</w:t>
      </w:r>
    </w:p>
    <w:p w:rsidR="00E67007" w:rsidRDefault="00E67007" w:rsidP="00E67007">
      <w:pPr>
        <w:spacing w:before="953" w:line="326" w:lineRule="exact"/>
        <w:jc w:val="center"/>
        <w:textAlignment w:val="baseline"/>
        <w:rPr>
          <w:rFonts w:eastAsia="Times New Roman"/>
          <w:i/>
          <w:color w:val="000000"/>
          <w:spacing w:val="-3"/>
          <w:sz w:val="29"/>
          <w:lang w:val="ru-RU"/>
        </w:rPr>
      </w:pPr>
      <w:r>
        <w:rPr>
          <w:rFonts w:eastAsia="Times New Roman"/>
          <w:i/>
          <w:color w:val="000000"/>
          <w:spacing w:val="-3"/>
          <w:sz w:val="29"/>
          <w:lang w:val="ru-RU"/>
        </w:rPr>
        <w:t>Под редакцией</w:t>
      </w:r>
    </w:p>
    <w:p w:rsidR="00E67007" w:rsidRDefault="00E67007" w:rsidP="00E67007">
      <w:pPr>
        <w:spacing w:after="3699" w:line="326" w:lineRule="exact"/>
        <w:jc w:val="center"/>
        <w:textAlignment w:val="baseline"/>
        <w:rPr>
          <w:rFonts w:eastAsia="Times New Roman"/>
          <w:i/>
          <w:color w:val="000000"/>
          <w:sz w:val="29"/>
          <w:lang w:val="ru-RU"/>
        </w:rPr>
      </w:pPr>
      <w:r>
        <w:rPr>
          <w:rFonts w:eastAsia="Times New Roman"/>
          <w:i/>
          <w:color w:val="000000"/>
          <w:sz w:val="29"/>
          <w:lang w:val="ru-RU"/>
        </w:rPr>
        <w:t xml:space="preserve">проф. А.В. </w:t>
      </w:r>
      <w:proofErr w:type="spellStart"/>
      <w:r>
        <w:rPr>
          <w:rFonts w:eastAsia="Times New Roman"/>
          <w:i/>
          <w:color w:val="000000"/>
          <w:sz w:val="29"/>
          <w:lang w:val="ru-RU"/>
        </w:rPr>
        <w:t>Цимбалистова</w:t>
      </w:r>
      <w:proofErr w:type="spellEnd"/>
      <w:r>
        <w:rPr>
          <w:rFonts w:eastAsia="Times New Roman"/>
          <w:i/>
          <w:color w:val="000000"/>
          <w:sz w:val="29"/>
          <w:lang w:val="ru-RU"/>
        </w:rPr>
        <w:t>, проф. Б.В. Трифонова</w:t>
      </w:r>
      <w:r>
        <w:rPr>
          <w:rFonts w:eastAsia="Times New Roman"/>
          <w:i/>
          <w:color w:val="000000"/>
          <w:sz w:val="28"/>
          <w:lang w:val="ru-RU"/>
        </w:rPr>
        <w:t xml:space="preserve">, </w:t>
      </w:r>
      <w:r>
        <w:rPr>
          <w:rFonts w:eastAsia="Times New Roman"/>
          <w:i/>
          <w:color w:val="000000"/>
          <w:sz w:val="28"/>
          <w:lang w:val="ru-RU"/>
        </w:rPr>
        <w:br/>
      </w:r>
      <w:r>
        <w:rPr>
          <w:rFonts w:eastAsia="Times New Roman"/>
          <w:i/>
          <w:color w:val="000000"/>
          <w:sz w:val="29"/>
          <w:lang w:val="ru-RU"/>
        </w:rPr>
        <w:t>доц. А.А. Копытова</w:t>
      </w:r>
    </w:p>
    <w:p w:rsidR="00E67007" w:rsidRDefault="00E67007" w:rsidP="00E67007">
      <w:pPr>
        <w:ind w:left="3240" w:right="3274"/>
        <w:textAlignment w:val="baseline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3432175</wp:posOffset>
                </wp:positionH>
                <wp:positionV relativeFrom="page">
                  <wp:posOffset>9357360</wp:posOffset>
                </wp:positionV>
                <wp:extent cx="697865" cy="408940"/>
                <wp:effectExtent l="3175" t="3810" r="3810" b="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007" w:rsidRDefault="00E67007" w:rsidP="00E67007">
                            <w:pPr>
                              <w:spacing w:line="317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12"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12"/>
                                <w:sz w:val="28"/>
                                <w:lang w:val="ru-RU"/>
                              </w:rPr>
                              <w:t>Белгород</w:t>
                            </w:r>
                          </w:p>
                          <w:p w:rsidR="00E67007" w:rsidRDefault="00E67007" w:rsidP="00E67007">
                            <w:pPr>
                              <w:spacing w:before="6" w:line="320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2"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2"/>
                                <w:sz w:val="28"/>
                                <w:lang w:val="ru-RU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70.25pt;margin-top:736.8pt;width:54.95pt;height:32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" filled="f" stroked="f">
                <v:textbox inset="0,0,0,0">
                  <w:txbxContent>
                    <w:p w:rsidR="00E67007" w:rsidRDefault="00E67007" w:rsidP="00E67007">
                      <w:pPr>
                        <w:spacing w:line="317" w:lineRule="exact"/>
                        <w:textAlignment w:val="baseline"/>
                        <w:rPr>
                          <w:rFonts w:eastAsia="Times New Roman"/>
                          <w:color w:val="000000"/>
                          <w:spacing w:val="-12"/>
                          <w:sz w:val="28"/>
                          <w:lang w:val="ru-RU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12"/>
                          <w:sz w:val="28"/>
                          <w:lang w:val="ru-RU"/>
                        </w:rPr>
                        <w:t>Белгород</w:t>
                      </w:r>
                    </w:p>
                    <w:p w:rsidR="00E67007" w:rsidRDefault="00E67007" w:rsidP="00E67007">
                      <w:pPr>
                        <w:spacing w:before="6" w:line="320" w:lineRule="exact"/>
                        <w:jc w:val="center"/>
                        <w:textAlignment w:val="baseline"/>
                        <w:rPr>
                          <w:rFonts w:eastAsia="Times New Roman"/>
                          <w:color w:val="000000"/>
                          <w:spacing w:val="-2"/>
                          <w:sz w:val="28"/>
                          <w:lang w:val="ru-RU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2"/>
                          <w:sz w:val="28"/>
                          <w:lang w:val="ru-RU"/>
                        </w:rPr>
                        <w:t>2014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ru-RU" w:eastAsia="ru-RU"/>
        </w:rPr>
        <w:drawing>
          <wp:inline distT="0" distB="0" distL="0" distR="0" wp14:anchorId="07DEB5D0" wp14:editId="05F1945A">
            <wp:extent cx="1515110" cy="119507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007" w:rsidRDefault="00E67007" w:rsidP="00E67007">
      <w:pPr>
        <w:sectPr w:rsidR="00E67007">
          <w:type w:val="continuous"/>
          <w:pgSz w:w="11909" w:h="16838"/>
          <w:pgMar w:top="1120" w:right="1502" w:bottom="1706" w:left="1507" w:header="720" w:footer="720" w:gutter="0"/>
          <w:cols w:space="720"/>
        </w:sectPr>
      </w:pPr>
    </w:p>
    <w:p w:rsidR="00E67007" w:rsidRDefault="00E67007" w:rsidP="00E67007">
      <w:pPr>
        <w:spacing w:before="11" w:line="273" w:lineRule="exact"/>
        <w:jc w:val="center"/>
        <w:textAlignment w:val="baseline"/>
        <w:rPr>
          <w:rFonts w:eastAsia="Times New Roman"/>
          <w:color w:val="000000"/>
          <w:spacing w:val="30"/>
          <w:sz w:val="24"/>
          <w:lang w:val="ru-RU"/>
        </w:rPr>
      </w:pPr>
      <w:r>
        <w:rPr>
          <w:rFonts w:eastAsia="Times New Roman"/>
          <w:color w:val="000000"/>
          <w:spacing w:val="30"/>
          <w:sz w:val="24"/>
          <w:lang w:val="ru-RU"/>
        </w:rPr>
        <w:lastRenderedPageBreak/>
        <w:t>479</w:t>
      </w:r>
    </w:p>
    <w:p w:rsidR="00E67007" w:rsidRDefault="00E67007" w:rsidP="00E67007">
      <w:pPr>
        <w:spacing w:before="242" w:line="322" w:lineRule="exact"/>
        <w:ind w:left="144"/>
        <w:textAlignment w:val="baseline"/>
        <w:rPr>
          <w:rFonts w:eastAsia="Times New Roman"/>
          <w:b/>
          <w:i/>
          <w:color w:val="000000"/>
          <w:sz w:val="28"/>
          <w:lang w:val="ru-RU"/>
        </w:rPr>
      </w:pPr>
      <w:r>
        <w:rPr>
          <w:rFonts w:eastAsia="Times New Roman"/>
          <w:b/>
          <w:i/>
          <w:color w:val="000000"/>
          <w:sz w:val="28"/>
          <w:lang w:val="ru-RU"/>
        </w:rPr>
        <w:t>Денисова Е.Г., Соколова И.И.</w:t>
      </w:r>
    </w:p>
    <w:p w:rsidR="00E67007" w:rsidRDefault="00E67007" w:rsidP="00E67007">
      <w:pPr>
        <w:spacing w:line="321" w:lineRule="exact"/>
        <w:ind w:left="144" w:right="1296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 xml:space="preserve">ПРОБИОТИК В КОМПЛЕКСЕ ЛЕЧЕБНО-ПРОФИЛАКТИЧЕСКИХ МЕРОПРИЯТИЙ У ДЕТЕЙ С КАРИЕСОМ НА ФОНЕ </w:t>
      </w:r>
      <w:proofErr w:type="gramStart"/>
      <w:r>
        <w:rPr>
          <w:rFonts w:eastAsia="Times New Roman"/>
          <w:color w:val="000000"/>
          <w:sz w:val="28"/>
          <w:lang w:val="ru-RU"/>
        </w:rPr>
        <w:t>СИСТЕМНОЙ</w:t>
      </w:r>
      <w:proofErr w:type="gramEnd"/>
    </w:p>
    <w:p w:rsidR="00E67007" w:rsidRDefault="00E67007" w:rsidP="00E67007">
      <w:pPr>
        <w:tabs>
          <w:tab w:val="left" w:leader="dot" w:pos="9072"/>
        </w:tabs>
        <w:spacing w:line="324" w:lineRule="exact"/>
        <w:ind w:left="144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ГИПОПЛАЗИИ ВРЕМЕННЫХ ЗУБОВ</w:t>
      </w:r>
      <w:r>
        <w:rPr>
          <w:rFonts w:eastAsia="Times New Roman"/>
          <w:color w:val="000000"/>
          <w:sz w:val="28"/>
          <w:lang w:val="ru-RU"/>
        </w:rPr>
        <w:tab/>
        <w:t xml:space="preserve">105 </w:t>
      </w:r>
      <w:r>
        <w:rPr>
          <w:rFonts w:eastAsia="Times New Roman"/>
          <w:color w:val="000000"/>
          <w:sz w:val="28"/>
          <w:lang w:val="ru-RU"/>
        </w:rPr>
        <w:br/>
      </w:r>
      <w:r>
        <w:rPr>
          <w:rFonts w:eastAsia="Times New Roman"/>
          <w:b/>
          <w:i/>
          <w:color w:val="000000"/>
          <w:sz w:val="28"/>
          <w:lang w:val="ru-RU"/>
        </w:rPr>
        <w:t xml:space="preserve">Дмитриенко Н.Ю., </w:t>
      </w:r>
      <w:proofErr w:type="spellStart"/>
      <w:r>
        <w:rPr>
          <w:rFonts w:eastAsia="Times New Roman"/>
          <w:b/>
          <w:i/>
          <w:color w:val="000000"/>
          <w:sz w:val="28"/>
          <w:lang w:val="ru-RU"/>
        </w:rPr>
        <w:t>Подзорова</w:t>
      </w:r>
      <w:proofErr w:type="spellEnd"/>
      <w:r>
        <w:rPr>
          <w:rFonts w:eastAsia="Times New Roman"/>
          <w:b/>
          <w:i/>
          <w:color w:val="000000"/>
          <w:sz w:val="28"/>
          <w:lang w:val="ru-RU"/>
        </w:rPr>
        <w:t xml:space="preserve"> Е.А., </w:t>
      </w:r>
      <w:proofErr w:type="spellStart"/>
      <w:r>
        <w:rPr>
          <w:rFonts w:eastAsia="Times New Roman"/>
          <w:b/>
          <w:i/>
          <w:color w:val="000000"/>
          <w:sz w:val="28"/>
          <w:lang w:val="ru-RU"/>
        </w:rPr>
        <w:t>Сарап</w:t>
      </w:r>
      <w:proofErr w:type="spellEnd"/>
      <w:r>
        <w:rPr>
          <w:rFonts w:eastAsia="Times New Roman"/>
          <w:b/>
          <w:i/>
          <w:color w:val="000000"/>
          <w:sz w:val="28"/>
          <w:lang w:val="ru-RU"/>
        </w:rPr>
        <w:t xml:space="preserve"> Л.Р., Лошкарева К.О.</w:t>
      </w:r>
    </w:p>
    <w:p w:rsidR="00E67007" w:rsidRDefault="00E67007" w:rsidP="00E67007">
      <w:pPr>
        <w:spacing w:line="325" w:lineRule="exact"/>
        <w:ind w:left="144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АНАЛИЗ РЕЗУЛЬТАТОВ ЛЕЧЕНИЯ ПУЛЬПИТА ВРЕМЕННЫХ ЗУБОВ</w:t>
      </w:r>
    </w:p>
    <w:p w:rsidR="00E67007" w:rsidRDefault="00E67007" w:rsidP="00E67007">
      <w:pPr>
        <w:tabs>
          <w:tab w:val="left" w:leader="dot" w:pos="9072"/>
        </w:tabs>
        <w:spacing w:before="4" w:line="321" w:lineRule="exact"/>
        <w:ind w:left="144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МЕТОДОМ ВИТЕЛЬНОЙ ПУЛЬПОТОМИИ</w:t>
      </w:r>
      <w:r>
        <w:rPr>
          <w:rFonts w:eastAsia="Times New Roman"/>
          <w:color w:val="000000"/>
          <w:sz w:val="28"/>
          <w:lang w:val="ru-RU"/>
        </w:rPr>
        <w:tab/>
        <w:t xml:space="preserve">107 </w:t>
      </w:r>
      <w:r>
        <w:rPr>
          <w:rFonts w:eastAsia="Times New Roman"/>
          <w:color w:val="000000"/>
          <w:sz w:val="28"/>
          <w:lang w:val="ru-RU"/>
        </w:rPr>
        <w:br/>
      </w:r>
      <w:r>
        <w:rPr>
          <w:rFonts w:eastAsia="Times New Roman"/>
          <w:b/>
          <w:i/>
          <w:color w:val="000000"/>
          <w:sz w:val="28"/>
          <w:lang w:val="ru-RU"/>
        </w:rPr>
        <w:t>Доля Э.И., Яковлева Д.Ю.</w:t>
      </w:r>
    </w:p>
    <w:p w:rsidR="00E67007" w:rsidRDefault="00E67007" w:rsidP="00E67007">
      <w:pPr>
        <w:spacing w:line="319" w:lineRule="exact"/>
        <w:ind w:left="144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ЭНДЕМИЧЕСКИЙ ФЛЮОРОЗ В УСЛОВИЯХ ЧУГУЕВСКОГО</w:t>
      </w:r>
    </w:p>
    <w:p w:rsidR="00E67007" w:rsidRDefault="00E67007" w:rsidP="00E67007">
      <w:pPr>
        <w:tabs>
          <w:tab w:val="left" w:leader="dot" w:pos="9072"/>
        </w:tabs>
        <w:spacing w:before="1" w:line="319" w:lineRule="exact"/>
        <w:ind w:left="144" w:right="360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РАЙОНАХАРЬКОВСКОЙ ОБЛАСТИ</w:t>
      </w:r>
      <w:r>
        <w:rPr>
          <w:rFonts w:eastAsia="Times New Roman"/>
          <w:color w:val="000000"/>
          <w:sz w:val="28"/>
          <w:lang w:val="ru-RU"/>
        </w:rPr>
        <w:tab/>
        <w:t>109</w:t>
      </w:r>
      <w:proofErr w:type="gramStart"/>
      <w:r>
        <w:rPr>
          <w:rFonts w:eastAsia="Times New Roman"/>
          <w:color w:val="000000"/>
          <w:sz w:val="28"/>
          <w:lang w:val="ru-RU"/>
        </w:rPr>
        <w:t xml:space="preserve"> </w:t>
      </w:r>
      <w:r>
        <w:rPr>
          <w:rFonts w:eastAsia="Times New Roman"/>
          <w:color w:val="000000"/>
          <w:sz w:val="28"/>
          <w:lang w:val="ru-RU"/>
        </w:rPr>
        <w:br/>
        <w:t>К</w:t>
      </w:r>
      <w:proofErr w:type="gramEnd"/>
      <w:r>
        <w:rPr>
          <w:rFonts w:eastAsia="Times New Roman"/>
          <w:color w:val="000000"/>
          <w:sz w:val="28"/>
          <w:lang w:val="ru-RU"/>
        </w:rPr>
        <w:t xml:space="preserve"> ВОПРОСУ О ВСТРЕЧАЕМОСТИ ЭРОЗИЙ ТВЕРДЫХ ТКАНЕЙ ЗУБОВ</w:t>
      </w:r>
    </w:p>
    <w:p w:rsidR="00E67007" w:rsidRDefault="00E67007" w:rsidP="00E67007">
      <w:pPr>
        <w:tabs>
          <w:tab w:val="left" w:leader="dot" w:pos="9072"/>
        </w:tabs>
        <w:spacing w:line="323" w:lineRule="exact"/>
        <w:ind w:left="144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В ВОЗРАСТНОМ АСПЕКТЕ</w:t>
      </w:r>
      <w:r>
        <w:rPr>
          <w:rFonts w:eastAsia="Times New Roman"/>
          <w:color w:val="000000"/>
          <w:sz w:val="28"/>
          <w:lang w:val="ru-RU"/>
        </w:rPr>
        <w:tab/>
        <w:t xml:space="preserve">112 </w:t>
      </w:r>
      <w:r>
        <w:rPr>
          <w:rFonts w:eastAsia="Times New Roman"/>
          <w:color w:val="000000"/>
          <w:sz w:val="28"/>
          <w:lang w:val="ru-RU"/>
        </w:rPr>
        <w:br/>
      </w:r>
      <w:r>
        <w:rPr>
          <w:rFonts w:eastAsia="Times New Roman"/>
          <w:b/>
          <w:i/>
          <w:color w:val="000000"/>
          <w:sz w:val="28"/>
          <w:lang w:val="ru-RU"/>
        </w:rPr>
        <w:t>Елисеева О.В., Соколова И.И.</w:t>
      </w:r>
    </w:p>
    <w:p w:rsidR="00E67007" w:rsidRDefault="00E67007" w:rsidP="00E67007">
      <w:pPr>
        <w:spacing w:line="321" w:lineRule="exact"/>
        <w:ind w:left="144" w:right="360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 xml:space="preserve">ВЛИЯНИЕ ЛИЗОЦИМСОДЕРЖАЩИХ ЛЕКАРСТВЕННЫХ ПРЕПАРАТОВ НА ТКАНИ ПАРОДОНТА У БОЛЬНЫХ </w:t>
      </w:r>
      <w:proofErr w:type="gramStart"/>
      <w:r>
        <w:rPr>
          <w:rFonts w:eastAsia="Times New Roman"/>
          <w:color w:val="000000"/>
          <w:sz w:val="28"/>
          <w:lang w:val="ru-RU"/>
        </w:rPr>
        <w:t>ХРОНИЧЕСКИМ</w:t>
      </w:r>
      <w:proofErr w:type="gramEnd"/>
      <w:r>
        <w:rPr>
          <w:rFonts w:eastAsia="Times New Roman"/>
          <w:color w:val="000000"/>
          <w:sz w:val="28"/>
          <w:lang w:val="ru-RU"/>
        </w:rPr>
        <w:t xml:space="preserve"> ГЕНЕРАЛИЗОВАННЫМ ПАРОДОНТИТОМ НА ФОНЕ КРАСНОГО</w:t>
      </w:r>
    </w:p>
    <w:p w:rsidR="00E67007" w:rsidRDefault="00E67007" w:rsidP="00E67007">
      <w:pPr>
        <w:tabs>
          <w:tab w:val="left" w:leader="dot" w:pos="9072"/>
        </w:tabs>
        <w:spacing w:before="10" w:line="321" w:lineRule="exact"/>
        <w:ind w:left="144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ПЛОСКОГО ЛИШАЯ</w:t>
      </w:r>
      <w:r>
        <w:rPr>
          <w:rFonts w:eastAsia="Times New Roman"/>
          <w:color w:val="000000"/>
          <w:sz w:val="28"/>
          <w:lang w:val="ru-RU"/>
        </w:rPr>
        <w:tab/>
        <w:t xml:space="preserve">113 </w:t>
      </w:r>
      <w:r>
        <w:rPr>
          <w:rFonts w:eastAsia="Times New Roman"/>
          <w:color w:val="000000"/>
          <w:sz w:val="28"/>
          <w:lang w:val="ru-RU"/>
        </w:rPr>
        <w:br/>
      </w:r>
      <w:r>
        <w:rPr>
          <w:rFonts w:eastAsia="Times New Roman"/>
          <w:b/>
          <w:i/>
          <w:color w:val="000000"/>
          <w:sz w:val="28"/>
          <w:lang w:val="ru-RU"/>
        </w:rPr>
        <w:t xml:space="preserve">Есауленко И.Э., </w:t>
      </w:r>
      <w:proofErr w:type="spellStart"/>
      <w:r>
        <w:rPr>
          <w:rFonts w:eastAsia="Times New Roman"/>
          <w:b/>
          <w:i/>
          <w:color w:val="000000"/>
          <w:sz w:val="28"/>
          <w:lang w:val="ru-RU"/>
        </w:rPr>
        <w:t>Ведринцев</w:t>
      </w:r>
      <w:proofErr w:type="spellEnd"/>
      <w:r>
        <w:rPr>
          <w:rFonts w:eastAsia="Times New Roman"/>
          <w:b/>
          <w:i/>
          <w:color w:val="000000"/>
          <w:sz w:val="28"/>
          <w:lang w:val="ru-RU"/>
        </w:rPr>
        <w:t xml:space="preserve"> В.В., Ширяев О.Ю., </w:t>
      </w:r>
      <w:proofErr w:type="spellStart"/>
      <w:r>
        <w:rPr>
          <w:rFonts w:eastAsia="Times New Roman"/>
          <w:b/>
          <w:i/>
          <w:color w:val="000000"/>
          <w:sz w:val="28"/>
          <w:lang w:val="ru-RU"/>
        </w:rPr>
        <w:t>Кунин</w:t>
      </w:r>
      <w:proofErr w:type="spellEnd"/>
      <w:r>
        <w:rPr>
          <w:rFonts w:eastAsia="Times New Roman"/>
          <w:b/>
          <w:i/>
          <w:color w:val="000000"/>
          <w:sz w:val="28"/>
          <w:lang w:val="ru-RU"/>
        </w:rPr>
        <w:t xml:space="preserve"> В.А., </w:t>
      </w:r>
      <w:proofErr w:type="spellStart"/>
      <w:r>
        <w:rPr>
          <w:rFonts w:eastAsia="Times New Roman"/>
          <w:b/>
          <w:i/>
          <w:color w:val="000000"/>
          <w:sz w:val="28"/>
          <w:lang w:val="ru-RU"/>
        </w:rPr>
        <w:t>Бурлачук</w:t>
      </w:r>
      <w:proofErr w:type="spellEnd"/>
      <w:r>
        <w:rPr>
          <w:rFonts w:eastAsia="Times New Roman"/>
          <w:b/>
          <w:i/>
          <w:color w:val="000000"/>
          <w:sz w:val="28"/>
          <w:lang w:val="ru-RU"/>
        </w:rPr>
        <w:t xml:space="preserve"> В.Т., Алексеева Д.Н., Махортова И.С., </w:t>
      </w:r>
      <w:proofErr w:type="spellStart"/>
      <w:r>
        <w:rPr>
          <w:rFonts w:eastAsia="Times New Roman"/>
          <w:b/>
          <w:i/>
          <w:color w:val="000000"/>
          <w:sz w:val="28"/>
          <w:lang w:val="ru-RU"/>
        </w:rPr>
        <w:t>Цапина</w:t>
      </w:r>
      <w:proofErr w:type="spellEnd"/>
      <w:r>
        <w:rPr>
          <w:rFonts w:eastAsia="Times New Roman"/>
          <w:b/>
          <w:i/>
          <w:color w:val="000000"/>
          <w:sz w:val="28"/>
          <w:lang w:val="ru-RU"/>
        </w:rPr>
        <w:t xml:space="preserve"> А.А.</w:t>
      </w:r>
    </w:p>
    <w:p w:rsidR="00E67007" w:rsidRDefault="00E67007" w:rsidP="00E67007">
      <w:pPr>
        <w:spacing w:line="318" w:lineRule="exact"/>
        <w:ind w:left="144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 xml:space="preserve">О ФЕНОМЕНЕ ЭМОЦИОНАЛЬНОГО ВЫГОРАНИЯ В </w:t>
      </w:r>
      <w:proofErr w:type="gramStart"/>
      <w:r>
        <w:rPr>
          <w:rFonts w:eastAsia="Times New Roman"/>
          <w:color w:val="000000"/>
          <w:sz w:val="28"/>
          <w:lang w:val="ru-RU"/>
        </w:rPr>
        <w:t>МЕДИЦИНСКОЙ</w:t>
      </w:r>
      <w:proofErr w:type="gramEnd"/>
    </w:p>
    <w:p w:rsidR="00E67007" w:rsidRDefault="00E67007" w:rsidP="00E67007">
      <w:pPr>
        <w:tabs>
          <w:tab w:val="left" w:leader="dot" w:pos="9072"/>
        </w:tabs>
        <w:spacing w:before="4" w:line="321" w:lineRule="exact"/>
        <w:ind w:left="144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ПРОФЕССИИ</w:t>
      </w:r>
      <w:r>
        <w:rPr>
          <w:rFonts w:eastAsia="Times New Roman"/>
          <w:color w:val="000000"/>
          <w:sz w:val="28"/>
          <w:lang w:val="ru-RU"/>
        </w:rPr>
        <w:tab/>
        <w:t xml:space="preserve">116 </w:t>
      </w:r>
      <w:r>
        <w:rPr>
          <w:rFonts w:eastAsia="Times New Roman"/>
          <w:color w:val="000000"/>
          <w:sz w:val="28"/>
          <w:lang w:val="ru-RU"/>
        </w:rPr>
        <w:br/>
      </w:r>
      <w:r>
        <w:rPr>
          <w:rFonts w:eastAsia="Times New Roman"/>
          <w:b/>
          <w:i/>
          <w:color w:val="000000"/>
          <w:sz w:val="28"/>
          <w:lang w:val="ru-RU"/>
        </w:rPr>
        <w:t xml:space="preserve">Есауленко И.Э., </w:t>
      </w:r>
      <w:proofErr w:type="spellStart"/>
      <w:r>
        <w:rPr>
          <w:rFonts w:eastAsia="Times New Roman"/>
          <w:b/>
          <w:i/>
          <w:color w:val="000000"/>
          <w:sz w:val="28"/>
          <w:lang w:val="ru-RU"/>
        </w:rPr>
        <w:t>Кунин</w:t>
      </w:r>
      <w:proofErr w:type="spellEnd"/>
      <w:r>
        <w:rPr>
          <w:rFonts w:eastAsia="Times New Roman"/>
          <w:b/>
          <w:i/>
          <w:color w:val="000000"/>
          <w:sz w:val="28"/>
          <w:lang w:val="ru-RU"/>
        </w:rPr>
        <w:t xml:space="preserve"> В.А.</w:t>
      </w:r>
    </w:p>
    <w:p w:rsidR="00E67007" w:rsidRDefault="00E67007" w:rsidP="00E67007">
      <w:pPr>
        <w:spacing w:line="318" w:lineRule="exact"/>
        <w:ind w:left="144" w:right="288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ВОРОНЕЖСКИЙ СТОМАТОЛОГИЧЕСКИЙ ИНСТИТУТ В ПЕРИОД ВЕЛИКОЙ ОТЕЧЕСТВЕННОЙ ВОЙНЫ. ИСТОРИЧЕСКАЯ ВЗАИМОСВЯЗЬ</w:t>
      </w:r>
    </w:p>
    <w:p w:rsidR="00E67007" w:rsidRDefault="00E67007" w:rsidP="00E67007">
      <w:pPr>
        <w:tabs>
          <w:tab w:val="left" w:leader="dot" w:pos="9072"/>
        </w:tabs>
        <w:spacing w:line="324" w:lineRule="exact"/>
        <w:ind w:left="144" w:right="360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С КРАСНОЯРСКИМ МЕДИЦИНСКИМ ИНСТИТУТОМ</w:t>
      </w:r>
      <w:r>
        <w:rPr>
          <w:rFonts w:eastAsia="Times New Roman"/>
          <w:color w:val="000000"/>
          <w:sz w:val="28"/>
          <w:lang w:val="ru-RU"/>
        </w:rPr>
        <w:tab/>
        <w:t xml:space="preserve">118 </w:t>
      </w:r>
      <w:r>
        <w:rPr>
          <w:rFonts w:eastAsia="Times New Roman"/>
          <w:color w:val="000000"/>
          <w:sz w:val="28"/>
          <w:lang w:val="ru-RU"/>
        </w:rPr>
        <w:br/>
      </w:r>
      <w:r>
        <w:rPr>
          <w:rFonts w:eastAsia="Times New Roman"/>
          <w:b/>
          <w:i/>
          <w:color w:val="000000"/>
          <w:sz w:val="28"/>
          <w:lang w:val="ru-RU"/>
        </w:rPr>
        <w:t xml:space="preserve">Есауленко И.Э., </w:t>
      </w:r>
      <w:proofErr w:type="spellStart"/>
      <w:r>
        <w:rPr>
          <w:rFonts w:eastAsia="Times New Roman"/>
          <w:b/>
          <w:i/>
          <w:color w:val="000000"/>
          <w:sz w:val="28"/>
          <w:lang w:val="ru-RU"/>
        </w:rPr>
        <w:t>Кунин</w:t>
      </w:r>
      <w:proofErr w:type="spellEnd"/>
      <w:r>
        <w:rPr>
          <w:rFonts w:eastAsia="Times New Roman"/>
          <w:b/>
          <w:i/>
          <w:color w:val="000000"/>
          <w:sz w:val="28"/>
          <w:lang w:val="ru-RU"/>
        </w:rPr>
        <w:t xml:space="preserve"> А.А., </w:t>
      </w:r>
      <w:proofErr w:type="spellStart"/>
      <w:r>
        <w:rPr>
          <w:rFonts w:eastAsia="Times New Roman"/>
          <w:b/>
          <w:i/>
          <w:color w:val="000000"/>
          <w:sz w:val="28"/>
          <w:lang w:val="ru-RU"/>
        </w:rPr>
        <w:t>Кунин</w:t>
      </w:r>
      <w:proofErr w:type="spellEnd"/>
      <w:r>
        <w:rPr>
          <w:rFonts w:eastAsia="Times New Roman"/>
          <w:b/>
          <w:i/>
          <w:color w:val="000000"/>
          <w:sz w:val="28"/>
          <w:lang w:val="ru-RU"/>
        </w:rPr>
        <w:t xml:space="preserve"> В.А., Харитонов Д.Ю.</w:t>
      </w:r>
    </w:p>
    <w:p w:rsidR="00E67007" w:rsidRDefault="00E67007" w:rsidP="00E67007">
      <w:pPr>
        <w:spacing w:line="322" w:lineRule="exact"/>
        <w:ind w:left="144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 xml:space="preserve">СТАНОВЛЕНИЕ </w:t>
      </w:r>
      <w:proofErr w:type="gramStart"/>
      <w:r>
        <w:rPr>
          <w:rFonts w:eastAsia="Times New Roman"/>
          <w:color w:val="000000"/>
          <w:sz w:val="28"/>
          <w:lang w:val="ru-RU"/>
        </w:rPr>
        <w:t>ЗУБОВРАЧЕБНОГО</w:t>
      </w:r>
      <w:proofErr w:type="gramEnd"/>
      <w:r>
        <w:rPr>
          <w:rFonts w:eastAsia="Times New Roman"/>
          <w:color w:val="000000"/>
          <w:sz w:val="28"/>
          <w:lang w:val="ru-RU"/>
        </w:rPr>
        <w:t xml:space="preserve"> И СТОМАТОЛОГИЧЕСКОГО</w:t>
      </w:r>
    </w:p>
    <w:p w:rsidR="00E67007" w:rsidRDefault="00E67007" w:rsidP="00E67007">
      <w:pPr>
        <w:tabs>
          <w:tab w:val="left" w:leader="dot" w:pos="9072"/>
        </w:tabs>
        <w:spacing w:before="8" w:line="321" w:lineRule="exact"/>
        <w:ind w:left="144" w:right="144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ОБРАЗОВАНИЯ В ВОРОНЕЖЕ. РОЛЬ А.И. ЕВДОКИМОВА</w:t>
      </w:r>
      <w:r>
        <w:rPr>
          <w:rFonts w:eastAsia="Times New Roman"/>
          <w:color w:val="000000"/>
          <w:sz w:val="28"/>
          <w:lang w:val="ru-RU"/>
        </w:rPr>
        <w:tab/>
        <w:t xml:space="preserve">124 </w:t>
      </w:r>
      <w:r>
        <w:rPr>
          <w:rFonts w:eastAsia="Times New Roman"/>
          <w:color w:val="000000"/>
          <w:sz w:val="28"/>
          <w:lang w:val="ru-RU"/>
        </w:rPr>
        <w:br/>
      </w:r>
      <w:r>
        <w:rPr>
          <w:rFonts w:eastAsia="Times New Roman"/>
          <w:b/>
          <w:i/>
          <w:color w:val="000000"/>
          <w:sz w:val="28"/>
          <w:lang w:val="ru-RU"/>
        </w:rPr>
        <w:t xml:space="preserve">Еськов В.М., Гонтарев С.Н., Гонтарева И.С., Глаголева Я.В. </w:t>
      </w:r>
      <w:r>
        <w:rPr>
          <w:rFonts w:eastAsia="Times New Roman"/>
          <w:color w:val="000000"/>
          <w:sz w:val="28"/>
          <w:lang w:val="ru-RU"/>
        </w:rPr>
        <w:t>СРАВНИТЕЛЬНЫЙ МАТЕМАТИЧЕСКИЙ АНАЛИЗ ПАРАМЕТРОВ КВАЗИАТТРАКТОРОВ ВЕКТОРА СОСТОЯНИЯ СТОМАТОЛОГИЧЕСКОГО СТАТУСА ДЕТЕЙ Г. СУРГУТА И ДЕТЕЙ – ПРЕДСТАВИТЕЛЕЙ КМНС (КОРЕННЫЕ МАЛОЧИСЛЕННЫЕ НАРОДЫ СЕВЕРА) ЖИТЕЛЕЙ</w:t>
      </w:r>
    </w:p>
    <w:p w:rsidR="00E67007" w:rsidRDefault="00E67007" w:rsidP="00E67007">
      <w:pPr>
        <w:tabs>
          <w:tab w:val="left" w:leader="dot" w:pos="9072"/>
        </w:tabs>
        <w:spacing w:before="4" w:line="321" w:lineRule="exact"/>
        <w:ind w:left="144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СУРГУТСКОГО РАЙОНА</w:t>
      </w:r>
      <w:r>
        <w:rPr>
          <w:rFonts w:eastAsia="Times New Roman"/>
          <w:color w:val="000000"/>
          <w:sz w:val="28"/>
          <w:lang w:val="ru-RU"/>
        </w:rPr>
        <w:tab/>
        <w:t xml:space="preserve">127 </w:t>
      </w:r>
      <w:r>
        <w:rPr>
          <w:rFonts w:eastAsia="Times New Roman"/>
          <w:color w:val="000000"/>
          <w:sz w:val="28"/>
          <w:lang w:val="ru-RU"/>
        </w:rPr>
        <w:br/>
      </w:r>
      <w:r>
        <w:rPr>
          <w:rFonts w:eastAsia="Times New Roman"/>
          <w:b/>
          <w:i/>
          <w:color w:val="000000"/>
          <w:sz w:val="28"/>
          <w:lang w:val="ru-RU"/>
        </w:rPr>
        <w:t xml:space="preserve">Ефимов А.В., </w:t>
      </w:r>
      <w:proofErr w:type="spellStart"/>
      <w:r>
        <w:rPr>
          <w:rFonts w:eastAsia="Times New Roman"/>
          <w:b/>
          <w:i/>
          <w:color w:val="000000"/>
          <w:sz w:val="28"/>
          <w:lang w:val="ru-RU"/>
        </w:rPr>
        <w:t>Башегуров</w:t>
      </w:r>
      <w:proofErr w:type="spellEnd"/>
      <w:r>
        <w:rPr>
          <w:rFonts w:eastAsia="Times New Roman"/>
          <w:b/>
          <w:i/>
          <w:color w:val="000000"/>
          <w:sz w:val="28"/>
          <w:lang w:val="ru-RU"/>
        </w:rPr>
        <w:t xml:space="preserve"> А.Н.</w:t>
      </w:r>
    </w:p>
    <w:p w:rsidR="00E67007" w:rsidRDefault="00E67007" w:rsidP="00E67007">
      <w:pPr>
        <w:spacing w:line="314" w:lineRule="exact"/>
        <w:ind w:left="144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КОРРЕЛЯЦИЯ АДАПТАЦИОННОГО ПОТЕНЦИАЛА ПОЖИЛЫХ ЛЮДЕЙ</w:t>
      </w:r>
    </w:p>
    <w:p w:rsidR="00E67007" w:rsidRDefault="00E67007" w:rsidP="00E67007">
      <w:pPr>
        <w:tabs>
          <w:tab w:val="left" w:leader="dot" w:pos="9072"/>
        </w:tabs>
        <w:spacing w:line="324" w:lineRule="exact"/>
        <w:ind w:left="144" w:right="360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С ЗАНЯТОСТЬЮ И СОЦИАЛЬНЫМ СТАТУСОМ</w:t>
      </w:r>
      <w:r>
        <w:rPr>
          <w:rFonts w:eastAsia="Times New Roman"/>
          <w:color w:val="000000"/>
          <w:sz w:val="28"/>
          <w:lang w:val="ru-RU"/>
        </w:rPr>
        <w:tab/>
        <w:t xml:space="preserve">132 </w:t>
      </w:r>
      <w:r>
        <w:rPr>
          <w:rFonts w:eastAsia="Times New Roman"/>
          <w:color w:val="000000"/>
          <w:sz w:val="28"/>
          <w:lang w:val="ru-RU"/>
        </w:rPr>
        <w:br/>
      </w:r>
      <w:r>
        <w:rPr>
          <w:rFonts w:eastAsia="Times New Roman"/>
          <w:b/>
          <w:i/>
          <w:color w:val="000000"/>
          <w:sz w:val="28"/>
          <w:lang w:val="ru-RU"/>
        </w:rPr>
        <w:t>Ефимова А.С.</w:t>
      </w:r>
    </w:p>
    <w:p w:rsidR="00E67007" w:rsidRDefault="00E67007" w:rsidP="00E67007">
      <w:pPr>
        <w:spacing w:line="317" w:lineRule="exact"/>
        <w:ind w:left="144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ВЛИЯНИЕ ФАКТОРОВ ВНЕШНЕЙ СРЕДЫ НА РАСПРОСТРАНЁННОСТЬ</w:t>
      </w:r>
    </w:p>
    <w:p w:rsidR="00E67007" w:rsidRDefault="00E67007" w:rsidP="00E67007">
      <w:pPr>
        <w:tabs>
          <w:tab w:val="left" w:leader="dot" w:pos="9072"/>
        </w:tabs>
        <w:spacing w:line="323" w:lineRule="exact"/>
        <w:ind w:left="144" w:right="360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СИСТЕМНОЙ ГИПОПЛАЗИИ ЭМАЛИ ЗУБОВ У ДЕТЕЙ</w:t>
      </w:r>
      <w:r>
        <w:rPr>
          <w:rFonts w:eastAsia="Times New Roman"/>
          <w:color w:val="000000"/>
          <w:sz w:val="28"/>
          <w:lang w:val="ru-RU"/>
        </w:rPr>
        <w:tab/>
        <w:t xml:space="preserve">134 </w:t>
      </w:r>
      <w:r>
        <w:rPr>
          <w:rFonts w:eastAsia="Times New Roman"/>
          <w:color w:val="000000"/>
          <w:sz w:val="28"/>
          <w:lang w:val="ru-RU"/>
        </w:rPr>
        <w:br/>
      </w:r>
      <w:r>
        <w:rPr>
          <w:rFonts w:eastAsia="Times New Roman"/>
          <w:b/>
          <w:i/>
          <w:color w:val="000000"/>
          <w:sz w:val="28"/>
          <w:lang w:val="ru-RU"/>
        </w:rPr>
        <w:t xml:space="preserve">Жмудь М.В., </w:t>
      </w:r>
      <w:proofErr w:type="spellStart"/>
      <w:r>
        <w:rPr>
          <w:rFonts w:eastAsia="Times New Roman"/>
          <w:b/>
          <w:i/>
          <w:color w:val="000000"/>
          <w:sz w:val="28"/>
          <w:lang w:val="ru-RU"/>
        </w:rPr>
        <w:t>Иорданишвили</w:t>
      </w:r>
      <w:proofErr w:type="spellEnd"/>
      <w:r>
        <w:rPr>
          <w:rFonts w:eastAsia="Times New Roman"/>
          <w:b/>
          <w:i/>
          <w:color w:val="000000"/>
          <w:sz w:val="28"/>
          <w:lang w:val="ru-RU"/>
        </w:rPr>
        <w:t xml:space="preserve"> А.К.</w:t>
      </w:r>
    </w:p>
    <w:p w:rsidR="00E67007" w:rsidRDefault="00E67007" w:rsidP="00E67007">
      <w:pPr>
        <w:spacing w:line="322" w:lineRule="exact"/>
        <w:ind w:left="144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КЛИНИКА И ЛЕЧЕНИЕ СЛЮННОКАМЕННОЙ БОЛЕЗНИ У ЛЮДЕЙ</w:t>
      </w:r>
    </w:p>
    <w:p w:rsidR="00E67007" w:rsidRDefault="00E67007" w:rsidP="00E67007">
      <w:pPr>
        <w:tabs>
          <w:tab w:val="left" w:leader="dot" w:pos="9072"/>
        </w:tabs>
        <w:spacing w:before="6" w:line="319" w:lineRule="exact"/>
        <w:ind w:left="144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СТАРШИХ ВОЗРАСТНЫХ ГРУПП</w:t>
      </w:r>
      <w:r>
        <w:rPr>
          <w:rFonts w:eastAsia="Times New Roman"/>
          <w:color w:val="000000"/>
          <w:sz w:val="28"/>
          <w:lang w:val="ru-RU"/>
        </w:rPr>
        <w:tab/>
        <w:t>135</w:t>
      </w:r>
    </w:p>
    <w:p w:rsidR="00E67007" w:rsidRDefault="00E67007" w:rsidP="00E67007">
      <w:pPr>
        <w:spacing w:before="11" w:line="273" w:lineRule="exact"/>
        <w:jc w:val="center"/>
        <w:textAlignment w:val="baseline"/>
        <w:rPr>
          <w:rFonts w:eastAsia="Times New Roman"/>
          <w:color w:val="000000"/>
          <w:spacing w:val="22"/>
          <w:sz w:val="24"/>
          <w:lang w:val="ru-RU"/>
        </w:rPr>
      </w:pPr>
      <w:r>
        <w:rPr>
          <w:rFonts w:eastAsia="Times New Roman"/>
          <w:color w:val="000000"/>
          <w:spacing w:val="22"/>
          <w:sz w:val="24"/>
          <w:lang w:val="ru-RU"/>
        </w:rPr>
        <w:t>113</w:t>
      </w:r>
    </w:p>
    <w:p w:rsidR="00E67007" w:rsidRDefault="00E67007" w:rsidP="00E67007">
      <w:pPr>
        <w:spacing w:before="256" w:line="321" w:lineRule="exact"/>
        <w:ind w:left="72" w:right="144"/>
        <w:jc w:val="both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lastRenderedPageBreak/>
        <w:t>и 34 (16,71%) женщин) или стабилизированная (329 (84,36%) человек, 165 (85,35%) мужчин и 169 (83,29%) женщин) клиническая стадия эрозии твердых тканей зубов. Эрозии начальной степени были выявлены у 205 (52,54%) человек, у 102 (52,96%) мужчин и 106 (52,09%) женщин разного возраста. Эрозии средней степени выявлены 131 (33,69%) человек разных возрастных групп, в том числе у 65 (33,68%) мужчины и 68 (33,7%) женщины. Глубокие эрозий твердых тканей зуба были диагностированы у 54 (13,77%) человек разных возрастных групп, 26 (13,36%) мужчин и 29 (14,21%) женщины. У взрослых пациентов разного возраста, страдающих эрозиями глубокой степени, были поражены как эмаль, так и поверхностные слои дентина, что требовало лечебно-профилактического вмешательства, направленного на устранение убыли твердых тканей зубов путем терапевтических стоматологических мероприятий или зубного протезирования.</w:t>
      </w:r>
    </w:p>
    <w:p w:rsidR="00E67007" w:rsidRDefault="00E67007" w:rsidP="00E67007">
      <w:pPr>
        <w:spacing w:before="14" w:line="321" w:lineRule="exact"/>
        <w:ind w:left="72" w:right="144" w:firstLine="720"/>
        <w:jc w:val="both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 xml:space="preserve">Таким образом, в ходе клинического исследования было установлено, что у взрослых людей эрозии твердых тканей зубов встречаются в 4,64–19,47% случаев. Распространенность эрозий у взрослых людей зависит от возрастной группы и гендерных особенностей. У людей молодого и среднего возраста эрозии твердых тканей зуба встречаются реже (4,86–10,39%), чем у людей старших возрастных групп (12,39–17,04%). Как правило, у женщин эрозии твердых тканей зубов встречаются реже, чем у мужчин, за исключением молодого возраста. С возрастом снижается частота активной клинической </w:t>
      </w:r>
      <w:proofErr w:type="gramStart"/>
      <w:r>
        <w:rPr>
          <w:rFonts w:eastAsia="Times New Roman"/>
          <w:color w:val="000000"/>
          <w:sz w:val="28"/>
          <w:lang w:val="ru-RU"/>
        </w:rPr>
        <w:t>формы течения эрозии твердых тканей зуба</w:t>
      </w:r>
      <w:proofErr w:type="gramEnd"/>
      <w:r>
        <w:rPr>
          <w:rFonts w:eastAsia="Times New Roman"/>
          <w:color w:val="000000"/>
          <w:sz w:val="28"/>
          <w:lang w:val="ru-RU"/>
        </w:rPr>
        <w:t xml:space="preserve"> и увеличивается встречаемость стабилизированной формы; при этом глубина поражения твердых тканей зуба с возрастом увеличивается. У людей старших возрастных групп наиболее часто требуются лечебно-профилактические вмешательства, направленные на устранение убыли твердых тканей зубов путем терапевтических стоматологических мероприятий или зубного протезирования.</w:t>
      </w:r>
    </w:p>
    <w:p w:rsidR="00E67007" w:rsidRDefault="00E67007" w:rsidP="00E67007">
      <w:pPr>
        <w:spacing w:before="646" w:line="323" w:lineRule="exact"/>
        <w:jc w:val="center"/>
        <w:textAlignment w:val="baseline"/>
        <w:rPr>
          <w:rFonts w:eastAsia="Times New Roman"/>
          <w:b/>
          <w:color w:val="000000"/>
          <w:sz w:val="27"/>
          <w:lang w:val="ru-RU"/>
        </w:rPr>
      </w:pPr>
      <w:r>
        <w:rPr>
          <w:rFonts w:eastAsia="Times New Roman"/>
          <w:b/>
          <w:color w:val="000000"/>
          <w:sz w:val="27"/>
          <w:lang w:val="ru-RU"/>
        </w:rPr>
        <w:t xml:space="preserve">ВЛИЯНИЕ ЛИЗОЦИМСОДЕРЖАЩИХ ЛЕКАРСТВЕННЫХ </w:t>
      </w:r>
      <w:r>
        <w:rPr>
          <w:rFonts w:eastAsia="Times New Roman"/>
          <w:b/>
          <w:color w:val="000000"/>
          <w:sz w:val="27"/>
          <w:lang w:val="ru-RU"/>
        </w:rPr>
        <w:br/>
        <w:t xml:space="preserve">ПРЕПАРАТОВ НА ТКАНИ ПАРОДОНТА У БОЛЬНЫХ </w:t>
      </w:r>
      <w:r>
        <w:rPr>
          <w:rFonts w:eastAsia="Times New Roman"/>
          <w:b/>
          <w:color w:val="000000"/>
          <w:sz w:val="27"/>
          <w:lang w:val="ru-RU"/>
        </w:rPr>
        <w:br/>
      </w:r>
      <w:proofErr w:type="gramStart"/>
      <w:r>
        <w:rPr>
          <w:rFonts w:eastAsia="Times New Roman"/>
          <w:b/>
          <w:color w:val="000000"/>
          <w:sz w:val="27"/>
          <w:lang w:val="ru-RU"/>
        </w:rPr>
        <w:t>ХРОНИЧЕСКИМ</w:t>
      </w:r>
      <w:proofErr w:type="gramEnd"/>
      <w:r>
        <w:rPr>
          <w:rFonts w:eastAsia="Times New Roman"/>
          <w:b/>
          <w:color w:val="000000"/>
          <w:sz w:val="27"/>
          <w:lang w:val="ru-RU"/>
        </w:rPr>
        <w:t xml:space="preserve"> ГЕНЕРАЛИЗОВАННЫМ ПАРОДОНТИТОМ </w:t>
      </w:r>
      <w:r>
        <w:rPr>
          <w:rFonts w:eastAsia="Times New Roman"/>
          <w:b/>
          <w:color w:val="000000"/>
          <w:sz w:val="27"/>
          <w:lang w:val="ru-RU"/>
        </w:rPr>
        <w:br/>
        <w:t>НА ФОНЕ КРАСНОГО ПЛОСКОГО ЛИШАЯ</w:t>
      </w:r>
    </w:p>
    <w:p w:rsidR="00E67007" w:rsidRDefault="00E67007" w:rsidP="00E67007">
      <w:pPr>
        <w:spacing w:before="126" w:line="331" w:lineRule="exact"/>
        <w:jc w:val="center"/>
        <w:textAlignment w:val="baseline"/>
        <w:rPr>
          <w:rFonts w:eastAsia="Times New Roman"/>
          <w:i/>
          <w:color w:val="000000"/>
          <w:spacing w:val="-12"/>
          <w:sz w:val="32"/>
          <w:lang w:val="ru-RU"/>
        </w:rPr>
      </w:pPr>
      <w:r>
        <w:rPr>
          <w:rFonts w:eastAsia="Times New Roman"/>
          <w:i/>
          <w:color w:val="000000"/>
          <w:spacing w:val="-12"/>
          <w:sz w:val="32"/>
          <w:lang w:val="ru-RU"/>
        </w:rPr>
        <w:t>Елисеева О.В., Соколова И.И.</w:t>
      </w:r>
    </w:p>
    <w:p w:rsidR="00E67007" w:rsidRDefault="00E67007" w:rsidP="00E67007">
      <w:pPr>
        <w:spacing w:line="321" w:lineRule="exact"/>
        <w:ind w:left="1224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Харьковский национальный медицинский университет, г. Харьков</w:t>
      </w:r>
    </w:p>
    <w:p w:rsidR="00E67007" w:rsidRDefault="00E67007" w:rsidP="00E67007">
      <w:pPr>
        <w:spacing w:before="327" w:line="321" w:lineRule="exact"/>
        <w:ind w:left="72" w:right="144" w:firstLine="576"/>
        <w:jc w:val="both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Патологические процессы, возникающие в организме человека на фоне хронических заболеваний различного генеза, нередко имеют проявления и в периферических отделах и тканях организма, например на слизистой оболочке полости рта (СОПР), тканях пародонта. Изменения последних, зачастую являются первыми клиническими, а иногда и единственными признаками нарушений функционирования различных органов и систем. В то же время нарушения, возникающие в полости рта, могут усугублять тяжесть фонового заболевания. Именно поэтому роль стоматолога в профилактике и терапии</w:t>
      </w:r>
    </w:p>
    <w:p w:rsidR="00E67007" w:rsidRPr="00EB0CDB" w:rsidRDefault="00E67007" w:rsidP="00E67007">
      <w:pPr>
        <w:rPr>
          <w:lang w:val="ru-RU"/>
        </w:rPr>
        <w:sectPr w:rsidR="00E67007" w:rsidRPr="00EB0CDB">
          <w:pgSz w:w="11909" w:h="16838"/>
          <w:pgMar w:top="700" w:right="1017" w:bottom="882" w:left="1012" w:header="720" w:footer="720" w:gutter="0"/>
          <w:cols w:space="720"/>
        </w:sectPr>
      </w:pPr>
    </w:p>
    <w:p w:rsidR="00E67007" w:rsidRDefault="00E67007" w:rsidP="00E67007">
      <w:pPr>
        <w:spacing w:before="11" w:line="273" w:lineRule="exact"/>
        <w:ind w:left="72"/>
        <w:jc w:val="center"/>
        <w:textAlignment w:val="baseline"/>
        <w:rPr>
          <w:rFonts w:eastAsia="Times New Roman"/>
          <w:color w:val="000000"/>
          <w:spacing w:val="25"/>
          <w:sz w:val="24"/>
          <w:lang w:val="ru-RU"/>
        </w:rPr>
      </w:pPr>
      <w:r>
        <w:rPr>
          <w:rFonts w:eastAsia="Times New Roman"/>
          <w:color w:val="000000"/>
          <w:spacing w:val="25"/>
          <w:sz w:val="24"/>
          <w:lang w:val="ru-RU"/>
        </w:rPr>
        <w:lastRenderedPageBreak/>
        <w:t>114</w:t>
      </w:r>
    </w:p>
    <w:p w:rsidR="00E67007" w:rsidRDefault="00E67007" w:rsidP="00E67007">
      <w:pPr>
        <w:spacing w:before="253" w:line="321" w:lineRule="exact"/>
        <w:ind w:left="72" w:right="144"/>
        <w:jc w:val="both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 xml:space="preserve">сочетанных поражений </w:t>
      </w:r>
      <w:proofErr w:type="gramStart"/>
      <w:r>
        <w:rPr>
          <w:rFonts w:eastAsia="Times New Roman"/>
          <w:color w:val="000000"/>
          <w:sz w:val="28"/>
          <w:lang w:val="ru-RU"/>
        </w:rPr>
        <w:t>неоспорима</w:t>
      </w:r>
      <w:proofErr w:type="gramEnd"/>
      <w:r>
        <w:rPr>
          <w:rFonts w:eastAsia="Times New Roman"/>
          <w:color w:val="000000"/>
          <w:sz w:val="28"/>
          <w:lang w:val="ru-RU"/>
        </w:rPr>
        <w:t xml:space="preserve">. Красный плоский лишай (КПЛ) – одно из наиболее распространенных и </w:t>
      </w:r>
      <w:proofErr w:type="spellStart"/>
      <w:r>
        <w:rPr>
          <w:rFonts w:eastAsia="Times New Roman"/>
          <w:color w:val="000000"/>
          <w:sz w:val="28"/>
          <w:lang w:val="ru-RU"/>
        </w:rPr>
        <w:t>манифестных</w:t>
      </w:r>
      <w:proofErr w:type="spellEnd"/>
      <w:r>
        <w:rPr>
          <w:rFonts w:eastAsia="Times New Roman"/>
          <w:color w:val="000000"/>
          <w:sz w:val="28"/>
          <w:lang w:val="ru-RU"/>
        </w:rPr>
        <w:t xml:space="preserve"> по клиническим проявлениям заболеваний слизистой оболочки полости рта (СОПР) [9]. По данным специалистов [3, 10] частота выявления специфических заболеваний пародонта при красном плоском лишае полости рта варьирует от 13,0 % до 48,0%. Одним из таких заболеваний является </w:t>
      </w:r>
      <w:proofErr w:type="gramStart"/>
      <w:r>
        <w:rPr>
          <w:rFonts w:eastAsia="Times New Roman"/>
          <w:color w:val="000000"/>
          <w:sz w:val="28"/>
          <w:lang w:val="ru-RU"/>
        </w:rPr>
        <w:t>хронический</w:t>
      </w:r>
      <w:proofErr w:type="gramEnd"/>
      <w:r>
        <w:rPr>
          <w:rFonts w:eastAsia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lang w:val="ru-RU"/>
        </w:rPr>
        <w:t>генерализованный</w:t>
      </w:r>
      <w:proofErr w:type="spellEnd"/>
      <w:r>
        <w:rPr>
          <w:rFonts w:eastAsia="Times New Roman"/>
          <w:color w:val="000000"/>
          <w:sz w:val="28"/>
          <w:lang w:val="ru-RU"/>
        </w:rPr>
        <w:t xml:space="preserve"> пародонтит (ХГП). Поэтому вопрос о разработке лечебно-профилактических методов лечения ХГП при КПЛ остается актуальным [1, 6].</w:t>
      </w:r>
    </w:p>
    <w:p w:rsidR="00E67007" w:rsidRDefault="00E67007" w:rsidP="00E67007">
      <w:pPr>
        <w:spacing w:before="1" w:line="321" w:lineRule="exact"/>
        <w:ind w:left="72" w:right="144" w:firstLine="576"/>
        <w:jc w:val="both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 xml:space="preserve">Цель исследования – оценить эффективность комплексного лечения хронического </w:t>
      </w:r>
      <w:proofErr w:type="spellStart"/>
      <w:r>
        <w:rPr>
          <w:rFonts w:eastAsia="Times New Roman"/>
          <w:color w:val="000000"/>
          <w:sz w:val="28"/>
          <w:lang w:val="ru-RU"/>
        </w:rPr>
        <w:t>генерализованного</w:t>
      </w:r>
      <w:proofErr w:type="spellEnd"/>
      <w:r>
        <w:rPr>
          <w:rFonts w:eastAsia="Times New Roman"/>
          <w:color w:val="000000"/>
          <w:sz w:val="28"/>
          <w:lang w:val="ru-RU"/>
        </w:rPr>
        <w:t xml:space="preserve"> пародонтита у больных типичной формой красного плоского лишая и красного плоского лишая слизистой оболочки полости рта.</w:t>
      </w:r>
    </w:p>
    <w:p w:rsidR="00E67007" w:rsidRDefault="00E67007" w:rsidP="00E67007">
      <w:pPr>
        <w:spacing w:before="11" w:line="321" w:lineRule="exact"/>
        <w:ind w:left="72" w:right="144" w:firstLine="720"/>
        <w:jc w:val="both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 xml:space="preserve">Материалы и методы. Нами было обследовано 20 больных КПЛ обоего пола в возрасте от 18 до 60 лет, страдающих хроническим </w:t>
      </w:r>
      <w:proofErr w:type="spellStart"/>
      <w:r>
        <w:rPr>
          <w:rFonts w:eastAsia="Times New Roman"/>
          <w:color w:val="000000"/>
          <w:sz w:val="28"/>
          <w:lang w:val="ru-RU"/>
        </w:rPr>
        <w:t>генерализованным</w:t>
      </w:r>
      <w:proofErr w:type="spellEnd"/>
      <w:r>
        <w:rPr>
          <w:rFonts w:eastAsia="Times New Roman"/>
          <w:color w:val="000000"/>
          <w:sz w:val="28"/>
          <w:lang w:val="ru-RU"/>
        </w:rPr>
        <w:t xml:space="preserve"> пародонтитом начальной и легкой степенями тяжести. Длительность заболевания у обследуемых пациентов составляла от 2 месяцев до 7-и лет. Диагноз типичной формы КПЛ подтверждался клинически и лабораторно. Для диагностики красного плоского лишая слизистой оболочки полости рта использовали международную классификацию стоматологических болезней ВОЗ МКБ-3 на основе МКБ-10 (1997) [8].</w:t>
      </w:r>
    </w:p>
    <w:p w:rsidR="00E67007" w:rsidRDefault="00E67007" w:rsidP="00E67007">
      <w:pPr>
        <w:spacing w:before="2" w:line="321" w:lineRule="exact"/>
        <w:ind w:left="72" w:right="144" w:firstLine="720"/>
        <w:jc w:val="both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Обследуемые пациенты были разделены на группы в зависимости от патологического процесса. В 1 группу вошли пациенты с ХГП на фоне КПЛ без поражения СОПР (10 пациентов), во 2 – ХГП на фоне КПЛ СОПР (10 пациентов). В качестве контрольной группы были обследованы 20 практически здоровых доноров (контроль). Все обследуемые группы были сопоставимы по половому и возрастному составу.</w:t>
      </w:r>
    </w:p>
    <w:p w:rsidR="00E67007" w:rsidRDefault="00E67007" w:rsidP="00E67007">
      <w:pPr>
        <w:spacing w:before="11" w:line="321" w:lineRule="exact"/>
        <w:ind w:left="72" w:right="144" w:firstLine="720"/>
        <w:jc w:val="both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 xml:space="preserve">Комплексное обследование тканей пародонта включало анализ жалоб больных, объективное стоматологическое обследование в динамике с определением гигиенического и </w:t>
      </w:r>
      <w:proofErr w:type="spellStart"/>
      <w:r>
        <w:rPr>
          <w:rFonts w:eastAsia="Times New Roman"/>
          <w:color w:val="000000"/>
          <w:sz w:val="28"/>
          <w:lang w:val="ru-RU"/>
        </w:rPr>
        <w:t>пародонтальных</w:t>
      </w:r>
      <w:proofErr w:type="spellEnd"/>
      <w:r>
        <w:rPr>
          <w:rFonts w:eastAsia="Times New Roman"/>
          <w:color w:val="000000"/>
          <w:sz w:val="28"/>
          <w:lang w:val="ru-RU"/>
        </w:rPr>
        <w:t xml:space="preserve"> индексов, а именно: упрощенный индекс гигиены по Грину – Вермильону (OHI-S); папиллярно-маргинально-альвеолярный индекс (PMA) C. </w:t>
      </w:r>
      <w:proofErr w:type="spellStart"/>
      <w:r>
        <w:rPr>
          <w:rFonts w:eastAsia="Times New Roman"/>
          <w:color w:val="000000"/>
          <w:sz w:val="28"/>
          <w:lang w:val="ru-RU"/>
        </w:rPr>
        <w:t>Parma</w:t>
      </w:r>
      <w:proofErr w:type="spellEnd"/>
      <w:r>
        <w:rPr>
          <w:rFonts w:eastAsia="Times New Roman"/>
          <w:color w:val="000000"/>
          <w:sz w:val="28"/>
          <w:lang w:val="ru-RU"/>
        </w:rPr>
        <w:t xml:space="preserve">; </w:t>
      </w:r>
      <w:proofErr w:type="spellStart"/>
      <w:r>
        <w:rPr>
          <w:rFonts w:eastAsia="Times New Roman"/>
          <w:color w:val="000000"/>
          <w:sz w:val="28"/>
          <w:lang w:val="ru-RU"/>
        </w:rPr>
        <w:t>пародонтальный</w:t>
      </w:r>
      <w:proofErr w:type="spellEnd"/>
      <w:r>
        <w:rPr>
          <w:rFonts w:eastAsia="Times New Roman"/>
          <w:color w:val="000000"/>
          <w:sz w:val="28"/>
          <w:lang w:val="ru-RU"/>
        </w:rPr>
        <w:t xml:space="preserve"> индекс (PI) A.L. </w:t>
      </w:r>
      <w:proofErr w:type="spellStart"/>
      <w:r>
        <w:rPr>
          <w:rFonts w:eastAsia="Times New Roman"/>
          <w:color w:val="000000"/>
          <w:sz w:val="28"/>
          <w:lang w:val="ru-RU"/>
        </w:rPr>
        <w:t>Russel</w:t>
      </w:r>
      <w:proofErr w:type="spellEnd"/>
      <w:r>
        <w:rPr>
          <w:rFonts w:eastAsia="Times New Roman"/>
          <w:color w:val="000000"/>
          <w:sz w:val="28"/>
          <w:lang w:val="ru-RU"/>
        </w:rPr>
        <w:t xml:space="preserve">; пробу Шиллера-Писарева; индекс кровоточивости </w:t>
      </w:r>
      <w:proofErr w:type="spellStart"/>
      <w:r>
        <w:rPr>
          <w:rFonts w:eastAsia="Times New Roman"/>
          <w:color w:val="000000"/>
          <w:sz w:val="28"/>
          <w:lang w:val="ru-RU"/>
        </w:rPr>
        <w:t>Mu</w:t>
      </w:r>
      <w:proofErr w:type="gramStart"/>
      <w:r>
        <w:rPr>
          <w:rFonts w:eastAsia="Times New Roman"/>
          <w:color w:val="000000"/>
          <w:sz w:val="28"/>
          <w:lang w:val="ru-RU"/>
        </w:rPr>
        <w:t>Ы</w:t>
      </w:r>
      <w:proofErr w:type="gramEnd"/>
      <w:r>
        <w:rPr>
          <w:rFonts w:eastAsia="Times New Roman"/>
          <w:color w:val="000000"/>
          <w:sz w:val="28"/>
          <w:lang w:val="ru-RU"/>
        </w:rPr>
        <w:t>emann-Saxer</w:t>
      </w:r>
      <w:proofErr w:type="spellEnd"/>
      <w:r>
        <w:rPr>
          <w:rFonts w:eastAsia="Times New Roman"/>
          <w:color w:val="000000"/>
          <w:sz w:val="28"/>
          <w:lang w:val="ru-RU"/>
        </w:rPr>
        <w:t xml:space="preserve"> (PBI) [1, 2, 7].</w:t>
      </w:r>
    </w:p>
    <w:p w:rsidR="00E67007" w:rsidRDefault="00E67007" w:rsidP="00E67007">
      <w:pPr>
        <w:spacing w:before="9" w:line="321" w:lineRule="exact"/>
        <w:ind w:left="72" w:right="144" w:firstLine="720"/>
        <w:jc w:val="both"/>
        <w:textAlignment w:val="baseline"/>
        <w:rPr>
          <w:rFonts w:eastAsia="Times New Roman"/>
          <w:color w:val="000000"/>
          <w:sz w:val="28"/>
          <w:lang w:val="ru-RU"/>
        </w:rPr>
      </w:pPr>
      <w:proofErr w:type="gramStart"/>
      <w:r>
        <w:rPr>
          <w:rFonts w:eastAsia="Times New Roman"/>
          <w:color w:val="000000"/>
          <w:sz w:val="28"/>
          <w:lang w:val="ru-RU"/>
        </w:rPr>
        <w:t xml:space="preserve">Больным 1 и 2 групп было проведено местное лечение тканей пародонта и слизистой оболочки полости рта с использованием зубного </w:t>
      </w:r>
      <w:proofErr w:type="spellStart"/>
      <w:r>
        <w:rPr>
          <w:rFonts w:eastAsia="Times New Roman"/>
          <w:color w:val="000000"/>
          <w:sz w:val="28"/>
          <w:lang w:val="ru-RU"/>
        </w:rPr>
        <w:t>безспиртового</w:t>
      </w:r>
      <w:proofErr w:type="spellEnd"/>
      <w:r>
        <w:rPr>
          <w:rFonts w:eastAsia="Times New Roman"/>
          <w:color w:val="000000"/>
          <w:sz w:val="28"/>
          <w:lang w:val="ru-RU"/>
        </w:rPr>
        <w:t xml:space="preserve"> лечебно-профилактического зубного эликсира, содержащего лизоцим, поливалентный ингибитор протеолитических ферментов </w:t>
      </w:r>
      <w:proofErr w:type="spellStart"/>
      <w:r>
        <w:rPr>
          <w:rFonts w:eastAsia="Times New Roman"/>
          <w:color w:val="000000"/>
          <w:sz w:val="28"/>
          <w:lang w:val="ru-RU"/>
        </w:rPr>
        <w:t>овомукоид</w:t>
      </w:r>
      <w:proofErr w:type="spellEnd"/>
      <w:r>
        <w:rPr>
          <w:rFonts w:eastAsia="Times New Roman"/>
          <w:color w:val="000000"/>
          <w:sz w:val="28"/>
          <w:lang w:val="ru-RU"/>
        </w:rPr>
        <w:t>, активатор лизоцима (</w:t>
      </w:r>
      <w:proofErr w:type="spellStart"/>
      <w:r>
        <w:rPr>
          <w:rFonts w:eastAsia="Times New Roman"/>
          <w:color w:val="000000"/>
          <w:sz w:val="28"/>
          <w:lang w:val="ru-RU"/>
        </w:rPr>
        <w:t>цетримид</w:t>
      </w:r>
      <w:proofErr w:type="spellEnd"/>
      <w:r>
        <w:rPr>
          <w:rFonts w:eastAsia="Times New Roman"/>
          <w:color w:val="000000"/>
          <w:sz w:val="28"/>
          <w:lang w:val="ru-RU"/>
        </w:rPr>
        <w:t>) и др. вспомогательные соединения (например «</w:t>
      </w:r>
      <w:proofErr w:type="spellStart"/>
      <w:r>
        <w:rPr>
          <w:rFonts w:eastAsia="Times New Roman"/>
          <w:color w:val="000000"/>
          <w:sz w:val="28"/>
          <w:lang w:val="ru-RU"/>
        </w:rPr>
        <w:t>Лизомукоид</w:t>
      </w:r>
      <w:proofErr w:type="spellEnd"/>
      <w:r>
        <w:rPr>
          <w:rFonts w:eastAsia="Times New Roman"/>
          <w:color w:val="000000"/>
          <w:sz w:val="28"/>
          <w:lang w:val="ru-RU"/>
        </w:rPr>
        <w:t>», НПА «</w:t>
      </w:r>
      <w:proofErr w:type="spellStart"/>
      <w:r>
        <w:rPr>
          <w:rFonts w:eastAsia="Times New Roman"/>
          <w:color w:val="000000"/>
          <w:sz w:val="28"/>
          <w:lang w:val="ru-RU"/>
        </w:rPr>
        <w:t>Одеская</w:t>
      </w:r>
      <w:proofErr w:type="spellEnd"/>
      <w:r>
        <w:rPr>
          <w:rFonts w:eastAsia="Times New Roman"/>
          <w:color w:val="000000"/>
          <w:sz w:val="28"/>
          <w:lang w:val="ru-RU"/>
        </w:rPr>
        <w:t xml:space="preserve"> биотехнология», Украина), и зубной пасты с активными действующими веществами: алюминия </w:t>
      </w:r>
      <w:proofErr w:type="spellStart"/>
      <w:r>
        <w:rPr>
          <w:rFonts w:eastAsia="Times New Roman"/>
          <w:color w:val="000000"/>
          <w:sz w:val="28"/>
          <w:lang w:val="ru-RU"/>
        </w:rPr>
        <w:t>лактат</w:t>
      </w:r>
      <w:proofErr w:type="spellEnd"/>
      <w:r>
        <w:rPr>
          <w:rFonts w:eastAsia="Times New Roman"/>
          <w:color w:val="000000"/>
          <w:sz w:val="28"/>
          <w:lang w:val="ru-RU"/>
        </w:rPr>
        <w:t xml:space="preserve">, алюминия фторид, </w:t>
      </w:r>
      <w:proofErr w:type="spellStart"/>
      <w:r>
        <w:rPr>
          <w:rFonts w:eastAsia="Times New Roman"/>
          <w:color w:val="000000"/>
          <w:sz w:val="28"/>
          <w:lang w:val="ru-RU"/>
        </w:rPr>
        <w:t>хлоргексидин</w:t>
      </w:r>
      <w:proofErr w:type="spellEnd"/>
      <w:r>
        <w:rPr>
          <w:rFonts w:eastAsia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eastAsia="Times New Roman"/>
          <w:color w:val="000000"/>
          <w:sz w:val="28"/>
          <w:lang w:val="ru-RU"/>
        </w:rPr>
        <w:t>аллантоин</w:t>
      </w:r>
      <w:proofErr w:type="spellEnd"/>
      <w:r>
        <w:rPr>
          <w:rFonts w:eastAsia="Times New Roman"/>
          <w:color w:val="000000"/>
          <w:sz w:val="28"/>
          <w:lang w:val="ru-RU"/>
        </w:rPr>
        <w:t xml:space="preserve"> (например, «</w:t>
      </w:r>
      <w:proofErr w:type="spellStart"/>
      <w:r>
        <w:rPr>
          <w:rFonts w:eastAsia="Times New Roman"/>
          <w:color w:val="000000"/>
          <w:sz w:val="28"/>
          <w:lang w:val="ru-RU"/>
        </w:rPr>
        <w:t>Лакалут</w:t>
      </w:r>
      <w:proofErr w:type="spellEnd"/>
      <w:r>
        <w:rPr>
          <w:rFonts w:eastAsia="Times New Roman"/>
          <w:color w:val="000000"/>
          <w:sz w:val="28"/>
          <w:lang w:val="ru-RU"/>
        </w:rPr>
        <w:t xml:space="preserve"> актив», Германия</w:t>
      </w:r>
      <w:proofErr w:type="gramEnd"/>
      <w:r>
        <w:rPr>
          <w:rFonts w:eastAsia="Times New Roman"/>
          <w:color w:val="000000"/>
          <w:sz w:val="28"/>
          <w:lang w:val="ru-RU"/>
        </w:rPr>
        <w:t>). Данной пастой пациенты чистили зубы 2 раза в день (утром после еды и вечером перед сном). Эликсиром «</w:t>
      </w:r>
      <w:proofErr w:type="spellStart"/>
      <w:r>
        <w:rPr>
          <w:rFonts w:eastAsia="Times New Roman"/>
          <w:color w:val="000000"/>
          <w:sz w:val="28"/>
          <w:lang w:val="ru-RU"/>
        </w:rPr>
        <w:t>Лизомукоид</w:t>
      </w:r>
      <w:proofErr w:type="spellEnd"/>
      <w:r>
        <w:rPr>
          <w:rFonts w:eastAsia="Times New Roman"/>
          <w:color w:val="000000"/>
          <w:sz w:val="28"/>
          <w:lang w:val="ru-RU"/>
        </w:rPr>
        <w:t>» полоскали ротовую полость после процедуры чистки зубов и после каждого приема пищи. Также в лечебную схему были</w:t>
      </w:r>
    </w:p>
    <w:p w:rsidR="00E67007" w:rsidRPr="00EB0CDB" w:rsidRDefault="00E67007" w:rsidP="00E67007">
      <w:pPr>
        <w:rPr>
          <w:lang w:val="ru-RU"/>
        </w:rPr>
        <w:sectPr w:rsidR="00E67007" w:rsidRPr="00EB0CDB">
          <w:pgSz w:w="11909" w:h="16838"/>
          <w:pgMar w:top="700" w:right="1014" w:bottom="1022" w:left="1015" w:header="720" w:footer="720" w:gutter="0"/>
          <w:cols w:space="720"/>
        </w:sectPr>
      </w:pPr>
    </w:p>
    <w:p w:rsidR="00E67007" w:rsidRDefault="00E67007" w:rsidP="00E67007">
      <w:pPr>
        <w:spacing w:before="11" w:line="273" w:lineRule="exact"/>
        <w:ind w:left="72"/>
        <w:jc w:val="center"/>
        <w:textAlignment w:val="baseline"/>
        <w:rPr>
          <w:rFonts w:eastAsia="Times New Roman"/>
          <w:color w:val="000000"/>
          <w:spacing w:val="23"/>
          <w:sz w:val="24"/>
          <w:lang w:val="ru-RU"/>
        </w:rPr>
      </w:pPr>
      <w:r>
        <w:rPr>
          <w:rFonts w:eastAsia="Times New Roman"/>
          <w:color w:val="000000"/>
          <w:spacing w:val="23"/>
          <w:sz w:val="24"/>
          <w:lang w:val="ru-RU"/>
        </w:rPr>
        <w:lastRenderedPageBreak/>
        <w:t>115</w:t>
      </w:r>
    </w:p>
    <w:p w:rsidR="00E67007" w:rsidRDefault="00E67007" w:rsidP="00E67007">
      <w:pPr>
        <w:spacing w:before="242" w:line="321" w:lineRule="exact"/>
        <w:ind w:left="72" w:right="144"/>
        <w:jc w:val="both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включены антисептические таблетки, в качестве которых выбрали «</w:t>
      </w:r>
      <w:proofErr w:type="spellStart"/>
      <w:r>
        <w:rPr>
          <w:rFonts w:eastAsia="Times New Roman"/>
          <w:color w:val="000000"/>
          <w:sz w:val="28"/>
          <w:lang w:val="ru-RU"/>
        </w:rPr>
        <w:t>Лисобакт</w:t>
      </w:r>
      <w:proofErr w:type="spellEnd"/>
      <w:r>
        <w:rPr>
          <w:rFonts w:eastAsia="Times New Roman"/>
          <w:color w:val="000000"/>
          <w:sz w:val="28"/>
          <w:lang w:val="ru-RU"/>
        </w:rPr>
        <w:t>» (</w:t>
      </w:r>
      <w:proofErr w:type="spellStart"/>
      <w:r>
        <w:rPr>
          <w:rFonts w:eastAsia="Times New Roman"/>
          <w:color w:val="000000"/>
          <w:sz w:val="28"/>
          <w:lang w:val="ru-RU"/>
        </w:rPr>
        <w:t>Босналек</w:t>
      </w:r>
      <w:proofErr w:type="spellEnd"/>
      <w:r>
        <w:rPr>
          <w:rFonts w:eastAsia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lang w:val="ru-RU"/>
        </w:rPr>
        <w:t>д.д</w:t>
      </w:r>
      <w:proofErr w:type="spellEnd"/>
      <w:r>
        <w:rPr>
          <w:rFonts w:eastAsia="Times New Roman"/>
          <w:color w:val="000000"/>
          <w:sz w:val="28"/>
          <w:lang w:val="ru-RU"/>
        </w:rPr>
        <w:t>., Босния и Герцеговина), для рассасывания в полости рта по 2 таблетки 3-4 раза в сутки, курсом 8 дней, содержащие лизоцима хлорид 20 мг и витамин В</w:t>
      </w:r>
      <w:proofErr w:type="gramStart"/>
      <w:r>
        <w:rPr>
          <w:rFonts w:eastAsia="Times New Roman"/>
          <w:color w:val="000000"/>
          <w:sz w:val="28"/>
          <w:lang w:val="ru-RU"/>
        </w:rPr>
        <w:t>6</w:t>
      </w:r>
      <w:proofErr w:type="gramEnd"/>
      <w:r>
        <w:rPr>
          <w:rFonts w:eastAsia="Times New Roman"/>
          <w:color w:val="000000"/>
          <w:sz w:val="28"/>
          <w:lang w:val="ru-RU"/>
        </w:rPr>
        <w:t xml:space="preserve"> (пиридоксина гидрохлорид) 10 мг.</w:t>
      </w:r>
    </w:p>
    <w:p w:rsidR="00E67007" w:rsidRDefault="00E67007" w:rsidP="00E67007">
      <w:pPr>
        <w:spacing w:before="9" w:line="321" w:lineRule="exact"/>
        <w:ind w:left="72" w:right="144" w:firstLine="576"/>
        <w:jc w:val="both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 xml:space="preserve">В лечебную схему 2 группы были назначены </w:t>
      </w:r>
      <w:proofErr w:type="spellStart"/>
      <w:r>
        <w:rPr>
          <w:rFonts w:eastAsia="Times New Roman"/>
          <w:color w:val="000000"/>
          <w:sz w:val="28"/>
          <w:lang w:val="ru-RU"/>
        </w:rPr>
        <w:t>лизоцимсодержащие</w:t>
      </w:r>
      <w:proofErr w:type="spellEnd"/>
      <w:r>
        <w:rPr>
          <w:rFonts w:eastAsia="Times New Roman"/>
          <w:color w:val="000000"/>
          <w:sz w:val="28"/>
          <w:lang w:val="ru-RU"/>
        </w:rPr>
        <w:t xml:space="preserve"> пленки (НПА «</w:t>
      </w:r>
      <w:proofErr w:type="spellStart"/>
      <w:r>
        <w:rPr>
          <w:rFonts w:eastAsia="Times New Roman"/>
          <w:color w:val="000000"/>
          <w:sz w:val="28"/>
          <w:lang w:val="ru-RU"/>
        </w:rPr>
        <w:t>Одеская</w:t>
      </w:r>
      <w:proofErr w:type="spellEnd"/>
      <w:r>
        <w:rPr>
          <w:rFonts w:eastAsia="Times New Roman"/>
          <w:color w:val="000000"/>
          <w:sz w:val="28"/>
          <w:lang w:val="ru-RU"/>
        </w:rPr>
        <w:t xml:space="preserve"> биотехнология», Украина), которые приклеивали на очаги поражения СОПР и </w:t>
      </w:r>
      <w:proofErr w:type="spellStart"/>
      <w:r>
        <w:rPr>
          <w:rFonts w:eastAsia="Times New Roman"/>
          <w:color w:val="000000"/>
          <w:sz w:val="28"/>
          <w:lang w:val="ru-RU"/>
        </w:rPr>
        <w:t>десневой</w:t>
      </w:r>
      <w:proofErr w:type="spellEnd"/>
      <w:r>
        <w:rPr>
          <w:rFonts w:eastAsia="Times New Roman"/>
          <w:color w:val="000000"/>
          <w:sz w:val="28"/>
          <w:lang w:val="ru-RU"/>
        </w:rPr>
        <w:t xml:space="preserve"> край 2 раза в день, после процедуры чистки зубов пастой «</w:t>
      </w:r>
      <w:proofErr w:type="spellStart"/>
      <w:r>
        <w:rPr>
          <w:rFonts w:eastAsia="Times New Roman"/>
          <w:color w:val="000000"/>
          <w:sz w:val="28"/>
          <w:lang w:val="ru-RU"/>
        </w:rPr>
        <w:t>Лакалут</w:t>
      </w:r>
      <w:proofErr w:type="spellEnd"/>
      <w:r>
        <w:rPr>
          <w:rFonts w:eastAsia="Times New Roman"/>
          <w:color w:val="000000"/>
          <w:sz w:val="28"/>
          <w:lang w:val="ru-RU"/>
        </w:rPr>
        <w:t xml:space="preserve"> актив» и ополаскивания полости рта зубным эликсиром «</w:t>
      </w:r>
      <w:proofErr w:type="spellStart"/>
      <w:r>
        <w:rPr>
          <w:rFonts w:eastAsia="Times New Roman"/>
          <w:color w:val="000000"/>
          <w:sz w:val="28"/>
          <w:lang w:val="ru-RU"/>
        </w:rPr>
        <w:t>Лизомукоид</w:t>
      </w:r>
      <w:proofErr w:type="spellEnd"/>
      <w:r>
        <w:rPr>
          <w:rFonts w:eastAsia="Times New Roman"/>
          <w:color w:val="000000"/>
          <w:sz w:val="28"/>
          <w:lang w:val="ru-RU"/>
        </w:rPr>
        <w:t>». Курс лечения длился 2 недели. Результат лечения оценивали сразу после окончания терапии, а его отдаленные последствия – через 3 месяца.</w:t>
      </w:r>
    </w:p>
    <w:p w:rsidR="00E67007" w:rsidRDefault="00E67007" w:rsidP="00E67007">
      <w:pPr>
        <w:spacing w:before="3" w:line="321" w:lineRule="exact"/>
        <w:ind w:left="72" w:right="144" w:firstLine="576"/>
        <w:jc w:val="both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 xml:space="preserve">Для статистической обработки данных использовался пакет программ обработки данных общего назначения </w:t>
      </w:r>
      <w:proofErr w:type="spellStart"/>
      <w:r>
        <w:rPr>
          <w:rFonts w:eastAsia="Times New Roman"/>
          <w:color w:val="000000"/>
          <w:sz w:val="28"/>
          <w:lang w:val="ru-RU"/>
        </w:rPr>
        <w:t>Statistica</w:t>
      </w:r>
      <w:proofErr w:type="spellEnd"/>
      <w:r>
        <w:rPr>
          <w:rFonts w:eastAsia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lang w:val="ru-RU"/>
        </w:rPr>
        <w:t>for</w:t>
      </w:r>
      <w:proofErr w:type="spellEnd"/>
      <w:r>
        <w:rPr>
          <w:rFonts w:eastAsia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lang w:val="ru-RU"/>
        </w:rPr>
        <w:t>Windows</w:t>
      </w:r>
      <w:proofErr w:type="spellEnd"/>
      <w:r>
        <w:rPr>
          <w:rFonts w:eastAsia="Times New Roman"/>
          <w:color w:val="000000"/>
          <w:sz w:val="28"/>
          <w:lang w:val="ru-RU"/>
        </w:rPr>
        <w:t xml:space="preserve"> версии 6.0. В качестве непараметрических методов использовали метод Манна-Уитни. Достоверность полученных результатов оценивалась с помощью критерия </w:t>
      </w:r>
      <w:proofErr w:type="spellStart"/>
      <w:r>
        <w:rPr>
          <w:rFonts w:eastAsia="Times New Roman"/>
          <w:color w:val="000000"/>
          <w:sz w:val="28"/>
          <w:lang w:val="ru-RU"/>
        </w:rPr>
        <w:t>Вилкоксона</w:t>
      </w:r>
      <w:proofErr w:type="spellEnd"/>
      <w:r>
        <w:rPr>
          <w:rFonts w:eastAsia="Times New Roman"/>
          <w:color w:val="000000"/>
          <w:sz w:val="28"/>
          <w:lang w:val="ru-RU"/>
        </w:rPr>
        <w:t xml:space="preserve"> [4].</w:t>
      </w:r>
    </w:p>
    <w:p w:rsidR="00E67007" w:rsidRDefault="00E67007" w:rsidP="00E67007">
      <w:pPr>
        <w:spacing w:before="14" w:line="321" w:lineRule="exact"/>
        <w:ind w:left="72" w:right="144" w:firstLine="720"/>
        <w:jc w:val="both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 xml:space="preserve">Результаты и их обсуждение. Комплексное обследование тканей пародонта у пациентов 1 и 2 группы показало, что значения медианы упрощенного индекса OHI-S до лечения составил 2,2 и 2,5 баллов, соответственно. В группе контроля этот показатель составил 0,41 балл. Папиллярно-маргинально-альвеолярный индекс позволяет объективно оценить степень выраженности воспаления в пародонте. Значения этого показателя в группе 1 и 2 до лечения составил соответственно 27,09% и 27,46%, в группе контроля – 2,08%. </w:t>
      </w:r>
      <w:proofErr w:type="spellStart"/>
      <w:r>
        <w:rPr>
          <w:rFonts w:eastAsia="Times New Roman"/>
          <w:color w:val="000000"/>
          <w:sz w:val="28"/>
          <w:lang w:val="ru-RU"/>
        </w:rPr>
        <w:t>Пародонтальный</w:t>
      </w:r>
      <w:proofErr w:type="spellEnd"/>
      <w:r>
        <w:rPr>
          <w:rFonts w:eastAsia="Times New Roman"/>
          <w:color w:val="000000"/>
          <w:sz w:val="28"/>
          <w:lang w:val="ru-RU"/>
        </w:rPr>
        <w:t xml:space="preserve"> индекс, характеризует тяжесть воспалительно-деструктивных изменений в пародонте. У больных 1 и 2 группы значения этого индекса составили 1,93 и 1,64 балла, в группе контроля – 0,06. До лечения значения медианы пробы Шиллера-Писарева, которая характеризует глубину воспалительного процесса десен, в группе 1 и 2 составили 1,53 и 1,6 баллов, в группе контроля – 0,12 баллов. Значения индекса кровоточивости </w:t>
      </w:r>
      <w:proofErr w:type="spellStart"/>
      <w:r>
        <w:rPr>
          <w:rFonts w:eastAsia="Times New Roman"/>
          <w:color w:val="000000"/>
          <w:sz w:val="28"/>
          <w:lang w:val="ru-RU"/>
        </w:rPr>
        <w:t>десневых</w:t>
      </w:r>
      <w:proofErr w:type="spellEnd"/>
      <w:r>
        <w:rPr>
          <w:rFonts w:eastAsia="Times New Roman"/>
          <w:color w:val="000000"/>
          <w:sz w:val="28"/>
          <w:lang w:val="ru-RU"/>
        </w:rPr>
        <w:t xml:space="preserve"> сосочков </w:t>
      </w:r>
      <w:proofErr w:type="spellStart"/>
      <w:r>
        <w:rPr>
          <w:rFonts w:eastAsia="Times New Roman"/>
          <w:color w:val="000000"/>
          <w:sz w:val="28"/>
          <w:lang w:val="ru-RU"/>
        </w:rPr>
        <w:t>Muhlemann-Saxer</w:t>
      </w:r>
      <w:proofErr w:type="spellEnd"/>
      <w:r>
        <w:rPr>
          <w:rFonts w:eastAsia="Times New Roman"/>
          <w:color w:val="000000"/>
          <w:sz w:val="28"/>
          <w:lang w:val="ru-RU"/>
        </w:rPr>
        <w:t xml:space="preserve"> в группе 1 и 2 составили 0,33 и 0,33 баллов, в группе контроля этот индекс не был выявлен.</w:t>
      </w:r>
    </w:p>
    <w:p w:rsidR="00E67007" w:rsidRDefault="00E67007" w:rsidP="00E67007">
      <w:pPr>
        <w:spacing w:before="25" w:line="321" w:lineRule="exact"/>
        <w:ind w:left="72" w:right="144" w:firstLine="720"/>
        <w:jc w:val="both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Нами выяв</w:t>
      </w:r>
      <w:bookmarkStart w:id="0" w:name="_GoBack"/>
      <w:bookmarkEnd w:id="0"/>
      <w:r>
        <w:rPr>
          <w:rFonts w:eastAsia="Times New Roman"/>
          <w:color w:val="000000"/>
          <w:sz w:val="28"/>
          <w:lang w:val="ru-RU"/>
        </w:rPr>
        <w:t xml:space="preserve">лен стойкий клинический эффект со статистически достоверным снижением показателей гигиенических и </w:t>
      </w:r>
      <w:proofErr w:type="spellStart"/>
      <w:r>
        <w:rPr>
          <w:rFonts w:eastAsia="Times New Roman"/>
          <w:color w:val="000000"/>
          <w:sz w:val="28"/>
          <w:lang w:val="ru-RU"/>
        </w:rPr>
        <w:t>пародонтальных</w:t>
      </w:r>
      <w:proofErr w:type="spellEnd"/>
      <w:r>
        <w:rPr>
          <w:rFonts w:eastAsia="Times New Roman"/>
          <w:color w:val="000000"/>
          <w:sz w:val="28"/>
          <w:lang w:val="ru-RU"/>
        </w:rPr>
        <w:t xml:space="preserve"> индексов. Через 14 дней после лечения у всех больных отмечено улучшение, состояние тканей пародонта: исчезла болезненность, отечность и кровоточивость десен, уменьшилась клинически определяемая глубина </w:t>
      </w:r>
      <w:proofErr w:type="spellStart"/>
      <w:r>
        <w:rPr>
          <w:rFonts w:eastAsia="Times New Roman"/>
          <w:color w:val="000000"/>
          <w:sz w:val="28"/>
          <w:lang w:val="ru-RU"/>
        </w:rPr>
        <w:t>пародонтальных</w:t>
      </w:r>
      <w:proofErr w:type="spellEnd"/>
      <w:r>
        <w:rPr>
          <w:rFonts w:eastAsia="Times New Roman"/>
          <w:color w:val="000000"/>
          <w:sz w:val="28"/>
          <w:lang w:val="ru-RU"/>
        </w:rPr>
        <w:t xml:space="preserve"> карманов. У пациентов обеих групп клинические данные были подтверждены положительной динамикой индекса гигиены и </w:t>
      </w:r>
      <w:proofErr w:type="spellStart"/>
      <w:r>
        <w:rPr>
          <w:rFonts w:eastAsia="Times New Roman"/>
          <w:color w:val="000000"/>
          <w:sz w:val="28"/>
          <w:lang w:val="ru-RU"/>
        </w:rPr>
        <w:t>пародонтальных</w:t>
      </w:r>
      <w:proofErr w:type="spellEnd"/>
      <w:r>
        <w:rPr>
          <w:rFonts w:eastAsia="Times New Roman"/>
          <w:color w:val="000000"/>
          <w:sz w:val="28"/>
          <w:lang w:val="ru-RU"/>
        </w:rPr>
        <w:t xml:space="preserve"> индексов, которые имели достоверные различия с исходными параметрами. Регистрировалось достоверное снижение индекса гигиены OHI-S в 1 и 2 группах через 14 дней после лечения - 0,33 и 0,33 баллов, а через 3 месяца – 0,63 и 0,41 баллов соответственно (p&lt;0,05). Снижение индекс PMA в 1 и 2 группах через 14 дней после полученной терапии составил 4,65%; 4,08% и 8,51%; 6, 25% через 3 месяца (p&lt;0,05). PI через 14 дней после лечения снизился до значений 1,72 и 1,39 баллов. А через 3 месяца – 1,73 и 1,45 баллов (p&lt;0,05).</w:t>
      </w:r>
    </w:p>
    <w:p w:rsidR="00E67007" w:rsidRPr="00EB0CDB" w:rsidRDefault="00E67007" w:rsidP="00E67007">
      <w:pPr>
        <w:rPr>
          <w:lang w:val="ru-RU"/>
        </w:rPr>
        <w:sectPr w:rsidR="00E67007" w:rsidRPr="00EB0CDB">
          <w:pgSz w:w="11909" w:h="16838"/>
          <w:pgMar w:top="700" w:right="1012" w:bottom="1022" w:left="1017" w:header="720" w:footer="720" w:gutter="0"/>
          <w:cols w:space="720"/>
        </w:sectPr>
      </w:pPr>
    </w:p>
    <w:p w:rsidR="00E67007" w:rsidRDefault="00E67007" w:rsidP="00E67007">
      <w:pPr>
        <w:spacing w:before="11" w:line="273" w:lineRule="exact"/>
        <w:ind w:left="72"/>
        <w:jc w:val="center"/>
        <w:textAlignment w:val="baseline"/>
        <w:rPr>
          <w:rFonts w:eastAsia="Times New Roman"/>
          <w:color w:val="000000"/>
          <w:spacing w:val="25"/>
          <w:sz w:val="24"/>
          <w:lang w:val="ru-RU"/>
        </w:rPr>
      </w:pPr>
      <w:r>
        <w:rPr>
          <w:rFonts w:eastAsia="Times New Roman"/>
          <w:color w:val="000000"/>
          <w:spacing w:val="25"/>
          <w:sz w:val="24"/>
          <w:lang w:val="ru-RU"/>
        </w:rPr>
        <w:lastRenderedPageBreak/>
        <w:t>116</w:t>
      </w:r>
    </w:p>
    <w:p w:rsidR="00E67007" w:rsidRDefault="00E67007" w:rsidP="00E67007">
      <w:pPr>
        <w:spacing w:before="257" w:line="321" w:lineRule="exact"/>
        <w:ind w:left="72" w:right="144"/>
        <w:jc w:val="both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 xml:space="preserve">Медианы пробы Шиллера-Писарева в группе 1 и 2 через 14 дней после лечения стали 0,27; 0,24 баллов, и 0,51; 0,32 баллов через 3 месяца (p&lt;0,05). Значения медианы индекса кровоточивости </w:t>
      </w:r>
      <w:proofErr w:type="spellStart"/>
      <w:r>
        <w:rPr>
          <w:rFonts w:eastAsia="Times New Roman"/>
          <w:color w:val="000000"/>
          <w:sz w:val="28"/>
          <w:lang w:val="ru-RU"/>
        </w:rPr>
        <w:t>десневых</w:t>
      </w:r>
      <w:proofErr w:type="spellEnd"/>
      <w:r>
        <w:rPr>
          <w:rFonts w:eastAsia="Times New Roman"/>
          <w:color w:val="000000"/>
          <w:sz w:val="28"/>
          <w:lang w:val="ru-RU"/>
        </w:rPr>
        <w:t xml:space="preserve"> сосочков </w:t>
      </w:r>
      <w:proofErr w:type="spellStart"/>
      <w:r>
        <w:rPr>
          <w:rFonts w:eastAsia="Times New Roman"/>
          <w:color w:val="000000"/>
          <w:sz w:val="28"/>
          <w:lang w:val="ru-RU"/>
        </w:rPr>
        <w:t>Muhlemann-Saxer</w:t>
      </w:r>
      <w:proofErr w:type="spellEnd"/>
      <w:r>
        <w:rPr>
          <w:rFonts w:eastAsia="Times New Roman"/>
          <w:color w:val="000000"/>
          <w:sz w:val="28"/>
          <w:lang w:val="ru-RU"/>
        </w:rPr>
        <w:t xml:space="preserve"> в группе 1 и 2 через 14 дней после лечения составили 0,03; 0,03 баллов, и 0,07; 0,05 баллов (p&lt;0,05) соответственно.</w:t>
      </w:r>
    </w:p>
    <w:p w:rsidR="00851526" w:rsidRPr="00E67007" w:rsidRDefault="00E67007" w:rsidP="00E67007">
      <w:pPr>
        <w:rPr>
          <w:lang w:val="ru-RU"/>
        </w:rPr>
      </w:pPr>
      <w:r>
        <w:rPr>
          <w:rFonts w:eastAsia="Times New Roman"/>
          <w:color w:val="000000"/>
          <w:sz w:val="28"/>
          <w:lang w:val="ru-RU"/>
        </w:rPr>
        <w:t xml:space="preserve">Выводы. Проведенное исследование показывает позитивное влияние </w:t>
      </w:r>
      <w:proofErr w:type="spellStart"/>
      <w:r>
        <w:rPr>
          <w:rFonts w:eastAsia="Times New Roman"/>
          <w:color w:val="000000"/>
          <w:sz w:val="28"/>
          <w:lang w:val="ru-RU"/>
        </w:rPr>
        <w:t>лизоцимсодержащих</w:t>
      </w:r>
      <w:proofErr w:type="spellEnd"/>
      <w:r>
        <w:rPr>
          <w:rFonts w:eastAsia="Times New Roman"/>
          <w:color w:val="000000"/>
          <w:sz w:val="28"/>
          <w:lang w:val="ru-RU"/>
        </w:rPr>
        <w:t xml:space="preserve"> лекарственных средств на ткани пародонта при сочетанном течении ХГП начальной и легкой степени тяжести и КПЛ типичной формы, а также КПЛ СОПР. В комплекс лечебно-профилактических мероприятий следует включать: «</w:t>
      </w:r>
      <w:proofErr w:type="spellStart"/>
      <w:r>
        <w:rPr>
          <w:rFonts w:eastAsia="Times New Roman"/>
          <w:color w:val="000000"/>
          <w:sz w:val="28"/>
          <w:lang w:val="ru-RU"/>
        </w:rPr>
        <w:t>Лизомукоид</w:t>
      </w:r>
      <w:proofErr w:type="spellEnd"/>
      <w:r>
        <w:rPr>
          <w:rFonts w:eastAsia="Times New Roman"/>
          <w:color w:val="000000"/>
          <w:sz w:val="28"/>
          <w:lang w:val="ru-RU"/>
        </w:rPr>
        <w:t>» та «</w:t>
      </w:r>
      <w:proofErr w:type="spellStart"/>
      <w:r>
        <w:rPr>
          <w:rFonts w:eastAsia="Times New Roman"/>
          <w:color w:val="000000"/>
          <w:sz w:val="28"/>
          <w:lang w:val="ru-RU"/>
        </w:rPr>
        <w:t>Лисобакт</w:t>
      </w:r>
      <w:proofErr w:type="spellEnd"/>
      <w:r>
        <w:rPr>
          <w:rFonts w:eastAsia="Times New Roman"/>
          <w:color w:val="000000"/>
          <w:sz w:val="28"/>
          <w:lang w:val="ru-RU"/>
        </w:rPr>
        <w:t>».</w:t>
      </w:r>
    </w:p>
    <w:sectPr w:rsidR="00851526" w:rsidRPr="00E67007" w:rsidSect="00E6700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07"/>
    <w:rsid w:val="000B710A"/>
    <w:rsid w:val="00851526"/>
    <w:rsid w:val="00E6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7007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0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007"/>
    <w:rPr>
      <w:rFonts w:ascii="Tahoma" w:eastAsia="PMingLiU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7007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0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007"/>
    <w:rPr>
      <w:rFonts w:ascii="Tahoma" w:eastAsia="PMingLiU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Оленька</cp:lastModifiedBy>
  <cp:revision>1</cp:revision>
  <dcterms:created xsi:type="dcterms:W3CDTF">2014-11-04T12:43:00Z</dcterms:created>
  <dcterms:modified xsi:type="dcterms:W3CDTF">2014-11-04T12:48:00Z</dcterms:modified>
</cp:coreProperties>
</file>