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CF" w:rsidRDefault="005F470A" w:rsidP="005F470A">
      <w:pPr>
        <w:spacing w:after="0" w:line="360" w:lineRule="auto"/>
        <w:jc w:val="center"/>
        <w:rPr>
          <w:rFonts w:ascii="Times New Roman" w:hAnsi="Times New Roman"/>
          <w:b/>
          <w:sz w:val="28"/>
          <w:szCs w:val="32"/>
        </w:rPr>
      </w:pPr>
      <w:r w:rsidRPr="005F470A">
        <w:rPr>
          <w:rFonts w:ascii="Times New Roman" w:hAnsi="Times New Roman"/>
          <w:b/>
          <w:sz w:val="28"/>
          <w:szCs w:val="32"/>
        </w:rPr>
        <w:t>DISTANT APOPTOSIS BIOMARKERS IN HUMAN HYPERTENSION</w:t>
      </w:r>
    </w:p>
    <w:p w:rsidR="005F470A" w:rsidRDefault="005F470A" w:rsidP="005F470A">
      <w:pPr>
        <w:spacing w:after="0" w:line="360" w:lineRule="auto"/>
        <w:jc w:val="center"/>
        <w:rPr>
          <w:rFonts w:ascii="Times New Roman" w:hAnsi="Times New Roman"/>
          <w:b/>
          <w:sz w:val="28"/>
          <w:szCs w:val="32"/>
        </w:rPr>
      </w:pPr>
      <w:proofErr w:type="spellStart"/>
      <w:r>
        <w:rPr>
          <w:rFonts w:ascii="Times New Roman" w:hAnsi="Times New Roman"/>
          <w:b/>
          <w:sz w:val="28"/>
          <w:szCs w:val="32"/>
        </w:rPr>
        <w:t>Ashcheulova</w:t>
      </w:r>
      <w:proofErr w:type="spellEnd"/>
      <w:r>
        <w:rPr>
          <w:rFonts w:ascii="Times New Roman" w:hAnsi="Times New Roman"/>
          <w:b/>
          <w:sz w:val="28"/>
          <w:szCs w:val="32"/>
        </w:rPr>
        <w:t xml:space="preserve"> T</w:t>
      </w:r>
      <w:r w:rsidR="00D637F1">
        <w:rPr>
          <w:rFonts w:ascii="Times New Roman" w:hAnsi="Times New Roman"/>
          <w:b/>
          <w:sz w:val="28"/>
          <w:szCs w:val="32"/>
        </w:rPr>
        <w:t xml:space="preserve">, </w:t>
      </w:r>
      <w:proofErr w:type="spellStart"/>
      <w:r w:rsidR="00D637F1">
        <w:rPr>
          <w:rFonts w:ascii="Times New Roman" w:hAnsi="Times New Roman"/>
          <w:b/>
          <w:sz w:val="28"/>
          <w:szCs w:val="32"/>
        </w:rPr>
        <w:t>Kovalyova</w:t>
      </w:r>
      <w:proofErr w:type="spellEnd"/>
      <w:r w:rsidR="00D637F1">
        <w:rPr>
          <w:rFonts w:ascii="Times New Roman" w:hAnsi="Times New Roman"/>
          <w:b/>
          <w:sz w:val="28"/>
          <w:szCs w:val="32"/>
        </w:rPr>
        <w:t xml:space="preserve"> O.</w:t>
      </w:r>
    </w:p>
    <w:p w:rsidR="005548AC" w:rsidRDefault="005548AC" w:rsidP="005548AC">
      <w:pPr>
        <w:spacing w:after="0" w:line="360" w:lineRule="auto"/>
        <w:jc w:val="center"/>
        <w:rPr>
          <w:rFonts w:ascii="Times New Roman" w:hAnsi="Times New Roman"/>
          <w:b/>
          <w:sz w:val="28"/>
          <w:szCs w:val="28"/>
        </w:rPr>
      </w:pPr>
    </w:p>
    <w:p w:rsidR="005548AC" w:rsidRPr="00962BEE" w:rsidRDefault="005548AC" w:rsidP="005548AC">
      <w:pPr>
        <w:spacing w:after="0" w:line="360" w:lineRule="auto"/>
        <w:ind w:firstLine="851"/>
        <w:jc w:val="both"/>
        <w:rPr>
          <w:rFonts w:ascii="Times New Roman" w:hAnsi="Times New Roman"/>
          <w:sz w:val="28"/>
          <w:szCs w:val="28"/>
        </w:rPr>
      </w:pPr>
      <w:r w:rsidRPr="00962BEE">
        <w:rPr>
          <w:rFonts w:ascii="Times New Roman" w:hAnsi="Times New Roman"/>
          <w:sz w:val="28"/>
          <w:szCs w:val="28"/>
        </w:rPr>
        <w:t>Apoptosis, or programmed cell death, is a normal component of the development and health</w:t>
      </w:r>
      <w:r w:rsidRPr="00962BEE">
        <w:rPr>
          <w:rStyle w:val="apple-converted-space"/>
          <w:rFonts w:ascii="Times New Roman" w:hAnsi="Times New Roman"/>
          <w:sz w:val="28"/>
          <w:szCs w:val="28"/>
        </w:rPr>
        <w:t> </w:t>
      </w:r>
      <w:r w:rsidRPr="00962BEE">
        <w:rPr>
          <w:rFonts w:ascii="Times New Roman" w:hAnsi="Times New Roman"/>
          <w:sz w:val="28"/>
          <w:szCs w:val="28"/>
        </w:rPr>
        <w:t>of multicellular organisms. Cells die in response to a variety of stimuli and during apoptosis they do so in a controlled, regulated fashion [1</w:t>
      </w:r>
      <w:proofErr w:type="gramStart"/>
      <w:r w:rsidRPr="00962BEE">
        <w:rPr>
          <w:rFonts w:ascii="Times New Roman" w:hAnsi="Times New Roman"/>
          <w:sz w:val="28"/>
          <w:szCs w:val="28"/>
        </w:rPr>
        <w:t>,2</w:t>
      </w:r>
      <w:proofErr w:type="gramEnd"/>
      <w:r w:rsidRPr="00962BEE">
        <w:rPr>
          <w:rFonts w:ascii="Times New Roman" w:hAnsi="Times New Roman"/>
          <w:sz w:val="28"/>
          <w:szCs w:val="28"/>
        </w:rPr>
        <w:t xml:space="preserve">]. This makes apoptosis distinct from another form of cell death called necrosis in which uncontrolled cell death leads to </w:t>
      </w:r>
      <w:proofErr w:type="spellStart"/>
      <w:r w:rsidRPr="00962BEE">
        <w:rPr>
          <w:rFonts w:ascii="Times New Roman" w:hAnsi="Times New Roman"/>
          <w:sz w:val="28"/>
          <w:szCs w:val="28"/>
        </w:rPr>
        <w:t>lysis</w:t>
      </w:r>
      <w:proofErr w:type="spellEnd"/>
      <w:r w:rsidRPr="00962BEE">
        <w:rPr>
          <w:rFonts w:ascii="Times New Roman" w:hAnsi="Times New Roman"/>
          <w:sz w:val="28"/>
          <w:szCs w:val="28"/>
        </w:rPr>
        <w:t xml:space="preserve"> of cells, inflammatory responses and, potentially, to serious health problems. Apoptosis, by contrast, is a process in which cells play an active role in their own death (which is why apoptosis is often referred to as cell suicide) [3</w:t>
      </w:r>
      <w:proofErr w:type="gramStart"/>
      <w:r w:rsidRPr="00962BEE">
        <w:rPr>
          <w:rFonts w:ascii="Times New Roman" w:hAnsi="Times New Roman"/>
          <w:sz w:val="28"/>
          <w:szCs w:val="28"/>
        </w:rPr>
        <w:t>,4</w:t>
      </w:r>
      <w:proofErr w:type="gramEnd"/>
      <w:r w:rsidRPr="00962BEE">
        <w:rPr>
          <w:rFonts w:ascii="Times New Roman" w:hAnsi="Times New Roman"/>
          <w:sz w:val="28"/>
          <w:szCs w:val="28"/>
        </w:rPr>
        <w:t>].</w:t>
      </w:r>
    </w:p>
    <w:p w:rsidR="005548AC" w:rsidRPr="00962BEE" w:rsidRDefault="005548AC" w:rsidP="005548AC">
      <w:pPr>
        <w:spacing w:after="0" w:line="360" w:lineRule="auto"/>
        <w:ind w:firstLine="851"/>
        <w:jc w:val="both"/>
        <w:rPr>
          <w:rFonts w:ascii="Times New Roman" w:eastAsia="Times New Roman" w:hAnsi="Times New Roman"/>
          <w:sz w:val="28"/>
          <w:szCs w:val="28"/>
          <w:lang w:eastAsia="ru-RU"/>
        </w:rPr>
      </w:pPr>
      <w:r w:rsidRPr="00962BEE">
        <w:rPr>
          <w:rFonts w:ascii="Times New Roman" w:eastAsia="Times New Roman" w:hAnsi="Times New Roman"/>
          <w:color w:val="000000"/>
          <w:sz w:val="28"/>
          <w:szCs w:val="28"/>
          <w:lang w:eastAsia="ru-RU"/>
        </w:rPr>
        <w:t xml:space="preserve">The term programmed cell death was first introduced in 1964, proposing that cell death during development is not of </w:t>
      </w:r>
      <w:proofErr w:type="spellStart"/>
      <w:r w:rsidRPr="00962BEE">
        <w:rPr>
          <w:rFonts w:ascii="Times New Roman" w:eastAsia="Times New Roman" w:hAnsi="Times New Roman"/>
          <w:color w:val="000000"/>
          <w:sz w:val="28"/>
          <w:szCs w:val="28"/>
          <w:lang w:eastAsia="ru-RU"/>
        </w:rPr>
        <w:t>accidential</w:t>
      </w:r>
      <w:proofErr w:type="spellEnd"/>
      <w:r w:rsidRPr="00962BEE">
        <w:rPr>
          <w:rFonts w:ascii="Times New Roman" w:eastAsia="Times New Roman" w:hAnsi="Times New Roman"/>
          <w:color w:val="000000"/>
          <w:sz w:val="28"/>
          <w:szCs w:val="28"/>
          <w:lang w:eastAsia="ru-RU"/>
        </w:rPr>
        <w:t xml:space="preserve"> nature but follows a sequence of controlled steps leading to locally and temporally defined self-destruction [5].</w:t>
      </w:r>
    </w:p>
    <w:p w:rsidR="005548AC" w:rsidRPr="00962BEE" w:rsidRDefault="005548AC" w:rsidP="005548AC">
      <w:pPr>
        <w:spacing w:after="0" w:line="360" w:lineRule="auto"/>
        <w:ind w:firstLine="851"/>
        <w:jc w:val="both"/>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 xml:space="preserve">Eventually, the term apoptosis had been coined in order to describe the morphological processes leading to controlled cellular self-destruction and was first introduced in a publication by Kerr, Wyllie and Currie [6]. Apoptosis is of </w:t>
      </w:r>
      <w:proofErr w:type="spellStart"/>
      <w:proofErr w:type="gramStart"/>
      <w:r w:rsidRPr="00962BEE">
        <w:rPr>
          <w:rFonts w:ascii="Times New Roman" w:eastAsia="Times New Roman" w:hAnsi="Times New Roman"/>
          <w:color w:val="000000"/>
          <w:sz w:val="28"/>
          <w:szCs w:val="28"/>
          <w:lang w:eastAsia="ru-RU"/>
        </w:rPr>
        <w:t>greek</w:t>
      </w:r>
      <w:proofErr w:type="spellEnd"/>
      <w:proofErr w:type="gramEnd"/>
      <w:r w:rsidRPr="00962BEE">
        <w:rPr>
          <w:rFonts w:ascii="Times New Roman" w:eastAsia="Times New Roman" w:hAnsi="Times New Roman"/>
          <w:color w:val="000000"/>
          <w:sz w:val="28"/>
          <w:szCs w:val="28"/>
          <w:lang w:eastAsia="ru-RU"/>
        </w:rPr>
        <w:t xml:space="preserve"> origin, having the meaning "falling off or dropping off", in analogy to leaves falling off trees or petals dropping off flowers. This analogy emphasizes that the death of living matter is an integral and necessary part of the life cycle of organisms. The apoptotic mode of cell death is an active and defined process which plays an important role in the development of multicellular organisms and in the regulation and maintenance of the cell populations in tissues upon physiological and pathological conditions. It should be stressed that apoptosis is a well-defined and possibly the most frequent form of programmed cell death, but </w:t>
      </w:r>
      <w:r w:rsidRPr="00962BEE">
        <w:rPr>
          <w:rFonts w:ascii="Times New Roman" w:eastAsia="Times New Roman" w:hAnsi="Times New Roman"/>
          <w:color w:val="000000"/>
          <w:sz w:val="28"/>
          <w:szCs w:val="28"/>
          <w:lang w:eastAsia="ru-RU"/>
        </w:rPr>
        <w:lastRenderedPageBreak/>
        <w:t>that other, non-apoptotic types of cell death also might be of biological significance [3</w:t>
      </w:r>
      <w:proofErr w:type="gramStart"/>
      <w:r w:rsidRPr="00962BEE">
        <w:rPr>
          <w:rFonts w:ascii="Times New Roman" w:eastAsia="Times New Roman" w:hAnsi="Times New Roman"/>
          <w:color w:val="000000"/>
          <w:sz w:val="28"/>
          <w:szCs w:val="28"/>
          <w:lang w:eastAsia="ru-RU"/>
        </w:rPr>
        <w:t>,5</w:t>
      </w:r>
      <w:proofErr w:type="gramEnd"/>
      <w:r w:rsidRPr="00962BEE">
        <w:rPr>
          <w:rFonts w:ascii="Times New Roman" w:eastAsia="Times New Roman" w:hAnsi="Times New Roman"/>
          <w:color w:val="000000"/>
          <w:sz w:val="28"/>
          <w:szCs w:val="28"/>
          <w:lang w:eastAsia="ru-RU"/>
        </w:rPr>
        <w:t>].</w:t>
      </w:r>
    </w:p>
    <w:p w:rsidR="005548AC" w:rsidRPr="00962BEE" w:rsidRDefault="005548AC" w:rsidP="005548AC">
      <w:pPr>
        <w:spacing w:after="0" w:line="360" w:lineRule="auto"/>
        <w:ind w:firstLine="708"/>
        <w:jc w:val="both"/>
        <w:rPr>
          <w:rFonts w:ascii="Times New Roman" w:hAnsi="Times New Roman"/>
          <w:sz w:val="28"/>
          <w:szCs w:val="28"/>
        </w:rPr>
      </w:pPr>
      <w:r w:rsidRPr="00962BEE">
        <w:rPr>
          <w:rFonts w:ascii="Times New Roman" w:hAnsi="Times New Roman"/>
          <w:sz w:val="28"/>
          <w:szCs w:val="28"/>
        </w:rPr>
        <w:t>There are a number of mechanisms through which apoptosis can be induced in cells. The sensitivity of cells to any of these stimuli can vary depending on a number of factors such as the expression of pro- and anti-apoptotic proteins (</w:t>
      </w:r>
      <w:proofErr w:type="spellStart"/>
      <w:r w:rsidRPr="00962BEE">
        <w:rPr>
          <w:rFonts w:ascii="Times New Roman" w:hAnsi="Times New Roman"/>
          <w:sz w:val="28"/>
          <w:szCs w:val="28"/>
        </w:rPr>
        <w:t>eg</w:t>
      </w:r>
      <w:proofErr w:type="spellEnd"/>
      <w:r w:rsidRPr="00962BEE">
        <w:rPr>
          <w:rFonts w:ascii="Times New Roman" w:hAnsi="Times New Roman"/>
          <w:sz w:val="28"/>
          <w:szCs w:val="28"/>
        </w:rPr>
        <w:t>. the Bcl-2 proteins or the Inhibitor of Apoptosis Proteins), the severity of the stimulus an</w:t>
      </w:r>
      <w:r w:rsidR="00097CE9">
        <w:rPr>
          <w:rFonts w:ascii="Times New Roman" w:hAnsi="Times New Roman"/>
          <w:sz w:val="28"/>
          <w:szCs w:val="28"/>
        </w:rPr>
        <w:t>d the stage of the cell cycle</w:t>
      </w:r>
      <w:r w:rsidRPr="00962BEE">
        <w:rPr>
          <w:rFonts w:ascii="Times New Roman" w:hAnsi="Times New Roman"/>
          <w:sz w:val="28"/>
          <w:szCs w:val="28"/>
        </w:rPr>
        <w:t xml:space="preserve">. </w:t>
      </w:r>
    </w:p>
    <w:p w:rsidR="005548AC" w:rsidRPr="00962BEE" w:rsidRDefault="005548AC" w:rsidP="005548AC">
      <w:pPr>
        <w:spacing w:after="0" w:line="360" w:lineRule="auto"/>
        <w:ind w:firstLine="360"/>
        <w:jc w:val="both"/>
        <w:rPr>
          <w:rFonts w:ascii="Times New Roman" w:eastAsia="Times New Roman" w:hAnsi="Times New Roman"/>
          <w:sz w:val="28"/>
          <w:szCs w:val="28"/>
          <w:lang w:eastAsia="ru-RU"/>
        </w:rPr>
      </w:pPr>
      <w:r w:rsidRPr="00962BEE">
        <w:rPr>
          <w:rFonts w:ascii="Times New Roman" w:eastAsia="Times New Roman" w:hAnsi="Times New Roman"/>
          <w:color w:val="000000"/>
          <w:sz w:val="28"/>
          <w:szCs w:val="28"/>
          <w:lang w:eastAsia="ru-RU"/>
        </w:rPr>
        <w:t>There are 3 different mechanisms by which a cell commits suicide by apoptosis.</w:t>
      </w:r>
    </w:p>
    <w:p w:rsidR="005548AC" w:rsidRPr="00962BEE" w:rsidRDefault="005548AC" w:rsidP="005548AC">
      <w:pPr>
        <w:numPr>
          <w:ilvl w:val="0"/>
          <w:numId w:val="3"/>
        </w:numPr>
        <w:spacing w:after="0" w:line="360" w:lineRule="auto"/>
        <w:rPr>
          <w:rFonts w:ascii="Times New Roman" w:eastAsia="Times New Roman" w:hAnsi="Times New Roman"/>
          <w:sz w:val="28"/>
          <w:szCs w:val="28"/>
          <w:lang w:eastAsia="ru-RU"/>
        </w:rPr>
      </w:pPr>
      <w:r w:rsidRPr="00962BEE">
        <w:rPr>
          <w:rFonts w:ascii="Times New Roman" w:eastAsia="Times New Roman" w:hAnsi="Times New Roman"/>
          <w:color w:val="000000"/>
          <w:sz w:val="28"/>
          <w:szCs w:val="28"/>
          <w:lang w:eastAsia="ru-RU"/>
        </w:rPr>
        <w:t>Generated by signals arising within the cell;</w:t>
      </w:r>
    </w:p>
    <w:p w:rsidR="005548AC" w:rsidRPr="00962BEE" w:rsidRDefault="005548AC" w:rsidP="005548AC">
      <w:pPr>
        <w:numPr>
          <w:ilvl w:val="0"/>
          <w:numId w:val="3"/>
        </w:numPr>
        <w:spacing w:after="0" w:line="360" w:lineRule="auto"/>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Triggered by </w:t>
      </w:r>
      <w:r w:rsidRPr="00962BEE">
        <w:rPr>
          <w:rFonts w:ascii="Times New Roman" w:eastAsia="Times New Roman" w:hAnsi="Times New Roman"/>
          <w:bCs/>
          <w:color w:val="000000"/>
          <w:sz w:val="28"/>
          <w:szCs w:val="28"/>
          <w:lang w:eastAsia="ru-RU"/>
        </w:rPr>
        <w:t>death activators</w:t>
      </w:r>
      <w:r w:rsidRPr="00962BEE">
        <w:rPr>
          <w:rFonts w:ascii="Times New Roman" w:eastAsia="Times New Roman" w:hAnsi="Times New Roman"/>
          <w:color w:val="000000"/>
          <w:sz w:val="28"/>
          <w:szCs w:val="28"/>
          <w:lang w:eastAsia="ru-RU"/>
        </w:rPr>
        <w:t> binding to receptors at the cell surface:</w:t>
      </w:r>
    </w:p>
    <w:p w:rsidR="005548AC" w:rsidRPr="00962BEE" w:rsidRDefault="005548AC" w:rsidP="005548AC">
      <w:pPr>
        <w:numPr>
          <w:ilvl w:val="1"/>
          <w:numId w:val="3"/>
        </w:numPr>
        <w:spacing w:after="0" w:line="360" w:lineRule="auto"/>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Tumor necrosis factor-α (TNF-α)</w:t>
      </w:r>
    </w:p>
    <w:p w:rsidR="005548AC" w:rsidRPr="00962BEE" w:rsidRDefault="005548AC" w:rsidP="005548AC">
      <w:pPr>
        <w:numPr>
          <w:ilvl w:val="1"/>
          <w:numId w:val="3"/>
        </w:numPr>
        <w:spacing w:after="0" w:line="360" w:lineRule="auto"/>
        <w:rPr>
          <w:rFonts w:ascii="Times New Roman" w:eastAsia="Times New Roman" w:hAnsi="Times New Roman"/>
          <w:color w:val="000000"/>
          <w:sz w:val="28"/>
          <w:szCs w:val="28"/>
          <w:lang w:eastAsia="ru-RU"/>
        </w:rPr>
      </w:pPr>
      <w:proofErr w:type="spellStart"/>
      <w:r w:rsidRPr="00962BEE">
        <w:rPr>
          <w:rFonts w:ascii="Times New Roman" w:eastAsia="Times New Roman" w:hAnsi="Times New Roman"/>
          <w:color w:val="000000"/>
          <w:sz w:val="28"/>
          <w:szCs w:val="28"/>
          <w:lang w:eastAsia="ru-RU"/>
        </w:rPr>
        <w:t>Lymphotoxin</w:t>
      </w:r>
      <w:proofErr w:type="spellEnd"/>
    </w:p>
    <w:p w:rsidR="005548AC" w:rsidRPr="00962BEE" w:rsidRDefault="005548AC" w:rsidP="005548AC">
      <w:pPr>
        <w:numPr>
          <w:ilvl w:val="1"/>
          <w:numId w:val="3"/>
        </w:numPr>
        <w:spacing w:after="0" w:line="360" w:lineRule="auto"/>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Fas ligand (</w:t>
      </w:r>
      <w:proofErr w:type="spellStart"/>
      <w:r w:rsidRPr="00962BEE">
        <w:rPr>
          <w:rFonts w:ascii="Times New Roman" w:eastAsia="Times New Roman" w:hAnsi="Times New Roman"/>
          <w:color w:val="000000"/>
          <w:sz w:val="28"/>
          <w:szCs w:val="28"/>
          <w:lang w:eastAsia="ru-RU"/>
        </w:rPr>
        <w:t>FasL</w:t>
      </w:r>
      <w:proofErr w:type="spellEnd"/>
      <w:r w:rsidRPr="00962BEE">
        <w:rPr>
          <w:rFonts w:ascii="Times New Roman" w:eastAsia="Times New Roman" w:hAnsi="Times New Roman"/>
          <w:color w:val="000000"/>
          <w:sz w:val="28"/>
          <w:szCs w:val="28"/>
          <w:lang w:eastAsia="ru-RU"/>
        </w:rPr>
        <w:t>)</w:t>
      </w:r>
    </w:p>
    <w:p w:rsidR="005548AC" w:rsidRPr="00962BEE" w:rsidRDefault="005548AC" w:rsidP="005548AC">
      <w:pPr>
        <w:numPr>
          <w:ilvl w:val="0"/>
          <w:numId w:val="3"/>
        </w:numPr>
        <w:spacing w:after="0" w:line="360" w:lineRule="auto"/>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May be triggered by dangerous reactive oxygen species</w:t>
      </w:r>
      <w:r w:rsidR="00322A50">
        <w:rPr>
          <w:rFonts w:ascii="Times New Roman" w:eastAsia="Times New Roman" w:hAnsi="Times New Roman"/>
          <w:color w:val="000000"/>
          <w:sz w:val="28"/>
          <w:szCs w:val="28"/>
          <w:lang w:eastAsia="ru-RU"/>
        </w:rPr>
        <w:t xml:space="preserve"> </w:t>
      </w:r>
      <w:r w:rsidR="00322A50">
        <w:rPr>
          <w:rFonts w:ascii="Times New Roman" w:hAnsi="Times New Roman"/>
          <w:sz w:val="28"/>
          <w:szCs w:val="28"/>
        </w:rPr>
        <w:t>[7</w:t>
      </w:r>
      <w:proofErr w:type="gramStart"/>
      <w:r w:rsidR="00322A50">
        <w:rPr>
          <w:rFonts w:ascii="Times New Roman" w:hAnsi="Times New Roman"/>
          <w:sz w:val="28"/>
          <w:szCs w:val="28"/>
        </w:rPr>
        <w:t>,8</w:t>
      </w:r>
      <w:proofErr w:type="gramEnd"/>
      <w:r w:rsidR="00322A50" w:rsidRPr="00962BEE">
        <w:rPr>
          <w:rFonts w:ascii="Times New Roman" w:hAnsi="Times New Roman"/>
          <w:sz w:val="28"/>
          <w:szCs w:val="28"/>
        </w:rPr>
        <w:t>]</w:t>
      </w:r>
      <w:r w:rsidRPr="00962BEE">
        <w:rPr>
          <w:rFonts w:ascii="Times New Roman" w:eastAsia="Times New Roman" w:hAnsi="Times New Roman"/>
          <w:color w:val="000000"/>
          <w:sz w:val="28"/>
          <w:szCs w:val="28"/>
          <w:lang w:eastAsia="ru-RU"/>
        </w:rPr>
        <w:t>.</w:t>
      </w:r>
    </w:p>
    <w:p w:rsidR="005548AC" w:rsidRPr="00962BEE" w:rsidRDefault="005548AC" w:rsidP="005548AC">
      <w:pPr>
        <w:spacing w:after="0" w:line="360" w:lineRule="auto"/>
        <w:ind w:left="720"/>
        <w:rPr>
          <w:rFonts w:ascii="Times New Roman" w:eastAsia="Times New Roman" w:hAnsi="Times New Roman"/>
          <w:color w:val="000000"/>
          <w:sz w:val="28"/>
          <w:szCs w:val="28"/>
          <w:lang w:eastAsia="ru-RU"/>
        </w:rPr>
      </w:pPr>
    </w:p>
    <w:p w:rsidR="005548AC" w:rsidRPr="00962BEE" w:rsidRDefault="005548AC" w:rsidP="005548AC">
      <w:pPr>
        <w:spacing w:after="0" w:line="360" w:lineRule="auto"/>
        <w:ind w:firstLine="708"/>
        <w:jc w:val="both"/>
        <w:rPr>
          <w:rFonts w:ascii="Times New Roman" w:eastAsia="Times New Roman" w:hAnsi="Times New Roman"/>
          <w:color w:val="000000"/>
          <w:sz w:val="28"/>
          <w:szCs w:val="28"/>
          <w:vertAlign w:val="superscript"/>
          <w:lang w:val="uk-UA" w:eastAsia="ru-RU"/>
        </w:rPr>
      </w:pPr>
      <w:r w:rsidRPr="00962BEE">
        <w:rPr>
          <w:rFonts w:ascii="Times New Roman" w:eastAsia="Times New Roman" w:hAnsi="Times New Roman"/>
          <w:color w:val="000000"/>
          <w:sz w:val="28"/>
          <w:szCs w:val="28"/>
          <w:lang w:eastAsia="ru-RU"/>
        </w:rPr>
        <w:t>Apoptosis is an energy-dependent process by which a specific genetic program leads to the activation of molecular cascades</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that cause cell death. Apoptosis is marked by the involution of</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the cell, eventuating in phagocytosis by neighboring cells. By</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deleting cells, apoptosis plays a physiological role in controlling</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cell mass and architecture in many tissues, including the myocardium [</w:t>
      </w:r>
      <w:r w:rsidR="00097CE9">
        <w:rPr>
          <w:rFonts w:ascii="Times New Roman" w:eastAsia="Times New Roman" w:hAnsi="Times New Roman"/>
          <w:color w:val="000000"/>
          <w:sz w:val="28"/>
          <w:szCs w:val="28"/>
          <w:lang w:eastAsia="ru-RU"/>
        </w:rPr>
        <w:t>9-11</w:t>
      </w:r>
      <w:r w:rsidRPr="00962BEE">
        <w:rPr>
          <w:rFonts w:ascii="Times New Roman" w:eastAsia="Times New Roman" w:hAnsi="Times New Roman"/>
          <w:color w:val="000000"/>
          <w:sz w:val="28"/>
          <w:szCs w:val="28"/>
          <w:lang w:eastAsia="ru-RU"/>
        </w:rPr>
        <w:t>].</w:t>
      </w:r>
      <w:r w:rsidRPr="00962BEE">
        <w:rPr>
          <w:rFonts w:ascii="Times New Roman" w:eastAsia="Times New Roman" w:hAnsi="Times New Roman"/>
          <w:color w:val="000000"/>
          <w:sz w:val="28"/>
          <w:szCs w:val="28"/>
          <w:vertAlign w:val="superscript"/>
          <w:lang w:eastAsia="ru-RU"/>
        </w:rPr>
        <w:t> </w:t>
      </w:r>
    </w:p>
    <w:p w:rsidR="005548AC" w:rsidRPr="00962BEE" w:rsidRDefault="005548AC" w:rsidP="005548AC">
      <w:pPr>
        <w:spacing w:after="0" w:line="360" w:lineRule="auto"/>
        <w:ind w:firstLine="708"/>
        <w:jc w:val="both"/>
        <w:rPr>
          <w:rFonts w:ascii="Times New Roman" w:eastAsia="Times New Roman" w:hAnsi="Times New Roman"/>
          <w:color w:val="000000"/>
          <w:sz w:val="28"/>
          <w:szCs w:val="28"/>
          <w:lang w:val="uk-UA" w:eastAsia="ru-RU"/>
        </w:rPr>
      </w:pPr>
      <w:r w:rsidRPr="00962BEE">
        <w:rPr>
          <w:rFonts w:ascii="Times New Roman" w:eastAsia="Times New Roman" w:hAnsi="Times New Roman"/>
          <w:color w:val="000000"/>
          <w:sz w:val="28"/>
          <w:szCs w:val="28"/>
          <w:lang w:eastAsia="ru-RU"/>
        </w:rPr>
        <w:t>Under a pathophysiological point of view, hypertension affects the myocardium at two different stages. In both humans and animal models, pressure overload is</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characterized by a period of compensation in which left ventricular</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concentric hypertrophy normalizes systolic wall stress and contractile</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function is preserved. The period of adaptation, which may last</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for weeks in rodents and months to years in humans, is inexorably</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 xml:space="preserve">followed by a </w:t>
      </w:r>
      <w:r w:rsidRPr="00962BEE">
        <w:rPr>
          <w:rFonts w:ascii="Times New Roman" w:eastAsia="Times New Roman" w:hAnsi="Times New Roman"/>
          <w:color w:val="000000"/>
          <w:sz w:val="28"/>
          <w:szCs w:val="28"/>
          <w:lang w:eastAsia="ru-RU"/>
        </w:rPr>
        <w:lastRenderedPageBreak/>
        <w:t>transition to cardiac failure. This transition is</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characterized by impaired survival, the onset of chamber dilatation</w:t>
      </w:r>
      <w:r w:rsidRPr="00962BEE">
        <w:rPr>
          <w:rFonts w:ascii="Times New Roman" w:eastAsia="Times New Roman" w:hAnsi="Times New Roman"/>
          <w:color w:val="000000"/>
          <w:sz w:val="28"/>
          <w:szCs w:val="28"/>
          <w:lang w:val="uk-UA" w:eastAsia="ru-RU"/>
        </w:rPr>
        <w:t xml:space="preserve"> </w:t>
      </w:r>
      <w:r w:rsidRPr="00962BEE">
        <w:rPr>
          <w:rFonts w:ascii="Times New Roman" w:eastAsia="Times New Roman" w:hAnsi="Times New Roman"/>
          <w:color w:val="000000"/>
          <w:sz w:val="28"/>
          <w:szCs w:val="28"/>
          <w:lang w:eastAsia="ru-RU"/>
        </w:rPr>
        <w:t>with the failure of further concentric hypertrophic growth to</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normalize load, and progressive contractile dysfunction. A number</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of observations suggest that the transition to failure relates</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 xml:space="preserve">mainly to </w:t>
      </w:r>
      <w:proofErr w:type="spellStart"/>
      <w:r w:rsidRPr="00962BEE">
        <w:rPr>
          <w:rFonts w:ascii="Times New Roman" w:eastAsia="Times New Roman" w:hAnsi="Times New Roman"/>
          <w:color w:val="000000"/>
          <w:sz w:val="28"/>
          <w:szCs w:val="28"/>
          <w:lang w:eastAsia="ru-RU"/>
        </w:rPr>
        <w:t>cardiomyocyte</w:t>
      </w:r>
      <w:proofErr w:type="spellEnd"/>
      <w:r w:rsidRPr="00962BEE">
        <w:rPr>
          <w:rFonts w:ascii="Times New Roman" w:eastAsia="Times New Roman" w:hAnsi="Times New Roman"/>
          <w:color w:val="000000"/>
          <w:sz w:val="28"/>
          <w:szCs w:val="28"/>
          <w:lang w:eastAsia="ru-RU"/>
        </w:rPr>
        <w:t xml:space="preserve"> loss due to both apoptosis and necrosis, changes in the composition of motor</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 xml:space="preserve">unit and cytoskeleton of </w:t>
      </w:r>
      <w:proofErr w:type="spellStart"/>
      <w:r w:rsidRPr="00962BEE">
        <w:rPr>
          <w:rFonts w:ascii="Times New Roman" w:eastAsia="Times New Roman" w:hAnsi="Times New Roman"/>
          <w:color w:val="000000"/>
          <w:sz w:val="28"/>
          <w:szCs w:val="28"/>
          <w:lang w:eastAsia="ru-RU"/>
        </w:rPr>
        <w:t>cardiomyocytes</w:t>
      </w:r>
      <w:proofErr w:type="spellEnd"/>
      <w:r w:rsidRPr="00962BEE">
        <w:rPr>
          <w:rFonts w:ascii="Times New Roman" w:eastAsia="Times New Roman" w:hAnsi="Times New Roman"/>
          <w:color w:val="000000"/>
          <w:sz w:val="28"/>
          <w:szCs w:val="28"/>
          <w:lang w:eastAsia="ru-RU"/>
        </w:rPr>
        <w:t>, and alterations in the metabolism of the extracellular</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matrix [</w:t>
      </w:r>
      <w:r w:rsidR="00097CE9">
        <w:rPr>
          <w:rFonts w:ascii="Times New Roman" w:eastAsia="Times New Roman" w:hAnsi="Times New Roman"/>
          <w:color w:val="000000"/>
          <w:sz w:val="28"/>
          <w:szCs w:val="28"/>
          <w:lang w:eastAsia="ru-RU"/>
        </w:rPr>
        <w:t>12-1</w:t>
      </w:r>
      <w:r w:rsidRPr="00962BEE">
        <w:rPr>
          <w:rFonts w:ascii="Times New Roman" w:eastAsia="Times New Roman" w:hAnsi="Times New Roman"/>
          <w:color w:val="000000"/>
          <w:sz w:val="28"/>
          <w:szCs w:val="28"/>
          <w:lang w:eastAsia="ru-RU"/>
        </w:rPr>
        <w:t>6].</w:t>
      </w:r>
    </w:p>
    <w:p w:rsidR="005548AC" w:rsidRPr="00962BEE" w:rsidRDefault="00016CDD" w:rsidP="005548AC">
      <w:pPr>
        <w:spacing w:after="0" w:line="360" w:lineRule="auto"/>
        <w:ind w:firstLine="709"/>
        <w:jc w:val="both"/>
        <w:rPr>
          <w:rFonts w:ascii="Times New Roman" w:eastAsia="Times New Roman" w:hAnsi="Times New Roman"/>
          <w:color w:val="000000"/>
          <w:sz w:val="28"/>
          <w:szCs w:val="28"/>
          <w:vertAlign w:val="superscript"/>
          <w:lang w:val="uk-UA" w:eastAsia="ru-RU"/>
        </w:rPr>
      </w:pPr>
      <w:r>
        <w:rPr>
          <w:rFonts w:ascii="Times New Roman" w:eastAsia="Times New Roman" w:hAnsi="Times New Roman"/>
          <w:color w:val="000000"/>
          <w:sz w:val="28"/>
          <w:szCs w:val="28"/>
          <w:lang w:eastAsia="ru-RU"/>
        </w:rPr>
        <w:t>A</w:t>
      </w:r>
      <w:r w:rsidR="005548AC" w:rsidRPr="00962BEE">
        <w:rPr>
          <w:rFonts w:ascii="Times New Roman" w:eastAsia="Times New Roman" w:hAnsi="Times New Roman"/>
          <w:color w:val="000000"/>
          <w:sz w:val="28"/>
          <w:szCs w:val="28"/>
          <w:lang w:eastAsia="ru-RU"/>
        </w:rPr>
        <w:t>poptosis</w:t>
      </w:r>
      <w:r w:rsidR="005548AC" w:rsidRPr="00962BEE">
        <w:rPr>
          <w:rFonts w:ascii="Times New Roman" w:eastAsia="Times New Roman" w:hAnsi="Times New Roman"/>
          <w:color w:val="000000"/>
          <w:sz w:val="28"/>
          <w:szCs w:val="28"/>
          <w:vertAlign w:val="superscript"/>
          <w:lang w:eastAsia="ru-RU"/>
        </w:rPr>
        <w:t> </w:t>
      </w:r>
      <w:r w:rsidR="005548AC" w:rsidRPr="00962BEE">
        <w:rPr>
          <w:rFonts w:ascii="Times New Roman" w:eastAsia="Times New Roman" w:hAnsi="Times New Roman"/>
          <w:color w:val="000000"/>
          <w:sz w:val="28"/>
          <w:szCs w:val="28"/>
          <w:lang w:eastAsia="ru-RU"/>
        </w:rPr>
        <w:t xml:space="preserve">is recognized, increasingly, as a contributing cause of </w:t>
      </w:r>
      <w:proofErr w:type="spellStart"/>
      <w:r w:rsidR="005548AC" w:rsidRPr="00962BEE">
        <w:rPr>
          <w:rFonts w:ascii="Times New Roman" w:eastAsia="Times New Roman" w:hAnsi="Times New Roman"/>
          <w:color w:val="000000"/>
          <w:sz w:val="28"/>
          <w:szCs w:val="28"/>
          <w:lang w:eastAsia="ru-RU"/>
        </w:rPr>
        <w:t>cardiomyocyte</w:t>
      </w:r>
      <w:proofErr w:type="spellEnd"/>
      <w:r w:rsidR="005548AC" w:rsidRPr="00962BEE">
        <w:rPr>
          <w:rFonts w:ascii="Times New Roman" w:eastAsia="Times New Roman" w:hAnsi="Times New Roman"/>
          <w:color w:val="000000"/>
          <w:sz w:val="28"/>
          <w:szCs w:val="28"/>
          <w:vertAlign w:val="superscript"/>
          <w:lang w:eastAsia="ru-RU"/>
        </w:rPr>
        <w:t> </w:t>
      </w:r>
      <w:r w:rsidR="005548AC" w:rsidRPr="00962BEE">
        <w:rPr>
          <w:rFonts w:ascii="Times New Roman" w:eastAsia="Times New Roman" w:hAnsi="Times New Roman"/>
          <w:color w:val="000000"/>
          <w:sz w:val="28"/>
          <w:szCs w:val="28"/>
          <w:lang w:eastAsia="ru-RU"/>
        </w:rPr>
        <w:t xml:space="preserve">loss with important pathophysiological consequences. Recent evidence demonstrates that </w:t>
      </w:r>
      <w:proofErr w:type="spellStart"/>
      <w:r w:rsidR="005548AC" w:rsidRPr="00962BEE">
        <w:rPr>
          <w:rFonts w:ascii="Times New Roman" w:eastAsia="Times New Roman" w:hAnsi="Times New Roman"/>
          <w:color w:val="000000"/>
          <w:sz w:val="28"/>
          <w:szCs w:val="28"/>
          <w:lang w:eastAsia="ru-RU"/>
        </w:rPr>
        <w:t>cardiomyocyte</w:t>
      </w:r>
      <w:proofErr w:type="spellEnd"/>
      <w:r w:rsidR="005548AC" w:rsidRPr="00962BEE">
        <w:rPr>
          <w:rFonts w:ascii="Times New Roman" w:eastAsia="Times New Roman" w:hAnsi="Times New Roman"/>
          <w:color w:val="000000"/>
          <w:sz w:val="28"/>
          <w:szCs w:val="28"/>
          <w:vertAlign w:val="superscript"/>
          <w:lang w:eastAsia="ru-RU"/>
        </w:rPr>
        <w:t> </w:t>
      </w:r>
      <w:r w:rsidR="005548AC" w:rsidRPr="00962BEE">
        <w:rPr>
          <w:rFonts w:ascii="Times New Roman" w:eastAsia="Times New Roman" w:hAnsi="Times New Roman"/>
          <w:color w:val="000000"/>
          <w:sz w:val="28"/>
          <w:szCs w:val="28"/>
          <w:lang w:eastAsia="ru-RU"/>
        </w:rPr>
        <w:t>apoptosis is abnormally stimulated in the heart of animals and</w:t>
      </w:r>
      <w:r w:rsidR="005548AC" w:rsidRPr="00962BEE">
        <w:rPr>
          <w:rFonts w:ascii="Times New Roman" w:eastAsia="Times New Roman" w:hAnsi="Times New Roman"/>
          <w:color w:val="000000"/>
          <w:sz w:val="28"/>
          <w:szCs w:val="28"/>
          <w:vertAlign w:val="superscript"/>
          <w:lang w:eastAsia="ru-RU"/>
        </w:rPr>
        <w:t> </w:t>
      </w:r>
      <w:r w:rsidR="005548AC" w:rsidRPr="00962BEE">
        <w:rPr>
          <w:rFonts w:ascii="Times New Roman" w:eastAsia="Times New Roman" w:hAnsi="Times New Roman"/>
          <w:color w:val="000000"/>
          <w:sz w:val="28"/>
          <w:szCs w:val="28"/>
          <w:lang w:eastAsia="ru-RU"/>
        </w:rPr>
        <w:t>humans with arterial hypertension [</w:t>
      </w:r>
      <w:r w:rsidR="00097CE9">
        <w:rPr>
          <w:rFonts w:ascii="Times New Roman" w:eastAsia="Times New Roman" w:hAnsi="Times New Roman"/>
          <w:color w:val="000000"/>
          <w:sz w:val="28"/>
          <w:szCs w:val="28"/>
          <w:lang w:eastAsia="ru-RU"/>
        </w:rPr>
        <w:t>17</w:t>
      </w:r>
      <w:proofErr w:type="gramStart"/>
      <w:r w:rsidR="005548AC" w:rsidRPr="00962BEE">
        <w:rPr>
          <w:rFonts w:ascii="Times New Roman" w:eastAsia="Times New Roman" w:hAnsi="Times New Roman"/>
          <w:color w:val="000000"/>
          <w:sz w:val="28"/>
          <w:szCs w:val="28"/>
          <w:lang w:eastAsia="ru-RU"/>
        </w:rPr>
        <w:t>,</w:t>
      </w:r>
      <w:r w:rsidR="00097CE9">
        <w:rPr>
          <w:rFonts w:ascii="Times New Roman" w:eastAsia="Times New Roman" w:hAnsi="Times New Roman"/>
          <w:color w:val="000000"/>
          <w:sz w:val="28"/>
          <w:szCs w:val="28"/>
          <w:lang w:eastAsia="ru-RU"/>
        </w:rPr>
        <w:t>18</w:t>
      </w:r>
      <w:proofErr w:type="gramEnd"/>
      <w:r w:rsidR="005548AC" w:rsidRPr="00962BEE">
        <w:rPr>
          <w:rFonts w:ascii="Times New Roman" w:eastAsia="Times New Roman" w:hAnsi="Times New Roman"/>
          <w:color w:val="000000"/>
          <w:sz w:val="28"/>
          <w:szCs w:val="28"/>
          <w:lang w:eastAsia="ru-RU"/>
        </w:rPr>
        <w:t>].</w:t>
      </w:r>
      <w:r w:rsidR="005548AC" w:rsidRPr="00962BEE">
        <w:rPr>
          <w:rFonts w:ascii="Times New Roman" w:eastAsia="Times New Roman" w:hAnsi="Times New Roman"/>
          <w:color w:val="000000"/>
          <w:sz w:val="28"/>
          <w:szCs w:val="28"/>
          <w:vertAlign w:val="superscript"/>
          <w:lang w:eastAsia="ru-RU"/>
        </w:rPr>
        <w:t> </w:t>
      </w:r>
    </w:p>
    <w:p w:rsidR="005548AC" w:rsidRPr="00962BEE" w:rsidRDefault="005548AC" w:rsidP="005548AC">
      <w:pPr>
        <w:spacing w:after="0" w:line="360" w:lineRule="auto"/>
        <w:ind w:firstLine="708"/>
        <w:jc w:val="both"/>
        <w:rPr>
          <w:rFonts w:ascii="Times New Roman" w:eastAsia="Times New Roman" w:hAnsi="Times New Roman"/>
          <w:sz w:val="28"/>
          <w:szCs w:val="28"/>
          <w:lang w:eastAsia="ru-RU"/>
        </w:rPr>
      </w:pPr>
      <w:proofErr w:type="spellStart"/>
      <w:r w:rsidRPr="00962BEE">
        <w:rPr>
          <w:rFonts w:ascii="Times New Roman" w:eastAsia="Times New Roman" w:hAnsi="Times New Roman"/>
          <w:color w:val="000000"/>
          <w:sz w:val="28"/>
          <w:szCs w:val="28"/>
          <w:lang w:eastAsia="ru-RU"/>
        </w:rPr>
        <w:t>Cardiomyocyte</w:t>
      </w:r>
      <w:proofErr w:type="spellEnd"/>
      <w:r w:rsidRPr="00962BEE">
        <w:rPr>
          <w:rFonts w:ascii="Times New Roman" w:eastAsia="Times New Roman" w:hAnsi="Times New Roman"/>
          <w:color w:val="000000"/>
          <w:sz w:val="28"/>
          <w:szCs w:val="28"/>
          <w:lang w:eastAsia="ru-RU"/>
        </w:rPr>
        <w:t xml:space="preserve"> apoptosis has been proposed to occur as a result of an imbalance among the factors that induce or block apoptosis. Alternatively, it is possible that</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apoptosis reflects some intrinsic abnormalities in those factors</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 xml:space="preserve">that act within the </w:t>
      </w:r>
      <w:proofErr w:type="spellStart"/>
      <w:r w:rsidRPr="00962BEE">
        <w:rPr>
          <w:rFonts w:ascii="Times New Roman" w:eastAsia="Times New Roman" w:hAnsi="Times New Roman"/>
          <w:color w:val="000000"/>
          <w:sz w:val="28"/>
          <w:szCs w:val="28"/>
          <w:lang w:eastAsia="ru-RU"/>
        </w:rPr>
        <w:t>cardiomyocyte</w:t>
      </w:r>
      <w:proofErr w:type="spellEnd"/>
      <w:r w:rsidRPr="00962BEE">
        <w:rPr>
          <w:rFonts w:ascii="Times New Roman" w:eastAsia="Times New Roman" w:hAnsi="Times New Roman"/>
          <w:color w:val="000000"/>
          <w:sz w:val="28"/>
          <w:szCs w:val="28"/>
          <w:lang w:eastAsia="ru-RU"/>
        </w:rPr>
        <w:t xml:space="preserve"> determining the resistance or</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the susceptibility of the cell to apoptosis [</w:t>
      </w:r>
      <w:r w:rsidR="00097CE9">
        <w:rPr>
          <w:rFonts w:ascii="Times New Roman" w:eastAsia="Times New Roman" w:hAnsi="Times New Roman"/>
          <w:color w:val="000000"/>
          <w:sz w:val="28"/>
          <w:szCs w:val="28"/>
          <w:lang w:eastAsia="ru-RU"/>
        </w:rPr>
        <w:t>19</w:t>
      </w:r>
      <w:r w:rsidRPr="00962BEE">
        <w:rPr>
          <w:rFonts w:ascii="Times New Roman" w:eastAsia="Times New Roman" w:hAnsi="Times New Roman"/>
          <w:color w:val="000000"/>
          <w:sz w:val="28"/>
          <w:szCs w:val="28"/>
          <w:lang w:eastAsia="ru-RU"/>
        </w:rPr>
        <w:t>].</w:t>
      </w:r>
    </w:p>
    <w:p w:rsidR="005548AC" w:rsidRPr="00962BEE" w:rsidRDefault="005548AC" w:rsidP="005548AC">
      <w:pPr>
        <w:spacing w:after="0" w:line="360" w:lineRule="auto"/>
        <w:ind w:firstLine="708"/>
        <w:jc w:val="both"/>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 xml:space="preserve">In conclusion, much work is being carried out regarding the mechanisms and the extent of </w:t>
      </w:r>
      <w:proofErr w:type="spellStart"/>
      <w:r w:rsidRPr="00962BEE">
        <w:rPr>
          <w:rFonts w:ascii="Times New Roman" w:eastAsia="Times New Roman" w:hAnsi="Times New Roman"/>
          <w:color w:val="000000"/>
          <w:sz w:val="28"/>
          <w:szCs w:val="28"/>
          <w:lang w:eastAsia="ru-RU"/>
        </w:rPr>
        <w:t>cardiomyocyte</w:t>
      </w:r>
      <w:proofErr w:type="spellEnd"/>
      <w:r w:rsidRPr="00962BEE">
        <w:rPr>
          <w:rFonts w:ascii="Times New Roman" w:eastAsia="Times New Roman" w:hAnsi="Times New Roman"/>
          <w:color w:val="000000"/>
          <w:sz w:val="28"/>
          <w:szCs w:val="28"/>
          <w:lang w:eastAsia="ru-RU"/>
        </w:rPr>
        <w:t xml:space="preserve"> apoptosis in hypertensive</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heart disease, but many methodological and conceptual issues still</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remain unsolved. Clarification of these unresolved issues will</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then allow an estimation of the role of apoptosis in the pathogenesis</w:t>
      </w:r>
      <w:r w:rsidRPr="00962BEE">
        <w:rPr>
          <w:rFonts w:ascii="Times New Roman" w:eastAsia="Times New Roman" w:hAnsi="Times New Roman"/>
          <w:color w:val="000000"/>
          <w:sz w:val="28"/>
          <w:szCs w:val="28"/>
          <w:vertAlign w:val="superscript"/>
          <w:lang w:eastAsia="ru-RU"/>
        </w:rPr>
        <w:t> </w:t>
      </w:r>
      <w:r w:rsidRPr="00962BEE">
        <w:rPr>
          <w:rFonts w:ascii="Times New Roman" w:eastAsia="Times New Roman" w:hAnsi="Times New Roman"/>
          <w:color w:val="000000"/>
          <w:sz w:val="28"/>
          <w:szCs w:val="28"/>
          <w:lang w:eastAsia="ru-RU"/>
        </w:rPr>
        <w:t xml:space="preserve">of heart failure associated with hypertensive heart disease. </w:t>
      </w:r>
    </w:p>
    <w:p w:rsidR="005548AC" w:rsidRDefault="005548AC" w:rsidP="00104E57">
      <w:pPr>
        <w:spacing w:after="0" w:line="360" w:lineRule="auto"/>
        <w:ind w:firstLine="708"/>
        <w:jc w:val="both"/>
        <w:rPr>
          <w:rFonts w:ascii="Times New Roman" w:eastAsia="Times New Roman" w:hAnsi="Times New Roman"/>
          <w:color w:val="000000"/>
          <w:sz w:val="28"/>
          <w:szCs w:val="28"/>
          <w:lang w:eastAsia="ru-RU"/>
        </w:rPr>
      </w:pPr>
      <w:r w:rsidRPr="00962BEE">
        <w:rPr>
          <w:rFonts w:ascii="Times New Roman" w:eastAsia="Times New Roman" w:hAnsi="Times New Roman"/>
          <w:color w:val="000000"/>
          <w:sz w:val="28"/>
          <w:szCs w:val="28"/>
          <w:lang w:eastAsia="ru-RU"/>
        </w:rPr>
        <w:t xml:space="preserve">Therefore, the aim of our clinical investigation was to study plasma apoptosis markers (TNF-α, sTNF-R1, </w:t>
      </w:r>
      <w:proofErr w:type="spellStart"/>
      <w:r w:rsidRPr="00962BEE">
        <w:rPr>
          <w:rFonts w:ascii="Times New Roman" w:eastAsia="Times New Roman" w:hAnsi="Times New Roman"/>
          <w:color w:val="000000"/>
          <w:sz w:val="28"/>
          <w:szCs w:val="28"/>
          <w:lang w:eastAsia="ru-RU"/>
        </w:rPr>
        <w:t>sFasL</w:t>
      </w:r>
      <w:proofErr w:type="spellEnd"/>
      <w:r w:rsidRPr="00962BEE">
        <w:rPr>
          <w:rFonts w:ascii="Times New Roman" w:eastAsia="Times New Roman" w:hAnsi="Times New Roman"/>
          <w:color w:val="000000"/>
          <w:sz w:val="28"/>
          <w:szCs w:val="28"/>
          <w:lang w:eastAsia="ru-RU"/>
        </w:rPr>
        <w:t>) levels in patients with arterial hypertension</w:t>
      </w:r>
      <w:r>
        <w:rPr>
          <w:rFonts w:ascii="Times New Roman" w:eastAsia="Times New Roman" w:hAnsi="Times New Roman"/>
          <w:color w:val="000000"/>
          <w:sz w:val="28"/>
          <w:szCs w:val="28"/>
          <w:lang w:eastAsia="ru-RU"/>
        </w:rPr>
        <w:t xml:space="preserve"> depend on degree of blood pressure elevation</w:t>
      </w:r>
      <w:r w:rsidR="00104E57">
        <w:rPr>
          <w:rFonts w:ascii="Times New Roman" w:eastAsia="Times New Roman" w:hAnsi="Times New Roman"/>
          <w:color w:val="000000"/>
          <w:sz w:val="28"/>
          <w:szCs w:val="28"/>
          <w:lang w:eastAsia="ru-RU"/>
        </w:rPr>
        <w:t>.</w:t>
      </w:r>
    </w:p>
    <w:p w:rsidR="005548AC" w:rsidRPr="00962BEE" w:rsidRDefault="00104E57" w:rsidP="005548AC">
      <w:pPr>
        <w:pStyle w:val="Title"/>
        <w:ind w:firstLine="709"/>
        <w:jc w:val="both"/>
        <w:rPr>
          <w:rFonts w:ascii="Times New Roman" w:hAnsi="Times New Roman" w:cs="Times New Roman"/>
          <w:b w:val="0"/>
          <w:lang w:val="en-US"/>
        </w:rPr>
      </w:pPr>
      <w:proofErr w:type="gramStart"/>
      <w:r w:rsidRPr="00104E57">
        <w:rPr>
          <w:rFonts w:ascii="Times New Roman" w:hAnsi="Times New Roman" w:cs="Times New Roman"/>
          <w:lang w:val="en-US"/>
        </w:rPr>
        <w:t>Design and methods.</w:t>
      </w:r>
      <w:proofErr w:type="gramEnd"/>
      <w:r w:rsidRPr="00104E57">
        <w:rPr>
          <w:rFonts w:ascii="Times New Roman" w:hAnsi="Times New Roman" w:cs="Times New Roman"/>
          <w:lang w:val="en-US"/>
        </w:rPr>
        <w:t xml:space="preserve"> </w:t>
      </w:r>
      <w:r w:rsidR="005548AC" w:rsidRPr="00962BEE">
        <w:rPr>
          <w:rFonts w:ascii="Times New Roman" w:hAnsi="Times New Roman" w:cs="Times New Roman"/>
          <w:b w:val="0"/>
          <w:lang w:val="en-US"/>
        </w:rPr>
        <w:t xml:space="preserve">We examined 78 patients with arterial hypertension, duration of the diseases in which was from one month to 40 years (10.09±48 years). Duration of blood pressure (BP) elevation not more than 5 year was </w:t>
      </w:r>
      <w:r w:rsidR="005548AC" w:rsidRPr="00962BEE">
        <w:rPr>
          <w:rFonts w:ascii="Times New Roman" w:hAnsi="Times New Roman" w:cs="Times New Roman"/>
          <w:b w:val="0"/>
          <w:lang w:val="en-US"/>
        </w:rPr>
        <w:lastRenderedPageBreak/>
        <w:t xml:space="preserve">evaluated in 30.28%, from 5 to 10 years – 34.51%, and more than 10 years – in 35.21% of patients. Control group include 20 healthy persons.   </w:t>
      </w:r>
    </w:p>
    <w:p w:rsidR="005548AC" w:rsidRPr="00962BEE" w:rsidRDefault="005548AC" w:rsidP="005548AC">
      <w:pPr>
        <w:pStyle w:val="Title"/>
        <w:ind w:firstLine="709"/>
        <w:jc w:val="both"/>
        <w:rPr>
          <w:rFonts w:ascii="Times New Roman" w:hAnsi="Times New Roman" w:cs="Times New Roman"/>
          <w:b w:val="0"/>
          <w:lang w:val="en-US"/>
        </w:rPr>
      </w:pPr>
      <w:r w:rsidRPr="00962BEE">
        <w:rPr>
          <w:rFonts w:ascii="Times New Roman" w:hAnsi="Times New Roman" w:cs="Times New Roman"/>
          <w:b w:val="0"/>
          <w:lang w:val="en-US"/>
        </w:rPr>
        <w:t xml:space="preserve">BP levels vary: systolic BP (SBP) – from 134.70 mm Hg to 250.00 mm Hg (in average 170.96±1.33 mm Hg); diastolic BP (DBP) – from 80.70 mm Hg to 160.00 mm Hg (in average 103.14±0.63 mm Hg). Average mean of heart rate (HR) 80.32±0.69 beats per minute were determined (from 50 </w:t>
      </w:r>
      <w:proofErr w:type="gramStart"/>
      <w:r w:rsidRPr="00962BEE">
        <w:rPr>
          <w:rFonts w:ascii="Times New Roman" w:hAnsi="Times New Roman" w:cs="Times New Roman"/>
          <w:b w:val="0"/>
          <w:lang w:val="en-US"/>
        </w:rPr>
        <w:t>to 120 b/min</w:t>
      </w:r>
      <w:proofErr w:type="gramEnd"/>
      <w:r w:rsidRPr="00962BEE">
        <w:rPr>
          <w:rFonts w:ascii="Times New Roman" w:hAnsi="Times New Roman" w:cs="Times New Roman"/>
          <w:b w:val="0"/>
          <w:lang w:val="en-US"/>
        </w:rPr>
        <w:t xml:space="preserve">).  </w:t>
      </w:r>
    </w:p>
    <w:p w:rsidR="005548AC" w:rsidRPr="00962BEE" w:rsidRDefault="005548AC" w:rsidP="005548AC">
      <w:pPr>
        <w:pStyle w:val="BodyText"/>
        <w:spacing w:after="0" w:line="360" w:lineRule="auto"/>
        <w:ind w:firstLine="709"/>
        <w:jc w:val="both"/>
        <w:rPr>
          <w:sz w:val="28"/>
          <w:szCs w:val="28"/>
          <w:lang w:val="uk-UA"/>
        </w:rPr>
      </w:pPr>
      <w:r>
        <w:rPr>
          <w:noProof/>
          <w:lang w:val="en-US" w:eastAsia="en-US"/>
        </w:rPr>
        <w:drawing>
          <wp:anchor distT="0" distB="0" distL="114300" distR="114300" simplePos="0" relativeHeight="251667456" behindDoc="0" locked="0" layoutInCell="1" allowOverlap="1">
            <wp:simplePos x="0" y="0"/>
            <wp:positionH relativeFrom="column">
              <wp:posOffset>580390</wp:posOffset>
            </wp:positionH>
            <wp:positionV relativeFrom="paragraph">
              <wp:posOffset>1386840</wp:posOffset>
            </wp:positionV>
            <wp:extent cx="4607560" cy="2444115"/>
            <wp:effectExtent l="3175" t="3810" r="0" b="0"/>
            <wp:wrapNone/>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962BEE">
        <w:rPr>
          <w:sz w:val="28"/>
          <w:szCs w:val="28"/>
          <w:lang w:val="en-US"/>
        </w:rPr>
        <w:t xml:space="preserve">AH 1 degree were diagnosed in 35.01% patients (SBP </w:t>
      </w:r>
      <w:r w:rsidRPr="00962BEE">
        <w:rPr>
          <w:b/>
          <w:lang w:val="en-US"/>
        </w:rPr>
        <w:t xml:space="preserve">– </w:t>
      </w:r>
      <w:r w:rsidRPr="00962BEE">
        <w:rPr>
          <w:sz w:val="28"/>
          <w:szCs w:val="28"/>
          <w:lang w:val="uk-UA"/>
        </w:rPr>
        <w:t>149</w:t>
      </w:r>
      <w:r w:rsidRPr="00962BEE">
        <w:rPr>
          <w:sz w:val="28"/>
          <w:szCs w:val="28"/>
          <w:lang w:val="en-US"/>
        </w:rPr>
        <w:t>.</w:t>
      </w:r>
      <w:r w:rsidRPr="00962BEE">
        <w:rPr>
          <w:sz w:val="28"/>
          <w:szCs w:val="28"/>
          <w:lang w:val="uk-UA"/>
        </w:rPr>
        <w:t>39±0</w:t>
      </w:r>
      <w:r w:rsidRPr="00962BEE">
        <w:rPr>
          <w:sz w:val="28"/>
          <w:szCs w:val="28"/>
          <w:lang w:val="en-US"/>
        </w:rPr>
        <w:t>.</w:t>
      </w:r>
      <w:r w:rsidRPr="00962BEE">
        <w:rPr>
          <w:sz w:val="28"/>
          <w:szCs w:val="28"/>
          <w:lang w:val="uk-UA"/>
        </w:rPr>
        <w:t>56</w:t>
      </w:r>
      <w:r w:rsidRPr="00962BEE">
        <w:rPr>
          <w:sz w:val="28"/>
          <w:szCs w:val="28"/>
          <w:lang w:val="en-US"/>
        </w:rPr>
        <w:t xml:space="preserve"> mm Hg, DBP – 95.96±0.46 mm Hg);  2 degree – in </w:t>
      </w:r>
      <w:r w:rsidRPr="00962BEE">
        <w:rPr>
          <w:sz w:val="28"/>
          <w:szCs w:val="28"/>
          <w:lang w:val="uk-UA"/>
        </w:rPr>
        <w:t>32</w:t>
      </w:r>
      <w:r w:rsidRPr="00962BEE">
        <w:rPr>
          <w:sz w:val="28"/>
          <w:szCs w:val="28"/>
          <w:lang w:val="en-US"/>
        </w:rPr>
        <w:t>.</w:t>
      </w:r>
      <w:r w:rsidRPr="00962BEE">
        <w:rPr>
          <w:sz w:val="28"/>
          <w:szCs w:val="28"/>
          <w:lang w:val="uk-UA"/>
        </w:rPr>
        <w:t>39 %</w:t>
      </w:r>
      <w:r w:rsidRPr="00962BEE">
        <w:rPr>
          <w:sz w:val="28"/>
          <w:szCs w:val="28"/>
          <w:lang w:val="en-US"/>
        </w:rPr>
        <w:t xml:space="preserve"> patients (SBP – 166.33±0.67 mm Hg, DBP – 102.53±0.72 mm Hg</w:t>
      </w:r>
      <w:r w:rsidRPr="00962BEE">
        <w:rPr>
          <w:sz w:val="28"/>
          <w:szCs w:val="28"/>
          <w:lang w:val="uk-UA"/>
        </w:rPr>
        <w:t>)</w:t>
      </w:r>
      <w:r w:rsidRPr="00962BEE">
        <w:rPr>
          <w:sz w:val="28"/>
          <w:szCs w:val="28"/>
          <w:lang w:val="en-US"/>
        </w:rPr>
        <w:t xml:space="preserve">; 3 degree AH was detected in </w:t>
      </w:r>
      <w:r w:rsidRPr="00962BEE">
        <w:rPr>
          <w:sz w:val="28"/>
          <w:szCs w:val="28"/>
          <w:lang w:val="uk-UA"/>
        </w:rPr>
        <w:t>32</w:t>
      </w:r>
      <w:r w:rsidRPr="00962BEE">
        <w:rPr>
          <w:sz w:val="28"/>
          <w:szCs w:val="28"/>
          <w:lang w:val="en-US"/>
        </w:rPr>
        <w:t>.</w:t>
      </w:r>
      <w:r w:rsidRPr="00962BEE">
        <w:rPr>
          <w:sz w:val="28"/>
          <w:szCs w:val="28"/>
          <w:lang w:val="uk-UA"/>
        </w:rPr>
        <w:t>39 %</w:t>
      </w:r>
      <w:r w:rsidRPr="00962BEE">
        <w:rPr>
          <w:sz w:val="28"/>
          <w:szCs w:val="28"/>
          <w:lang w:val="en-US"/>
        </w:rPr>
        <w:t xml:space="preserve"> patients (SBP – 196.54±1.72 mm Hg, DBP – 111.46±1.29  mm Hg) </w:t>
      </w:r>
      <w:r w:rsidRPr="00962BEE">
        <w:rPr>
          <w:sz w:val="28"/>
          <w:szCs w:val="28"/>
          <w:lang w:val="uk-UA"/>
        </w:rPr>
        <w:t>(</w:t>
      </w:r>
      <w:r w:rsidRPr="00962BEE">
        <w:rPr>
          <w:sz w:val="28"/>
          <w:szCs w:val="28"/>
          <w:lang w:val="en-US"/>
        </w:rPr>
        <w:t xml:space="preserve">Figure </w:t>
      </w:r>
      <w:r w:rsidR="00016CDD">
        <w:rPr>
          <w:sz w:val="28"/>
          <w:szCs w:val="28"/>
          <w:lang w:val="en-US"/>
        </w:rPr>
        <w:t>1</w:t>
      </w:r>
      <w:r w:rsidRPr="00962BEE">
        <w:rPr>
          <w:sz w:val="28"/>
          <w:szCs w:val="28"/>
          <w:lang w:val="uk-UA"/>
        </w:rPr>
        <w:t xml:space="preserve">).  </w:t>
      </w:r>
    </w:p>
    <w:p w:rsidR="005548AC" w:rsidRPr="00962BEE" w:rsidRDefault="005548AC" w:rsidP="005548AC">
      <w:pPr>
        <w:pStyle w:val="BodyText"/>
        <w:spacing w:after="0" w:line="360" w:lineRule="auto"/>
        <w:jc w:val="both"/>
        <w:rPr>
          <w:sz w:val="28"/>
          <w:szCs w:val="28"/>
          <w:lang w:val="uk-UA"/>
        </w:rPr>
      </w:pPr>
    </w:p>
    <w:p w:rsidR="005548AC" w:rsidRPr="00962BEE" w:rsidRDefault="005548AC" w:rsidP="005548AC">
      <w:pPr>
        <w:pStyle w:val="BodyText"/>
        <w:spacing w:after="0" w:line="360" w:lineRule="auto"/>
        <w:ind w:right="5934"/>
        <w:jc w:val="both"/>
        <w:rPr>
          <w:b/>
          <w:lang w:val="en-US"/>
        </w:rPr>
      </w:pPr>
    </w:p>
    <w:p w:rsidR="005548AC" w:rsidRPr="00962BEE" w:rsidRDefault="005548AC" w:rsidP="005548AC">
      <w:pPr>
        <w:pStyle w:val="BodyText"/>
        <w:spacing w:after="0" w:line="360" w:lineRule="auto"/>
        <w:ind w:right="5934"/>
        <w:jc w:val="both"/>
        <w:rPr>
          <w:b/>
          <w:lang w:val="en-US"/>
        </w:rPr>
      </w:pPr>
    </w:p>
    <w:p w:rsidR="005548AC" w:rsidRPr="00962BEE" w:rsidRDefault="005548AC" w:rsidP="005548AC">
      <w:pPr>
        <w:pStyle w:val="BodyText"/>
        <w:spacing w:after="0" w:line="360" w:lineRule="auto"/>
        <w:ind w:right="5934"/>
        <w:jc w:val="both"/>
        <w:rPr>
          <w:b/>
          <w:lang w:val="en-US"/>
        </w:rPr>
      </w:pPr>
    </w:p>
    <w:p w:rsidR="005548AC" w:rsidRDefault="005548AC" w:rsidP="005548AC">
      <w:pPr>
        <w:pStyle w:val="BodyText"/>
        <w:spacing w:after="0" w:line="360" w:lineRule="auto"/>
        <w:ind w:right="5934"/>
        <w:jc w:val="both"/>
        <w:rPr>
          <w:b/>
          <w:lang w:val="en-US"/>
        </w:rPr>
      </w:pPr>
    </w:p>
    <w:p w:rsidR="005548AC" w:rsidRPr="00962BEE" w:rsidRDefault="005548AC" w:rsidP="005548AC">
      <w:pPr>
        <w:pStyle w:val="BodyText"/>
        <w:spacing w:after="0" w:line="360" w:lineRule="auto"/>
        <w:ind w:right="5934"/>
        <w:jc w:val="both"/>
        <w:rPr>
          <w:b/>
          <w:lang w:val="en-US"/>
        </w:rPr>
      </w:pPr>
    </w:p>
    <w:p w:rsidR="005548AC" w:rsidRPr="00962BEE" w:rsidRDefault="005548AC" w:rsidP="005548AC">
      <w:pPr>
        <w:pStyle w:val="BodyText"/>
        <w:spacing w:after="0" w:line="360" w:lineRule="auto"/>
        <w:ind w:right="5934"/>
        <w:jc w:val="both"/>
        <w:rPr>
          <w:b/>
          <w:lang w:val="en-US"/>
        </w:rPr>
      </w:pPr>
    </w:p>
    <w:p w:rsidR="005548AC" w:rsidRPr="00962BEE" w:rsidRDefault="005548AC" w:rsidP="005548AC">
      <w:pPr>
        <w:pStyle w:val="BodyText"/>
        <w:spacing w:after="0" w:line="360" w:lineRule="auto"/>
        <w:ind w:right="5934"/>
        <w:jc w:val="both"/>
        <w:rPr>
          <w:b/>
          <w:lang w:val="en-US"/>
        </w:rPr>
      </w:pPr>
    </w:p>
    <w:p w:rsidR="005548AC" w:rsidRDefault="005548AC" w:rsidP="005548AC">
      <w:pPr>
        <w:pStyle w:val="BodyText"/>
        <w:spacing w:after="0" w:line="360" w:lineRule="auto"/>
        <w:ind w:right="-1"/>
        <w:jc w:val="center"/>
        <w:rPr>
          <w:b/>
          <w:lang w:val="en-US"/>
        </w:rPr>
      </w:pPr>
    </w:p>
    <w:p w:rsidR="005548AC" w:rsidRPr="00962BEE" w:rsidRDefault="005548AC" w:rsidP="005548AC">
      <w:pPr>
        <w:pStyle w:val="BodyText"/>
        <w:spacing w:after="0" w:line="360" w:lineRule="auto"/>
        <w:ind w:right="-1"/>
        <w:jc w:val="center"/>
        <w:rPr>
          <w:lang w:val="uk-UA"/>
        </w:rPr>
      </w:pPr>
      <w:proofErr w:type="gramStart"/>
      <w:r w:rsidRPr="00962BEE">
        <w:rPr>
          <w:b/>
          <w:lang w:val="en-US"/>
        </w:rPr>
        <w:t>Figure 1</w:t>
      </w:r>
      <w:r w:rsidR="00016CDD">
        <w:rPr>
          <w:b/>
          <w:lang w:val="en-US"/>
        </w:rPr>
        <w:t>.</w:t>
      </w:r>
      <w:proofErr w:type="gramEnd"/>
      <w:r w:rsidRPr="00962BEE">
        <w:rPr>
          <w:b/>
          <w:lang w:val="en-US"/>
        </w:rPr>
        <w:t xml:space="preserve"> </w:t>
      </w:r>
      <w:r w:rsidRPr="00962BEE">
        <w:rPr>
          <w:lang w:val="en-US"/>
        </w:rPr>
        <w:t>Patients division depend on arterial hypertension degree</w:t>
      </w:r>
    </w:p>
    <w:p w:rsidR="005548AC" w:rsidRDefault="005548AC" w:rsidP="005548AC">
      <w:pPr>
        <w:pStyle w:val="BodyText"/>
        <w:spacing w:after="0" w:line="360" w:lineRule="auto"/>
        <w:ind w:firstLine="709"/>
        <w:jc w:val="both"/>
        <w:rPr>
          <w:sz w:val="28"/>
          <w:szCs w:val="28"/>
          <w:lang w:val="en-US"/>
        </w:rPr>
      </w:pPr>
      <w:r w:rsidRPr="00962BEE">
        <w:rPr>
          <w:sz w:val="28"/>
          <w:szCs w:val="28"/>
          <w:lang w:val="en-US"/>
        </w:rPr>
        <w:t xml:space="preserve">Depend on degree of target-organs affection, I stage AH was determined in 8.45% patients, II stage AH in 81.69%, III stage – in 9.86% patients (Figure 2). In 3.17% examined persons, cerebral stroke was in anamnesis, in 6.69% patients – myocardial infarction.  </w:t>
      </w:r>
    </w:p>
    <w:p w:rsidR="00016CDD" w:rsidRDefault="00016CDD" w:rsidP="005548AC">
      <w:pPr>
        <w:pStyle w:val="BodyText"/>
        <w:spacing w:after="0" w:line="360" w:lineRule="auto"/>
        <w:ind w:firstLine="709"/>
        <w:jc w:val="both"/>
        <w:rPr>
          <w:sz w:val="28"/>
          <w:szCs w:val="28"/>
          <w:lang w:val="en-US"/>
        </w:rPr>
      </w:pPr>
    </w:p>
    <w:p w:rsidR="00016CDD" w:rsidRPr="00962BEE" w:rsidRDefault="00016CDD" w:rsidP="005548AC">
      <w:pPr>
        <w:pStyle w:val="BodyText"/>
        <w:spacing w:after="0" w:line="360" w:lineRule="auto"/>
        <w:ind w:firstLine="709"/>
        <w:jc w:val="both"/>
        <w:rPr>
          <w:sz w:val="28"/>
          <w:szCs w:val="28"/>
          <w:lang w:val="en-US"/>
        </w:rPr>
      </w:pPr>
    </w:p>
    <w:p w:rsidR="005548AC" w:rsidRPr="00962BEE" w:rsidRDefault="005548AC" w:rsidP="005548AC">
      <w:pPr>
        <w:pStyle w:val="BodyText"/>
        <w:spacing w:after="0" w:line="360" w:lineRule="auto"/>
        <w:jc w:val="both"/>
        <w:rPr>
          <w:b/>
          <w:sz w:val="28"/>
          <w:szCs w:val="28"/>
          <w:lang w:val="uk-UA"/>
        </w:rPr>
      </w:pPr>
    </w:p>
    <w:p w:rsidR="005548AC" w:rsidRPr="00962BEE" w:rsidRDefault="00016CDD" w:rsidP="005548AC">
      <w:pPr>
        <w:pStyle w:val="BodyText"/>
        <w:spacing w:after="0" w:line="360" w:lineRule="auto"/>
        <w:jc w:val="both"/>
        <w:rPr>
          <w:b/>
          <w:sz w:val="28"/>
          <w:szCs w:val="28"/>
          <w:lang w:val="uk-UA"/>
        </w:rPr>
      </w:pPr>
      <w:r>
        <w:rPr>
          <w:noProof/>
          <w:lang w:val="en-US" w:eastAsia="en-US"/>
        </w:rPr>
        <w:lastRenderedPageBreak/>
        <w:drawing>
          <wp:anchor distT="0" distB="0" distL="114300" distR="114300" simplePos="0" relativeHeight="251669504" behindDoc="1" locked="0" layoutInCell="1" allowOverlap="1" wp14:anchorId="4C162475" wp14:editId="08816929">
            <wp:simplePos x="0" y="0"/>
            <wp:positionH relativeFrom="column">
              <wp:posOffset>697333</wp:posOffset>
            </wp:positionH>
            <wp:positionV relativeFrom="paragraph">
              <wp:posOffset>38873</wp:posOffset>
            </wp:positionV>
            <wp:extent cx="4286250" cy="2616835"/>
            <wp:effectExtent l="0" t="0" r="19050" b="12065"/>
            <wp:wrapNone/>
            <wp:docPr id="34"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548AC" w:rsidRPr="00962BEE" w:rsidRDefault="005548AC" w:rsidP="005548AC">
      <w:pPr>
        <w:pStyle w:val="BodyText"/>
        <w:spacing w:after="0" w:line="360" w:lineRule="auto"/>
        <w:ind w:firstLine="708"/>
        <w:jc w:val="both"/>
        <w:rPr>
          <w:sz w:val="28"/>
          <w:szCs w:val="28"/>
          <w:lang w:val="uk-UA"/>
        </w:rPr>
      </w:pPr>
    </w:p>
    <w:p w:rsidR="005548AC" w:rsidRPr="00962BEE" w:rsidRDefault="005548AC" w:rsidP="005548AC">
      <w:pPr>
        <w:pStyle w:val="BodyText"/>
        <w:tabs>
          <w:tab w:val="left" w:pos="5565"/>
        </w:tabs>
        <w:spacing w:after="0" w:line="360" w:lineRule="auto"/>
        <w:ind w:firstLine="708"/>
        <w:jc w:val="both"/>
        <w:rPr>
          <w:sz w:val="28"/>
          <w:szCs w:val="28"/>
          <w:lang w:val="uk-UA"/>
        </w:rPr>
      </w:pPr>
      <w:r w:rsidRPr="00962BEE">
        <w:rPr>
          <w:sz w:val="28"/>
          <w:szCs w:val="28"/>
          <w:lang w:val="uk-UA"/>
        </w:rPr>
        <w:tab/>
      </w:r>
    </w:p>
    <w:p w:rsidR="005548AC" w:rsidRPr="00962BEE" w:rsidRDefault="005548AC" w:rsidP="005548AC">
      <w:pPr>
        <w:pStyle w:val="BodyText"/>
        <w:spacing w:after="0" w:line="360" w:lineRule="auto"/>
        <w:ind w:left="3060"/>
        <w:jc w:val="both"/>
        <w:rPr>
          <w:b/>
          <w:lang w:val="en-US"/>
        </w:rPr>
      </w:pPr>
    </w:p>
    <w:p w:rsidR="005548AC" w:rsidRPr="00962BEE" w:rsidRDefault="005548AC" w:rsidP="005548AC">
      <w:pPr>
        <w:pStyle w:val="BodyText"/>
        <w:spacing w:after="0" w:line="360" w:lineRule="auto"/>
        <w:ind w:left="3060"/>
        <w:jc w:val="both"/>
        <w:rPr>
          <w:b/>
          <w:lang w:val="en-US"/>
        </w:rPr>
      </w:pPr>
    </w:p>
    <w:p w:rsidR="005548AC" w:rsidRPr="00962BEE" w:rsidRDefault="005548AC" w:rsidP="005548AC">
      <w:pPr>
        <w:pStyle w:val="BodyText"/>
        <w:spacing w:after="0" w:line="360" w:lineRule="auto"/>
        <w:ind w:left="3060"/>
        <w:jc w:val="both"/>
        <w:rPr>
          <w:b/>
          <w:lang w:val="en-US"/>
        </w:rPr>
      </w:pPr>
    </w:p>
    <w:p w:rsidR="005548AC" w:rsidRDefault="005548AC" w:rsidP="005548AC">
      <w:pPr>
        <w:pStyle w:val="BodyText"/>
        <w:spacing w:after="0" w:line="360" w:lineRule="auto"/>
        <w:ind w:right="-1"/>
        <w:jc w:val="center"/>
        <w:rPr>
          <w:b/>
          <w:lang w:val="en-US"/>
        </w:rPr>
      </w:pPr>
    </w:p>
    <w:p w:rsidR="005548AC" w:rsidRDefault="005548AC" w:rsidP="005548AC">
      <w:pPr>
        <w:pStyle w:val="BodyText"/>
        <w:spacing w:after="0" w:line="360" w:lineRule="auto"/>
        <w:ind w:right="-1"/>
        <w:jc w:val="center"/>
        <w:rPr>
          <w:b/>
          <w:lang w:val="en-US"/>
        </w:rPr>
      </w:pPr>
    </w:p>
    <w:p w:rsidR="00016CDD" w:rsidRDefault="00016CDD" w:rsidP="005548AC">
      <w:pPr>
        <w:pStyle w:val="BodyText"/>
        <w:spacing w:after="0" w:line="360" w:lineRule="auto"/>
        <w:ind w:right="-1"/>
        <w:jc w:val="center"/>
        <w:rPr>
          <w:b/>
          <w:lang w:val="en-US"/>
        </w:rPr>
      </w:pPr>
    </w:p>
    <w:p w:rsidR="00016CDD" w:rsidRDefault="00016CDD" w:rsidP="005548AC">
      <w:pPr>
        <w:pStyle w:val="BodyText"/>
        <w:spacing w:after="0" w:line="360" w:lineRule="auto"/>
        <w:ind w:right="-1"/>
        <w:jc w:val="center"/>
        <w:rPr>
          <w:b/>
          <w:lang w:val="en-US"/>
        </w:rPr>
      </w:pPr>
    </w:p>
    <w:p w:rsidR="005548AC" w:rsidRPr="00962BEE" w:rsidRDefault="005548AC" w:rsidP="005548AC">
      <w:pPr>
        <w:pStyle w:val="BodyText"/>
        <w:spacing w:after="0" w:line="360" w:lineRule="auto"/>
        <w:ind w:right="-1"/>
        <w:jc w:val="center"/>
        <w:rPr>
          <w:lang w:val="uk-UA"/>
        </w:rPr>
      </w:pPr>
      <w:proofErr w:type="gramStart"/>
      <w:r w:rsidRPr="00962BEE">
        <w:rPr>
          <w:b/>
          <w:lang w:val="en-US"/>
        </w:rPr>
        <w:t>Figure 2.</w:t>
      </w:r>
      <w:proofErr w:type="gramEnd"/>
      <w:r w:rsidRPr="00962BEE">
        <w:rPr>
          <w:b/>
          <w:lang w:val="en-US"/>
        </w:rPr>
        <w:t xml:space="preserve"> </w:t>
      </w:r>
      <w:r w:rsidRPr="00962BEE">
        <w:rPr>
          <w:lang w:val="en-US"/>
        </w:rPr>
        <w:t>Patients division depend on arterial hypertension stage</w:t>
      </w:r>
    </w:p>
    <w:p w:rsidR="005548AC" w:rsidRDefault="005548AC" w:rsidP="005548AC">
      <w:pPr>
        <w:pStyle w:val="BodyText"/>
        <w:spacing w:after="0" w:line="360" w:lineRule="auto"/>
        <w:jc w:val="both"/>
        <w:rPr>
          <w:b/>
          <w:sz w:val="28"/>
          <w:szCs w:val="28"/>
          <w:lang w:val="en-US"/>
        </w:rPr>
      </w:pPr>
      <w:r w:rsidRPr="00962BEE">
        <w:rPr>
          <w:b/>
          <w:sz w:val="28"/>
          <w:szCs w:val="28"/>
          <w:lang w:val="en-US"/>
        </w:rPr>
        <w:tab/>
      </w:r>
    </w:p>
    <w:p w:rsidR="005548AC" w:rsidRPr="00962BEE" w:rsidRDefault="005548AC" w:rsidP="005548AC">
      <w:pPr>
        <w:pStyle w:val="BodyText"/>
        <w:spacing w:after="0" w:line="360" w:lineRule="auto"/>
        <w:ind w:firstLine="708"/>
        <w:jc w:val="both"/>
        <w:rPr>
          <w:sz w:val="28"/>
          <w:szCs w:val="28"/>
          <w:lang w:val="en-US"/>
        </w:rPr>
      </w:pPr>
      <w:r w:rsidRPr="00962BEE">
        <w:rPr>
          <w:sz w:val="28"/>
          <w:szCs w:val="28"/>
          <w:lang w:val="en-US"/>
        </w:rPr>
        <w:t xml:space="preserve">In most patients (93.66%) hypertension was complicated by heart failure (HF): in 26.06% cases I degree HF, in 59.15% - IIA degree HF, and in 8.45% - IIB degree HF. 6.34% patients had no HF signs (Figure 3).  </w:t>
      </w:r>
    </w:p>
    <w:p w:rsidR="005548AC" w:rsidRPr="00962BEE" w:rsidRDefault="005548AC" w:rsidP="005548AC">
      <w:pPr>
        <w:pStyle w:val="BodyText"/>
        <w:spacing w:after="0" w:line="360" w:lineRule="auto"/>
        <w:ind w:firstLine="708"/>
        <w:jc w:val="both"/>
        <w:rPr>
          <w:sz w:val="28"/>
          <w:szCs w:val="28"/>
          <w:lang w:val="en-US"/>
        </w:rPr>
      </w:pPr>
      <w:r>
        <w:rPr>
          <w:noProof/>
          <w:sz w:val="28"/>
          <w:szCs w:val="28"/>
          <w:lang w:val="en-US" w:eastAsia="en-US"/>
        </w:rPr>
        <w:drawing>
          <wp:anchor distT="0" distB="0" distL="114300" distR="114300" simplePos="0" relativeHeight="251670528" behindDoc="1" locked="0" layoutInCell="1" allowOverlap="1">
            <wp:simplePos x="0" y="0"/>
            <wp:positionH relativeFrom="column">
              <wp:posOffset>852170</wp:posOffset>
            </wp:positionH>
            <wp:positionV relativeFrom="paragraph">
              <wp:posOffset>111125</wp:posOffset>
            </wp:positionV>
            <wp:extent cx="4022090" cy="2295525"/>
            <wp:effectExtent l="0" t="0" r="0" b="3175"/>
            <wp:wrapNone/>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right="-1"/>
        <w:jc w:val="center"/>
        <w:rPr>
          <w:b/>
          <w:lang w:val="en-US"/>
        </w:rPr>
      </w:pPr>
    </w:p>
    <w:p w:rsidR="005548AC" w:rsidRDefault="005548AC" w:rsidP="005548AC">
      <w:pPr>
        <w:pStyle w:val="BodyText"/>
        <w:spacing w:after="0" w:line="360" w:lineRule="auto"/>
        <w:ind w:right="-1"/>
        <w:jc w:val="center"/>
        <w:rPr>
          <w:b/>
          <w:lang w:val="en-US"/>
        </w:rPr>
      </w:pPr>
    </w:p>
    <w:p w:rsidR="005548AC" w:rsidRDefault="005548AC" w:rsidP="005548AC">
      <w:pPr>
        <w:pStyle w:val="BodyText"/>
        <w:spacing w:after="0" w:line="360" w:lineRule="auto"/>
        <w:ind w:right="-1"/>
        <w:jc w:val="center"/>
        <w:rPr>
          <w:b/>
          <w:lang w:val="en-US"/>
        </w:rPr>
      </w:pPr>
    </w:p>
    <w:p w:rsidR="005548AC" w:rsidRPr="00962BEE" w:rsidRDefault="005548AC" w:rsidP="005548AC">
      <w:pPr>
        <w:pStyle w:val="BodyText"/>
        <w:spacing w:after="0" w:line="360" w:lineRule="auto"/>
        <w:ind w:right="-1"/>
        <w:jc w:val="center"/>
        <w:rPr>
          <w:lang w:val="uk-UA"/>
        </w:rPr>
      </w:pPr>
      <w:proofErr w:type="gramStart"/>
      <w:r w:rsidRPr="00962BEE">
        <w:rPr>
          <w:b/>
          <w:lang w:val="en-US"/>
        </w:rPr>
        <w:t>Figure 3.</w:t>
      </w:r>
      <w:proofErr w:type="gramEnd"/>
      <w:r w:rsidRPr="00962BEE">
        <w:rPr>
          <w:b/>
          <w:lang w:val="en-US"/>
        </w:rPr>
        <w:t xml:space="preserve"> </w:t>
      </w:r>
      <w:r w:rsidRPr="00962BEE">
        <w:rPr>
          <w:lang w:val="en-US"/>
        </w:rPr>
        <w:t>Patients division depend on heart failure degree</w:t>
      </w: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9"/>
        <w:jc w:val="both"/>
        <w:rPr>
          <w:sz w:val="28"/>
          <w:szCs w:val="28"/>
          <w:lang w:val="en-US"/>
        </w:rPr>
      </w:pPr>
      <w:r>
        <w:rPr>
          <w:noProof/>
          <w:lang w:val="en-US" w:eastAsia="en-US"/>
        </w:rPr>
        <w:lastRenderedPageBreak/>
        <w:drawing>
          <wp:anchor distT="0" distB="0" distL="114300" distR="114300" simplePos="0" relativeHeight="251668480" behindDoc="1" locked="0" layoutInCell="1" allowOverlap="1">
            <wp:simplePos x="0" y="0"/>
            <wp:positionH relativeFrom="column">
              <wp:posOffset>762000</wp:posOffset>
            </wp:positionH>
            <wp:positionV relativeFrom="paragraph">
              <wp:posOffset>1120140</wp:posOffset>
            </wp:positionV>
            <wp:extent cx="4269105" cy="2437765"/>
            <wp:effectExtent l="0" t="0" r="3810" b="3810"/>
            <wp:wrapNone/>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62BEE">
        <w:rPr>
          <w:sz w:val="28"/>
          <w:szCs w:val="28"/>
          <w:lang w:val="en-US"/>
        </w:rPr>
        <w:t>Division</w:t>
      </w:r>
      <w:r w:rsidRPr="00962BEE">
        <w:rPr>
          <w:sz w:val="28"/>
          <w:szCs w:val="28"/>
          <w:lang w:val="uk-UA"/>
        </w:rPr>
        <w:t xml:space="preserve"> </w:t>
      </w:r>
      <w:r w:rsidRPr="00962BEE">
        <w:rPr>
          <w:sz w:val="28"/>
          <w:szCs w:val="28"/>
          <w:lang w:val="en-US"/>
        </w:rPr>
        <w:t>of</w:t>
      </w:r>
      <w:r w:rsidRPr="00962BEE">
        <w:rPr>
          <w:sz w:val="28"/>
          <w:szCs w:val="28"/>
          <w:lang w:val="uk-UA"/>
        </w:rPr>
        <w:t xml:space="preserve"> </w:t>
      </w:r>
      <w:r w:rsidRPr="00962BEE">
        <w:rPr>
          <w:sz w:val="28"/>
          <w:szCs w:val="28"/>
          <w:lang w:val="en-US"/>
        </w:rPr>
        <w:t>the</w:t>
      </w:r>
      <w:r w:rsidRPr="00962BEE">
        <w:rPr>
          <w:sz w:val="28"/>
          <w:szCs w:val="28"/>
          <w:lang w:val="uk-UA"/>
        </w:rPr>
        <w:t xml:space="preserve"> </w:t>
      </w:r>
      <w:r w:rsidRPr="00962BEE">
        <w:rPr>
          <w:sz w:val="28"/>
          <w:szCs w:val="28"/>
          <w:lang w:val="en-US"/>
        </w:rPr>
        <w:t>patients</w:t>
      </w:r>
      <w:r w:rsidRPr="00962BEE">
        <w:rPr>
          <w:sz w:val="28"/>
          <w:szCs w:val="28"/>
          <w:lang w:val="uk-UA"/>
        </w:rPr>
        <w:t xml:space="preserve"> </w:t>
      </w:r>
      <w:r w:rsidRPr="00962BEE">
        <w:rPr>
          <w:sz w:val="28"/>
          <w:szCs w:val="28"/>
          <w:lang w:val="en-US"/>
        </w:rPr>
        <w:t>according</w:t>
      </w:r>
      <w:r w:rsidRPr="00962BEE">
        <w:rPr>
          <w:sz w:val="28"/>
          <w:szCs w:val="28"/>
          <w:lang w:val="uk-UA"/>
        </w:rPr>
        <w:t xml:space="preserve"> </w:t>
      </w:r>
      <w:r w:rsidRPr="00962BEE">
        <w:rPr>
          <w:sz w:val="28"/>
          <w:szCs w:val="28"/>
          <w:lang w:val="en-US"/>
        </w:rPr>
        <w:t>to</w:t>
      </w:r>
      <w:r w:rsidRPr="00962BEE">
        <w:rPr>
          <w:sz w:val="28"/>
          <w:szCs w:val="28"/>
          <w:lang w:val="uk-UA"/>
        </w:rPr>
        <w:t xml:space="preserve"> </w:t>
      </w:r>
      <w:r w:rsidRPr="00962BEE">
        <w:rPr>
          <w:sz w:val="28"/>
          <w:szCs w:val="28"/>
          <w:lang w:val="en-US"/>
        </w:rPr>
        <w:t>functional</w:t>
      </w:r>
      <w:r w:rsidRPr="00962BEE">
        <w:rPr>
          <w:sz w:val="28"/>
          <w:szCs w:val="28"/>
          <w:lang w:val="uk-UA"/>
        </w:rPr>
        <w:t xml:space="preserve"> </w:t>
      </w:r>
      <w:r w:rsidRPr="00962BEE">
        <w:rPr>
          <w:sz w:val="28"/>
          <w:szCs w:val="28"/>
          <w:lang w:val="en-US"/>
        </w:rPr>
        <w:t>class</w:t>
      </w:r>
      <w:r w:rsidRPr="00962BEE">
        <w:rPr>
          <w:sz w:val="28"/>
          <w:szCs w:val="28"/>
          <w:lang w:val="uk-UA"/>
        </w:rPr>
        <w:t xml:space="preserve"> </w:t>
      </w:r>
      <w:r w:rsidRPr="00962BEE">
        <w:rPr>
          <w:sz w:val="28"/>
          <w:szCs w:val="28"/>
          <w:lang w:val="en-US"/>
        </w:rPr>
        <w:t>(FC) New</w:t>
      </w:r>
      <w:r w:rsidRPr="00962BEE">
        <w:rPr>
          <w:sz w:val="28"/>
          <w:szCs w:val="28"/>
          <w:lang w:val="uk-UA"/>
        </w:rPr>
        <w:t xml:space="preserve"> </w:t>
      </w:r>
      <w:r w:rsidRPr="00962BEE">
        <w:rPr>
          <w:sz w:val="28"/>
          <w:szCs w:val="28"/>
          <w:lang w:val="en-US"/>
        </w:rPr>
        <w:t>York</w:t>
      </w:r>
      <w:r w:rsidRPr="00962BEE">
        <w:rPr>
          <w:sz w:val="28"/>
          <w:szCs w:val="28"/>
          <w:lang w:val="uk-UA"/>
        </w:rPr>
        <w:t xml:space="preserve"> </w:t>
      </w:r>
      <w:r w:rsidRPr="00962BEE">
        <w:rPr>
          <w:sz w:val="28"/>
          <w:szCs w:val="28"/>
          <w:lang w:val="en-US"/>
        </w:rPr>
        <w:t>Heart</w:t>
      </w:r>
      <w:r w:rsidRPr="00962BEE">
        <w:rPr>
          <w:sz w:val="28"/>
          <w:szCs w:val="28"/>
          <w:lang w:val="uk-UA"/>
        </w:rPr>
        <w:t xml:space="preserve"> </w:t>
      </w:r>
      <w:r w:rsidRPr="00962BEE">
        <w:rPr>
          <w:sz w:val="28"/>
          <w:szCs w:val="28"/>
          <w:lang w:val="en-US"/>
        </w:rPr>
        <w:t>Association</w:t>
      </w:r>
      <w:r w:rsidRPr="00962BEE">
        <w:rPr>
          <w:sz w:val="28"/>
          <w:szCs w:val="28"/>
          <w:lang w:val="uk-UA"/>
        </w:rPr>
        <w:t xml:space="preserve"> (</w:t>
      </w:r>
      <w:r w:rsidRPr="00962BEE">
        <w:rPr>
          <w:sz w:val="28"/>
          <w:szCs w:val="28"/>
          <w:lang w:val="en-US"/>
        </w:rPr>
        <w:t>NYHA</w:t>
      </w:r>
      <w:r w:rsidRPr="00962BEE">
        <w:rPr>
          <w:sz w:val="28"/>
          <w:szCs w:val="28"/>
          <w:lang w:val="uk-UA"/>
        </w:rPr>
        <w:t xml:space="preserve">) </w:t>
      </w:r>
      <w:r w:rsidRPr="00962BEE">
        <w:rPr>
          <w:sz w:val="28"/>
          <w:szCs w:val="28"/>
          <w:lang w:val="en-US"/>
        </w:rPr>
        <w:t>showed</w:t>
      </w:r>
      <w:r w:rsidRPr="00962BEE">
        <w:rPr>
          <w:sz w:val="28"/>
          <w:szCs w:val="28"/>
          <w:lang w:val="uk-UA"/>
        </w:rPr>
        <w:t xml:space="preserve"> </w:t>
      </w:r>
      <w:r w:rsidRPr="00962BEE">
        <w:rPr>
          <w:sz w:val="28"/>
          <w:szCs w:val="28"/>
          <w:lang w:val="en-US"/>
        </w:rPr>
        <w:t>I NYHA functional class in 3.17% patients, II NYHA FC</w:t>
      </w:r>
      <w:r w:rsidRPr="00962BEE">
        <w:rPr>
          <w:sz w:val="28"/>
          <w:szCs w:val="28"/>
          <w:lang w:val="uk-UA"/>
        </w:rPr>
        <w:t xml:space="preserve"> </w:t>
      </w:r>
      <w:r w:rsidRPr="00962BEE">
        <w:rPr>
          <w:sz w:val="28"/>
          <w:szCs w:val="28"/>
          <w:lang w:val="en-US"/>
        </w:rPr>
        <w:t>– in 45.452%, III NYHA FC – in 44.37%, and IV NYHA FC – in 7.04% (Figure 4).</w:t>
      </w:r>
    </w:p>
    <w:p w:rsidR="005548AC" w:rsidRPr="00962BEE" w:rsidRDefault="005548AC" w:rsidP="005548AC">
      <w:pPr>
        <w:pStyle w:val="BodyText"/>
        <w:spacing w:after="0" w:line="360" w:lineRule="auto"/>
        <w:ind w:firstLine="708"/>
        <w:jc w:val="both"/>
        <w:rPr>
          <w:sz w:val="28"/>
          <w:szCs w:val="28"/>
          <w:lang w:val="uk-UA"/>
        </w:rPr>
      </w:pPr>
      <w:r w:rsidRPr="00962BEE">
        <w:rPr>
          <w:sz w:val="28"/>
          <w:szCs w:val="28"/>
          <w:lang w:val="uk-UA"/>
        </w:rPr>
        <w:t xml:space="preserve">  </w:t>
      </w:r>
    </w:p>
    <w:p w:rsidR="005548AC" w:rsidRPr="00962BEE" w:rsidRDefault="005548AC" w:rsidP="005548AC">
      <w:pPr>
        <w:pStyle w:val="BodyText"/>
        <w:spacing w:after="0" w:line="360" w:lineRule="auto"/>
        <w:ind w:firstLine="708"/>
        <w:jc w:val="both"/>
        <w:rPr>
          <w:b/>
          <w:sz w:val="28"/>
          <w:szCs w:val="28"/>
          <w:lang w:val="uk-UA"/>
        </w:rPr>
      </w:pPr>
    </w:p>
    <w:p w:rsidR="005548AC" w:rsidRPr="00962BEE" w:rsidRDefault="005548AC" w:rsidP="005548AC">
      <w:pPr>
        <w:pStyle w:val="BodyText"/>
        <w:spacing w:after="0" w:line="360" w:lineRule="auto"/>
        <w:ind w:firstLine="708"/>
        <w:jc w:val="both"/>
        <w:rPr>
          <w:b/>
          <w:sz w:val="28"/>
          <w:szCs w:val="28"/>
          <w:lang w:val="uk-UA"/>
        </w:rPr>
      </w:pPr>
    </w:p>
    <w:p w:rsidR="005548AC" w:rsidRPr="00962BEE" w:rsidRDefault="005548AC" w:rsidP="005548AC">
      <w:pPr>
        <w:pStyle w:val="BodyText"/>
        <w:spacing w:after="0" w:line="360" w:lineRule="auto"/>
        <w:ind w:firstLine="708"/>
        <w:jc w:val="both"/>
        <w:rPr>
          <w:sz w:val="28"/>
          <w:szCs w:val="28"/>
          <w:lang w:val="uk-UA"/>
        </w:rPr>
      </w:pPr>
    </w:p>
    <w:p w:rsidR="005548AC" w:rsidRPr="00962BEE" w:rsidRDefault="005548AC" w:rsidP="005548AC">
      <w:pPr>
        <w:pStyle w:val="BodyText"/>
        <w:spacing w:after="0" w:line="360" w:lineRule="auto"/>
        <w:ind w:firstLine="708"/>
        <w:jc w:val="both"/>
        <w:rPr>
          <w:sz w:val="28"/>
          <w:szCs w:val="28"/>
          <w:lang w:val="uk-UA"/>
        </w:rPr>
      </w:pPr>
    </w:p>
    <w:p w:rsidR="005548AC" w:rsidRPr="00962BEE" w:rsidRDefault="005548AC" w:rsidP="005548AC">
      <w:pPr>
        <w:pStyle w:val="BodyText"/>
        <w:spacing w:after="0" w:line="360" w:lineRule="auto"/>
        <w:ind w:firstLine="708"/>
        <w:jc w:val="both"/>
        <w:rPr>
          <w:sz w:val="28"/>
          <w:szCs w:val="28"/>
          <w:lang w:val="uk-UA"/>
        </w:rPr>
      </w:pPr>
    </w:p>
    <w:p w:rsidR="005548AC" w:rsidRPr="00962BEE" w:rsidRDefault="005548AC" w:rsidP="005548AC">
      <w:pPr>
        <w:pStyle w:val="BodyText"/>
        <w:spacing w:after="0" w:line="360" w:lineRule="auto"/>
        <w:ind w:right="-1"/>
        <w:jc w:val="center"/>
        <w:rPr>
          <w:b/>
          <w:lang w:val="en-US"/>
        </w:rPr>
      </w:pPr>
    </w:p>
    <w:p w:rsidR="005548AC" w:rsidRDefault="005548AC" w:rsidP="005548AC">
      <w:pPr>
        <w:pStyle w:val="BodyText"/>
        <w:spacing w:after="0" w:line="360" w:lineRule="auto"/>
        <w:ind w:right="-1"/>
        <w:jc w:val="center"/>
        <w:rPr>
          <w:b/>
          <w:lang w:val="en-US"/>
        </w:rPr>
      </w:pPr>
    </w:p>
    <w:p w:rsidR="005548AC" w:rsidRPr="00962BEE" w:rsidRDefault="005548AC" w:rsidP="005548AC">
      <w:pPr>
        <w:pStyle w:val="BodyText"/>
        <w:spacing w:after="0" w:line="360" w:lineRule="auto"/>
        <w:ind w:right="-1"/>
        <w:jc w:val="center"/>
        <w:rPr>
          <w:lang w:val="uk-UA"/>
        </w:rPr>
      </w:pPr>
      <w:proofErr w:type="gramStart"/>
      <w:r w:rsidRPr="00962BEE">
        <w:rPr>
          <w:b/>
          <w:lang w:val="en-US"/>
        </w:rPr>
        <w:t>Figure 4.</w:t>
      </w:r>
      <w:proofErr w:type="gramEnd"/>
      <w:r w:rsidRPr="00962BEE">
        <w:rPr>
          <w:b/>
          <w:lang w:val="en-US"/>
        </w:rPr>
        <w:t xml:space="preserve"> </w:t>
      </w:r>
      <w:r w:rsidRPr="00962BEE">
        <w:rPr>
          <w:lang w:val="en-US"/>
        </w:rPr>
        <w:t>Patients division depend on functional class (NYHA)</w:t>
      </w: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r w:rsidRPr="00962BEE">
        <w:rPr>
          <w:sz w:val="28"/>
          <w:szCs w:val="28"/>
          <w:lang w:val="en-US"/>
        </w:rPr>
        <w:t>Concomitant coronary heart disease (CHD) took place in 72.89% patients: among them in 1 degree AH presence of CHD was diagnosed in 57% patients, whereas in 2 degree AH – in 77.17% and in 3 degree – in 85.86% patients.</w:t>
      </w: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b/>
          <w:sz w:val="28"/>
          <w:szCs w:val="28"/>
          <w:lang w:val="uk-UA"/>
        </w:rPr>
      </w:pPr>
    </w:p>
    <w:p w:rsidR="005548AC" w:rsidRPr="00962BEE" w:rsidRDefault="005548AC" w:rsidP="005548AC">
      <w:pPr>
        <w:pStyle w:val="BodyText"/>
        <w:spacing w:after="0" w:line="360" w:lineRule="auto"/>
        <w:ind w:firstLine="708"/>
        <w:jc w:val="both"/>
        <w:rPr>
          <w:b/>
          <w:sz w:val="28"/>
          <w:szCs w:val="28"/>
          <w:lang w:val="uk-UA"/>
        </w:rPr>
      </w:pPr>
    </w:p>
    <w:p w:rsidR="005548AC" w:rsidRPr="00962BEE" w:rsidRDefault="005548AC" w:rsidP="005548AC">
      <w:pPr>
        <w:pStyle w:val="BodyText"/>
        <w:spacing w:after="0" w:line="360" w:lineRule="auto"/>
        <w:ind w:firstLine="708"/>
        <w:jc w:val="both"/>
        <w:rPr>
          <w:sz w:val="28"/>
          <w:szCs w:val="28"/>
          <w:lang w:val="en-US"/>
        </w:rPr>
      </w:pPr>
    </w:p>
    <w:p w:rsidR="005548AC" w:rsidRDefault="005548AC" w:rsidP="005548AC">
      <w:pPr>
        <w:pStyle w:val="BodyText"/>
        <w:spacing w:after="0" w:line="360" w:lineRule="auto"/>
        <w:ind w:firstLine="708"/>
        <w:jc w:val="both"/>
        <w:rPr>
          <w:sz w:val="28"/>
          <w:szCs w:val="28"/>
          <w:lang w:val="en-US"/>
        </w:rPr>
      </w:pPr>
    </w:p>
    <w:p w:rsidR="005548AC" w:rsidRDefault="005548AC" w:rsidP="005548AC">
      <w:pPr>
        <w:pStyle w:val="BodyText"/>
        <w:spacing w:after="0" w:line="360" w:lineRule="auto"/>
        <w:ind w:firstLine="708"/>
        <w:jc w:val="both"/>
        <w:rPr>
          <w:sz w:val="28"/>
          <w:szCs w:val="28"/>
          <w:lang w:val="en-US"/>
        </w:rPr>
      </w:pPr>
    </w:p>
    <w:p w:rsidR="005548AC" w:rsidRDefault="005548AC" w:rsidP="005548AC">
      <w:pPr>
        <w:pStyle w:val="BodyText"/>
        <w:spacing w:after="0" w:line="360" w:lineRule="auto"/>
        <w:ind w:firstLine="708"/>
        <w:jc w:val="both"/>
        <w:rPr>
          <w:sz w:val="28"/>
          <w:szCs w:val="28"/>
          <w:lang w:val="en-US"/>
        </w:rPr>
      </w:pPr>
    </w:p>
    <w:p w:rsidR="005548AC"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8"/>
        <w:jc w:val="both"/>
        <w:rPr>
          <w:sz w:val="28"/>
          <w:szCs w:val="28"/>
          <w:lang w:val="en-US"/>
        </w:rPr>
      </w:pPr>
    </w:p>
    <w:p w:rsidR="005548AC" w:rsidRPr="00962BEE" w:rsidRDefault="005548AC" w:rsidP="005548AC">
      <w:pPr>
        <w:pStyle w:val="BodyText"/>
        <w:spacing w:after="0" w:line="360" w:lineRule="auto"/>
        <w:ind w:firstLine="709"/>
        <w:jc w:val="both"/>
        <w:rPr>
          <w:sz w:val="28"/>
          <w:szCs w:val="28"/>
          <w:lang w:val="en-US"/>
        </w:rPr>
      </w:pPr>
      <w:r w:rsidRPr="00962BEE">
        <w:rPr>
          <w:sz w:val="28"/>
          <w:szCs w:val="28"/>
          <w:lang w:val="en-US"/>
        </w:rPr>
        <w:lastRenderedPageBreak/>
        <w:t xml:space="preserve">Exclusion criteria: secondary arterial hypertension, concomitant oncological pathology, acute and chronic inflammatory diseases, diabetes mellitus, significant alterations of heart rhythm and conductivity.  </w:t>
      </w:r>
    </w:p>
    <w:p w:rsidR="005548AC" w:rsidRPr="00962BEE" w:rsidRDefault="005548AC" w:rsidP="00016CDD">
      <w:pPr>
        <w:pStyle w:val="BodyText2"/>
        <w:spacing w:after="0" w:line="360" w:lineRule="auto"/>
        <w:ind w:firstLine="708"/>
        <w:jc w:val="both"/>
        <w:rPr>
          <w:sz w:val="28"/>
          <w:szCs w:val="28"/>
          <w:lang w:val="en-US"/>
        </w:rPr>
      </w:pPr>
      <w:r w:rsidRPr="00962BEE">
        <w:rPr>
          <w:sz w:val="28"/>
          <w:szCs w:val="28"/>
          <w:lang w:val="en-US"/>
        </w:rPr>
        <w:t>Tumor necrosis factor-</w:t>
      </w:r>
      <w:proofErr w:type="gramStart"/>
      <w:r w:rsidRPr="00962BEE">
        <w:rPr>
          <w:sz w:val="28"/>
          <w:szCs w:val="28"/>
          <w:lang w:val="en-US"/>
        </w:rPr>
        <w:t>α plasma</w:t>
      </w:r>
      <w:proofErr w:type="gramEnd"/>
      <w:r w:rsidRPr="00962BEE">
        <w:rPr>
          <w:sz w:val="28"/>
          <w:szCs w:val="28"/>
          <w:lang w:val="en-US"/>
        </w:rPr>
        <w:t xml:space="preserve"> levels were determined by ELISA method (“</w:t>
      </w:r>
      <w:r w:rsidRPr="00962BEE">
        <w:rPr>
          <w:sz w:val="28"/>
          <w:szCs w:val="28"/>
          <w:lang w:val="uk-UA"/>
        </w:rPr>
        <w:t>ProCon TNFα</w:t>
      </w:r>
      <w:r w:rsidRPr="00962BEE">
        <w:rPr>
          <w:sz w:val="28"/>
          <w:szCs w:val="28"/>
          <w:lang w:val="en-US"/>
        </w:rPr>
        <w:t xml:space="preserve"> “Protein contour”, Saint Petersburg, Russia), which is used to quantitative determination of Human TNF-α in plasma, serum, and cultural fluids in concentr</w:t>
      </w:r>
      <w:r w:rsidR="00016CDD">
        <w:rPr>
          <w:sz w:val="28"/>
          <w:szCs w:val="28"/>
          <w:lang w:val="en-US"/>
        </w:rPr>
        <w:t xml:space="preserve">ations intervals 20-2000 </w:t>
      </w:r>
      <w:proofErr w:type="spellStart"/>
      <w:r w:rsidR="00016CDD">
        <w:rPr>
          <w:sz w:val="28"/>
          <w:szCs w:val="28"/>
          <w:lang w:val="en-US"/>
        </w:rPr>
        <w:t>pg</w:t>
      </w:r>
      <w:proofErr w:type="spellEnd"/>
      <w:r w:rsidR="00016CDD">
        <w:rPr>
          <w:sz w:val="28"/>
          <w:szCs w:val="28"/>
          <w:lang w:val="en-US"/>
        </w:rPr>
        <w:t xml:space="preserve">/ml. </w:t>
      </w:r>
      <w:r w:rsidRPr="00962BEE">
        <w:rPr>
          <w:sz w:val="28"/>
          <w:szCs w:val="28"/>
          <w:lang w:val="en-US"/>
        </w:rPr>
        <w:t xml:space="preserve">According to this method normal serum blood TNF-α </w:t>
      </w:r>
      <w:proofErr w:type="gramStart"/>
      <w:r w:rsidRPr="00962BEE">
        <w:rPr>
          <w:sz w:val="28"/>
          <w:szCs w:val="28"/>
          <w:lang w:val="en-US"/>
        </w:rPr>
        <w:t>levels</w:t>
      </w:r>
      <w:proofErr w:type="gramEnd"/>
      <w:r w:rsidRPr="00962BEE">
        <w:rPr>
          <w:sz w:val="28"/>
          <w:szCs w:val="28"/>
          <w:lang w:val="en-US"/>
        </w:rPr>
        <w:t xml:space="preserve"> usually don’t exceed 50 </w:t>
      </w:r>
      <w:proofErr w:type="spellStart"/>
      <w:r w:rsidRPr="00962BEE">
        <w:rPr>
          <w:sz w:val="28"/>
          <w:szCs w:val="28"/>
          <w:lang w:val="en-US"/>
        </w:rPr>
        <w:t>pg</w:t>
      </w:r>
      <w:proofErr w:type="spellEnd"/>
      <w:r w:rsidRPr="00962BEE">
        <w:rPr>
          <w:sz w:val="28"/>
          <w:szCs w:val="28"/>
          <w:lang w:val="en-US"/>
        </w:rPr>
        <w:t xml:space="preserve">/ml. </w:t>
      </w:r>
    </w:p>
    <w:p w:rsidR="005548AC" w:rsidRPr="00962BEE" w:rsidRDefault="005548AC" w:rsidP="00016CDD">
      <w:pPr>
        <w:pStyle w:val="BodyText2"/>
        <w:spacing w:after="0" w:line="360" w:lineRule="auto"/>
        <w:ind w:firstLine="708"/>
        <w:jc w:val="both"/>
        <w:rPr>
          <w:sz w:val="28"/>
          <w:szCs w:val="28"/>
          <w:lang w:val="en-US"/>
        </w:rPr>
      </w:pPr>
      <w:r w:rsidRPr="00962BEE">
        <w:rPr>
          <w:sz w:val="28"/>
          <w:szCs w:val="28"/>
          <w:lang w:val="en-US"/>
        </w:rPr>
        <w:t>Determination of tumor necrosis factor-α soluble receptors type 1 (sTNF-R1) was done by ELISA (</w:t>
      </w:r>
      <w:proofErr w:type="spellStart"/>
      <w:r w:rsidRPr="00962BEE">
        <w:rPr>
          <w:sz w:val="28"/>
          <w:szCs w:val="28"/>
          <w:lang w:val="en-US"/>
        </w:rPr>
        <w:t>sTNF</w:t>
      </w:r>
      <w:proofErr w:type="spellEnd"/>
      <w:r w:rsidRPr="00962BEE">
        <w:rPr>
          <w:sz w:val="28"/>
          <w:szCs w:val="28"/>
          <w:lang w:val="uk-UA"/>
        </w:rPr>
        <w:t>-</w:t>
      </w:r>
      <w:r w:rsidRPr="00962BEE">
        <w:rPr>
          <w:sz w:val="28"/>
          <w:szCs w:val="28"/>
          <w:lang w:val="en-US"/>
        </w:rPr>
        <w:t>RI</w:t>
      </w:r>
      <w:r w:rsidRPr="00962BEE">
        <w:rPr>
          <w:sz w:val="28"/>
          <w:szCs w:val="28"/>
          <w:lang w:val="uk-UA"/>
        </w:rPr>
        <w:t xml:space="preserve"> </w:t>
      </w:r>
      <w:r w:rsidRPr="00962BEE">
        <w:rPr>
          <w:sz w:val="28"/>
          <w:szCs w:val="28"/>
          <w:lang w:val="en-US"/>
        </w:rPr>
        <w:t xml:space="preserve">EASIA, </w:t>
      </w:r>
      <w:r w:rsidRPr="00962BEE">
        <w:rPr>
          <w:sz w:val="28"/>
          <w:szCs w:val="28"/>
          <w:lang w:val="uk-UA"/>
        </w:rPr>
        <w:t>BioSource Europe S.</w:t>
      </w:r>
      <w:r w:rsidRPr="00962BEE">
        <w:rPr>
          <w:sz w:val="28"/>
          <w:szCs w:val="28"/>
          <w:lang w:val="en-US"/>
        </w:rPr>
        <w:t>A</w:t>
      </w:r>
      <w:r w:rsidRPr="00962BEE">
        <w:rPr>
          <w:sz w:val="28"/>
          <w:szCs w:val="28"/>
          <w:lang w:val="uk-UA"/>
        </w:rPr>
        <w:t xml:space="preserve">., </w:t>
      </w:r>
      <w:r w:rsidRPr="00962BEE">
        <w:rPr>
          <w:sz w:val="28"/>
          <w:szCs w:val="28"/>
          <w:lang w:val="en-US"/>
        </w:rPr>
        <w:t>Belgium</w:t>
      </w:r>
      <w:r w:rsidRPr="00962BEE">
        <w:rPr>
          <w:sz w:val="28"/>
          <w:szCs w:val="28"/>
          <w:lang w:val="uk-UA"/>
        </w:rPr>
        <w:t xml:space="preserve">). </w:t>
      </w:r>
      <w:r w:rsidRPr="00962BEE">
        <w:rPr>
          <w:sz w:val="28"/>
          <w:szCs w:val="28"/>
          <w:lang w:val="en-US"/>
        </w:rPr>
        <w:t xml:space="preserve"> Reagents kit is used to human sTNF-R1 quantitative analysis in serum, plasma, cellular cultures</w:t>
      </w:r>
      <w:r w:rsidR="00016CDD">
        <w:rPr>
          <w:sz w:val="28"/>
          <w:szCs w:val="28"/>
          <w:lang w:val="en-US"/>
        </w:rPr>
        <w:t xml:space="preserve"> and others biological fluids. </w:t>
      </w:r>
      <w:r w:rsidRPr="00962BEE">
        <w:rPr>
          <w:sz w:val="28"/>
          <w:szCs w:val="28"/>
          <w:lang w:val="en-US"/>
        </w:rPr>
        <w:t xml:space="preserve">According to this method normal sTNF-R1 level that was assessed in 129 healthy persons vary from 0.3 ng/ml </w:t>
      </w:r>
      <w:proofErr w:type="gramStart"/>
      <w:r w:rsidRPr="00962BEE">
        <w:rPr>
          <w:sz w:val="28"/>
          <w:szCs w:val="28"/>
          <w:lang w:val="en-US"/>
        </w:rPr>
        <w:t>to 2.9 ng/ml</w:t>
      </w:r>
      <w:proofErr w:type="gramEnd"/>
      <w:r w:rsidRPr="00962BEE">
        <w:rPr>
          <w:sz w:val="28"/>
          <w:szCs w:val="28"/>
          <w:lang w:val="en-US"/>
        </w:rPr>
        <w:t xml:space="preserve">, 1.2±0.6 ng/ml in average.  </w:t>
      </w:r>
    </w:p>
    <w:p w:rsidR="005548AC" w:rsidRPr="00962BEE" w:rsidRDefault="005548AC" w:rsidP="005548AC">
      <w:pPr>
        <w:pStyle w:val="BodyText2"/>
        <w:spacing w:after="0" w:line="360" w:lineRule="auto"/>
        <w:ind w:firstLine="708"/>
        <w:jc w:val="both"/>
        <w:rPr>
          <w:sz w:val="28"/>
          <w:szCs w:val="28"/>
          <w:lang w:val="en-US"/>
        </w:rPr>
      </w:pPr>
      <w:r w:rsidRPr="00962BEE">
        <w:rPr>
          <w:sz w:val="28"/>
          <w:szCs w:val="28"/>
          <w:lang w:val="en-US"/>
        </w:rPr>
        <w:t xml:space="preserve">Plasma </w:t>
      </w:r>
      <w:proofErr w:type="spellStart"/>
      <w:r w:rsidRPr="00962BEE">
        <w:rPr>
          <w:sz w:val="28"/>
          <w:szCs w:val="28"/>
          <w:lang w:val="en-US"/>
        </w:rPr>
        <w:t>sFasL</w:t>
      </w:r>
      <w:proofErr w:type="spellEnd"/>
      <w:r w:rsidRPr="00962BEE">
        <w:rPr>
          <w:sz w:val="28"/>
          <w:szCs w:val="28"/>
          <w:lang w:val="en-US"/>
        </w:rPr>
        <w:t xml:space="preserve"> levels were measured by test-system </w:t>
      </w:r>
      <w:r w:rsidRPr="00962BEE">
        <w:rPr>
          <w:sz w:val="28"/>
          <w:szCs w:val="28"/>
          <w:lang w:val="uk-UA"/>
        </w:rPr>
        <w:t>“</w:t>
      </w:r>
      <w:r w:rsidRPr="00962BEE">
        <w:rPr>
          <w:sz w:val="28"/>
          <w:szCs w:val="28"/>
          <w:lang w:val="en-US"/>
        </w:rPr>
        <w:t>human</w:t>
      </w:r>
      <w:r w:rsidRPr="00962BEE">
        <w:rPr>
          <w:sz w:val="28"/>
          <w:szCs w:val="28"/>
          <w:lang w:val="uk-UA"/>
        </w:rPr>
        <w:t xml:space="preserve"> </w:t>
      </w:r>
      <w:proofErr w:type="spellStart"/>
      <w:r w:rsidRPr="00962BEE">
        <w:rPr>
          <w:sz w:val="28"/>
          <w:szCs w:val="28"/>
          <w:lang w:val="en-US"/>
        </w:rPr>
        <w:t>sFas</w:t>
      </w:r>
      <w:proofErr w:type="spellEnd"/>
      <w:r w:rsidRPr="00962BEE">
        <w:rPr>
          <w:sz w:val="28"/>
          <w:szCs w:val="28"/>
          <w:lang w:val="uk-UA"/>
        </w:rPr>
        <w:t xml:space="preserve"> </w:t>
      </w:r>
      <w:r w:rsidRPr="00962BEE">
        <w:rPr>
          <w:sz w:val="28"/>
          <w:szCs w:val="28"/>
          <w:lang w:val="en-US"/>
        </w:rPr>
        <w:t>Ligand</w:t>
      </w:r>
      <w:r w:rsidRPr="00962BEE">
        <w:rPr>
          <w:sz w:val="28"/>
          <w:szCs w:val="28"/>
          <w:lang w:val="uk-UA"/>
        </w:rPr>
        <w:t xml:space="preserve"> </w:t>
      </w:r>
      <w:r w:rsidRPr="00962BEE">
        <w:rPr>
          <w:sz w:val="28"/>
          <w:szCs w:val="28"/>
          <w:lang w:val="en-US"/>
        </w:rPr>
        <w:t>ELISA</w:t>
      </w:r>
      <w:r w:rsidRPr="00962BEE">
        <w:rPr>
          <w:sz w:val="28"/>
          <w:szCs w:val="28"/>
          <w:lang w:val="uk-UA"/>
        </w:rPr>
        <w:t>” (</w:t>
      </w:r>
      <w:r w:rsidRPr="00962BEE">
        <w:rPr>
          <w:sz w:val="28"/>
          <w:szCs w:val="28"/>
          <w:lang w:val="en-US"/>
        </w:rPr>
        <w:t>Bender</w:t>
      </w:r>
      <w:r w:rsidRPr="00962BEE">
        <w:rPr>
          <w:sz w:val="28"/>
          <w:szCs w:val="28"/>
          <w:lang w:val="uk-UA"/>
        </w:rPr>
        <w:t xml:space="preserve"> </w:t>
      </w:r>
      <w:proofErr w:type="spellStart"/>
      <w:r w:rsidRPr="00962BEE">
        <w:rPr>
          <w:sz w:val="28"/>
          <w:szCs w:val="28"/>
          <w:lang w:val="en-US"/>
        </w:rPr>
        <w:t>MedSystems</w:t>
      </w:r>
      <w:proofErr w:type="spellEnd"/>
      <w:r w:rsidRPr="00962BEE">
        <w:rPr>
          <w:sz w:val="28"/>
          <w:szCs w:val="28"/>
          <w:lang w:val="uk-UA"/>
        </w:rPr>
        <w:t xml:space="preserve">, </w:t>
      </w:r>
      <w:r w:rsidRPr="00962BEE">
        <w:rPr>
          <w:sz w:val="28"/>
          <w:szCs w:val="28"/>
          <w:lang w:val="en-US"/>
        </w:rPr>
        <w:t>Vienna</w:t>
      </w:r>
      <w:r w:rsidRPr="00962BEE">
        <w:rPr>
          <w:sz w:val="28"/>
          <w:szCs w:val="28"/>
          <w:lang w:val="uk-UA"/>
        </w:rPr>
        <w:t xml:space="preserve">, </w:t>
      </w:r>
      <w:r w:rsidRPr="00962BEE">
        <w:rPr>
          <w:sz w:val="28"/>
          <w:szCs w:val="28"/>
          <w:lang w:val="en-US"/>
        </w:rPr>
        <w:t>Austria</w:t>
      </w:r>
      <w:r w:rsidRPr="00962BEE">
        <w:rPr>
          <w:sz w:val="28"/>
          <w:szCs w:val="28"/>
          <w:lang w:val="uk-UA"/>
        </w:rPr>
        <w:t>).</w:t>
      </w:r>
      <w:r w:rsidRPr="00962BEE">
        <w:rPr>
          <w:sz w:val="28"/>
          <w:szCs w:val="28"/>
          <w:lang w:val="en-US"/>
        </w:rPr>
        <w:t xml:space="preserve"> Assay kit is used to human </w:t>
      </w:r>
      <w:proofErr w:type="spellStart"/>
      <w:r w:rsidRPr="00962BEE">
        <w:rPr>
          <w:sz w:val="28"/>
          <w:szCs w:val="28"/>
          <w:lang w:val="en-US"/>
        </w:rPr>
        <w:t>sFasL</w:t>
      </w:r>
      <w:proofErr w:type="spellEnd"/>
      <w:r w:rsidRPr="00962BEE">
        <w:rPr>
          <w:sz w:val="28"/>
          <w:szCs w:val="28"/>
          <w:lang w:val="en-US"/>
        </w:rPr>
        <w:t xml:space="preserve"> quantitative analysis in such solutions as supernatants or fluids of human organisms by </w:t>
      </w:r>
      <w:r w:rsidRPr="00962BEE">
        <w:rPr>
          <w:b/>
          <w:sz w:val="28"/>
          <w:szCs w:val="28"/>
          <w:lang w:val="en-US"/>
        </w:rPr>
        <w:t>E</w:t>
      </w:r>
      <w:r w:rsidRPr="00962BEE">
        <w:rPr>
          <w:sz w:val="28"/>
          <w:szCs w:val="28"/>
          <w:lang w:val="en-US"/>
        </w:rPr>
        <w:t>nzyme</w:t>
      </w:r>
      <w:r w:rsidRPr="00962BEE">
        <w:rPr>
          <w:sz w:val="28"/>
          <w:szCs w:val="28"/>
          <w:lang w:val="uk-UA"/>
        </w:rPr>
        <w:t>-</w:t>
      </w:r>
      <w:r w:rsidRPr="00962BEE">
        <w:rPr>
          <w:b/>
          <w:sz w:val="28"/>
          <w:szCs w:val="28"/>
          <w:lang w:val="en-US"/>
        </w:rPr>
        <w:t>L</w:t>
      </w:r>
      <w:r w:rsidRPr="00962BEE">
        <w:rPr>
          <w:sz w:val="28"/>
          <w:szCs w:val="28"/>
          <w:lang w:val="en-US"/>
        </w:rPr>
        <w:t>inked</w:t>
      </w:r>
      <w:r w:rsidRPr="00962BEE">
        <w:rPr>
          <w:sz w:val="28"/>
          <w:szCs w:val="28"/>
          <w:lang w:val="uk-UA"/>
        </w:rPr>
        <w:t xml:space="preserve"> </w:t>
      </w:r>
      <w:proofErr w:type="spellStart"/>
      <w:r w:rsidRPr="00962BEE">
        <w:rPr>
          <w:b/>
          <w:sz w:val="28"/>
          <w:szCs w:val="28"/>
          <w:lang w:val="en-US"/>
        </w:rPr>
        <w:t>I</w:t>
      </w:r>
      <w:r w:rsidRPr="00962BEE">
        <w:rPr>
          <w:sz w:val="28"/>
          <w:szCs w:val="28"/>
          <w:lang w:val="en-US"/>
        </w:rPr>
        <w:t>mmunosorbent</w:t>
      </w:r>
      <w:proofErr w:type="spellEnd"/>
      <w:r w:rsidRPr="00962BEE">
        <w:rPr>
          <w:sz w:val="28"/>
          <w:szCs w:val="28"/>
          <w:lang w:val="uk-UA"/>
        </w:rPr>
        <w:t xml:space="preserve"> </w:t>
      </w:r>
      <w:r w:rsidRPr="00962BEE">
        <w:rPr>
          <w:b/>
          <w:sz w:val="28"/>
          <w:szCs w:val="28"/>
          <w:lang w:val="en-US"/>
        </w:rPr>
        <w:t>A</w:t>
      </w:r>
      <w:r w:rsidRPr="00962BEE">
        <w:rPr>
          <w:sz w:val="28"/>
          <w:szCs w:val="28"/>
          <w:lang w:val="en-US"/>
        </w:rPr>
        <w:t>ssay</w:t>
      </w:r>
      <w:r w:rsidRPr="00962BEE">
        <w:rPr>
          <w:sz w:val="28"/>
          <w:szCs w:val="28"/>
          <w:lang w:val="uk-UA"/>
        </w:rPr>
        <w:t xml:space="preserve"> – </w:t>
      </w:r>
      <w:r w:rsidRPr="00962BEE">
        <w:rPr>
          <w:sz w:val="28"/>
          <w:szCs w:val="28"/>
          <w:lang w:val="en-US"/>
        </w:rPr>
        <w:t>ELISA</w:t>
      </w:r>
      <w:r w:rsidRPr="00962BEE">
        <w:rPr>
          <w:sz w:val="28"/>
          <w:szCs w:val="28"/>
          <w:lang w:val="uk-UA"/>
        </w:rPr>
        <w:t>.</w:t>
      </w:r>
    </w:p>
    <w:p w:rsidR="005548AC" w:rsidRPr="00016CDD" w:rsidRDefault="005548AC" w:rsidP="00016CDD">
      <w:pPr>
        <w:pStyle w:val="BodyText2"/>
        <w:spacing w:after="0" w:line="360" w:lineRule="auto"/>
        <w:ind w:firstLine="708"/>
        <w:jc w:val="both"/>
        <w:rPr>
          <w:sz w:val="28"/>
          <w:szCs w:val="28"/>
          <w:lang w:val="en-US"/>
        </w:rPr>
      </w:pPr>
      <w:r w:rsidRPr="00962BEE">
        <w:rPr>
          <w:sz w:val="28"/>
          <w:szCs w:val="28"/>
          <w:lang w:val="en-US"/>
        </w:rPr>
        <w:t xml:space="preserve">Statistical analysis was conducted according to rules of medico-biological information assessment after creation of data base in program </w:t>
      </w:r>
      <w:r w:rsidRPr="00962BEE">
        <w:rPr>
          <w:sz w:val="28"/>
          <w:szCs w:val="28"/>
          <w:lang w:val="en-GB"/>
        </w:rPr>
        <w:t>Microsoft</w:t>
      </w:r>
      <w:r w:rsidRPr="00962BEE">
        <w:rPr>
          <w:sz w:val="28"/>
          <w:szCs w:val="28"/>
          <w:vertAlign w:val="superscript"/>
          <w:lang w:val="en-US"/>
        </w:rPr>
        <w:t>®</w:t>
      </w:r>
      <w:r w:rsidRPr="00962BEE">
        <w:rPr>
          <w:sz w:val="28"/>
          <w:szCs w:val="28"/>
          <w:lang w:val="en-US"/>
        </w:rPr>
        <w:t xml:space="preserve"> Excel.</w:t>
      </w:r>
      <w:r w:rsidRPr="00962BEE">
        <w:rPr>
          <w:sz w:val="28"/>
          <w:szCs w:val="28"/>
          <w:lang w:val="uk-UA"/>
        </w:rPr>
        <w:t xml:space="preserve"> </w:t>
      </w:r>
      <w:r w:rsidRPr="00962BEE">
        <w:rPr>
          <w:sz w:val="28"/>
          <w:szCs w:val="28"/>
          <w:lang w:val="en-US"/>
        </w:rPr>
        <w:t>Parametric and nonparametric statistical methods were used. Continuous variables are presented as average mean (M) and standard error (SE) and were tested using Student’s t-test. To analyze relationships between examined parameters correlation analysis was conducted. All tests were two-sided and considered statistically significant at p&lt;0.05. Odds ratios are reported with 95% confidence intervals.</w:t>
      </w:r>
      <w:r w:rsidR="00016CDD">
        <w:rPr>
          <w:sz w:val="28"/>
          <w:szCs w:val="28"/>
          <w:lang w:val="en-US"/>
        </w:rPr>
        <w:t xml:space="preserve"> </w:t>
      </w:r>
      <w:r w:rsidRPr="00962BEE">
        <w:rPr>
          <w:sz w:val="28"/>
          <w:szCs w:val="28"/>
          <w:lang w:val="en-US"/>
        </w:rPr>
        <w:t xml:space="preserve">Data analyses were performed using computer program </w:t>
      </w:r>
      <w:r w:rsidRPr="00962BEE">
        <w:rPr>
          <w:sz w:val="28"/>
          <w:szCs w:val="28"/>
          <w:lang w:val="uk-UA"/>
        </w:rPr>
        <w:t>„</w:t>
      </w:r>
      <w:r w:rsidRPr="00962BEE">
        <w:rPr>
          <w:sz w:val="28"/>
          <w:szCs w:val="28"/>
          <w:lang w:val="en-US"/>
        </w:rPr>
        <w:t>STATISTICA</w:t>
      </w:r>
      <w:r w:rsidRPr="00962BEE">
        <w:rPr>
          <w:sz w:val="28"/>
          <w:szCs w:val="28"/>
          <w:lang w:val="uk-UA"/>
        </w:rPr>
        <w:t xml:space="preserve"> </w:t>
      </w:r>
      <w:r w:rsidRPr="00962BEE">
        <w:rPr>
          <w:sz w:val="28"/>
          <w:szCs w:val="28"/>
          <w:lang w:val="en-US"/>
        </w:rPr>
        <w:t>7</w:t>
      </w:r>
      <w:r w:rsidRPr="00962BEE">
        <w:rPr>
          <w:sz w:val="28"/>
          <w:szCs w:val="28"/>
          <w:lang w:val="uk-UA"/>
        </w:rPr>
        <w:t xml:space="preserve">.0” </w:t>
      </w:r>
      <w:r w:rsidRPr="00962BEE">
        <w:rPr>
          <w:sz w:val="28"/>
          <w:szCs w:val="28"/>
          <w:lang w:val="en-US"/>
        </w:rPr>
        <w:t>for</w:t>
      </w:r>
      <w:r w:rsidRPr="00962BEE">
        <w:rPr>
          <w:sz w:val="28"/>
          <w:szCs w:val="28"/>
          <w:lang w:val="uk-UA"/>
        </w:rPr>
        <w:t xml:space="preserve"> </w:t>
      </w:r>
      <w:r w:rsidRPr="00962BEE">
        <w:rPr>
          <w:sz w:val="28"/>
          <w:szCs w:val="28"/>
          <w:lang w:val="en-US"/>
        </w:rPr>
        <w:t>Windows</w:t>
      </w:r>
      <w:r w:rsidRPr="00962BEE">
        <w:rPr>
          <w:spacing w:val="-6"/>
          <w:sz w:val="28"/>
          <w:lang w:val="uk-UA"/>
        </w:rPr>
        <w:t xml:space="preserve"> (</w:t>
      </w:r>
      <w:r w:rsidRPr="00962BEE">
        <w:rPr>
          <w:spacing w:val="-6"/>
          <w:sz w:val="28"/>
          <w:lang w:val="en-US"/>
        </w:rPr>
        <w:t>Stat</w:t>
      </w:r>
      <w:r w:rsidRPr="00962BEE">
        <w:rPr>
          <w:spacing w:val="-6"/>
          <w:sz w:val="28"/>
          <w:lang w:val="uk-UA"/>
        </w:rPr>
        <w:t xml:space="preserve"> </w:t>
      </w:r>
      <w:r w:rsidRPr="00962BEE">
        <w:rPr>
          <w:spacing w:val="-6"/>
          <w:sz w:val="28"/>
          <w:lang w:val="en-US"/>
        </w:rPr>
        <w:t>Soft</w:t>
      </w:r>
      <w:r w:rsidRPr="00962BEE">
        <w:rPr>
          <w:spacing w:val="-6"/>
          <w:sz w:val="28"/>
          <w:lang w:val="uk-UA"/>
        </w:rPr>
        <w:t xml:space="preserve"> </w:t>
      </w:r>
      <w:proofErr w:type="spellStart"/>
      <w:r w:rsidRPr="00962BEE">
        <w:rPr>
          <w:spacing w:val="-6"/>
          <w:sz w:val="28"/>
          <w:lang w:val="en-US"/>
        </w:rPr>
        <w:t>Inc</w:t>
      </w:r>
      <w:proofErr w:type="spellEnd"/>
      <w:r w:rsidRPr="00962BEE">
        <w:rPr>
          <w:spacing w:val="-6"/>
          <w:sz w:val="28"/>
          <w:lang w:val="uk-UA"/>
        </w:rPr>
        <w:t xml:space="preserve">., </w:t>
      </w:r>
      <w:r w:rsidRPr="00962BEE">
        <w:rPr>
          <w:spacing w:val="-6"/>
          <w:sz w:val="28"/>
          <w:lang w:val="en-US"/>
        </w:rPr>
        <w:t>USA</w:t>
      </w:r>
      <w:r w:rsidRPr="00962BEE">
        <w:rPr>
          <w:spacing w:val="-6"/>
          <w:sz w:val="28"/>
          <w:lang w:val="uk-UA"/>
        </w:rPr>
        <w:t>)</w:t>
      </w:r>
      <w:r w:rsidRPr="00962BEE">
        <w:rPr>
          <w:spacing w:val="-6"/>
          <w:sz w:val="28"/>
          <w:lang w:val="en-US"/>
        </w:rPr>
        <w:t>.</w:t>
      </w:r>
      <w:r w:rsidRPr="00962BEE">
        <w:rPr>
          <w:sz w:val="28"/>
          <w:szCs w:val="28"/>
          <w:lang w:val="uk-UA"/>
        </w:rPr>
        <w:t xml:space="preserve"> </w:t>
      </w:r>
    </w:p>
    <w:p w:rsidR="005548AC" w:rsidRPr="00962BEE" w:rsidRDefault="005548AC" w:rsidP="005548AC">
      <w:pPr>
        <w:spacing w:after="0" w:line="360" w:lineRule="auto"/>
        <w:ind w:firstLine="709"/>
        <w:jc w:val="both"/>
        <w:rPr>
          <w:rFonts w:ascii="Times New Roman" w:hAnsi="Times New Roman"/>
          <w:sz w:val="28"/>
          <w:szCs w:val="28"/>
          <w:lang w:val="uk-UA"/>
        </w:rPr>
      </w:pPr>
      <w:r>
        <w:rPr>
          <w:rFonts w:ascii="Times New Roman" w:hAnsi="Times New Roman"/>
          <w:noProof/>
        </w:rPr>
        <w:lastRenderedPageBreak/>
        <w:drawing>
          <wp:anchor distT="0" distB="0" distL="114300" distR="114300" simplePos="0" relativeHeight="251671552" behindDoc="0" locked="0" layoutInCell="1" allowOverlap="1">
            <wp:simplePos x="0" y="0"/>
            <wp:positionH relativeFrom="column">
              <wp:posOffset>4445</wp:posOffset>
            </wp:positionH>
            <wp:positionV relativeFrom="paragraph">
              <wp:posOffset>1203960</wp:posOffset>
            </wp:positionV>
            <wp:extent cx="5581650" cy="38766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BEE">
        <w:rPr>
          <w:rFonts w:ascii="Times New Roman" w:hAnsi="Times New Roman"/>
          <w:sz w:val="28"/>
          <w:szCs w:val="28"/>
        </w:rPr>
        <w:t xml:space="preserve">Hemodynamic overload causes hyperactivity of </w:t>
      </w:r>
      <w:proofErr w:type="spellStart"/>
      <w:r w:rsidRPr="00962BEE">
        <w:rPr>
          <w:rFonts w:ascii="Times New Roman" w:hAnsi="Times New Roman"/>
          <w:sz w:val="28"/>
          <w:szCs w:val="28"/>
        </w:rPr>
        <w:t>proinflammatory</w:t>
      </w:r>
      <w:proofErr w:type="spellEnd"/>
      <w:r w:rsidRPr="00962BEE">
        <w:rPr>
          <w:rFonts w:ascii="Times New Roman" w:hAnsi="Times New Roman"/>
          <w:sz w:val="28"/>
          <w:szCs w:val="28"/>
        </w:rPr>
        <w:t xml:space="preserve"> cytokines that can initiate apoptosis cascade. In order to confirm this hypothesis, patients were divided into 3 groups depend on AH degree: 1 group (n</w:t>
      </w:r>
      <w:r w:rsidRPr="00962BEE">
        <w:rPr>
          <w:rFonts w:ascii="Times New Roman" w:hAnsi="Times New Roman"/>
          <w:sz w:val="28"/>
          <w:szCs w:val="28"/>
          <w:lang w:val="uk-UA"/>
        </w:rPr>
        <w:t xml:space="preserve">=18) – 1 </w:t>
      </w:r>
      <w:r w:rsidRPr="00962BEE">
        <w:rPr>
          <w:rFonts w:ascii="Times New Roman" w:hAnsi="Times New Roman"/>
          <w:sz w:val="28"/>
          <w:szCs w:val="28"/>
        </w:rPr>
        <w:t>degree AH</w:t>
      </w:r>
      <w:r w:rsidRPr="00962BEE">
        <w:rPr>
          <w:rFonts w:ascii="Times New Roman" w:hAnsi="Times New Roman"/>
          <w:sz w:val="28"/>
          <w:szCs w:val="28"/>
          <w:lang w:val="uk-UA"/>
        </w:rPr>
        <w:t xml:space="preserve">, 2 </w:t>
      </w:r>
      <w:r w:rsidRPr="00962BEE">
        <w:rPr>
          <w:rFonts w:ascii="Times New Roman" w:hAnsi="Times New Roman"/>
          <w:sz w:val="28"/>
          <w:szCs w:val="28"/>
        </w:rPr>
        <w:t xml:space="preserve">group </w:t>
      </w:r>
      <w:r w:rsidRPr="00962BEE">
        <w:rPr>
          <w:rFonts w:ascii="Times New Roman" w:hAnsi="Times New Roman"/>
          <w:sz w:val="28"/>
          <w:szCs w:val="28"/>
          <w:lang w:val="uk-UA"/>
        </w:rPr>
        <w:t>(</w:t>
      </w:r>
      <w:r w:rsidRPr="00962BEE">
        <w:rPr>
          <w:rFonts w:ascii="Times New Roman" w:hAnsi="Times New Roman"/>
          <w:sz w:val="28"/>
          <w:szCs w:val="28"/>
        </w:rPr>
        <w:t>n</w:t>
      </w:r>
      <w:r w:rsidRPr="00962BEE">
        <w:rPr>
          <w:rFonts w:ascii="Times New Roman" w:hAnsi="Times New Roman"/>
          <w:sz w:val="28"/>
          <w:szCs w:val="28"/>
          <w:lang w:val="uk-UA"/>
        </w:rPr>
        <w:t xml:space="preserve">=25) – 2 </w:t>
      </w:r>
      <w:r w:rsidRPr="00962BEE">
        <w:rPr>
          <w:rFonts w:ascii="Times New Roman" w:hAnsi="Times New Roman"/>
          <w:sz w:val="28"/>
          <w:szCs w:val="28"/>
        </w:rPr>
        <w:t>degree AH</w:t>
      </w:r>
      <w:r w:rsidRPr="00962BEE">
        <w:rPr>
          <w:rFonts w:ascii="Times New Roman" w:hAnsi="Times New Roman"/>
          <w:sz w:val="28"/>
          <w:szCs w:val="28"/>
          <w:lang w:val="uk-UA"/>
        </w:rPr>
        <w:t xml:space="preserve">, 3 </w:t>
      </w:r>
      <w:r w:rsidRPr="00962BEE">
        <w:rPr>
          <w:rFonts w:ascii="Times New Roman" w:hAnsi="Times New Roman"/>
          <w:sz w:val="28"/>
          <w:szCs w:val="28"/>
        </w:rPr>
        <w:t xml:space="preserve">group </w:t>
      </w:r>
      <w:r w:rsidRPr="00962BEE">
        <w:rPr>
          <w:rFonts w:ascii="Times New Roman" w:hAnsi="Times New Roman"/>
          <w:sz w:val="28"/>
          <w:szCs w:val="28"/>
          <w:lang w:val="uk-UA"/>
        </w:rPr>
        <w:t>(</w:t>
      </w:r>
      <w:r w:rsidRPr="00962BEE">
        <w:rPr>
          <w:rFonts w:ascii="Times New Roman" w:hAnsi="Times New Roman"/>
          <w:sz w:val="28"/>
          <w:szCs w:val="28"/>
        </w:rPr>
        <w:t>n</w:t>
      </w:r>
      <w:r w:rsidRPr="00962BEE">
        <w:rPr>
          <w:rFonts w:ascii="Times New Roman" w:hAnsi="Times New Roman"/>
          <w:sz w:val="28"/>
          <w:szCs w:val="28"/>
          <w:lang w:val="uk-UA"/>
        </w:rPr>
        <w:t xml:space="preserve">=35) – 3 </w:t>
      </w:r>
      <w:r w:rsidRPr="00962BEE">
        <w:rPr>
          <w:rFonts w:ascii="Times New Roman" w:hAnsi="Times New Roman"/>
          <w:sz w:val="28"/>
          <w:szCs w:val="28"/>
        </w:rPr>
        <w:t>degree AH</w:t>
      </w:r>
      <w:r w:rsidRPr="00962BEE">
        <w:rPr>
          <w:rFonts w:ascii="Times New Roman" w:hAnsi="Times New Roman"/>
          <w:sz w:val="28"/>
          <w:szCs w:val="28"/>
          <w:lang w:val="uk-UA"/>
        </w:rPr>
        <w:t xml:space="preserve"> (</w:t>
      </w:r>
      <w:r w:rsidRPr="00962BEE">
        <w:rPr>
          <w:rFonts w:ascii="Times New Roman" w:hAnsi="Times New Roman"/>
          <w:sz w:val="28"/>
          <w:szCs w:val="28"/>
        </w:rPr>
        <w:t>Figure</w:t>
      </w:r>
      <w:r w:rsidRPr="00962BEE">
        <w:rPr>
          <w:rFonts w:ascii="Times New Roman" w:hAnsi="Times New Roman"/>
          <w:sz w:val="28"/>
          <w:szCs w:val="28"/>
          <w:lang w:val="uk-UA"/>
        </w:rPr>
        <w:t xml:space="preserve"> </w:t>
      </w:r>
      <w:r w:rsidR="00016CDD">
        <w:rPr>
          <w:rFonts w:ascii="Times New Roman" w:hAnsi="Times New Roman"/>
          <w:sz w:val="28"/>
          <w:szCs w:val="28"/>
        </w:rPr>
        <w:t>5</w:t>
      </w:r>
      <w:r w:rsidRPr="00962BEE">
        <w:rPr>
          <w:rFonts w:ascii="Times New Roman" w:hAnsi="Times New Roman"/>
          <w:sz w:val="28"/>
          <w:szCs w:val="28"/>
          <w:lang w:val="uk-UA"/>
        </w:rPr>
        <w:t xml:space="preserve">). </w:t>
      </w: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jc w:val="both"/>
        <w:rPr>
          <w:rFonts w:ascii="Times New Roman" w:hAnsi="Times New Roman"/>
          <w:sz w:val="28"/>
          <w:szCs w:val="28"/>
          <w:lang w:val="uk-UA"/>
        </w:rPr>
      </w:pPr>
      <w:r w:rsidRPr="00962BEE">
        <w:rPr>
          <w:rFonts w:ascii="Times New Roman" w:hAnsi="Times New Roman"/>
          <w:sz w:val="28"/>
          <w:szCs w:val="28"/>
          <w:lang w:val="uk-UA"/>
        </w:rPr>
        <w:t xml:space="preserve">  </w:t>
      </w:r>
      <w:r w:rsidRPr="00962BEE">
        <w:rPr>
          <w:rFonts w:ascii="Times New Roman" w:hAnsi="Times New Roman"/>
          <w:b/>
          <w:sz w:val="28"/>
          <w:szCs w:val="28"/>
          <w:lang w:val="uk-UA"/>
        </w:rPr>
        <w:t xml:space="preserve"> </w:t>
      </w:r>
      <w:r w:rsidRPr="00962BEE">
        <w:rPr>
          <w:rFonts w:ascii="Times New Roman" w:hAnsi="Times New Roman"/>
          <w:b/>
          <w:sz w:val="28"/>
          <w:szCs w:val="28"/>
          <w:lang w:val="uk-UA"/>
        </w:rPr>
        <w:tab/>
      </w:r>
      <w:r w:rsidRPr="00962BEE">
        <w:rPr>
          <w:rFonts w:ascii="Times New Roman" w:hAnsi="Times New Roman"/>
          <w:sz w:val="28"/>
          <w:szCs w:val="28"/>
          <w:lang w:val="uk-UA"/>
        </w:rPr>
        <w:t xml:space="preserve">  </w:t>
      </w:r>
    </w:p>
    <w:p w:rsidR="005548AC" w:rsidRPr="00962BEE" w:rsidRDefault="005548AC" w:rsidP="005548AC">
      <w:pPr>
        <w:spacing w:after="0" w:line="360" w:lineRule="auto"/>
        <w:jc w:val="both"/>
        <w:rPr>
          <w:rFonts w:ascii="Times New Roman" w:hAnsi="Times New Roman"/>
          <w:sz w:val="28"/>
          <w:szCs w:val="28"/>
          <w:lang w:val="uk-UA"/>
        </w:rPr>
      </w:pPr>
    </w:p>
    <w:p w:rsidR="005548AC" w:rsidRPr="00962BEE" w:rsidRDefault="005548AC" w:rsidP="005548AC">
      <w:pPr>
        <w:spacing w:after="0" w:line="360" w:lineRule="auto"/>
        <w:jc w:val="both"/>
        <w:rPr>
          <w:rFonts w:ascii="Times New Roman" w:hAnsi="Times New Roman"/>
          <w:sz w:val="28"/>
          <w:szCs w:val="28"/>
          <w:lang w:val="uk-UA"/>
        </w:rPr>
      </w:pPr>
    </w:p>
    <w:p w:rsidR="005548AC" w:rsidRPr="00962BEE" w:rsidRDefault="005548AC" w:rsidP="005548AC">
      <w:pPr>
        <w:spacing w:after="0" w:line="360" w:lineRule="auto"/>
        <w:jc w:val="both"/>
        <w:rPr>
          <w:rFonts w:ascii="Times New Roman" w:hAnsi="Times New Roman"/>
          <w:sz w:val="28"/>
          <w:szCs w:val="28"/>
          <w:lang w:val="uk-UA"/>
        </w:rPr>
      </w:pPr>
    </w:p>
    <w:p w:rsidR="005548AC" w:rsidRPr="00962BEE" w:rsidRDefault="005548AC" w:rsidP="005548AC">
      <w:pPr>
        <w:spacing w:after="0" w:line="360" w:lineRule="auto"/>
        <w:jc w:val="both"/>
        <w:rPr>
          <w:rFonts w:ascii="Times New Roman" w:hAnsi="Times New Roman"/>
          <w:sz w:val="28"/>
          <w:szCs w:val="28"/>
          <w:lang w:val="uk-UA"/>
        </w:rPr>
      </w:pPr>
    </w:p>
    <w:p w:rsidR="005548AC" w:rsidRDefault="005548AC" w:rsidP="005548AC">
      <w:pPr>
        <w:spacing w:after="0" w:line="360" w:lineRule="auto"/>
        <w:jc w:val="both"/>
        <w:rPr>
          <w:rFonts w:ascii="Times New Roman" w:hAnsi="Times New Roman"/>
          <w:sz w:val="28"/>
          <w:szCs w:val="28"/>
        </w:rPr>
      </w:pPr>
    </w:p>
    <w:p w:rsidR="005548AC" w:rsidRDefault="005548AC" w:rsidP="005548AC">
      <w:pPr>
        <w:spacing w:after="0" w:line="360" w:lineRule="auto"/>
        <w:jc w:val="both"/>
        <w:rPr>
          <w:rFonts w:ascii="Times New Roman" w:hAnsi="Times New Roman"/>
          <w:sz w:val="28"/>
          <w:szCs w:val="28"/>
        </w:rPr>
      </w:pPr>
    </w:p>
    <w:p w:rsidR="005548AC" w:rsidRDefault="005548AC" w:rsidP="005548AC">
      <w:pPr>
        <w:spacing w:after="0" w:line="360" w:lineRule="auto"/>
        <w:jc w:val="both"/>
        <w:rPr>
          <w:rFonts w:ascii="Times New Roman" w:hAnsi="Times New Roman"/>
          <w:sz w:val="28"/>
          <w:szCs w:val="28"/>
        </w:rPr>
      </w:pPr>
    </w:p>
    <w:p w:rsidR="005548AC" w:rsidRDefault="005548AC" w:rsidP="005548AC">
      <w:pPr>
        <w:spacing w:after="0" w:line="360" w:lineRule="auto"/>
        <w:jc w:val="both"/>
        <w:rPr>
          <w:rFonts w:ascii="Times New Roman" w:hAnsi="Times New Roman"/>
          <w:sz w:val="28"/>
          <w:szCs w:val="28"/>
        </w:rPr>
      </w:pPr>
    </w:p>
    <w:p w:rsidR="005548AC" w:rsidRDefault="005548AC" w:rsidP="005548AC">
      <w:pPr>
        <w:spacing w:after="0" w:line="360" w:lineRule="auto"/>
        <w:jc w:val="both"/>
        <w:rPr>
          <w:rFonts w:ascii="Times New Roman" w:hAnsi="Times New Roman"/>
          <w:sz w:val="28"/>
          <w:szCs w:val="28"/>
        </w:rPr>
      </w:pPr>
    </w:p>
    <w:p w:rsidR="005548AC" w:rsidRPr="00A712FD" w:rsidRDefault="005548AC" w:rsidP="005548AC">
      <w:pPr>
        <w:spacing w:after="0" w:line="360" w:lineRule="auto"/>
        <w:jc w:val="both"/>
        <w:rPr>
          <w:rFonts w:ascii="Times New Roman" w:hAnsi="Times New Roman"/>
          <w:sz w:val="28"/>
          <w:szCs w:val="28"/>
        </w:rPr>
      </w:pPr>
    </w:p>
    <w:p w:rsidR="005548AC" w:rsidRPr="00962BEE" w:rsidRDefault="005548AC" w:rsidP="005548AC">
      <w:pPr>
        <w:spacing w:after="0" w:line="360" w:lineRule="auto"/>
        <w:jc w:val="both"/>
        <w:rPr>
          <w:rFonts w:ascii="Times New Roman" w:hAnsi="Times New Roman"/>
          <w:sz w:val="28"/>
          <w:szCs w:val="28"/>
        </w:rPr>
      </w:pPr>
    </w:p>
    <w:p w:rsidR="005548AC" w:rsidRPr="00962BEE" w:rsidRDefault="005548AC" w:rsidP="005548AC">
      <w:pPr>
        <w:spacing w:after="0" w:line="360" w:lineRule="auto"/>
        <w:jc w:val="center"/>
        <w:rPr>
          <w:rFonts w:ascii="Times New Roman" w:hAnsi="Times New Roman"/>
          <w:sz w:val="24"/>
          <w:szCs w:val="24"/>
        </w:rPr>
      </w:pPr>
      <w:proofErr w:type="gramStart"/>
      <w:r w:rsidRPr="00962BEE">
        <w:rPr>
          <w:rFonts w:ascii="Times New Roman" w:hAnsi="Times New Roman"/>
          <w:b/>
          <w:sz w:val="24"/>
          <w:szCs w:val="24"/>
        </w:rPr>
        <w:t xml:space="preserve">Figure </w:t>
      </w:r>
      <w:r w:rsidR="00016CDD">
        <w:rPr>
          <w:rFonts w:ascii="Times New Roman" w:hAnsi="Times New Roman"/>
          <w:b/>
          <w:sz w:val="24"/>
          <w:szCs w:val="24"/>
        </w:rPr>
        <w:t>5</w:t>
      </w:r>
      <w:r w:rsidRPr="00962BEE">
        <w:rPr>
          <w:rFonts w:ascii="Times New Roman" w:hAnsi="Times New Roman"/>
          <w:b/>
          <w:sz w:val="24"/>
          <w:szCs w:val="24"/>
        </w:rPr>
        <w:t>.</w:t>
      </w:r>
      <w:proofErr w:type="gramEnd"/>
      <w:r w:rsidRPr="00962BEE">
        <w:rPr>
          <w:rFonts w:ascii="Times New Roman" w:hAnsi="Times New Roman"/>
          <w:b/>
          <w:sz w:val="24"/>
          <w:szCs w:val="24"/>
        </w:rPr>
        <w:t xml:space="preserve"> </w:t>
      </w:r>
      <w:r w:rsidRPr="00962BEE">
        <w:rPr>
          <w:rFonts w:ascii="Times New Roman" w:hAnsi="Times New Roman"/>
          <w:sz w:val="24"/>
          <w:szCs w:val="24"/>
        </w:rPr>
        <w:t>Plasma TNF-a levels in healthy persons and patients depend on AH degree</w:t>
      </w:r>
    </w:p>
    <w:p w:rsidR="005548AC" w:rsidRPr="00962BEE" w:rsidRDefault="005548AC" w:rsidP="005548AC">
      <w:pPr>
        <w:spacing w:after="0" w:line="360" w:lineRule="auto"/>
        <w:jc w:val="both"/>
        <w:rPr>
          <w:rFonts w:ascii="Times New Roman" w:hAnsi="Times New Roman"/>
          <w:sz w:val="28"/>
          <w:szCs w:val="28"/>
          <w:lang w:val="uk-UA"/>
        </w:rPr>
      </w:pPr>
    </w:p>
    <w:p w:rsidR="005548AC" w:rsidRPr="00962BEE" w:rsidRDefault="005548AC" w:rsidP="005548AC">
      <w:pPr>
        <w:spacing w:after="0" w:line="360" w:lineRule="auto"/>
        <w:ind w:firstLine="709"/>
        <w:jc w:val="both"/>
        <w:rPr>
          <w:rFonts w:ascii="Times New Roman" w:hAnsi="Times New Roman"/>
          <w:sz w:val="28"/>
          <w:szCs w:val="28"/>
        </w:rPr>
      </w:pPr>
      <w:r w:rsidRPr="00962BEE">
        <w:rPr>
          <w:rFonts w:ascii="Times New Roman" w:hAnsi="Times New Roman"/>
          <w:sz w:val="28"/>
          <w:szCs w:val="28"/>
        </w:rPr>
        <w:t>It was found that plasma TNF-α levels in all groups patients were statistically higher than healthy normotensive persons levels (control vs 1 degree AH 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00006; </w:t>
      </w:r>
      <w:r w:rsidRPr="00962BEE">
        <w:rPr>
          <w:rFonts w:ascii="Times New Roman" w:hAnsi="Times New Roman"/>
          <w:sz w:val="28"/>
          <w:szCs w:val="28"/>
        </w:rPr>
        <w:t>vs</w:t>
      </w:r>
      <w:r w:rsidRPr="00962BEE">
        <w:rPr>
          <w:rFonts w:ascii="Times New Roman" w:hAnsi="Times New Roman"/>
          <w:sz w:val="28"/>
          <w:szCs w:val="28"/>
          <w:lang w:val="uk-UA"/>
        </w:rPr>
        <w:t xml:space="preserve"> 2 </w:t>
      </w:r>
      <w:r w:rsidRPr="00962BEE">
        <w:rPr>
          <w:rFonts w:ascii="Times New Roman" w:hAnsi="Times New Roman"/>
          <w:sz w:val="28"/>
          <w:szCs w:val="28"/>
        </w:rPr>
        <w:t>degree AH</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00006; </w:t>
      </w:r>
      <w:r w:rsidRPr="00962BEE">
        <w:rPr>
          <w:rFonts w:ascii="Times New Roman" w:hAnsi="Times New Roman"/>
          <w:sz w:val="28"/>
          <w:szCs w:val="28"/>
        </w:rPr>
        <w:t>vs</w:t>
      </w:r>
      <w:r w:rsidRPr="00962BEE">
        <w:rPr>
          <w:rFonts w:ascii="Times New Roman" w:hAnsi="Times New Roman"/>
          <w:sz w:val="28"/>
          <w:szCs w:val="28"/>
          <w:lang w:val="uk-UA"/>
        </w:rPr>
        <w:t xml:space="preserve"> 3 </w:t>
      </w:r>
      <w:r w:rsidRPr="00962BEE">
        <w:rPr>
          <w:rFonts w:ascii="Times New Roman" w:hAnsi="Times New Roman"/>
          <w:sz w:val="28"/>
          <w:szCs w:val="28"/>
        </w:rPr>
        <w:t>degree AH</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00005</w:t>
      </w:r>
      <w:r w:rsidRPr="00962BEE">
        <w:rPr>
          <w:rFonts w:ascii="Times New Roman" w:hAnsi="Times New Roman"/>
          <w:sz w:val="28"/>
          <w:szCs w:val="28"/>
        </w:rPr>
        <w:t>)</w:t>
      </w:r>
      <w:r w:rsidRPr="00962BEE">
        <w:rPr>
          <w:rFonts w:ascii="Times New Roman" w:hAnsi="Times New Roman"/>
          <w:sz w:val="28"/>
          <w:szCs w:val="28"/>
          <w:lang w:val="uk-UA"/>
        </w:rPr>
        <w:t xml:space="preserve">. </w:t>
      </w:r>
      <w:r w:rsidRPr="00962BEE">
        <w:rPr>
          <w:rFonts w:ascii="Times New Roman" w:hAnsi="Times New Roman"/>
          <w:sz w:val="28"/>
          <w:szCs w:val="28"/>
        </w:rPr>
        <w:t>Maximum</w:t>
      </w:r>
      <w:r w:rsidRPr="00962BEE">
        <w:rPr>
          <w:rFonts w:ascii="Times New Roman" w:hAnsi="Times New Roman"/>
          <w:sz w:val="28"/>
          <w:szCs w:val="28"/>
          <w:lang w:val="uk-UA"/>
        </w:rPr>
        <w:t xml:space="preserve"> </w:t>
      </w:r>
      <w:r w:rsidRPr="00962BEE">
        <w:rPr>
          <w:rFonts w:ascii="Times New Roman" w:hAnsi="Times New Roman"/>
          <w:sz w:val="28"/>
          <w:szCs w:val="28"/>
        </w:rPr>
        <w:t>mean</w:t>
      </w:r>
      <w:r w:rsidRPr="00962BEE">
        <w:rPr>
          <w:rFonts w:ascii="Times New Roman" w:hAnsi="Times New Roman"/>
          <w:sz w:val="28"/>
          <w:szCs w:val="28"/>
          <w:lang w:val="uk-UA"/>
        </w:rPr>
        <w:t xml:space="preserve"> </w:t>
      </w:r>
      <w:r w:rsidRPr="00962BEE">
        <w:rPr>
          <w:rFonts w:ascii="Times New Roman" w:hAnsi="Times New Roman"/>
          <w:sz w:val="28"/>
          <w:szCs w:val="28"/>
        </w:rPr>
        <w:t>of</w:t>
      </w:r>
      <w:r w:rsidRPr="00962BEE">
        <w:rPr>
          <w:rFonts w:ascii="Times New Roman" w:hAnsi="Times New Roman"/>
          <w:sz w:val="28"/>
          <w:szCs w:val="28"/>
          <w:lang w:val="uk-UA"/>
        </w:rPr>
        <w:t xml:space="preserve"> </w:t>
      </w:r>
      <w:r w:rsidRPr="00962BEE">
        <w:rPr>
          <w:rFonts w:ascii="Times New Roman" w:hAnsi="Times New Roman"/>
          <w:sz w:val="28"/>
          <w:szCs w:val="28"/>
        </w:rPr>
        <w:t>this</w:t>
      </w:r>
      <w:r w:rsidRPr="00962BEE">
        <w:rPr>
          <w:rFonts w:ascii="Times New Roman" w:hAnsi="Times New Roman"/>
          <w:sz w:val="28"/>
          <w:szCs w:val="28"/>
          <w:lang w:val="uk-UA"/>
        </w:rPr>
        <w:t xml:space="preserve"> </w:t>
      </w:r>
      <w:r w:rsidRPr="00962BEE">
        <w:rPr>
          <w:rFonts w:ascii="Times New Roman" w:hAnsi="Times New Roman"/>
          <w:sz w:val="28"/>
          <w:szCs w:val="28"/>
        </w:rPr>
        <w:t>apoptosis</w:t>
      </w:r>
      <w:r w:rsidRPr="00962BEE">
        <w:rPr>
          <w:rFonts w:ascii="Times New Roman" w:hAnsi="Times New Roman"/>
          <w:sz w:val="28"/>
          <w:szCs w:val="28"/>
          <w:lang w:val="uk-UA"/>
        </w:rPr>
        <w:t xml:space="preserve"> </w:t>
      </w:r>
      <w:r w:rsidRPr="00962BEE">
        <w:rPr>
          <w:rFonts w:ascii="Times New Roman" w:hAnsi="Times New Roman"/>
          <w:sz w:val="28"/>
          <w:szCs w:val="28"/>
        </w:rPr>
        <w:t xml:space="preserve">marker was detected in 2 degree AH patients </w:t>
      </w:r>
      <w:r w:rsidRPr="00962BEE">
        <w:rPr>
          <w:rFonts w:ascii="Times New Roman" w:hAnsi="Times New Roman"/>
          <w:sz w:val="28"/>
          <w:szCs w:val="28"/>
          <w:lang w:val="uk-UA"/>
        </w:rPr>
        <w:t>(</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010 </w:t>
      </w:r>
      <w:r w:rsidRPr="00962BEE">
        <w:rPr>
          <w:rFonts w:ascii="Times New Roman" w:hAnsi="Times New Roman"/>
          <w:sz w:val="28"/>
          <w:szCs w:val="28"/>
        </w:rPr>
        <w:t>vs</w:t>
      </w:r>
      <w:r w:rsidRPr="00962BEE">
        <w:rPr>
          <w:rFonts w:ascii="Times New Roman" w:hAnsi="Times New Roman"/>
          <w:sz w:val="28"/>
          <w:szCs w:val="28"/>
          <w:lang w:val="uk-UA"/>
        </w:rPr>
        <w:t xml:space="preserve"> 1 </w:t>
      </w:r>
      <w:r w:rsidRPr="00962BEE">
        <w:rPr>
          <w:rFonts w:ascii="Times New Roman" w:hAnsi="Times New Roman"/>
          <w:sz w:val="28"/>
          <w:szCs w:val="28"/>
        </w:rPr>
        <w:t>degree AH</w:t>
      </w:r>
      <w:r w:rsidRPr="00962BEE">
        <w:rPr>
          <w:rFonts w:ascii="Times New Roman" w:hAnsi="Times New Roman"/>
          <w:sz w:val="28"/>
          <w:szCs w:val="28"/>
          <w:lang w:val="uk-UA"/>
        </w:rPr>
        <w:t xml:space="preserve">). </w:t>
      </w:r>
      <w:r w:rsidRPr="00962BEE">
        <w:rPr>
          <w:rFonts w:ascii="Times New Roman" w:hAnsi="Times New Roman"/>
          <w:sz w:val="28"/>
          <w:szCs w:val="28"/>
        </w:rPr>
        <w:t>In</w:t>
      </w:r>
      <w:r w:rsidRPr="00962BEE">
        <w:rPr>
          <w:rFonts w:ascii="Times New Roman" w:hAnsi="Times New Roman"/>
          <w:sz w:val="28"/>
          <w:szCs w:val="28"/>
          <w:lang w:val="uk-UA"/>
        </w:rPr>
        <w:t xml:space="preserve"> </w:t>
      </w:r>
      <w:r w:rsidRPr="00962BEE">
        <w:rPr>
          <w:rFonts w:ascii="Times New Roman" w:hAnsi="Times New Roman"/>
          <w:sz w:val="28"/>
          <w:szCs w:val="28"/>
        </w:rPr>
        <w:t>patients</w:t>
      </w:r>
      <w:r w:rsidRPr="00962BEE">
        <w:rPr>
          <w:rFonts w:ascii="Times New Roman" w:hAnsi="Times New Roman"/>
          <w:sz w:val="28"/>
          <w:szCs w:val="28"/>
          <w:lang w:val="uk-UA"/>
        </w:rPr>
        <w:t xml:space="preserve"> </w:t>
      </w:r>
      <w:r w:rsidRPr="00962BEE">
        <w:rPr>
          <w:rFonts w:ascii="Times New Roman" w:hAnsi="Times New Roman"/>
          <w:sz w:val="28"/>
          <w:szCs w:val="28"/>
        </w:rPr>
        <w:t>with</w:t>
      </w:r>
      <w:r w:rsidRPr="00962BEE">
        <w:rPr>
          <w:rFonts w:ascii="Times New Roman" w:hAnsi="Times New Roman"/>
          <w:sz w:val="28"/>
          <w:szCs w:val="28"/>
          <w:lang w:val="uk-UA"/>
        </w:rPr>
        <w:t xml:space="preserve"> 3 </w:t>
      </w:r>
      <w:r w:rsidRPr="00962BEE">
        <w:rPr>
          <w:rFonts w:ascii="Times New Roman" w:hAnsi="Times New Roman"/>
          <w:sz w:val="28"/>
          <w:szCs w:val="28"/>
        </w:rPr>
        <w:t>degree</w:t>
      </w:r>
      <w:r w:rsidRPr="00962BEE">
        <w:rPr>
          <w:rFonts w:ascii="Times New Roman" w:hAnsi="Times New Roman"/>
          <w:sz w:val="28"/>
          <w:szCs w:val="28"/>
          <w:lang w:val="uk-UA"/>
        </w:rPr>
        <w:t xml:space="preserve"> </w:t>
      </w:r>
      <w:r w:rsidRPr="00962BEE">
        <w:rPr>
          <w:rFonts w:ascii="Times New Roman" w:hAnsi="Times New Roman"/>
          <w:sz w:val="28"/>
          <w:szCs w:val="28"/>
        </w:rPr>
        <w:t>AH</w:t>
      </w:r>
      <w:r w:rsidRPr="00962BEE">
        <w:rPr>
          <w:rFonts w:ascii="Times New Roman" w:hAnsi="Times New Roman"/>
          <w:sz w:val="28"/>
          <w:szCs w:val="28"/>
          <w:lang w:val="uk-UA"/>
        </w:rPr>
        <w:t xml:space="preserve"> </w:t>
      </w:r>
      <w:r w:rsidRPr="00962BEE">
        <w:rPr>
          <w:rFonts w:ascii="Times New Roman" w:hAnsi="Times New Roman"/>
          <w:sz w:val="28"/>
          <w:szCs w:val="28"/>
        </w:rPr>
        <w:t>TNF</w:t>
      </w:r>
      <w:r w:rsidRPr="00962BEE">
        <w:rPr>
          <w:rFonts w:ascii="Times New Roman" w:hAnsi="Times New Roman"/>
          <w:sz w:val="28"/>
          <w:szCs w:val="28"/>
          <w:lang w:val="uk-UA"/>
        </w:rPr>
        <w:t>-</w:t>
      </w:r>
      <w:r w:rsidRPr="00962BEE">
        <w:rPr>
          <w:rFonts w:ascii="Times New Roman" w:hAnsi="Times New Roman"/>
          <w:sz w:val="28"/>
          <w:szCs w:val="28"/>
        </w:rPr>
        <w:t>α</w:t>
      </w:r>
      <w:r w:rsidRPr="00962BEE">
        <w:rPr>
          <w:rFonts w:ascii="Times New Roman" w:hAnsi="Times New Roman"/>
          <w:sz w:val="28"/>
          <w:szCs w:val="28"/>
          <w:lang w:val="uk-UA"/>
        </w:rPr>
        <w:t xml:space="preserve"> </w:t>
      </w:r>
      <w:r w:rsidRPr="00962BEE">
        <w:rPr>
          <w:rFonts w:ascii="Times New Roman" w:hAnsi="Times New Roman"/>
          <w:sz w:val="28"/>
          <w:szCs w:val="28"/>
        </w:rPr>
        <w:t>levels</w:t>
      </w:r>
      <w:r w:rsidRPr="00962BEE">
        <w:rPr>
          <w:rFonts w:ascii="Times New Roman" w:hAnsi="Times New Roman"/>
          <w:sz w:val="28"/>
          <w:szCs w:val="28"/>
          <w:lang w:val="uk-UA"/>
        </w:rPr>
        <w:t xml:space="preserve"> </w:t>
      </w:r>
      <w:r w:rsidRPr="00962BEE">
        <w:rPr>
          <w:rFonts w:ascii="Times New Roman" w:hAnsi="Times New Roman"/>
          <w:sz w:val="28"/>
          <w:szCs w:val="28"/>
        </w:rPr>
        <w:t>were</w:t>
      </w:r>
      <w:r w:rsidRPr="00962BEE">
        <w:rPr>
          <w:rFonts w:ascii="Times New Roman" w:hAnsi="Times New Roman"/>
          <w:sz w:val="28"/>
          <w:szCs w:val="28"/>
          <w:lang w:val="uk-UA"/>
        </w:rPr>
        <w:t xml:space="preserve"> </w:t>
      </w:r>
      <w:r w:rsidRPr="00962BEE">
        <w:rPr>
          <w:rFonts w:ascii="Times New Roman" w:hAnsi="Times New Roman"/>
          <w:sz w:val="28"/>
          <w:szCs w:val="28"/>
        </w:rPr>
        <w:t>decreased</w:t>
      </w:r>
      <w:r w:rsidRPr="00962BEE">
        <w:rPr>
          <w:rFonts w:ascii="Times New Roman" w:hAnsi="Times New Roman"/>
          <w:sz w:val="28"/>
          <w:szCs w:val="28"/>
          <w:lang w:val="uk-UA"/>
        </w:rPr>
        <w:t xml:space="preserve"> </w:t>
      </w:r>
      <w:r w:rsidRPr="00962BEE">
        <w:rPr>
          <w:rFonts w:ascii="Times New Roman" w:hAnsi="Times New Roman"/>
          <w:sz w:val="28"/>
          <w:szCs w:val="28"/>
        </w:rPr>
        <w:t>compared</w:t>
      </w:r>
      <w:r w:rsidRPr="00962BEE">
        <w:rPr>
          <w:rFonts w:ascii="Times New Roman" w:hAnsi="Times New Roman"/>
          <w:sz w:val="28"/>
          <w:szCs w:val="28"/>
          <w:lang w:val="uk-UA"/>
        </w:rPr>
        <w:t xml:space="preserve"> </w:t>
      </w:r>
      <w:r w:rsidRPr="00962BEE">
        <w:rPr>
          <w:rFonts w:ascii="Times New Roman" w:hAnsi="Times New Roman"/>
          <w:sz w:val="28"/>
          <w:szCs w:val="28"/>
        </w:rPr>
        <w:t>with</w:t>
      </w:r>
      <w:r w:rsidRPr="00962BEE">
        <w:rPr>
          <w:rFonts w:ascii="Times New Roman" w:hAnsi="Times New Roman"/>
          <w:sz w:val="28"/>
          <w:szCs w:val="28"/>
          <w:lang w:val="uk-UA"/>
        </w:rPr>
        <w:t xml:space="preserve"> 2 </w:t>
      </w:r>
      <w:r w:rsidRPr="00962BEE">
        <w:rPr>
          <w:rFonts w:ascii="Times New Roman" w:hAnsi="Times New Roman"/>
          <w:sz w:val="28"/>
          <w:szCs w:val="28"/>
        </w:rPr>
        <w:t>degree</w:t>
      </w:r>
      <w:r w:rsidRPr="00962BEE">
        <w:rPr>
          <w:rFonts w:ascii="Times New Roman" w:hAnsi="Times New Roman"/>
          <w:sz w:val="28"/>
          <w:szCs w:val="28"/>
          <w:lang w:val="uk-UA"/>
        </w:rPr>
        <w:t xml:space="preserve"> </w:t>
      </w:r>
      <w:r w:rsidRPr="00962BEE">
        <w:rPr>
          <w:rFonts w:ascii="Times New Roman" w:hAnsi="Times New Roman"/>
          <w:sz w:val="28"/>
          <w:szCs w:val="28"/>
        </w:rPr>
        <w:t>AH</w:t>
      </w:r>
      <w:r w:rsidRPr="00962BEE">
        <w:rPr>
          <w:rFonts w:ascii="Times New Roman" w:hAnsi="Times New Roman"/>
          <w:sz w:val="28"/>
          <w:szCs w:val="28"/>
          <w:lang w:val="uk-UA"/>
        </w:rPr>
        <w:t xml:space="preserve"> </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 xml:space="preserve">=0.054) </w:t>
      </w:r>
      <w:r w:rsidRPr="00962BEE">
        <w:rPr>
          <w:rFonts w:ascii="Times New Roman" w:hAnsi="Times New Roman"/>
          <w:sz w:val="28"/>
          <w:szCs w:val="28"/>
        </w:rPr>
        <w:t>and</w:t>
      </w:r>
      <w:r w:rsidRPr="00962BEE">
        <w:rPr>
          <w:rFonts w:ascii="Times New Roman" w:hAnsi="Times New Roman"/>
          <w:sz w:val="28"/>
          <w:szCs w:val="28"/>
          <w:lang w:val="uk-UA"/>
        </w:rPr>
        <w:t xml:space="preserve"> </w:t>
      </w:r>
      <w:r w:rsidRPr="00962BEE">
        <w:rPr>
          <w:rFonts w:ascii="Times New Roman" w:hAnsi="Times New Roman"/>
          <w:sz w:val="28"/>
          <w:szCs w:val="28"/>
        </w:rPr>
        <w:t>was</w:t>
      </w:r>
      <w:r w:rsidRPr="00962BEE">
        <w:rPr>
          <w:rFonts w:ascii="Times New Roman" w:hAnsi="Times New Roman"/>
          <w:sz w:val="28"/>
          <w:szCs w:val="28"/>
          <w:lang w:val="uk-UA"/>
        </w:rPr>
        <w:t xml:space="preserve"> </w:t>
      </w:r>
      <w:r w:rsidRPr="00962BEE">
        <w:rPr>
          <w:rFonts w:ascii="Times New Roman" w:hAnsi="Times New Roman"/>
          <w:sz w:val="28"/>
          <w:szCs w:val="28"/>
        </w:rPr>
        <w:t>close</w:t>
      </w:r>
      <w:r w:rsidRPr="00962BEE">
        <w:rPr>
          <w:rFonts w:ascii="Times New Roman" w:hAnsi="Times New Roman"/>
          <w:sz w:val="28"/>
          <w:szCs w:val="28"/>
          <w:lang w:val="uk-UA"/>
        </w:rPr>
        <w:t xml:space="preserve"> </w:t>
      </w:r>
      <w:r w:rsidRPr="00962BEE">
        <w:rPr>
          <w:rFonts w:ascii="Times New Roman" w:hAnsi="Times New Roman"/>
          <w:sz w:val="28"/>
          <w:szCs w:val="28"/>
        </w:rPr>
        <w:t>to</w:t>
      </w:r>
      <w:r w:rsidRPr="00962BEE">
        <w:rPr>
          <w:rFonts w:ascii="Times New Roman" w:hAnsi="Times New Roman"/>
          <w:sz w:val="28"/>
          <w:szCs w:val="28"/>
          <w:lang w:val="uk-UA"/>
        </w:rPr>
        <w:t xml:space="preserve"> </w:t>
      </w:r>
      <w:r w:rsidRPr="00962BEE">
        <w:rPr>
          <w:rFonts w:ascii="Times New Roman" w:hAnsi="Times New Roman"/>
          <w:sz w:val="28"/>
          <w:szCs w:val="28"/>
        </w:rPr>
        <w:t>level</w:t>
      </w:r>
      <w:r w:rsidRPr="00962BEE">
        <w:rPr>
          <w:rFonts w:ascii="Times New Roman" w:hAnsi="Times New Roman"/>
          <w:sz w:val="28"/>
          <w:szCs w:val="28"/>
          <w:lang w:val="uk-UA"/>
        </w:rPr>
        <w:t xml:space="preserve"> </w:t>
      </w:r>
      <w:r w:rsidRPr="00962BEE">
        <w:rPr>
          <w:rFonts w:ascii="Times New Roman" w:hAnsi="Times New Roman"/>
          <w:sz w:val="28"/>
          <w:szCs w:val="28"/>
        </w:rPr>
        <w:t>of</w:t>
      </w:r>
      <w:r w:rsidRPr="00962BEE">
        <w:rPr>
          <w:rFonts w:ascii="Times New Roman" w:hAnsi="Times New Roman"/>
          <w:sz w:val="28"/>
          <w:szCs w:val="28"/>
          <w:lang w:val="uk-UA"/>
        </w:rPr>
        <w:t xml:space="preserve"> </w:t>
      </w:r>
      <w:r w:rsidRPr="00962BEE">
        <w:rPr>
          <w:rFonts w:ascii="Times New Roman" w:hAnsi="Times New Roman"/>
          <w:sz w:val="28"/>
          <w:szCs w:val="28"/>
        </w:rPr>
        <w:t>patients</w:t>
      </w:r>
      <w:r w:rsidRPr="00962BEE">
        <w:rPr>
          <w:rFonts w:ascii="Times New Roman" w:hAnsi="Times New Roman"/>
          <w:sz w:val="28"/>
          <w:szCs w:val="28"/>
          <w:lang w:val="uk-UA"/>
        </w:rPr>
        <w:t xml:space="preserve"> </w:t>
      </w:r>
      <w:r w:rsidRPr="00962BEE">
        <w:rPr>
          <w:rFonts w:ascii="Times New Roman" w:hAnsi="Times New Roman"/>
          <w:sz w:val="28"/>
          <w:szCs w:val="28"/>
        </w:rPr>
        <w:t>with</w:t>
      </w:r>
      <w:r w:rsidRPr="00962BEE">
        <w:rPr>
          <w:rFonts w:ascii="Times New Roman" w:hAnsi="Times New Roman"/>
          <w:sz w:val="28"/>
          <w:szCs w:val="28"/>
          <w:lang w:val="uk-UA"/>
        </w:rPr>
        <w:t xml:space="preserve"> 1 </w:t>
      </w:r>
      <w:r w:rsidRPr="00962BEE">
        <w:rPr>
          <w:rFonts w:ascii="Times New Roman" w:hAnsi="Times New Roman"/>
          <w:sz w:val="28"/>
          <w:szCs w:val="28"/>
        </w:rPr>
        <w:t>degree</w:t>
      </w:r>
      <w:r w:rsidRPr="00962BEE">
        <w:rPr>
          <w:rFonts w:ascii="Times New Roman" w:hAnsi="Times New Roman"/>
          <w:sz w:val="28"/>
          <w:szCs w:val="28"/>
          <w:lang w:val="uk-UA"/>
        </w:rPr>
        <w:t xml:space="preserve"> </w:t>
      </w:r>
      <w:r w:rsidRPr="00962BEE">
        <w:rPr>
          <w:rFonts w:ascii="Times New Roman" w:hAnsi="Times New Roman"/>
          <w:sz w:val="28"/>
          <w:szCs w:val="28"/>
        </w:rPr>
        <w:t xml:space="preserve">AH group </w:t>
      </w:r>
      <w:r w:rsidRPr="00962BEE">
        <w:rPr>
          <w:rFonts w:ascii="Times New Roman" w:hAnsi="Times New Roman"/>
          <w:sz w:val="28"/>
          <w:szCs w:val="28"/>
          <w:lang w:val="uk-UA"/>
        </w:rPr>
        <w:t>(</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163). </w:t>
      </w:r>
    </w:p>
    <w:p w:rsidR="005548AC" w:rsidRPr="00962BEE" w:rsidRDefault="005548AC" w:rsidP="005548AC">
      <w:pPr>
        <w:spacing w:after="0" w:line="360" w:lineRule="auto"/>
        <w:ind w:firstLine="709"/>
        <w:jc w:val="both"/>
        <w:rPr>
          <w:rFonts w:ascii="Times New Roman" w:hAnsi="Times New Roman"/>
          <w:sz w:val="28"/>
          <w:szCs w:val="28"/>
        </w:rPr>
      </w:pPr>
      <w:r w:rsidRPr="00962BEE">
        <w:rPr>
          <w:rFonts w:ascii="Times New Roman" w:hAnsi="Times New Roman"/>
          <w:sz w:val="28"/>
          <w:szCs w:val="28"/>
        </w:rPr>
        <w:lastRenderedPageBreak/>
        <w:t xml:space="preserve">Circulating sTNF-R1 levels of all groups hypertensive patients were elevated vs normal means </w:t>
      </w:r>
      <w:r w:rsidRPr="00962BEE">
        <w:rPr>
          <w:rFonts w:ascii="Times New Roman" w:hAnsi="Times New Roman"/>
          <w:sz w:val="28"/>
          <w:szCs w:val="28"/>
          <w:lang w:val="uk-UA"/>
        </w:rPr>
        <w:t>(</w:t>
      </w:r>
      <w:r w:rsidRPr="00962BEE">
        <w:rPr>
          <w:rFonts w:ascii="Times New Roman" w:hAnsi="Times New Roman"/>
          <w:sz w:val="28"/>
          <w:szCs w:val="28"/>
        </w:rPr>
        <w:t>p</w:t>
      </w:r>
      <w:r w:rsidRPr="00962BEE">
        <w:rPr>
          <w:rFonts w:ascii="Times New Roman" w:hAnsi="Times New Roman"/>
          <w:sz w:val="28"/>
          <w:szCs w:val="28"/>
          <w:lang w:val="uk-UA"/>
        </w:rPr>
        <w:t>&lt;0</w:t>
      </w:r>
      <w:r w:rsidRPr="00962BEE">
        <w:rPr>
          <w:rFonts w:ascii="Times New Roman" w:hAnsi="Times New Roman"/>
          <w:sz w:val="28"/>
          <w:szCs w:val="28"/>
        </w:rPr>
        <w:t>.</w:t>
      </w:r>
      <w:r w:rsidRPr="00962BEE">
        <w:rPr>
          <w:rFonts w:ascii="Times New Roman" w:hAnsi="Times New Roman"/>
          <w:sz w:val="28"/>
          <w:szCs w:val="28"/>
          <w:lang w:val="uk-UA"/>
        </w:rPr>
        <w:t xml:space="preserve">001 </w:t>
      </w:r>
      <w:r w:rsidRPr="00962BEE">
        <w:rPr>
          <w:rFonts w:ascii="Times New Roman" w:hAnsi="Times New Roman"/>
          <w:sz w:val="28"/>
          <w:szCs w:val="28"/>
        </w:rPr>
        <w:t>in all cases)</w:t>
      </w:r>
      <w:r w:rsidRPr="00962BEE">
        <w:rPr>
          <w:rFonts w:ascii="Times New Roman" w:hAnsi="Times New Roman"/>
          <w:sz w:val="28"/>
          <w:szCs w:val="28"/>
          <w:lang w:val="uk-UA"/>
        </w:rPr>
        <w:t xml:space="preserve"> (</w:t>
      </w:r>
      <w:r w:rsidRPr="00962BEE">
        <w:rPr>
          <w:rFonts w:ascii="Times New Roman" w:hAnsi="Times New Roman"/>
          <w:sz w:val="28"/>
          <w:szCs w:val="28"/>
        </w:rPr>
        <w:t xml:space="preserve">Figure </w:t>
      </w:r>
      <w:r w:rsidR="00016CDD">
        <w:rPr>
          <w:rFonts w:ascii="Times New Roman" w:hAnsi="Times New Roman"/>
          <w:sz w:val="28"/>
          <w:szCs w:val="28"/>
        </w:rPr>
        <w:t>6</w:t>
      </w:r>
      <w:r w:rsidRPr="00962BEE">
        <w:rPr>
          <w:rFonts w:ascii="Times New Roman" w:hAnsi="Times New Roman"/>
          <w:sz w:val="28"/>
          <w:szCs w:val="28"/>
          <w:lang w:val="uk-UA"/>
        </w:rPr>
        <w:t xml:space="preserve">). </w:t>
      </w:r>
    </w:p>
    <w:p w:rsidR="005548AC" w:rsidRPr="00962BEE" w:rsidRDefault="005548AC" w:rsidP="005548AC">
      <w:pPr>
        <w:spacing w:after="0" w:line="360" w:lineRule="auto"/>
        <w:ind w:firstLine="709"/>
        <w:jc w:val="both"/>
        <w:rPr>
          <w:rFonts w:ascii="Times New Roman" w:hAnsi="Times New Roman"/>
          <w:sz w:val="28"/>
          <w:szCs w:val="28"/>
        </w:rPr>
      </w:pPr>
      <w:r>
        <w:rPr>
          <w:rFonts w:ascii="Times New Roman" w:hAnsi="Times New Roman"/>
          <w:noProof/>
        </w:rPr>
        <w:drawing>
          <wp:anchor distT="0" distB="0" distL="114300" distR="114300" simplePos="0" relativeHeight="251672576" behindDoc="0" locked="0" layoutInCell="1" allowOverlap="1">
            <wp:simplePos x="0" y="0"/>
            <wp:positionH relativeFrom="column">
              <wp:posOffset>223520</wp:posOffset>
            </wp:positionH>
            <wp:positionV relativeFrom="paragraph">
              <wp:posOffset>165735</wp:posOffset>
            </wp:positionV>
            <wp:extent cx="4982845" cy="3726180"/>
            <wp:effectExtent l="0" t="0" r="825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2845" cy="372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Default="005548AC" w:rsidP="005548AC">
      <w:pPr>
        <w:spacing w:after="0" w:line="360" w:lineRule="auto"/>
        <w:ind w:firstLine="709"/>
        <w:jc w:val="both"/>
        <w:rPr>
          <w:rFonts w:ascii="Times New Roman" w:hAnsi="Times New Roman"/>
          <w:sz w:val="28"/>
          <w:szCs w:val="28"/>
        </w:rPr>
      </w:pPr>
    </w:p>
    <w:p w:rsidR="005548AC" w:rsidRDefault="005548AC" w:rsidP="005548AC">
      <w:pPr>
        <w:spacing w:after="0" w:line="360" w:lineRule="auto"/>
        <w:ind w:firstLine="709"/>
        <w:jc w:val="both"/>
        <w:rPr>
          <w:rFonts w:ascii="Times New Roman" w:hAnsi="Times New Roman"/>
          <w:sz w:val="28"/>
          <w:szCs w:val="28"/>
        </w:rPr>
      </w:pPr>
    </w:p>
    <w:p w:rsidR="005548AC"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ind w:firstLine="709"/>
        <w:jc w:val="both"/>
        <w:rPr>
          <w:rFonts w:ascii="Times New Roman" w:hAnsi="Times New Roman"/>
          <w:sz w:val="28"/>
          <w:szCs w:val="28"/>
        </w:rPr>
      </w:pPr>
    </w:p>
    <w:p w:rsidR="005548AC" w:rsidRPr="00962BEE" w:rsidRDefault="005548AC" w:rsidP="005548AC">
      <w:pPr>
        <w:spacing w:after="0" w:line="360" w:lineRule="auto"/>
        <w:jc w:val="center"/>
        <w:rPr>
          <w:rFonts w:ascii="Times New Roman" w:hAnsi="Times New Roman"/>
          <w:sz w:val="24"/>
          <w:szCs w:val="24"/>
        </w:rPr>
      </w:pPr>
      <w:proofErr w:type="gramStart"/>
      <w:r w:rsidRPr="00962BEE">
        <w:rPr>
          <w:rFonts w:ascii="Times New Roman" w:hAnsi="Times New Roman"/>
          <w:b/>
          <w:sz w:val="24"/>
          <w:szCs w:val="24"/>
        </w:rPr>
        <w:t xml:space="preserve">Figure </w:t>
      </w:r>
      <w:r w:rsidR="00F0454F">
        <w:rPr>
          <w:rFonts w:ascii="Times New Roman" w:hAnsi="Times New Roman"/>
          <w:b/>
          <w:sz w:val="24"/>
          <w:szCs w:val="24"/>
        </w:rPr>
        <w:t>6</w:t>
      </w:r>
      <w:r w:rsidRPr="00962BEE">
        <w:rPr>
          <w:rFonts w:ascii="Times New Roman" w:hAnsi="Times New Roman"/>
          <w:b/>
          <w:sz w:val="24"/>
          <w:szCs w:val="24"/>
        </w:rPr>
        <w:t>.</w:t>
      </w:r>
      <w:proofErr w:type="gramEnd"/>
      <w:r w:rsidRPr="00962BEE">
        <w:rPr>
          <w:rFonts w:ascii="Times New Roman" w:hAnsi="Times New Roman"/>
          <w:b/>
          <w:sz w:val="24"/>
          <w:szCs w:val="24"/>
        </w:rPr>
        <w:t xml:space="preserve"> </w:t>
      </w:r>
      <w:r w:rsidRPr="00962BEE">
        <w:rPr>
          <w:rFonts w:ascii="Times New Roman" w:hAnsi="Times New Roman"/>
          <w:sz w:val="24"/>
          <w:szCs w:val="24"/>
        </w:rPr>
        <w:t>Plasma sTNF-R1 levels in healthy persons and patients depend on AH degree</w:t>
      </w:r>
    </w:p>
    <w:p w:rsidR="00F0454F" w:rsidRDefault="005548AC" w:rsidP="005548AC">
      <w:pPr>
        <w:spacing w:after="0" w:line="360" w:lineRule="auto"/>
        <w:jc w:val="both"/>
        <w:rPr>
          <w:rFonts w:ascii="Times New Roman" w:hAnsi="Times New Roman"/>
          <w:sz w:val="28"/>
          <w:szCs w:val="28"/>
        </w:rPr>
      </w:pPr>
      <w:r w:rsidRPr="00962BEE">
        <w:rPr>
          <w:rFonts w:ascii="Times New Roman" w:hAnsi="Times New Roman"/>
          <w:sz w:val="28"/>
          <w:szCs w:val="28"/>
        </w:rPr>
        <w:tab/>
      </w:r>
    </w:p>
    <w:p w:rsidR="005548AC" w:rsidRPr="00962BEE" w:rsidRDefault="005548AC" w:rsidP="00F0454F">
      <w:pPr>
        <w:spacing w:after="0" w:line="360" w:lineRule="auto"/>
        <w:ind w:firstLine="720"/>
        <w:jc w:val="both"/>
        <w:rPr>
          <w:rFonts w:ascii="Times New Roman" w:hAnsi="Times New Roman"/>
          <w:sz w:val="28"/>
          <w:szCs w:val="28"/>
        </w:rPr>
      </w:pPr>
      <w:r w:rsidRPr="00962BEE">
        <w:rPr>
          <w:rFonts w:ascii="Times New Roman" w:hAnsi="Times New Roman"/>
          <w:sz w:val="28"/>
          <w:szCs w:val="28"/>
        </w:rPr>
        <w:t xml:space="preserve">Analysis of plasma </w:t>
      </w:r>
      <w:r w:rsidR="00954149" w:rsidRPr="00962BEE">
        <w:rPr>
          <w:rFonts w:ascii="Times New Roman" w:hAnsi="Times New Roman"/>
          <w:sz w:val="28"/>
          <w:szCs w:val="28"/>
        </w:rPr>
        <w:t>sTNF-R1</w:t>
      </w:r>
      <w:r w:rsidRPr="00962BEE">
        <w:rPr>
          <w:rFonts w:ascii="Times New Roman" w:hAnsi="Times New Roman"/>
          <w:sz w:val="28"/>
          <w:szCs w:val="28"/>
        </w:rPr>
        <w:t xml:space="preserve"> content dynamic showed tendency of its increasing parallel to BP level elevation (</w:t>
      </w:r>
      <w:r w:rsidRPr="00962BEE">
        <w:rPr>
          <w:rFonts w:ascii="Times New Roman" w:hAnsi="Times New Roman"/>
          <w:sz w:val="28"/>
          <w:szCs w:val="28"/>
          <w:lang w:val="uk-UA"/>
        </w:rPr>
        <w:t xml:space="preserve">1 </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vs</w:t>
      </w:r>
      <w:r w:rsidRPr="00962BEE">
        <w:rPr>
          <w:rFonts w:ascii="Times New Roman" w:hAnsi="Times New Roman"/>
          <w:sz w:val="28"/>
          <w:szCs w:val="28"/>
          <w:lang w:val="uk-UA"/>
        </w:rPr>
        <w:t xml:space="preserve"> 2 </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59; 1</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vs</w:t>
      </w:r>
      <w:r w:rsidRPr="00962BEE">
        <w:rPr>
          <w:rFonts w:ascii="Times New Roman" w:hAnsi="Times New Roman"/>
          <w:sz w:val="28"/>
          <w:szCs w:val="28"/>
          <w:lang w:val="uk-UA"/>
        </w:rPr>
        <w:t xml:space="preserve"> 3</w:t>
      </w:r>
      <w:r w:rsidRPr="00962BEE">
        <w:rPr>
          <w:rFonts w:ascii="Times New Roman" w:hAnsi="Times New Roman"/>
          <w:sz w:val="28"/>
          <w:szCs w:val="28"/>
        </w:rPr>
        <w:t xml:space="preserve"> group 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36; 2</w:t>
      </w:r>
      <w:r w:rsidRPr="00962BEE">
        <w:rPr>
          <w:rFonts w:ascii="Times New Roman" w:hAnsi="Times New Roman"/>
          <w:sz w:val="28"/>
          <w:szCs w:val="28"/>
        </w:rPr>
        <w:t>group vs</w:t>
      </w:r>
      <w:r w:rsidRPr="00962BEE">
        <w:rPr>
          <w:rFonts w:ascii="Times New Roman" w:hAnsi="Times New Roman"/>
          <w:sz w:val="28"/>
          <w:szCs w:val="28"/>
          <w:lang w:val="uk-UA"/>
        </w:rPr>
        <w:t xml:space="preserve"> 3 </w:t>
      </w:r>
      <w:r w:rsidRPr="00962BEE">
        <w:rPr>
          <w:rFonts w:ascii="Times New Roman" w:hAnsi="Times New Roman"/>
          <w:sz w:val="28"/>
          <w:szCs w:val="28"/>
        </w:rPr>
        <w:t>group 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75). </w:t>
      </w:r>
    </w:p>
    <w:p w:rsidR="005548AC" w:rsidRPr="00962BEE" w:rsidRDefault="005548AC" w:rsidP="005548AC">
      <w:pPr>
        <w:spacing w:after="0" w:line="360" w:lineRule="auto"/>
        <w:jc w:val="both"/>
        <w:rPr>
          <w:rFonts w:ascii="Times New Roman" w:hAnsi="Times New Roman"/>
          <w:sz w:val="28"/>
          <w:szCs w:val="28"/>
        </w:rPr>
      </w:pPr>
      <w:r w:rsidRPr="00962BEE">
        <w:rPr>
          <w:rFonts w:ascii="Times New Roman" w:hAnsi="Times New Roman"/>
          <w:sz w:val="28"/>
          <w:szCs w:val="28"/>
        </w:rPr>
        <w:tab/>
        <w:t xml:space="preserve">Mean of TNF-α/sTNF-R1 </w:t>
      </w:r>
      <w:r w:rsidR="00D22885" w:rsidRPr="00962BEE">
        <w:rPr>
          <w:rFonts w:ascii="Times New Roman" w:hAnsi="Times New Roman"/>
          <w:sz w:val="28"/>
          <w:szCs w:val="28"/>
        </w:rPr>
        <w:t>ratio that</w:t>
      </w:r>
      <w:r w:rsidRPr="00962BEE">
        <w:rPr>
          <w:rFonts w:ascii="Times New Roman" w:hAnsi="Times New Roman"/>
          <w:sz w:val="28"/>
          <w:szCs w:val="28"/>
        </w:rPr>
        <w:t xml:space="preserve"> reflect relation ligand/receptor complex, of normotensive control group was 11.03±2.84. Study of this parameters changes shows its increasing in hypertensive patients with different degree of BP elevation as compared with normotensive persons (control vs</w:t>
      </w:r>
      <w:r w:rsidRPr="00962BEE">
        <w:rPr>
          <w:rFonts w:ascii="Times New Roman" w:hAnsi="Times New Roman"/>
          <w:sz w:val="28"/>
          <w:szCs w:val="28"/>
          <w:lang w:val="uk-UA"/>
        </w:rPr>
        <w:t xml:space="preserve"> 1 </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0004; </w:t>
      </w:r>
      <w:r w:rsidRPr="00962BEE">
        <w:rPr>
          <w:rFonts w:ascii="Times New Roman" w:hAnsi="Times New Roman"/>
          <w:sz w:val="28"/>
          <w:szCs w:val="28"/>
        </w:rPr>
        <w:t>vs</w:t>
      </w:r>
      <w:r w:rsidRPr="00962BEE">
        <w:rPr>
          <w:rFonts w:ascii="Times New Roman" w:hAnsi="Times New Roman"/>
          <w:sz w:val="28"/>
          <w:szCs w:val="28"/>
          <w:lang w:val="uk-UA"/>
        </w:rPr>
        <w:t xml:space="preserve"> 2 </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0001; </w:t>
      </w:r>
      <w:r w:rsidRPr="00962BEE">
        <w:rPr>
          <w:rFonts w:ascii="Times New Roman" w:hAnsi="Times New Roman"/>
          <w:sz w:val="28"/>
          <w:szCs w:val="28"/>
        </w:rPr>
        <w:t>vs</w:t>
      </w:r>
      <w:r w:rsidRPr="00962BEE">
        <w:rPr>
          <w:rFonts w:ascii="Times New Roman" w:hAnsi="Times New Roman"/>
          <w:sz w:val="28"/>
          <w:szCs w:val="28"/>
          <w:lang w:val="uk-UA"/>
        </w:rPr>
        <w:t xml:space="preserve"> 3 </w:t>
      </w:r>
      <w:r w:rsidRPr="00962BEE">
        <w:rPr>
          <w:rFonts w:ascii="Times New Roman" w:hAnsi="Times New Roman"/>
          <w:sz w:val="28"/>
          <w:szCs w:val="28"/>
        </w:rPr>
        <w:t>group</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0006</w:t>
      </w:r>
      <w:r w:rsidRPr="00962BEE">
        <w:rPr>
          <w:rFonts w:ascii="Times New Roman" w:hAnsi="Times New Roman"/>
          <w:sz w:val="28"/>
          <w:szCs w:val="28"/>
        </w:rPr>
        <w:t xml:space="preserve">). Maximum mean was revealed in patients with 2 degree AH, that reflect more significant elevation of TNF-α vs its natural antagonists – sTNF-R1 </w:t>
      </w:r>
      <w:r w:rsidRPr="00962BEE">
        <w:rPr>
          <w:rFonts w:ascii="Times New Roman" w:hAnsi="Times New Roman"/>
          <w:sz w:val="28"/>
          <w:szCs w:val="28"/>
          <w:lang w:val="uk-UA"/>
        </w:rPr>
        <w:t>(</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34 </w:t>
      </w:r>
      <w:r w:rsidRPr="00962BEE">
        <w:rPr>
          <w:rFonts w:ascii="Times New Roman" w:hAnsi="Times New Roman"/>
          <w:sz w:val="28"/>
          <w:szCs w:val="28"/>
        </w:rPr>
        <w:t>vs</w:t>
      </w:r>
      <w:r w:rsidRPr="00962BEE">
        <w:rPr>
          <w:rFonts w:ascii="Times New Roman" w:hAnsi="Times New Roman"/>
          <w:sz w:val="28"/>
          <w:szCs w:val="28"/>
          <w:lang w:val="uk-UA"/>
        </w:rPr>
        <w:t xml:space="preserve"> 1</w:t>
      </w:r>
      <w:r w:rsidRPr="00962BEE">
        <w:rPr>
          <w:rFonts w:ascii="Times New Roman" w:hAnsi="Times New Roman"/>
          <w:sz w:val="28"/>
          <w:szCs w:val="28"/>
        </w:rPr>
        <w:t xml:space="preserve"> degree AH</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61 </w:t>
      </w:r>
      <w:r w:rsidRPr="00962BEE">
        <w:rPr>
          <w:rFonts w:ascii="Times New Roman" w:hAnsi="Times New Roman"/>
          <w:sz w:val="28"/>
          <w:szCs w:val="28"/>
        </w:rPr>
        <w:t>vs</w:t>
      </w:r>
      <w:r w:rsidRPr="00962BEE">
        <w:rPr>
          <w:rFonts w:ascii="Times New Roman" w:hAnsi="Times New Roman"/>
          <w:sz w:val="28"/>
          <w:szCs w:val="28"/>
          <w:lang w:val="uk-UA"/>
        </w:rPr>
        <w:t xml:space="preserve"> 3 </w:t>
      </w:r>
      <w:r w:rsidRPr="00962BEE">
        <w:rPr>
          <w:rFonts w:ascii="Times New Roman" w:hAnsi="Times New Roman"/>
          <w:sz w:val="28"/>
          <w:szCs w:val="28"/>
        </w:rPr>
        <w:t>degree AH</w:t>
      </w:r>
      <w:r w:rsidRPr="00962BEE">
        <w:rPr>
          <w:rFonts w:ascii="Times New Roman" w:hAnsi="Times New Roman"/>
          <w:sz w:val="28"/>
          <w:szCs w:val="28"/>
          <w:lang w:val="uk-UA"/>
        </w:rPr>
        <w:t xml:space="preserve">). </w:t>
      </w:r>
      <w:r w:rsidRPr="00962BEE">
        <w:rPr>
          <w:rFonts w:ascii="Times New Roman" w:hAnsi="Times New Roman"/>
          <w:sz w:val="28"/>
          <w:szCs w:val="28"/>
        </w:rPr>
        <w:t>In</w:t>
      </w:r>
      <w:r w:rsidRPr="00962BEE">
        <w:rPr>
          <w:rFonts w:ascii="Times New Roman" w:hAnsi="Times New Roman"/>
          <w:sz w:val="28"/>
          <w:szCs w:val="28"/>
          <w:lang w:val="uk-UA"/>
        </w:rPr>
        <w:t xml:space="preserve"> </w:t>
      </w:r>
      <w:r w:rsidRPr="00962BEE">
        <w:rPr>
          <w:rFonts w:ascii="Times New Roman" w:hAnsi="Times New Roman"/>
          <w:sz w:val="28"/>
          <w:szCs w:val="28"/>
        </w:rPr>
        <w:lastRenderedPageBreak/>
        <w:t>patients</w:t>
      </w:r>
      <w:r w:rsidRPr="00962BEE">
        <w:rPr>
          <w:rFonts w:ascii="Times New Roman" w:hAnsi="Times New Roman"/>
          <w:sz w:val="28"/>
          <w:szCs w:val="28"/>
          <w:lang w:val="uk-UA"/>
        </w:rPr>
        <w:t xml:space="preserve"> </w:t>
      </w:r>
      <w:r w:rsidRPr="00962BEE">
        <w:rPr>
          <w:rFonts w:ascii="Times New Roman" w:hAnsi="Times New Roman"/>
          <w:sz w:val="28"/>
          <w:szCs w:val="28"/>
        </w:rPr>
        <w:t>with</w:t>
      </w:r>
      <w:r w:rsidRPr="00962BEE">
        <w:rPr>
          <w:rFonts w:ascii="Times New Roman" w:hAnsi="Times New Roman"/>
          <w:sz w:val="28"/>
          <w:szCs w:val="28"/>
          <w:lang w:val="uk-UA"/>
        </w:rPr>
        <w:t xml:space="preserve"> 3 </w:t>
      </w:r>
      <w:r w:rsidRPr="00962BEE">
        <w:rPr>
          <w:rFonts w:ascii="Times New Roman" w:hAnsi="Times New Roman"/>
          <w:sz w:val="28"/>
          <w:szCs w:val="28"/>
        </w:rPr>
        <w:t>degree</w:t>
      </w:r>
      <w:r w:rsidRPr="00962BEE">
        <w:rPr>
          <w:rFonts w:ascii="Times New Roman" w:hAnsi="Times New Roman"/>
          <w:sz w:val="28"/>
          <w:szCs w:val="28"/>
          <w:lang w:val="uk-UA"/>
        </w:rPr>
        <w:t xml:space="preserve"> </w:t>
      </w:r>
      <w:r w:rsidRPr="00962BEE">
        <w:rPr>
          <w:rFonts w:ascii="Times New Roman" w:hAnsi="Times New Roman"/>
          <w:sz w:val="28"/>
          <w:szCs w:val="28"/>
        </w:rPr>
        <w:t>AH</w:t>
      </w:r>
      <w:r w:rsidRPr="00962BEE">
        <w:rPr>
          <w:rFonts w:ascii="Times New Roman" w:hAnsi="Times New Roman"/>
          <w:sz w:val="28"/>
          <w:szCs w:val="28"/>
          <w:lang w:val="uk-UA"/>
        </w:rPr>
        <w:t xml:space="preserve"> </w:t>
      </w:r>
      <w:r w:rsidRPr="00962BEE">
        <w:rPr>
          <w:rFonts w:ascii="Times New Roman" w:hAnsi="Times New Roman"/>
          <w:sz w:val="28"/>
          <w:szCs w:val="28"/>
        </w:rPr>
        <w:t>it</w:t>
      </w:r>
      <w:r w:rsidRPr="00962BEE">
        <w:rPr>
          <w:rFonts w:ascii="Times New Roman" w:hAnsi="Times New Roman"/>
          <w:sz w:val="28"/>
          <w:szCs w:val="28"/>
          <w:lang w:val="uk-UA"/>
        </w:rPr>
        <w:t xml:space="preserve"> </w:t>
      </w:r>
      <w:r w:rsidRPr="00962BEE">
        <w:rPr>
          <w:rFonts w:ascii="Times New Roman" w:hAnsi="Times New Roman"/>
          <w:sz w:val="28"/>
          <w:szCs w:val="28"/>
        </w:rPr>
        <w:t>was</w:t>
      </w:r>
      <w:r w:rsidRPr="00962BEE">
        <w:rPr>
          <w:rFonts w:ascii="Times New Roman" w:hAnsi="Times New Roman"/>
          <w:sz w:val="28"/>
          <w:szCs w:val="28"/>
          <w:lang w:val="uk-UA"/>
        </w:rPr>
        <w:t xml:space="preserve"> </w:t>
      </w:r>
      <w:r w:rsidRPr="00962BEE">
        <w:rPr>
          <w:rFonts w:ascii="Times New Roman" w:hAnsi="Times New Roman"/>
          <w:sz w:val="28"/>
          <w:szCs w:val="28"/>
        </w:rPr>
        <w:t>evaluated</w:t>
      </w:r>
      <w:r w:rsidRPr="00962BEE">
        <w:rPr>
          <w:rFonts w:ascii="Times New Roman" w:hAnsi="Times New Roman"/>
          <w:sz w:val="28"/>
          <w:szCs w:val="28"/>
          <w:lang w:val="uk-UA"/>
        </w:rPr>
        <w:t xml:space="preserve"> </w:t>
      </w:r>
      <w:r w:rsidRPr="00962BEE">
        <w:rPr>
          <w:rFonts w:ascii="Times New Roman" w:hAnsi="Times New Roman"/>
          <w:sz w:val="28"/>
          <w:szCs w:val="28"/>
        </w:rPr>
        <w:t>insignificant</w:t>
      </w:r>
      <w:r w:rsidRPr="00962BEE">
        <w:rPr>
          <w:rFonts w:ascii="Times New Roman" w:hAnsi="Times New Roman"/>
          <w:sz w:val="28"/>
          <w:szCs w:val="28"/>
          <w:lang w:val="uk-UA"/>
        </w:rPr>
        <w:t xml:space="preserve"> </w:t>
      </w:r>
      <w:r w:rsidRPr="00962BEE">
        <w:rPr>
          <w:rFonts w:ascii="Times New Roman" w:hAnsi="Times New Roman"/>
          <w:sz w:val="28"/>
          <w:szCs w:val="28"/>
        </w:rPr>
        <w:t>lowering</w:t>
      </w:r>
      <w:r w:rsidRPr="00962BEE">
        <w:rPr>
          <w:rFonts w:ascii="Times New Roman" w:hAnsi="Times New Roman"/>
          <w:sz w:val="28"/>
          <w:szCs w:val="28"/>
          <w:lang w:val="uk-UA"/>
        </w:rPr>
        <w:t xml:space="preserve"> </w:t>
      </w:r>
      <w:r w:rsidRPr="00962BEE">
        <w:rPr>
          <w:rFonts w:ascii="Times New Roman" w:hAnsi="Times New Roman"/>
          <w:sz w:val="28"/>
          <w:szCs w:val="28"/>
        </w:rPr>
        <w:t>TNF-α/sTNF-R1 compared with 2 degree AH patients, but it was higher than in 1 degree AH</w:t>
      </w:r>
      <w:r w:rsidRPr="00962BEE">
        <w:rPr>
          <w:rFonts w:ascii="Times New Roman" w:hAnsi="Times New Roman"/>
          <w:sz w:val="28"/>
          <w:szCs w:val="28"/>
          <w:lang w:val="uk-UA"/>
        </w:rPr>
        <w:t xml:space="preserve">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59</w:t>
      </w:r>
      <w:r w:rsidRPr="00962BEE">
        <w:rPr>
          <w:rFonts w:ascii="Times New Roman" w:hAnsi="Times New Roman"/>
          <w:sz w:val="28"/>
          <w:szCs w:val="28"/>
        </w:rPr>
        <w:t>) and normotensive subjects of control group.</w:t>
      </w:r>
      <w:r w:rsidRPr="00962BEE">
        <w:rPr>
          <w:rFonts w:ascii="Times New Roman" w:hAnsi="Times New Roman"/>
          <w:sz w:val="28"/>
          <w:szCs w:val="28"/>
          <w:lang w:val="uk-UA"/>
        </w:rPr>
        <w:t xml:space="preserve"> </w:t>
      </w:r>
    </w:p>
    <w:p w:rsidR="005548AC" w:rsidRPr="00962BEE" w:rsidRDefault="005548AC" w:rsidP="005548AC">
      <w:pPr>
        <w:spacing w:after="0" w:line="360" w:lineRule="auto"/>
        <w:jc w:val="both"/>
        <w:rPr>
          <w:rFonts w:ascii="Times New Roman" w:hAnsi="Times New Roman"/>
          <w:sz w:val="28"/>
          <w:szCs w:val="28"/>
          <w:lang w:val="uk-UA"/>
        </w:rPr>
      </w:pPr>
      <w:r w:rsidRPr="00962BEE">
        <w:rPr>
          <w:rFonts w:ascii="Times New Roman" w:hAnsi="Times New Roman"/>
          <w:sz w:val="28"/>
          <w:szCs w:val="28"/>
        </w:rPr>
        <w:tab/>
        <w:t>Correlation analysis revealed positive relationships between SBP and sTNF-R1 (</w:t>
      </w:r>
      <w:proofErr w:type="spellStart"/>
      <w:r w:rsidRPr="00962BEE">
        <w:rPr>
          <w:rFonts w:ascii="Times New Roman" w:hAnsi="Times New Roman"/>
          <w:sz w:val="28"/>
          <w:szCs w:val="28"/>
        </w:rPr>
        <w:t>r</w:t>
      </w:r>
      <w:r w:rsidRPr="00962BEE">
        <w:rPr>
          <w:rFonts w:ascii="Times New Roman" w:hAnsi="Times New Roman"/>
          <w:sz w:val="28"/>
          <w:szCs w:val="28"/>
          <w:vertAlign w:val="subscript"/>
        </w:rPr>
        <w:t>s</w:t>
      </w:r>
      <w:proofErr w:type="spellEnd"/>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41;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040) </w:t>
      </w:r>
      <w:r w:rsidRPr="00962BEE">
        <w:rPr>
          <w:rFonts w:ascii="Times New Roman" w:hAnsi="Times New Roman"/>
          <w:sz w:val="28"/>
          <w:szCs w:val="28"/>
        </w:rPr>
        <w:t>in patients with 2 degree AH</w:t>
      </w:r>
      <w:r w:rsidRPr="00962BEE">
        <w:rPr>
          <w:rFonts w:ascii="Times New Roman" w:hAnsi="Times New Roman"/>
          <w:sz w:val="28"/>
          <w:szCs w:val="28"/>
          <w:lang w:val="uk-UA"/>
        </w:rPr>
        <w:t>;</w:t>
      </w:r>
      <w:r w:rsidRPr="00962BEE">
        <w:rPr>
          <w:rFonts w:ascii="Times New Roman" w:hAnsi="Times New Roman"/>
          <w:sz w:val="28"/>
          <w:szCs w:val="28"/>
        </w:rPr>
        <w:t xml:space="preserve"> between DBP and TNF-α </w:t>
      </w:r>
      <w:r w:rsidRPr="00962BEE">
        <w:rPr>
          <w:rFonts w:ascii="Times New Roman" w:hAnsi="Times New Roman"/>
          <w:sz w:val="28"/>
          <w:szCs w:val="28"/>
          <w:lang w:val="uk-UA"/>
        </w:rPr>
        <w:t>(</w:t>
      </w:r>
      <w:proofErr w:type="spellStart"/>
      <w:r w:rsidRPr="00962BEE">
        <w:rPr>
          <w:rFonts w:ascii="Times New Roman" w:hAnsi="Times New Roman"/>
          <w:sz w:val="28"/>
          <w:szCs w:val="28"/>
        </w:rPr>
        <w:t>r</w:t>
      </w:r>
      <w:r w:rsidRPr="00962BEE">
        <w:rPr>
          <w:rFonts w:ascii="Times New Roman" w:hAnsi="Times New Roman"/>
          <w:sz w:val="28"/>
          <w:szCs w:val="28"/>
          <w:vertAlign w:val="subscript"/>
        </w:rPr>
        <w:t>s</w:t>
      </w:r>
      <w:proofErr w:type="spellEnd"/>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51;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002), </w:t>
      </w:r>
      <w:r w:rsidRPr="00962BEE">
        <w:rPr>
          <w:rFonts w:ascii="Times New Roman" w:hAnsi="Times New Roman"/>
          <w:sz w:val="28"/>
          <w:szCs w:val="28"/>
        </w:rPr>
        <w:t xml:space="preserve">TNF-α/sTNF-R1 </w:t>
      </w:r>
      <w:r w:rsidRPr="00962BEE">
        <w:rPr>
          <w:rFonts w:ascii="Times New Roman" w:hAnsi="Times New Roman"/>
          <w:sz w:val="28"/>
          <w:szCs w:val="28"/>
          <w:lang w:val="uk-UA"/>
        </w:rPr>
        <w:t>(</w:t>
      </w:r>
      <w:proofErr w:type="spellStart"/>
      <w:r w:rsidRPr="00962BEE">
        <w:rPr>
          <w:rFonts w:ascii="Times New Roman" w:hAnsi="Times New Roman"/>
          <w:sz w:val="28"/>
          <w:szCs w:val="28"/>
        </w:rPr>
        <w:t>r</w:t>
      </w:r>
      <w:r w:rsidRPr="00962BEE">
        <w:rPr>
          <w:rFonts w:ascii="Times New Roman" w:hAnsi="Times New Roman"/>
          <w:sz w:val="28"/>
          <w:szCs w:val="28"/>
          <w:vertAlign w:val="subscript"/>
        </w:rPr>
        <w:t>s</w:t>
      </w:r>
      <w:proofErr w:type="spellEnd"/>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49;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003)</w:t>
      </w:r>
      <w:r w:rsidRPr="00962BEE">
        <w:rPr>
          <w:rFonts w:ascii="Times New Roman" w:hAnsi="Times New Roman"/>
          <w:sz w:val="28"/>
          <w:szCs w:val="28"/>
        </w:rPr>
        <w:t xml:space="preserve">. </w:t>
      </w:r>
      <w:r w:rsidRPr="00962BEE">
        <w:rPr>
          <w:rFonts w:ascii="Times New Roman" w:hAnsi="Times New Roman"/>
          <w:sz w:val="28"/>
          <w:szCs w:val="28"/>
          <w:lang w:val="uk-UA"/>
        </w:rPr>
        <w:t xml:space="preserve">   </w:t>
      </w:r>
    </w:p>
    <w:p w:rsidR="005548AC" w:rsidRPr="00962BEE" w:rsidRDefault="005548AC" w:rsidP="005548AC">
      <w:pPr>
        <w:spacing w:after="0" w:line="360" w:lineRule="auto"/>
        <w:ind w:firstLine="709"/>
        <w:jc w:val="both"/>
        <w:rPr>
          <w:rFonts w:ascii="Times New Roman" w:hAnsi="Times New Roman"/>
          <w:sz w:val="28"/>
          <w:szCs w:val="28"/>
        </w:rPr>
      </w:pPr>
      <w:r w:rsidRPr="00962BEE">
        <w:rPr>
          <w:rFonts w:ascii="Times New Roman" w:hAnsi="Times New Roman"/>
          <w:sz w:val="28"/>
          <w:szCs w:val="28"/>
        </w:rPr>
        <w:t>Thus</w:t>
      </w:r>
      <w:r w:rsidRPr="00962BEE">
        <w:rPr>
          <w:rFonts w:ascii="Times New Roman" w:hAnsi="Times New Roman"/>
          <w:sz w:val="28"/>
          <w:szCs w:val="28"/>
          <w:lang w:val="uk-UA"/>
        </w:rPr>
        <w:t xml:space="preserve">, </w:t>
      </w:r>
      <w:r w:rsidRPr="00962BEE">
        <w:rPr>
          <w:rFonts w:ascii="Times New Roman" w:hAnsi="Times New Roman"/>
          <w:sz w:val="28"/>
          <w:szCs w:val="28"/>
        </w:rPr>
        <w:t>in</w:t>
      </w:r>
      <w:r w:rsidRPr="00962BEE">
        <w:rPr>
          <w:rFonts w:ascii="Times New Roman" w:hAnsi="Times New Roman"/>
          <w:sz w:val="28"/>
          <w:szCs w:val="28"/>
          <w:lang w:val="uk-UA"/>
        </w:rPr>
        <w:t xml:space="preserve"> </w:t>
      </w:r>
      <w:r w:rsidRPr="00962BEE">
        <w:rPr>
          <w:rFonts w:ascii="Times New Roman" w:hAnsi="Times New Roman"/>
          <w:sz w:val="28"/>
          <w:szCs w:val="28"/>
        </w:rPr>
        <w:t>spite</w:t>
      </w:r>
      <w:r w:rsidRPr="00962BEE">
        <w:rPr>
          <w:rFonts w:ascii="Times New Roman" w:hAnsi="Times New Roman"/>
          <w:sz w:val="28"/>
          <w:szCs w:val="28"/>
          <w:lang w:val="uk-UA"/>
        </w:rPr>
        <w:t xml:space="preserve"> </w:t>
      </w:r>
      <w:r w:rsidRPr="00962BEE">
        <w:rPr>
          <w:rFonts w:ascii="Times New Roman" w:hAnsi="Times New Roman"/>
          <w:sz w:val="28"/>
          <w:szCs w:val="28"/>
        </w:rPr>
        <w:t>of</w:t>
      </w:r>
      <w:r w:rsidRPr="00962BEE">
        <w:rPr>
          <w:rFonts w:ascii="Times New Roman" w:hAnsi="Times New Roman"/>
          <w:sz w:val="28"/>
          <w:szCs w:val="28"/>
          <w:lang w:val="uk-UA"/>
        </w:rPr>
        <w:t xml:space="preserve"> </w:t>
      </w:r>
      <w:r w:rsidRPr="00962BEE">
        <w:rPr>
          <w:rFonts w:ascii="Times New Roman" w:hAnsi="Times New Roman"/>
          <w:sz w:val="28"/>
          <w:szCs w:val="28"/>
        </w:rPr>
        <w:t>detected</w:t>
      </w:r>
      <w:r w:rsidRPr="00962BEE">
        <w:rPr>
          <w:rFonts w:ascii="Times New Roman" w:hAnsi="Times New Roman"/>
          <w:sz w:val="28"/>
          <w:szCs w:val="28"/>
          <w:lang w:val="uk-UA"/>
        </w:rPr>
        <w:t xml:space="preserve"> </w:t>
      </w:r>
      <w:r w:rsidRPr="00962BEE">
        <w:rPr>
          <w:rFonts w:ascii="Times New Roman" w:hAnsi="Times New Roman"/>
          <w:sz w:val="28"/>
          <w:szCs w:val="28"/>
        </w:rPr>
        <w:t>increasing</w:t>
      </w:r>
      <w:r w:rsidRPr="00962BEE">
        <w:rPr>
          <w:rFonts w:ascii="Times New Roman" w:hAnsi="Times New Roman"/>
          <w:sz w:val="28"/>
          <w:szCs w:val="28"/>
          <w:lang w:val="uk-UA"/>
        </w:rPr>
        <w:t xml:space="preserve"> </w:t>
      </w:r>
      <w:proofErr w:type="spellStart"/>
      <w:r w:rsidRPr="00962BEE">
        <w:rPr>
          <w:rFonts w:ascii="Times New Roman" w:hAnsi="Times New Roman"/>
          <w:sz w:val="28"/>
          <w:szCs w:val="28"/>
        </w:rPr>
        <w:t>sTNF</w:t>
      </w:r>
      <w:proofErr w:type="spellEnd"/>
      <w:r w:rsidRPr="00962BEE">
        <w:rPr>
          <w:rFonts w:ascii="Times New Roman" w:hAnsi="Times New Roman"/>
          <w:sz w:val="28"/>
          <w:szCs w:val="28"/>
          <w:lang w:val="uk-UA"/>
        </w:rPr>
        <w:t>-</w:t>
      </w:r>
      <w:r w:rsidRPr="00962BEE">
        <w:rPr>
          <w:rFonts w:ascii="Times New Roman" w:hAnsi="Times New Roman"/>
          <w:sz w:val="28"/>
          <w:szCs w:val="28"/>
        </w:rPr>
        <w:t>R</w:t>
      </w:r>
      <w:r w:rsidRPr="00962BEE">
        <w:rPr>
          <w:rFonts w:ascii="Times New Roman" w:hAnsi="Times New Roman"/>
          <w:sz w:val="28"/>
          <w:szCs w:val="28"/>
          <w:lang w:val="uk-UA"/>
        </w:rPr>
        <w:t xml:space="preserve">1 </w:t>
      </w:r>
      <w:r w:rsidRPr="00962BEE">
        <w:rPr>
          <w:rFonts w:ascii="Times New Roman" w:hAnsi="Times New Roman"/>
          <w:sz w:val="28"/>
          <w:szCs w:val="28"/>
        </w:rPr>
        <w:t>concentration</w:t>
      </w:r>
      <w:r w:rsidRPr="00962BEE">
        <w:rPr>
          <w:rFonts w:ascii="Times New Roman" w:hAnsi="Times New Roman"/>
          <w:sz w:val="28"/>
          <w:szCs w:val="28"/>
          <w:lang w:val="uk-UA"/>
        </w:rPr>
        <w:t xml:space="preserve">, </w:t>
      </w:r>
      <w:r w:rsidRPr="00962BEE">
        <w:rPr>
          <w:rFonts w:ascii="Times New Roman" w:hAnsi="Times New Roman"/>
          <w:sz w:val="28"/>
          <w:szCs w:val="28"/>
        </w:rPr>
        <w:t>natural</w:t>
      </w:r>
      <w:r w:rsidRPr="00962BEE">
        <w:rPr>
          <w:rFonts w:ascii="Times New Roman" w:hAnsi="Times New Roman"/>
          <w:sz w:val="28"/>
          <w:szCs w:val="28"/>
          <w:lang w:val="uk-UA"/>
        </w:rPr>
        <w:t xml:space="preserve"> </w:t>
      </w:r>
      <w:r w:rsidRPr="00962BEE">
        <w:rPr>
          <w:rFonts w:ascii="Times New Roman" w:hAnsi="Times New Roman"/>
          <w:sz w:val="28"/>
          <w:szCs w:val="28"/>
        </w:rPr>
        <w:t>TNF</w:t>
      </w:r>
      <w:r w:rsidRPr="00962BEE">
        <w:rPr>
          <w:rFonts w:ascii="Times New Roman" w:hAnsi="Times New Roman"/>
          <w:sz w:val="28"/>
          <w:szCs w:val="28"/>
          <w:lang w:val="uk-UA"/>
        </w:rPr>
        <w:t>-</w:t>
      </w:r>
      <w:r w:rsidRPr="00962BEE">
        <w:rPr>
          <w:rFonts w:ascii="Times New Roman" w:hAnsi="Times New Roman"/>
          <w:sz w:val="28"/>
          <w:szCs w:val="28"/>
        </w:rPr>
        <w:t>α</w:t>
      </w:r>
      <w:r w:rsidRPr="00962BEE">
        <w:rPr>
          <w:rFonts w:ascii="Times New Roman" w:hAnsi="Times New Roman"/>
          <w:sz w:val="28"/>
          <w:szCs w:val="28"/>
          <w:lang w:val="uk-UA"/>
        </w:rPr>
        <w:t xml:space="preserve"> </w:t>
      </w:r>
      <w:r w:rsidRPr="00962BEE">
        <w:rPr>
          <w:rFonts w:ascii="Times New Roman" w:hAnsi="Times New Roman"/>
          <w:sz w:val="28"/>
          <w:szCs w:val="28"/>
        </w:rPr>
        <w:t>inhibitor</w:t>
      </w:r>
      <w:r w:rsidRPr="00962BEE">
        <w:rPr>
          <w:rFonts w:ascii="Times New Roman" w:hAnsi="Times New Roman"/>
          <w:sz w:val="28"/>
          <w:szCs w:val="28"/>
          <w:lang w:val="uk-UA"/>
        </w:rPr>
        <w:t xml:space="preserve">, </w:t>
      </w:r>
      <w:r w:rsidRPr="00962BEE">
        <w:rPr>
          <w:rFonts w:ascii="Times New Roman" w:hAnsi="Times New Roman"/>
          <w:sz w:val="28"/>
          <w:szCs w:val="28"/>
        </w:rPr>
        <w:t>and</w:t>
      </w:r>
      <w:r w:rsidRPr="00962BEE">
        <w:rPr>
          <w:rFonts w:ascii="Times New Roman" w:hAnsi="Times New Roman"/>
          <w:sz w:val="28"/>
          <w:szCs w:val="28"/>
          <w:lang w:val="uk-UA"/>
        </w:rPr>
        <w:t xml:space="preserve"> </w:t>
      </w:r>
      <w:r w:rsidRPr="00962BEE">
        <w:rPr>
          <w:rFonts w:ascii="Times New Roman" w:hAnsi="Times New Roman"/>
          <w:sz w:val="28"/>
          <w:szCs w:val="28"/>
        </w:rPr>
        <w:t>insignificant</w:t>
      </w:r>
      <w:r w:rsidRPr="00962BEE">
        <w:rPr>
          <w:rFonts w:ascii="Times New Roman" w:hAnsi="Times New Roman"/>
          <w:sz w:val="28"/>
          <w:szCs w:val="28"/>
          <w:lang w:val="uk-UA"/>
        </w:rPr>
        <w:t xml:space="preserve"> </w:t>
      </w:r>
      <w:r w:rsidRPr="00962BEE">
        <w:rPr>
          <w:rFonts w:ascii="Times New Roman" w:hAnsi="Times New Roman"/>
          <w:sz w:val="28"/>
          <w:szCs w:val="28"/>
        </w:rPr>
        <w:t>decreasing</w:t>
      </w:r>
      <w:r w:rsidRPr="00962BEE">
        <w:rPr>
          <w:rFonts w:ascii="Times New Roman" w:hAnsi="Times New Roman"/>
          <w:sz w:val="28"/>
          <w:szCs w:val="28"/>
          <w:lang w:val="uk-UA"/>
        </w:rPr>
        <w:t xml:space="preserve"> </w:t>
      </w:r>
      <w:r w:rsidRPr="00962BEE">
        <w:rPr>
          <w:rFonts w:ascii="Times New Roman" w:hAnsi="Times New Roman"/>
          <w:sz w:val="28"/>
          <w:szCs w:val="28"/>
        </w:rPr>
        <w:t>of</w:t>
      </w:r>
      <w:r w:rsidRPr="00962BEE">
        <w:rPr>
          <w:rFonts w:ascii="Times New Roman" w:hAnsi="Times New Roman"/>
          <w:sz w:val="28"/>
          <w:szCs w:val="28"/>
          <w:lang w:val="uk-UA"/>
        </w:rPr>
        <w:t xml:space="preserve"> </w:t>
      </w:r>
      <w:r w:rsidRPr="00962BEE">
        <w:rPr>
          <w:rFonts w:ascii="Times New Roman" w:hAnsi="Times New Roman"/>
          <w:sz w:val="28"/>
          <w:szCs w:val="28"/>
        </w:rPr>
        <w:t>TNF</w:t>
      </w:r>
      <w:r w:rsidRPr="00962BEE">
        <w:rPr>
          <w:rFonts w:ascii="Times New Roman" w:hAnsi="Times New Roman"/>
          <w:sz w:val="28"/>
          <w:szCs w:val="28"/>
          <w:lang w:val="uk-UA"/>
        </w:rPr>
        <w:t>-</w:t>
      </w:r>
      <w:r w:rsidRPr="00962BEE">
        <w:rPr>
          <w:rFonts w:ascii="Times New Roman" w:hAnsi="Times New Roman"/>
          <w:sz w:val="28"/>
          <w:szCs w:val="28"/>
        </w:rPr>
        <w:t>α</w:t>
      </w:r>
      <w:r w:rsidRPr="00962BEE">
        <w:rPr>
          <w:rFonts w:ascii="Times New Roman" w:hAnsi="Times New Roman"/>
          <w:sz w:val="28"/>
          <w:szCs w:val="28"/>
          <w:lang w:val="uk-UA"/>
        </w:rPr>
        <w:t>/</w:t>
      </w:r>
      <w:proofErr w:type="spellStart"/>
      <w:r w:rsidRPr="00962BEE">
        <w:rPr>
          <w:rFonts w:ascii="Times New Roman" w:hAnsi="Times New Roman"/>
          <w:sz w:val="28"/>
          <w:szCs w:val="28"/>
        </w:rPr>
        <w:t>sTNF</w:t>
      </w:r>
      <w:proofErr w:type="spellEnd"/>
      <w:r w:rsidRPr="00962BEE">
        <w:rPr>
          <w:rFonts w:ascii="Times New Roman" w:hAnsi="Times New Roman"/>
          <w:sz w:val="28"/>
          <w:szCs w:val="28"/>
          <w:lang w:val="uk-UA"/>
        </w:rPr>
        <w:t>-</w:t>
      </w:r>
      <w:r w:rsidRPr="00962BEE">
        <w:rPr>
          <w:rFonts w:ascii="Times New Roman" w:hAnsi="Times New Roman"/>
          <w:sz w:val="28"/>
          <w:szCs w:val="28"/>
        </w:rPr>
        <w:t>R</w:t>
      </w:r>
      <w:r w:rsidRPr="00962BEE">
        <w:rPr>
          <w:rFonts w:ascii="Times New Roman" w:hAnsi="Times New Roman"/>
          <w:sz w:val="28"/>
          <w:szCs w:val="28"/>
          <w:lang w:val="uk-UA"/>
        </w:rPr>
        <w:t xml:space="preserve">1, </w:t>
      </w:r>
      <w:r w:rsidRPr="00962BEE">
        <w:rPr>
          <w:rFonts w:ascii="Times New Roman" w:hAnsi="Times New Roman"/>
          <w:sz w:val="28"/>
          <w:szCs w:val="28"/>
        </w:rPr>
        <w:t>cytokine</w:t>
      </w:r>
      <w:r w:rsidRPr="00962BEE">
        <w:rPr>
          <w:rFonts w:ascii="Times New Roman" w:hAnsi="Times New Roman"/>
          <w:sz w:val="28"/>
          <w:szCs w:val="28"/>
          <w:lang w:val="uk-UA"/>
        </w:rPr>
        <w:t xml:space="preserve"> </w:t>
      </w:r>
      <w:r w:rsidRPr="00962BEE">
        <w:rPr>
          <w:rFonts w:ascii="Times New Roman" w:hAnsi="Times New Roman"/>
          <w:sz w:val="28"/>
          <w:szCs w:val="28"/>
        </w:rPr>
        <w:t>level</w:t>
      </w:r>
      <w:r w:rsidRPr="00962BEE">
        <w:rPr>
          <w:rFonts w:ascii="Times New Roman" w:hAnsi="Times New Roman"/>
          <w:sz w:val="28"/>
          <w:szCs w:val="28"/>
          <w:lang w:val="uk-UA"/>
        </w:rPr>
        <w:t xml:space="preserve"> </w:t>
      </w:r>
      <w:r w:rsidRPr="00962BEE">
        <w:rPr>
          <w:rFonts w:ascii="Times New Roman" w:hAnsi="Times New Roman"/>
          <w:sz w:val="28"/>
          <w:szCs w:val="28"/>
        </w:rPr>
        <w:t>remained</w:t>
      </w:r>
      <w:r w:rsidRPr="00962BEE">
        <w:rPr>
          <w:rFonts w:ascii="Times New Roman" w:hAnsi="Times New Roman"/>
          <w:sz w:val="28"/>
          <w:szCs w:val="28"/>
          <w:lang w:val="uk-UA"/>
        </w:rPr>
        <w:t xml:space="preserve"> </w:t>
      </w:r>
      <w:r w:rsidRPr="00962BEE">
        <w:rPr>
          <w:rFonts w:ascii="Times New Roman" w:hAnsi="Times New Roman"/>
          <w:sz w:val="28"/>
          <w:szCs w:val="28"/>
        </w:rPr>
        <w:t>high</w:t>
      </w:r>
      <w:r w:rsidRPr="00962BEE">
        <w:rPr>
          <w:rFonts w:ascii="Times New Roman" w:hAnsi="Times New Roman"/>
          <w:sz w:val="28"/>
          <w:szCs w:val="28"/>
          <w:lang w:val="uk-UA"/>
        </w:rPr>
        <w:t xml:space="preserve">, </w:t>
      </w:r>
      <w:r w:rsidRPr="00962BEE">
        <w:rPr>
          <w:rFonts w:ascii="Times New Roman" w:hAnsi="Times New Roman"/>
          <w:sz w:val="28"/>
          <w:szCs w:val="28"/>
        </w:rPr>
        <w:t>that</w:t>
      </w:r>
      <w:r w:rsidRPr="00962BEE">
        <w:rPr>
          <w:rFonts w:ascii="Times New Roman" w:hAnsi="Times New Roman"/>
          <w:sz w:val="28"/>
          <w:szCs w:val="28"/>
          <w:lang w:val="uk-UA"/>
        </w:rPr>
        <w:t xml:space="preserve"> </w:t>
      </w:r>
      <w:r w:rsidRPr="00962BEE">
        <w:rPr>
          <w:rFonts w:ascii="Times New Roman" w:hAnsi="Times New Roman"/>
          <w:sz w:val="28"/>
          <w:szCs w:val="28"/>
        </w:rPr>
        <w:t>confirm</w:t>
      </w:r>
      <w:r w:rsidRPr="00962BEE">
        <w:rPr>
          <w:rFonts w:ascii="Times New Roman" w:hAnsi="Times New Roman"/>
          <w:sz w:val="28"/>
          <w:szCs w:val="28"/>
          <w:lang w:val="uk-UA"/>
        </w:rPr>
        <w:t xml:space="preserve"> </w:t>
      </w:r>
      <w:r w:rsidRPr="00962BEE">
        <w:rPr>
          <w:rFonts w:ascii="Times New Roman" w:hAnsi="Times New Roman"/>
          <w:sz w:val="28"/>
          <w:szCs w:val="28"/>
        </w:rPr>
        <w:t>possibility</w:t>
      </w:r>
      <w:r w:rsidRPr="00962BEE">
        <w:rPr>
          <w:rFonts w:ascii="Times New Roman" w:hAnsi="Times New Roman"/>
          <w:sz w:val="28"/>
          <w:szCs w:val="28"/>
          <w:lang w:val="uk-UA"/>
        </w:rPr>
        <w:t xml:space="preserve"> </w:t>
      </w:r>
      <w:r w:rsidRPr="00962BEE">
        <w:rPr>
          <w:rFonts w:ascii="Times New Roman" w:hAnsi="Times New Roman"/>
          <w:sz w:val="28"/>
          <w:szCs w:val="28"/>
        </w:rPr>
        <w:t>of</w:t>
      </w:r>
      <w:r w:rsidRPr="00962BEE">
        <w:rPr>
          <w:rFonts w:ascii="Times New Roman" w:hAnsi="Times New Roman"/>
          <w:sz w:val="28"/>
          <w:szCs w:val="28"/>
          <w:lang w:val="uk-UA"/>
        </w:rPr>
        <w:t xml:space="preserve"> </w:t>
      </w:r>
      <w:r w:rsidRPr="00962BEE">
        <w:rPr>
          <w:rFonts w:ascii="Times New Roman" w:hAnsi="Times New Roman"/>
          <w:sz w:val="28"/>
          <w:szCs w:val="28"/>
        </w:rPr>
        <w:t>TNF</w:t>
      </w:r>
      <w:r w:rsidRPr="00962BEE">
        <w:rPr>
          <w:rFonts w:ascii="Times New Roman" w:hAnsi="Times New Roman"/>
          <w:sz w:val="28"/>
          <w:szCs w:val="28"/>
          <w:lang w:val="uk-UA"/>
        </w:rPr>
        <w:t>-</w:t>
      </w:r>
      <w:r w:rsidRPr="00962BEE">
        <w:rPr>
          <w:rFonts w:ascii="Times New Roman" w:hAnsi="Times New Roman"/>
          <w:sz w:val="28"/>
          <w:szCs w:val="28"/>
        </w:rPr>
        <w:t xml:space="preserve">mediated apoptosis pathway in hypertensive patients. </w:t>
      </w:r>
    </w:p>
    <w:p w:rsidR="005548AC" w:rsidRPr="00962BEE" w:rsidRDefault="005548AC" w:rsidP="005548AC">
      <w:pPr>
        <w:spacing w:after="0" w:line="360" w:lineRule="auto"/>
        <w:ind w:firstLine="709"/>
        <w:jc w:val="both"/>
        <w:rPr>
          <w:rFonts w:ascii="Times New Roman" w:hAnsi="Times New Roman"/>
          <w:sz w:val="28"/>
          <w:szCs w:val="28"/>
        </w:rPr>
      </w:pPr>
      <w:r w:rsidRPr="00962BEE">
        <w:rPr>
          <w:rFonts w:ascii="Times New Roman" w:hAnsi="Times New Roman"/>
          <w:sz w:val="28"/>
          <w:szCs w:val="28"/>
          <w:lang w:val="uk-UA"/>
        </w:rPr>
        <w:t xml:space="preserve"> </w:t>
      </w:r>
      <w:r w:rsidRPr="00962BEE">
        <w:rPr>
          <w:rFonts w:ascii="Times New Roman" w:hAnsi="Times New Roman"/>
          <w:sz w:val="28"/>
          <w:szCs w:val="28"/>
        </w:rPr>
        <w:t>Alternative mechanism of apoptotic cellular death realization is binding of Fas receptor with corresponding ligand – Fas ligand (</w:t>
      </w:r>
      <w:proofErr w:type="spellStart"/>
      <w:r w:rsidRPr="00962BEE">
        <w:rPr>
          <w:rFonts w:ascii="Times New Roman" w:hAnsi="Times New Roman"/>
          <w:sz w:val="28"/>
          <w:szCs w:val="28"/>
        </w:rPr>
        <w:t>FasL</w:t>
      </w:r>
      <w:proofErr w:type="spellEnd"/>
      <w:r w:rsidRPr="00962BEE">
        <w:rPr>
          <w:rFonts w:ascii="Times New Roman" w:hAnsi="Times New Roman"/>
          <w:sz w:val="28"/>
          <w:szCs w:val="28"/>
        </w:rPr>
        <w:t xml:space="preserve">). Apoptosis inductor rate in blood of hypertensive patients was 73±5%, in average level 0.38±0.03 ng/ml (concentration interval from 0 </w:t>
      </w:r>
      <w:proofErr w:type="gramStart"/>
      <w:r w:rsidRPr="00962BEE">
        <w:rPr>
          <w:rFonts w:ascii="Times New Roman" w:hAnsi="Times New Roman"/>
          <w:sz w:val="28"/>
          <w:szCs w:val="28"/>
        </w:rPr>
        <w:t>to 0.91 ng/ml</w:t>
      </w:r>
      <w:proofErr w:type="gramEnd"/>
      <w:r w:rsidRPr="00962BEE">
        <w:rPr>
          <w:rFonts w:ascii="Times New Roman" w:hAnsi="Times New Roman"/>
          <w:sz w:val="28"/>
          <w:szCs w:val="28"/>
        </w:rPr>
        <w:t xml:space="preserve">). </w:t>
      </w:r>
    </w:p>
    <w:p w:rsidR="005548AC" w:rsidRPr="00962BEE" w:rsidRDefault="005548AC" w:rsidP="005548AC">
      <w:pPr>
        <w:pStyle w:val="BodyText2"/>
        <w:spacing w:after="0" w:line="360" w:lineRule="auto"/>
        <w:ind w:firstLine="708"/>
        <w:jc w:val="both"/>
        <w:rPr>
          <w:sz w:val="28"/>
          <w:szCs w:val="28"/>
          <w:lang w:val="uk-UA"/>
        </w:rPr>
      </w:pPr>
      <w:r w:rsidRPr="00962BEE">
        <w:rPr>
          <w:sz w:val="28"/>
          <w:szCs w:val="28"/>
          <w:lang w:val="en-US"/>
        </w:rPr>
        <w:t xml:space="preserve">We found significant </w:t>
      </w:r>
      <w:proofErr w:type="spellStart"/>
      <w:r w:rsidRPr="00962BEE">
        <w:rPr>
          <w:sz w:val="28"/>
          <w:szCs w:val="28"/>
          <w:lang w:val="en-US"/>
        </w:rPr>
        <w:t>sFasL</w:t>
      </w:r>
      <w:proofErr w:type="spellEnd"/>
      <w:r w:rsidRPr="00962BEE">
        <w:rPr>
          <w:sz w:val="28"/>
          <w:szCs w:val="28"/>
          <w:lang w:val="en-US"/>
        </w:rPr>
        <w:t xml:space="preserve"> detection rate in hypertensive patients depend on degree of BP elevation (</w:t>
      </w:r>
      <w:proofErr w:type="gramStart"/>
      <w:r w:rsidRPr="00962BEE">
        <w:rPr>
          <w:sz w:val="28"/>
          <w:szCs w:val="28"/>
          <w:lang w:val="en-US"/>
        </w:rPr>
        <w:t>Table  1</w:t>
      </w:r>
      <w:proofErr w:type="gramEnd"/>
      <w:r w:rsidRPr="00962BEE">
        <w:rPr>
          <w:sz w:val="28"/>
          <w:szCs w:val="28"/>
          <w:lang w:val="en-US"/>
        </w:rPr>
        <w:t>)</w:t>
      </w:r>
      <w:r w:rsidR="00D22885">
        <w:rPr>
          <w:sz w:val="28"/>
          <w:szCs w:val="28"/>
          <w:lang w:val="en-US"/>
        </w:rPr>
        <w:t>.</w:t>
      </w:r>
      <w:r w:rsidRPr="00962BEE">
        <w:rPr>
          <w:sz w:val="28"/>
          <w:szCs w:val="28"/>
          <w:lang w:val="uk-UA"/>
        </w:rPr>
        <w:t xml:space="preserve"> </w:t>
      </w:r>
    </w:p>
    <w:p w:rsidR="005548AC" w:rsidRPr="00962BEE" w:rsidRDefault="005548AC" w:rsidP="005548AC">
      <w:pPr>
        <w:spacing w:after="0" w:line="360" w:lineRule="auto"/>
        <w:jc w:val="right"/>
        <w:rPr>
          <w:rFonts w:ascii="Times New Roman" w:hAnsi="Times New Roman"/>
          <w:b/>
          <w:sz w:val="24"/>
          <w:szCs w:val="24"/>
          <w:lang w:val="uk-UA"/>
        </w:rPr>
      </w:pPr>
      <w:r w:rsidRPr="00962BEE">
        <w:rPr>
          <w:rFonts w:ascii="Times New Roman" w:hAnsi="Times New Roman"/>
          <w:b/>
          <w:sz w:val="24"/>
          <w:szCs w:val="24"/>
        </w:rPr>
        <w:t>Table 1</w:t>
      </w:r>
      <w:r w:rsidRPr="00962BEE">
        <w:rPr>
          <w:rFonts w:ascii="Times New Roman" w:hAnsi="Times New Roman"/>
          <w:b/>
          <w:sz w:val="24"/>
          <w:szCs w:val="24"/>
          <w:lang w:val="uk-UA"/>
        </w:rPr>
        <w:t xml:space="preserve"> </w:t>
      </w:r>
    </w:p>
    <w:p w:rsidR="005548AC" w:rsidRPr="00962BEE" w:rsidRDefault="005548AC" w:rsidP="005548AC">
      <w:pPr>
        <w:spacing w:after="0" w:line="360" w:lineRule="auto"/>
        <w:jc w:val="center"/>
        <w:rPr>
          <w:rFonts w:ascii="Times New Roman" w:hAnsi="Times New Roman"/>
          <w:sz w:val="24"/>
          <w:szCs w:val="24"/>
          <w:lang w:val="uk-UA"/>
        </w:rPr>
      </w:pPr>
      <w:proofErr w:type="spellStart"/>
      <w:proofErr w:type="gramStart"/>
      <w:r w:rsidRPr="00962BEE">
        <w:rPr>
          <w:rFonts w:ascii="Times New Roman" w:hAnsi="Times New Roman"/>
          <w:sz w:val="24"/>
          <w:szCs w:val="24"/>
        </w:rPr>
        <w:t>sFasL</w:t>
      </w:r>
      <w:proofErr w:type="spellEnd"/>
      <w:proofErr w:type="gramEnd"/>
      <w:r w:rsidRPr="00962BEE">
        <w:rPr>
          <w:rFonts w:ascii="Times New Roman" w:hAnsi="Times New Roman"/>
          <w:sz w:val="24"/>
          <w:szCs w:val="24"/>
          <w:lang w:val="uk-UA"/>
        </w:rPr>
        <w:t xml:space="preserve"> </w:t>
      </w:r>
      <w:r w:rsidRPr="00962BEE">
        <w:rPr>
          <w:rFonts w:ascii="Times New Roman" w:hAnsi="Times New Roman"/>
          <w:sz w:val="24"/>
          <w:szCs w:val="24"/>
        </w:rPr>
        <w:t xml:space="preserve">depend on level of blood pressure elevation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63"/>
        <w:gridCol w:w="2160"/>
        <w:gridCol w:w="2160"/>
      </w:tblGrid>
      <w:tr w:rsidR="005548AC" w:rsidRPr="00962BEE" w:rsidTr="00C87F1B">
        <w:tc>
          <w:tcPr>
            <w:tcW w:w="3085" w:type="dxa"/>
          </w:tcPr>
          <w:p w:rsidR="005548AC" w:rsidRPr="00962BEE" w:rsidRDefault="005548AC" w:rsidP="00C87F1B">
            <w:pPr>
              <w:spacing w:after="0" w:line="360" w:lineRule="auto"/>
              <w:jc w:val="both"/>
              <w:rPr>
                <w:rFonts w:ascii="Times New Roman" w:hAnsi="Times New Roman"/>
                <w:sz w:val="24"/>
                <w:szCs w:val="24"/>
                <w:lang w:val="uk-UA"/>
              </w:rPr>
            </w:pPr>
            <w:r w:rsidRPr="00962BEE">
              <w:rPr>
                <w:rFonts w:ascii="Times New Roman" w:hAnsi="Times New Roman"/>
                <w:sz w:val="24"/>
                <w:szCs w:val="24"/>
              </w:rPr>
              <w:t xml:space="preserve">Parameters </w:t>
            </w:r>
            <w:r w:rsidRPr="00962BEE">
              <w:rPr>
                <w:rFonts w:ascii="Times New Roman" w:hAnsi="Times New Roman"/>
                <w:sz w:val="24"/>
                <w:szCs w:val="24"/>
                <w:lang w:val="uk-UA"/>
              </w:rPr>
              <w:t xml:space="preserve"> </w:t>
            </w:r>
          </w:p>
        </w:tc>
        <w:tc>
          <w:tcPr>
            <w:tcW w:w="2063" w:type="dxa"/>
          </w:tcPr>
          <w:p w:rsidR="005548AC" w:rsidRPr="00962BEE" w:rsidRDefault="005548AC" w:rsidP="00C87F1B">
            <w:pPr>
              <w:spacing w:after="0" w:line="360" w:lineRule="auto"/>
              <w:jc w:val="center"/>
              <w:rPr>
                <w:rFonts w:ascii="Times New Roman" w:hAnsi="Times New Roman"/>
                <w:b/>
                <w:sz w:val="24"/>
                <w:szCs w:val="24"/>
                <w:lang w:val="uk-UA"/>
              </w:rPr>
            </w:pPr>
            <w:r w:rsidRPr="00962BEE">
              <w:rPr>
                <w:rFonts w:ascii="Times New Roman" w:hAnsi="Times New Roman"/>
                <w:b/>
                <w:sz w:val="24"/>
                <w:szCs w:val="24"/>
                <w:lang w:val="uk-UA"/>
              </w:rPr>
              <w:t xml:space="preserve">1 </w:t>
            </w:r>
            <w:r w:rsidRPr="00962BEE">
              <w:rPr>
                <w:rFonts w:ascii="Times New Roman" w:hAnsi="Times New Roman"/>
                <w:b/>
                <w:sz w:val="24"/>
                <w:szCs w:val="24"/>
              </w:rPr>
              <w:t xml:space="preserve">degree </w:t>
            </w:r>
            <w:r w:rsidRPr="00962BEE">
              <w:rPr>
                <w:rFonts w:ascii="Times New Roman" w:hAnsi="Times New Roman"/>
                <w:b/>
                <w:sz w:val="24"/>
                <w:szCs w:val="24"/>
                <w:lang w:val="uk-UA"/>
              </w:rPr>
              <w:t>А</w:t>
            </w:r>
            <w:r w:rsidRPr="00962BEE">
              <w:rPr>
                <w:rFonts w:ascii="Times New Roman" w:hAnsi="Times New Roman"/>
                <w:b/>
                <w:sz w:val="24"/>
                <w:szCs w:val="24"/>
              </w:rPr>
              <w:t>H</w:t>
            </w:r>
          </w:p>
          <w:p w:rsidR="005548AC" w:rsidRPr="00962BEE" w:rsidRDefault="005548AC" w:rsidP="00C87F1B">
            <w:pPr>
              <w:spacing w:after="0" w:line="360" w:lineRule="auto"/>
              <w:jc w:val="center"/>
              <w:rPr>
                <w:rFonts w:ascii="Times New Roman" w:hAnsi="Times New Roman"/>
                <w:i/>
                <w:sz w:val="24"/>
                <w:szCs w:val="24"/>
                <w:lang w:val="uk-UA"/>
              </w:rPr>
            </w:pPr>
            <w:r w:rsidRPr="00962BEE">
              <w:rPr>
                <w:rFonts w:ascii="Times New Roman" w:hAnsi="Times New Roman"/>
                <w:sz w:val="24"/>
                <w:szCs w:val="24"/>
                <w:lang w:val="uk-UA"/>
              </w:rPr>
              <w:t xml:space="preserve"> </w:t>
            </w:r>
            <w:r w:rsidRPr="00962BEE">
              <w:rPr>
                <w:rFonts w:ascii="Times New Roman" w:hAnsi="Times New Roman"/>
                <w:i/>
                <w:sz w:val="24"/>
                <w:szCs w:val="24"/>
                <w:lang w:val="uk-UA"/>
              </w:rPr>
              <w:t>(</w:t>
            </w:r>
            <w:r w:rsidRPr="00962BEE">
              <w:rPr>
                <w:rFonts w:ascii="Times New Roman" w:hAnsi="Times New Roman"/>
                <w:i/>
                <w:sz w:val="24"/>
                <w:szCs w:val="24"/>
              </w:rPr>
              <w:t>n</w:t>
            </w:r>
            <w:r w:rsidRPr="00962BEE">
              <w:rPr>
                <w:rFonts w:ascii="Times New Roman" w:hAnsi="Times New Roman"/>
                <w:i/>
                <w:sz w:val="24"/>
                <w:szCs w:val="24"/>
                <w:lang w:val="uk-UA"/>
              </w:rPr>
              <w:t>=18)</w:t>
            </w:r>
          </w:p>
        </w:tc>
        <w:tc>
          <w:tcPr>
            <w:tcW w:w="2160" w:type="dxa"/>
          </w:tcPr>
          <w:p w:rsidR="005548AC" w:rsidRPr="00962BEE" w:rsidRDefault="005548AC" w:rsidP="00C87F1B">
            <w:pPr>
              <w:spacing w:after="0" w:line="360" w:lineRule="auto"/>
              <w:jc w:val="center"/>
              <w:rPr>
                <w:rFonts w:ascii="Times New Roman" w:hAnsi="Times New Roman"/>
                <w:b/>
                <w:sz w:val="24"/>
                <w:szCs w:val="24"/>
              </w:rPr>
            </w:pPr>
            <w:r w:rsidRPr="00962BEE">
              <w:rPr>
                <w:rFonts w:ascii="Times New Roman" w:hAnsi="Times New Roman"/>
                <w:b/>
                <w:sz w:val="24"/>
                <w:szCs w:val="24"/>
                <w:lang w:val="uk-UA"/>
              </w:rPr>
              <w:t xml:space="preserve">2 </w:t>
            </w:r>
            <w:r w:rsidRPr="00962BEE">
              <w:rPr>
                <w:rFonts w:ascii="Times New Roman" w:hAnsi="Times New Roman"/>
                <w:b/>
                <w:sz w:val="24"/>
                <w:szCs w:val="24"/>
              </w:rPr>
              <w:t>degree</w:t>
            </w:r>
            <w:r w:rsidRPr="00962BEE">
              <w:rPr>
                <w:rFonts w:ascii="Times New Roman" w:hAnsi="Times New Roman"/>
                <w:b/>
                <w:sz w:val="24"/>
                <w:szCs w:val="24"/>
                <w:lang w:val="uk-UA"/>
              </w:rPr>
              <w:t xml:space="preserve"> А</w:t>
            </w:r>
            <w:r w:rsidRPr="00962BEE">
              <w:rPr>
                <w:rFonts w:ascii="Times New Roman" w:hAnsi="Times New Roman"/>
                <w:b/>
                <w:sz w:val="24"/>
                <w:szCs w:val="24"/>
              </w:rPr>
              <w:t>H</w:t>
            </w:r>
          </w:p>
          <w:p w:rsidR="005548AC" w:rsidRPr="00962BEE" w:rsidRDefault="005548AC" w:rsidP="00C87F1B">
            <w:pPr>
              <w:spacing w:after="0" w:line="360" w:lineRule="auto"/>
              <w:jc w:val="center"/>
              <w:rPr>
                <w:rFonts w:ascii="Times New Roman" w:hAnsi="Times New Roman"/>
                <w:i/>
                <w:sz w:val="24"/>
                <w:szCs w:val="24"/>
                <w:lang w:val="uk-UA"/>
              </w:rPr>
            </w:pPr>
            <w:r w:rsidRPr="00962BEE">
              <w:rPr>
                <w:rFonts w:ascii="Times New Roman" w:hAnsi="Times New Roman"/>
                <w:i/>
                <w:sz w:val="24"/>
                <w:szCs w:val="24"/>
                <w:lang w:val="uk-UA"/>
              </w:rPr>
              <w:t>(</w:t>
            </w:r>
            <w:r w:rsidRPr="00962BEE">
              <w:rPr>
                <w:rFonts w:ascii="Times New Roman" w:hAnsi="Times New Roman"/>
                <w:i/>
                <w:sz w:val="24"/>
                <w:szCs w:val="24"/>
              </w:rPr>
              <w:t>n</w:t>
            </w:r>
            <w:r w:rsidRPr="00962BEE">
              <w:rPr>
                <w:rFonts w:ascii="Times New Roman" w:hAnsi="Times New Roman"/>
                <w:i/>
                <w:sz w:val="24"/>
                <w:szCs w:val="24"/>
                <w:lang w:val="uk-UA"/>
              </w:rPr>
              <w:t xml:space="preserve">=25)  </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b/>
                <w:sz w:val="24"/>
                <w:szCs w:val="24"/>
                <w:lang w:val="uk-UA"/>
              </w:rPr>
              <w:t xml:space="preserve">3 </w:t>
            </w:r>
            <w:r w:rsidRPr="00962BEE">
              <w:rPr>
                <w:rFonts w:ascii="Times New Roman" w:hAnsi="Times New Roman"/>
                <w:b/>
                <w:sz w:val="24"/>
                <w:szCs w:val="24"/>
              </w:rPr>
              <w:t>degree</w:t>
            </w:r>
            <w:r w:rsidRPr="00962BEE">
              <w:rPr>
                <w:rFonts w:ascii="Times New Roman" w:hAnsi="Times New Roman"/>
                <w:b/>
                <w:sz w:val="24"/>
                <w:szCs w:val="24"/>
                <w:lang w:val="uk-UA"/>
              </w:rPr>
              <w:t xml:space="preserve"> А</w:t>
            </w:r>
            <w:r w:rsidRPr="00962BEE">
              <w:rPr>
                <w:rFonts w:ascii="Times New Roman" w:hAnsi="Times New Roman"/>
                <w:b/>
                <w:sz w:val="24"/>
                <w:szCs w:val="24"/>
              </w:rPr>
              <w:t>H</w:t>
            </w:r>
            <w:r w:rsidRPr="00962BEE">
              <w:rPr>
                <w:rFonts w:ascii="Times New Roman" w:hAnsi="Times New Roman"/>
                <w:sz w:val="24"/>
                <w:szCs w:val="24"/>
                <w:lang w:val="uk-UA"/>
              </w:rPr>
              <w:t xml:space="preserve"> </w:t>
            </w:r>
          </w:p>
          <w:p w:rsidR="005548AC" w:rsidRPr="00962BEE" w:rsidRDefault="005548AC" w:rsidP="00C87F1B">
            <w:pPr>
              <w:spacing w:after="0" w:line="360" w:lineRule="auto"/>
              <w:jc w:val="center"/>
              <w:rPr>
                <w:rFonts w:ascii="Times New Roman" w:hAnsi="Times New Roman"/>
                <w:i/>
                <w:sz w:val="24"/>
                <w:szCs w:val="24"/>
                <w:lang w:val="uk-UA"/>
              </w:rPr>
            </w:pPr>
            <w:r w:rsidRPr="00962BEE">
              <w:rPr>
                <w:rFonts w:ascii="Times New Roman" w:hAnsi="Times New Roman"/>
                <w:i/>
                <w:sz w:val="24"/>
                <w:szCs w:val="24"/>
                <w:lang w:val="uk-UA"/>
              </w:rPr>
              <w:t>(</w:t>
            </w:r>
            <w:r w:rsidRPr="00962BEE">
              <w:rPr>
                <w:rFonts w:ascii="Times New Roman" w:hAnsi="Times New Roman"/>
                <w:i/>
                <w:sz w:val="24"/>
                <w:szCs w:val="24"/>
              </w:rPr>
              <w:t>n</w:t>
            </w:r>
            <w:r w:rsidRPr="00962BEE">
              <w:rPr>
                <w:rFonts w:ascii="Times New Roman" w:hAnsi="Times New Roman"/>
                <w:i/>
                <w:sz w:val="24"/>
                <w:szCs w:val="24"/>
                <w:lang w:val="uk-UA"/>
              </w:rPr>
              <w:t>=35)</w:t>
            </w:r>
          </w:p>
        </w:tc>
      </w:tr>
      <w:tr w:rsidR="005548AC" w:rsidRPr="00962BEE" w:rsidTr="00C87F1B">
        <w:tc>
          <w:tcPr>
            <w:tcW w:w="3085" w:type="dxa"/>
          </w:tcPr>
          <w:p w:rsidR="005548AC" w:rsidRPr="00962BEE" w:rsidRDefault="005548AC" w:rsidP="00C87F1B">
            <w:pPr>
              <w:spacing w:after="0" w:line="360" w:lineRule="auto"/>
              <w:jc w:val="both"/>
              <w:rPr>
                <w:rFonts w:ascii="Times New Roman" w:hAnsi="Times New Roman"/>
                <w:sz w:val="24"/>
                <w:szCs w:val="24"/>
                <w:lang w:val="uk-UA"/>
              </w:rPr>
            </w:pPr>
            <w:r w:rsidRPr="00962BEE">
              <w:rPr>
                <w:rFonts w:ascii="Times New Roman" w:hAnsi="Times New Roman"/>
                <w:sz w:val="24"/>
                <w:szCs w:val="24"/>
              </w:rPr>
              <w:t xml:space="preserve">Age </w:t>
            </w:r>
            <w:r w:rsidRPr="00962BEE">
              <w:rPr>
                <w:rFonts w:ascii="Times New Roman" w:hAnsi="Times New Roman"/>
                <w:i/>
                <w:sz w:val="24"/>
                <w:szCs w:val="24"/>
                <w:lang w:val="uk-UA"/>
              </w:rPr>
              <w:t>(</w:t>
            </w:r>
            <w:r w:rsidRPr="00962BEE">
              <w:rPr>
                <w:rFonts w:ascii="Times New Roman" w:hAnsi="Times New Roman"/>
                <w:i/>
                <w:sz w:val="24"/>
                <w:szCs w:val="24"/>
              </w:rPr>
              <w:t>years</w:t>
            </w:r>
            <w:r w:rsidRPr="00962BEE">
              <w:rPr>
                <w:rFonts w:ascii="Times New Roman" w:hAnsi="Times New Roman"/>
                <w:i/>
                <w:sz w:val="24"/>
                <w:szCs w:val="24"/>
                <w:lang w:val="uk-UA"/>
              </w:rPr>
              <w:t>)</w:t>
            </w:r>
          </w:p>
        </w:tc>
        <w:tc>
          <w:tcPr>
            <w:tcW w:w="2063"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52</w:t>
            </w:r>
            <w:r w:rsidRPr="00962BEE">
              <w:rPr>
                <w:rFonts w:ascii="Times New Roman" w:hAnsi="Times New Roman"/>
                <w:sz w:val="24"/>
                <w:szCs w:val="24"/>
              </w:rPr>
              <w:t>.</w:t>
            </w:r>
            <w:r w:rsidRPr="00962BEE">
              <w:rPr>
                <w:rFonts w:ascii="Times New Roman" w:hAnsi="Times New Roman"/>
                <w:sz w:val="24"/>
                <w:szCs w:val="24"/>
                <w:lang w:val="uk-UA"/>
              </w:rPr>
              <w:t>83</w:t>
            </w:r>
            <w:r w:rsidRPr="00962BEE">
              <w:rPr>
                <w:rFonts w:ascii="Times New Roman" w:hAnsi="Times New Roman"/>
                <w:sz w:val="24"/>
                <w:szCs w:val="24"/>
              </w:rPr>
              <w:t>±</w:t>
            </w:r>
            <w:r w:rsidRPr="00962BEE">
              <w:rPr>
                <w:rFonts w:ascii="Times New Roman" w:hAnsi="Times New Roman"/>
                <w:sz w:val="24"/>
                <w:szCs w:val="24"/>
                <w:lang w:val="uk-UA"/>
              </w:rPr>
              <w:t>1</w:t>
            </w:r>
            <w:r w:rsidRPr="00962BEE">
              <w:rPr>
                <w:rFonts w:ascii="Times New Roman" w:hAnsi="Times New Roman"/>
                <w:sz w:val="24"/>
                <w:szCs w:val="24"/>
              </w:rPr>
              <w:t>.</w:t>
            </w:r>
            <w:r w:rsidRPr="00962BEE">
              <w:rPr>
                <w:rFonts w:ascii="Times New Roman" w:hAnsi="Times New Roman"/>
                <w:sz w:val="24"/>
                <w:szCs w:val="24"/>
                <w:lang w:val="uk-UA"/>
              </w:rPr>
              <w:t>46</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53</w:t>
            </w:r>
            <w:r w:rsidRPr="00962BEE">
              <w:rPr>
                <w:rFonts w:ascii="Times New Roman" w:hAnsi="Times New Roman"/>
                <w:sz w:val="24"/>
                <w:szCs w:val="24"/>
              </w:rPr>
              <w:t>.</w:t>
            </w:r>
            <w:r w:rsidRPr="00962BEE">
              <w:rPr>
                <w:rFonts w:ascii="Times New Roman" w:hAnsi="Times New Roman"/>
                <w:sz w:val="24"/>
                <w:szCs w:val="24"/>
                <w:lang w:val="uk-UA"/>
              </w:rPr>
              <w:t>40±2</w:t>
            </w:r>
            <w:r w:rsidRPr="00962BEE">
              <w:rPr>
                <w:rFonts w:ascii="Times New Roman" w:hAnsi="Times New Roman"/>
                <w:sz w:val="24"/>
                <w:szCs w:val="24"/>
              </w:rPr>
              <w:t>.</w:t>
            </w:r>
            <w:r w:rsidRPr="00962BEE">
              <w:rPr>
                <w:rFonts w:ascii="Times New Roman" w:hAnsi="Times New Roman"/>
                <w:sz w:val="24"/>
                <w:szCs w:val="24"/>
                <w:lang w:val="uk-UA"/>
              </w:rPr>
              <w:t>35</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55</w:t>
            </w:r>
            <w:r w:rsidRPr="00962BEE">
              <w:rPr>
                <w:rFonts w:ascii="Times New Roman" w:hAnsi="Times New Roman"/>
                <w:sz w:val="24"/>
                <w:szCs w:val="24"/>
              </w:rPr>
              <w:t>.</w:t>
            </w:r>
            <w:r w:rsidRPr="00962BEE">
              <w:rPr>
                <w:rFonts w:ascii="Times New Roman" w:hAnsi="Times New Roman"/>
                <w:sz w:val="24"/>
                <w:szCs w:val="24"/>
                <w:lang w:val="uk-UA"/>
              </w:rPr>
              <w:t>94±1</w:t>
            </w:r>
            <w:r w:rsidRPr="00962BEE">
              <w:rPr>
                <w:rFonts w:ascii="Times New Roman" w:hAnsi="Times New Roman"/>
                <w:sz w:val="24"/>
                <w:szCs w:val="24"/>
              </w:rPr>
              <w:t>.</w:t>
            </w:r>
            <w:r w:rsidRPr="00962BEE">
              <w:rPr>
                <w:rFonts w:ascii="Times New Roman" w:hAnsi="Times New Roman"/>
                <w:sz w:val="24"/>
                <w:szCs w:val="24"/>
                <w:lang w:val="uk-UA"/>
              </w:rPr>
              <w:t>56</w:t>
            </w:r>
          </w:p>
        </w:tc>
      </w:tr>
      <w:tr w:rsidR="005548AC" w:rsidRPr="00962BEE" w:rsidTr="00C87F1B">
        <w:tc>
          <w:tcPr>
            <w:tcW w:w="3085" w:type="dxa"/>
          </w:tcPr>
          <w:p w:rsidR="005548AC" w:rsidRPr="00962BEE" w:rsidRDefault="005548AC" w:rsidP="00C87F1B">
            <w:pPr>
              <w:spacing w:after="0" w:line="360" w:lineRule="auto"/>
              <w:rPr>
                <w:rFonts w:ascii="Times New Roman" w:hAnsi="Times New Roman"/>
                <w:sz w:val="24"/>
                <w:szCs w:val="24"/>
                <w:lang w:val="uk-UA"/>
              </w:rPr>
            </w:pPr>
            <w:r w:rsidRPr="00962BEE">
              <w:rPr>
                <w:rFonts w:ascii="Times New Roman" w:hAnsi="Times New Roman"/>
                <w:sz w:val="24"/>
                <w:szCs w:val="24"/>
              </w:rPr>
              <w:t xml:space="preserve">AH duration </w:t>
            </w:r>
            <w:r w:rsidRPr="00962BEE">
              <w:rPr>
                <w:rFonts w:ascii="Times New Roman" w:hAnsi="Times New Roman"/>
                <w:i/>
                <w:sz w:val="24"/>
                <w:szCs w:val="24"/>
                <w:lang w:val="uk-UA"/>
              </w:rPr>
              <w:t>(</w:t>
            </w:r>
            <w:r w:rsidRPr="00962BEE">
              <w:rPr>
                <w:rFonts w:ascii="Times New Roman" w:hAnsi="Times New Roman"/>
                <w:i/>
                <w:sz w:val="24"/>
                <w:szCs w:val="24"/>
              </w:rPr>
              <w:t>years</w:t>
            </w:r>
            <w:r w:rsidRPr="00962BEE">
              <w:rPr>
                <w:rFonts w:ascii="Times New Roman" w:hAnsi="Times New Roman"/>
                <w:i/>
                <w:sz w:val="24"/>
                <w:szCs w:val="24"/>
                <w:lang w:val="uk-UA"/>
              </w:rPr>
              <w:t>)</w:t>
            </w:r>
          </w:p>
        </w:tc>
        <w:tc>
          <w:tcPr>
            <w:tcW w:w="2063"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5</w:t>
            </w:r>
            <w:r w:rsidRPr="00962BEE">
              <w:rPr>
                <w:rFonts w:ascii="Times New Roman" w:hAnsi="Times New Roman"/>
                <w:sz w:val="24"/>
                <w:szCs w:val="24"/>
              </w:rPr>
              <w:t>.</w:t>
            </w:r>
            <w:r w:rsidRPr="00962BEE">
              <w:rPr>
                <w:rFonts w:ascii="Times New Roman" w:hAnsi="Times New Roman"/>
                <w:sz w:val="24"/>
                <w:szCs w:val="24"/>
                <w:lang w:val="uk-UA"/>
              </w:rPr>
              <w:t>51±1</w:t>
            </w:r>
            <w:r w:rsidRPr="00962BEE">
              <w:rPr>
                <w:rFonts w:ascii="Times New Roman" w:hAnsi="Times New Roman"/>
                <w:sz w:val="24"/>
                <w:szCs w:val="24"/>
              </w:rPr>
              <w:t>.</w:t>
            </w:r>
            <w:r w:rsidRPr="00962BEE">
              <w:rPr>
                <w:rFonts w:ascii="Times New Roman" w:hAnsi="Times New Roman"/>
                <w:sz w:val="24"/>
                <w:szCs w:val="24"/>
                <w:lang w:val="uk-UA"/>
              </w:rPr>
              <w:t>20</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7</w:t>
            </w:r>
            <w:r w:rsidRPr="00962BEE">
              <w:rPr>
                <w:rFonts w:ascii="Times New Roman" w:hAnsi="Times New Roman"/>
                <w:sz w:val="24"/>
                <w:szCs w:val="24"/>
              </w:rPr>
              <w:t>.</w:t>
            </w:r>
            <w:r w:rsidRPr="00962BEE">
              <w:rPr>
                <w:rFonts w:ascii="Times New Roman" w:hAnsi="Times New Roman"/>
                <w:sz w:val="24"/>
                <w:szCs w:val="24"/>
                <w:lang w:val="uk-UA"/>
              </w:rPr>
              <w:t>52±1</w:t>
            </w:r>
            <w:r w:rsidRPr="00962BEE">
              <w:rPr>
                <w:rFonts w:ascii="Times New Roman" w:hAnsi="Times New Roman"/>
                <w:sz w:val="24"/>
                <w:szCs w:val="24"/>
              </w:rPr>
              <w:t>.</w:t>
            </w:r>
            <w:r w:rsidRPr="00962BEE">
              <w:rPr>
                <w:rFonts w:ascii="Times New Roman" w:hAnsi="Times New Roman"/>
                <w:sz w:val="24"/>
                <w:szCs w:val="24"/>
                <w:lang w:val="uk-UA"/>
              </w:rPr>
              <w:t>36</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13</w:t>
            </w:r>
            <w:r w:rsidRPr="00962BEE">
              <w:rPr>
                <w:rFonts w:ascii="Times New Roman" w:hAnsi="Times New Roman"/>
                <w:sz w:val="24"/>
                <w:szCs w:val="24"/>
              </w:rPr>
              <w:t>.</w:t>
            </w:r>
            <w:r w:rsidRPr="00962BEE">
              <w:rPr>
                <w:rFonts w:ascii="Times New Roman" w:hAnsi="Times New Roman"/>
                <w:sz w:val="24"/>
                <w:szCs w:val="24"/>
                <w:lang w:val="uk-UA"/>
              </w:rPr>
              <w:t>20±1</w:t>
            </w:r>
            <w:r w:rsidRPr="00962BEE">
              <w:rPr>
                <w:rFonts w:ascii="Times New Roman" w:hAnsi="Times New Roman"/>
                <w:sz w:val="24"/>
                <w:szCs w:val="24"/>
              </w:rPr>
              <w:t>.</w:t>
            </w:r>
            <w:r w:rsidRPr="00962BEE">
              <w:rPr>
                <w:rFonts w:ascii="Times New Roman" w:hAnsi="Times New Roman"/>
                <w:sz w:val="24"/>
                <w:szCs w:val="24"/>
                <w:lang w:val="uk-UA"/>
              </w:rPr>
              <w:t>56</w:t>
            </w:r>
          </w:p>
        </w:tc>
      </w:tr>
      <w:tr w:rsidR="005548AC" w:rsidRPr="00962BEE" w:rsidTr="00C87F1B">
        <w:tc>
          <w:tcPr>
            <w:tcW w:w="3085" w:type="dxa"/>
          </w:tcPr>
          <w:p w:rsidR="005548AC" w:rsidRPr="00962BEE" w:rsidRDefault="005548AC" w:rsidP="00C87F1B">
            <w:pPr>
              <w:spacing w:after="0" w:line="360" w:lineRule="auto"/>
              <w:jc w:val="both"/>
              <w:rPr>
                <w:rFonts w:ascii="Times New Roman" w:hAnsi="Times New Roman"/>
                <w:sz w:val="24"/>
                <w:szCs w:val="24"/>
                <w:lang w:val="uk-UA"/>
              </w:rPr>
            </w:pPr>
            <w:r w:rsidRPr="00962BEE">
              <w:rPr>
                <w:rFonts w:ascii="Times New Roman" w:hAnsi="Times New Roman"/>
                <w:sz w:val="24"/>
                <w:szCs w:val="24"/>
              </w:rPr>
              <w:t>SBP</w:t>
            </w:r>
            <w:r w:rsidRPr="00962BEE">
              <w:rPr>
                <w:rFonts w:ascii="Times New Roman" w:hAnsi="Times New Roman"/>
                <w:sz w:val="24"/>
                <w:szCs w:val="24"/>
                <w:lang w:val="uk-UA"/>
              </w:rPr>
              <w:t xml:space="preserve"> </w:t>
            </w:r>
            <w:r w:rsidRPr="00962BEE">
              <w:rPr>
                <w:rFonts w:ascii="Times New Roman" w:hAnsi="Times New Roman"/>
                <w:i/>
                <w:sz w:val="24"/>
                <w:szCs w:val="24"/>
                <w:lang w:val="uk-UA"/>
              </w:rPr>
              <w:t>(</w:t>
            </w:r>
            <w:r w:rsidRPr="00962BEE">
              <w:rPr>
                <w:rFonts w:ascii="Times New Roman" w:hAnsi="Times New Roman"/>
                <w:i/>
                <w:sz w:val="24"/>
                <w:szCs w:val="24"/>
              </w:rPr>
              <w:t>mm Hg</w:t>
            </w:r>
            <w:r w:rsidRPr="00962BEE">
              <w:rPr>
                <w:rFonts w:ascii="Times New Roman" w:hAnsi="Times New Roman"/>
                <w:i/>
                <w:sz w:val="24"/>
                <w:szCs w:val="24"/>
                <w:lang w:val="uk-UA"/>
              </w:rPr>
              <w:t>)</w:t>
            </w:r>
          </w:p>
        </w:tc>
        <w:tc>
          <w:tcPr>
            <w:tcW w:w="2063"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149</w:t>
            </w:r>
            <w:r w:rsidRPr="00962BEE">
              <w:rPr>
                <w:rFonts w:ascii="Times New Roman" w:hAnsi="Times New Roman"/>
                <w:sz w:val="24"/>
                <w:szCs w:val="24"/>
              </w:rPr>
              <w:t>.</w:t>
            </w:r>
            <w:r w:rsidRPr="00962BEE">
              <w:rPr>
                <w:rFonts w:ascii="Times New Roman" w:hAnsi="Times New Roman"/>
                <w:sz w:val="24"/>
                <w:szCs w:val="24"/>
                <w:lang w:val="uk-UA"/>
              </w:rPr>
              <w:t>08±1</w:t>
            </w:r>
            <w:r w:rsidRPr="00962BEE">
              <w:rPr>
                <w:rFonts w:ascii="Times New Roman" w:hAnsi="Times New Roman"/>
                <w:sz w:val="24"/>
                <w:szCs w:val="24"/>
              </w:rPr>
              <w:t>.</w:t>
            </w:r>
            <w:r w:rsidRPr="00962BEE">
              <w:rPr>
                <w:rFonts w:ascii="Times New Roman" w:hAnsi="Times New Roman"/>
                <w:sz w:val="24"/>
                <w:szCs w:val="24"/>
                <w:lang w:val="uk-UA"/>
              </w:rPr>
              <w:t>51</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164</w:t>
            </w:r>
            <w:r w:rsidRPr="00962BEE">
              <w:rPr>
                <w:rFonts w:ascii="Times New Roman" w:hAnsi="Times New Roman"/>
                <w:sz w:val="24"/>
                <w:szCs w:val="24"/>
              </w:rPr>
              <w:t>.</w:t>
            </w:r>
            <w:r w:rsidRPr="00962BEE">
              <w:rPr>
                <w:rFonts w:ascii="Times New Roman" w:hAnsi="Times New Roman"/>
                <w:sz w:val="24"/>
                <w:szCs w:val="24"/>
                <w:lang w:val="uk-UA"/>
              </w:rPr>
              <w:t>97±1</w:t>
            </w:r>
            <w:r w:rsidRPr="00962BEE">
              <w:rPr>
                <w:rFonts w:ascii="Times New Roman" w:hAnsi="Times New Roman"/>
                <w:sz w:val="24"/>
                <w:szCs w:val="24"/>
              </w:rPr>
              <w:t>.</w:t>
            </w:r>
            <w:r w:rsidRPr="00962BEE">
              <w:rPr>
                <w:rFonts w:ascii="Times New Roman" w:hAnsi="Times New Roman"/>
                <w:sz w:val="24"/>
                <w:szCs w:val="24"/>
                <w:lang w:val="uk-UA"/>
              </w:rPr>
              <w:t>13</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196</w:t>
            </w:r>
            <w:r w:rsidRPr="00962BEE">
              <w:rPr>
                <w:rFonts w:ascii="Times New Roman" w:hAnsi="Times New Roman"/>
                <w:sz w:val="24"/>
                <w:szCs w:val="24"/>
              </w:rPr>
              <w:t>.</w:t>
            </w:r>
            <w:r w:rsidRPr="00962BEE">
              <w:rPr>
                <w:rFonts w:ascii="Times New Roman" w:hAnsi="Times New Roman"/>
                <w:sz w:val="24"/>
                <w:szCs w:val="24"/>
                <w:lang w:val="uk-UA"/>
              </w:rPr>
              <w:t>40±2</w:t>
            </w:r>
            <w:r w:rsidRPr="00962BEE">
              <w:rPr>
                <w:rFonts w:ascii="Times New Roman" w:hAnsi="Times New Roman"/>
                <w:sz w:val="24"/>
                <w:szCs w:val="24"/>
              </w:rPr>
              <w:t>.</w:t>
            </w:r>
            <w:r w:rsidRPr="00962BEE">
              <w:rPr>
                <w:rFonts w:ascii="Times New Roman" w:hAnsi="Times New Roman"/>
                <w:sz w:val="24"/>
                <w:szCs w:val="24"/>
                <w:lang w:val="uk-UA"/>
              </w:rPr>
              <w:t>83</w:t>
            </w:r>
          </w:p>
        </w:tc>
      </w:tr>
      <w:tr w:rsidR="005548AC" w:rsidRPr="00962BEE" w:rsidTr="00C87F1B">
        <w:tc>
          <w:tcPr>
            <w:tcW w:w="3085" w:type="dxa"/>
          </w:tcPr>
          <w:p w:rsidR="005548AC" w:rsidRPr="00962BEE" w:rsidRDefault="005548AC" w:rsidP="00C87F1B">
            <w:pPr>
              <w:spacing w:after="0" w:line="360" w:lineRule="auto"/>
              <w:jc w:val="both"/>
              <w:rPr>
                <w:rFonts w:ascii="Times New Roman" w:hAnsi="Times New Roman"/>
                <w:sz w:val="24"/>
                <w:szCs w:val="24"/>
                <w:lang w:val="uk-UA"/>
              </w:rPr>
            </w:pPr>
            <w:r w:rsidRPr="00962BEE">
              <w:rPr>
                <w:rFonts w:ascii="Times New Roman" w:hAnsi="Times New Roman"/>
                <w:sz w:val="24"/>
                <w:szCs w:val="24"/>
              </w:rPr>
              <w:t xml:space="preserve">DBP </w:t>
            </w:r>
            <w:r w:rsidRPr="00962BEE">
              <w:rPr>
                <w:rFonts w:ascii="Times New Roman" w:hAnsi="Times New Roman"/>
                <w:i/>
                <w:sz w:val="24"/>
                <w:szCs w:val="24"/>
                <w:lang w:val="uk-UA"/>
              </w:rPr>
              <w:t>(</w:t>
            </w:r>
            <w:r w:rsidRPr="00962BEE">
              <w:rPr>
                <w:rFonts w:ascii="Times New Roman" w:hAnsi="Times New Roman"/>
                <w:i/>
                <w:sz w:val="24"/>
                <w:szCs w:val="24"/>
              </w:rPr>
              <w:t>mm Hg</w:t>
            </w:r>
            <w:r w:rsidRPr="00962BEE">
              <w:rPr>
                <w:rFonts w:ascii="Times New Roman" w:hAnsi="Times New Roman"/>
                <w:i/>
                <w:sz w:val="24"/>
                <w:szCs w:val="24"/>
                <w:lang w:val="uk-UA"/>
              </w:rPr>
              <w:t>)</w:t>
            </w:r>
          </w:p>
        </w:tc>
        <w:tc>
          <w:tcPr>
            <w:tcW w:w="2063"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96</w:t>
            </w:r>
            <w:r w:rsidRPr="00962BEE">
              <w:rPr>
                <w:rFonts w:ascii="Times New Roman" w:hAnsi="Times New Roman"/>
                <w:sz w:val="24"/>
                <w:szCs w:val="24"/>
              </w:rPr>
              <w:t>.</w:t>
            </w:r>
            <w:r w:rsidRPr="00962BEE">
              <w:rPr>
                <w:rFonts w:ascii="Times New Roman" w:hAnsi="Times New Roman"/>
                <w:sz w:val="24"/>
                <w:szCs w:val="24"/>
                <w:lang w:val="uk-UA"/>
              </w:rPr>
              <w:t>04±1</w:t>
            </w:r>
            <w:r w:rsidRPr="00962BEE">
              <w:rPr>
                <w:rFonts w:ascii="Times New Roman" w:hAnsi="Times New Roman"/>
                <w:sz w:val="24"/>
                <w:szCs w:val="24"/>
              </w:rPr>
              <w:t>.</w:t>
            </w:r>
            <w:r w:rsidRPr="00962BEE">
              <w:rPr>
                <w:rFonts w:ascii="Times New Roman" w:hAnsi="Times New Roman"/>
                <w:sz w:val="24"/>
                <w:szCs w:val="24"/>
                <w:lang w:val="uk-UA"/>
              </w:rPr>
              <w:t>21</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102</w:t>
            </w:r>
            <w:r w:rsidRPr="00962BEE">
              <w:rPr>
                <w:rFonts w:ascii="Times New Roman" w:hAnsi="Times New Roman"/>
                <w:sz w:val="24"/>
                <w:szCs w:val="24"/>
              </w:rPr>
              <w:t>.</w:t>
            </w:r>
            <w:r w:rsidRPr="00962BEE">
              <w:rPr>
                <w:rFonts w:ascii="Times New Roman" w:hAnsi="Times New Roman"/>
                <w:sz w:val="24"/>
                <w:szCs w:val="24"/>
                <w:lang w:val="uk-UA"/>
              </w:rPr>
              <w:t>03±1</w:t>
            </w:r>
            <w:r w:rsidRPr="00962BEE">
              <w:rPr>
                <w:rFonts w:ascii="Times New Roman" w:hAnsi="Times New Roman"/>
                <w:sz w:val="24"/>
                <w:szCs w:val="24"/>
              </w:rPr>
              <w:t>.</w:t>
            </w:r>
            <w:r w:rsidRPr="00962BEE">
              <w:rPr>
                <w:rFonts w:ascii="Times New Roman" w:hAnsi="Times New Roman"/>
                <w:sz w:val="24"/>
                <w:szCs w:val="24"/>
                <w:lang w:val="uk-UA"/>
              </w:rPr>
              <w:t>53</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113</w:t>
            </w:r>
            <w:r w:rsidRPr="00962BEE">
              <w:rPr>
                <w:rFonts w:ascii="Times New Roman" w:hAnsi="Times New Roman"/>
                <w:sz w:val="24"/>
                <w:szCs w:val="24"/>
              </w:rPr>
              <w:t>.</w:t>
            </w:r>
            <w:r w:rsidRPr="00962BEE">
              <w:rPr>
                <w:rFonts w:ascii="Times New Roman" w:hAnsi="Times New Roman"/>
                <w:sz w:val="24"/>
                <w:szCs w:val="24"/>
                <w:lang w:val="uk-UA"/>
              </w:rPr>
              <w:t>52±2</w:t>
            </w:r>
            <w:r w:rsidRPr="00962BEE">
              <w:rPr>
                <w:rFonts w:ascii="Times New Roman" w:hAnsi="Times New Roman"/>
                <w:sz w:val="24"/>
                <w:szCs w:val="24"/>
              </w:rPr>
              <w:t>.</w:t>
            </w:r>
            <w:r w:rsidRPr="00962BEE">
              <w:rPr>
                <w:rFonts w:ascii="Times New Roman" w:hAnsi="Times New Roman"/>
                <w:sz w:val="24"/>
                <w:szCs w:val="24"/>
                <w:lang w:val="uk-UA"/>
              </w:rPr>
              <w:t>06</w:t>
            </w:r>
          </w:p>
        </w:tc>
      </w:tr>
      <w:tr w:rsidR="005548AC" w:rsidRPr="00962BEE" w:rsidTr="00C87F1B">
        <w:trPr>
          <w:trHeight w:val="1415"/>
        </w:trPr>
        <w:tc>
          <w:tcPr>
            <w:tcW w:w="3085" w:type="dxa"/>
          </w:tcPr>
          <w:p w:rsidR="005548AC" w:rsidRPr="00962BEE" w:rsidRDefault="005548AC" w:rsidP="00C87F1B">
            <w:pPr>
              <w:spacing w:after="0" w:line="360" w:lineRule="auto"/>
              <w:jc w:val="both"/>
              <w:rPr>
                <w:rFonts w:ascii="Times New Roman" w:hAnsi="Times New Roman"/>
                <w:sz w:val="24"/>
                <w:szCs w:val="24"/>
                <w:lang w:val="uk-UA"/>
              </w:rPr>
            </w:pPr>
            <w:proofErr w:type="spellStart"/>
            <w:r w:rsidRPr="00962BEE">
              <w:rPr>
                <w:rFonts w:ascii="Times New Roman" w:hAnsi="Times New Roman"/>
                <w:sz w:val="24"/>
                <w:szCs w:val="24"/>
              </w:rPr>
              <w:t>sFasL</w:t>
            </w:r>
            <w:proofErr w:type="spellEnd"/>
            <w:r w:rsidRPr="00962BEE">
              <w:rPr>
                <w:rFonts w:ascii="Times New Roman" w:hAnsi="Times New Roman"/>
                <w:sz w:val="24"/>
                <w:szCs w:val="24"/>
                <w:lang w:val="uk-UA"/>
              </w:rPr>
              <w:t xml:space="preserve"> </w:t>
            </w:r>
            <w:r w:rsidRPr="00962BEE">
              <w:rPr>
                <w:rFonts w:ascii="Times New Roman" w:hAnsi="Times New Roman"/>
                <w:i/>
                <w:sz w:val="24"/>
                <w:szCs w:val="24"/>
                <w:lang w:val="uk-UA"/>
              </w:rPr>
              <w:t>(</w:t>
            </w:r>
            <w:r w:rsidRPr="00962BEE">
              <w:rPr>
                <w:rFonts w:ascii="Times New Roman" w:hAnsi="Times New Roman"/>
                <w:i/>
                <w:sz w:val="24"/>
                <w:szCs w:val="24"/>
              </w:rPr>
              <w:t>ng</w:t>
            </w:r>
            <w:r w:rsidRPr="00962BEE">
              <w:rPr>
                <w:rFonts w:ascii="Times New Roman" w:hAnsi="Times New Roman"/>
                <w:i/>
                <w:sz w:val="24"/>
                <w:szCs w:val="24"/>
                <w:lang w:val="uk-UA"/>
              </w:rPr>
              <w:t>/</w:t>
            </w:r>
            <w:r w:rsidRPr="00962BEE">
              <w:rPr>
                <w:rFonts w:ascii="Times New Roman" w:hAnsi="Times New Roman"/>
                <w:i/>
                <w:sz w:val="24"/>
                <w:szCs w:val="24"/>
              </w:rPr>
              <w:t>ml</w:t>
            </w:r>
            <w:r w:rsidRPr="00962BEE">
              <w:rPr>
                <w:rFonts w:ascii="Times New Roman" w:hAnsi="Times New Roman"/>
                <w:i/>
                <w:sz w:val="24"/>
                <w:szCs w:val="24"/>
                <w:lang w:val="uk-UA"/>
              </w:rPr>
              <w:t>)</w:t>
            </w:r>
          </w:p>
          <w:p w:rsidR="005548AC" w:rsidRPr="00962BEE" w:rsidRDefault="005548AC" w:rsidP="00C87F1B">
            <w:pPr>
              <w:spacing w:after="0" w:line="360" w:lineRule="auto"/>
              <w:jc w:val="both"/>
              <w:rPr>
                <w:rFonts w:ascii="Times New Roman" w:hAnsi="Times New Roman"/>
                <w:sz w:val="24"/>
                <w:szCs w:val="24"/>
                <w:lang w:val="uk-UA"/>
              </w:rPr>
            </w:pPr>
            <w:r w:rsidRPr="00962BEE">
              <w:rPr>
                <w:rFonts w:ascii="Times New Roman" w:hAnsi="Times New Roman"/>
                <w:sz w:val="24"/>
                <w:szCs w:val="24"/>
              </w:rPr>
              <w:t>Detection rate</w:t>
            </w:r>
            <w:r w:rsidRPr="00962BEE">
              <w:rPr>
                <w:rFonts w:ascii="Times New Roman" w:hAnsi="Times New Roman"/>
                <w:sz w:val="24"/>
                <w:szCs w:val="24"/>
                <w:lang w:val="uk-UA"/>
              </w:rPr>
              <w:t xml:space="preserve"> (%)</w:t>
            </w:r>
          </w:p>
          <w:p w:rsidR="005548AC" w:rsidRPr="00962BEE" w:rsidRDefault="005548AC" w:rsidP="00C87F1B">
            <w:pPr>
              <w:spacing w:after="0" w:line="360" w:lineRule="auto"/>
              <w:rPr>
                <w:rFonts w:ascii="Times New Roman" w:hAnsi="Times New Roman"/>
                <w:sz w:val="24"/>
                <w:szCs w:val="24"/>
                <w:lang w:val="uk-UA"/>
              </w:rPr>
            </w:pPr>
            <w:r w:rsidRPr="00962BEE">
              <w:rPr>
                <w:rFonts w:ascii="Times New Roman" w:hAnsi="Times New Roman"/>
                <w:sz w:val="24"/>
                <w:szCs w:val="24"/>
              </w:rPr>
              <w:t>Absolute patients amount</w:t>
            </w:r>
            <w:r w:rsidRPr="00962BEE">
              <w:rPr>
                <w:rFonts w:ascii="Times New Roman" w:hAnsi="Times New Roman"/>
                <w:sz w:val="24"/>
                <w:szCs w:val="24"/>
                <w:lang w:val="uk-UA"/>
              </w:rPr>
              <w:t xml:space="preserve"> </w:t>
            </w:r>
            <w:r w:rsidRPr="00962BEE">
              <w:rPr>
                <w:rFonts w:ascii="Times New Roman" w:hAnsi="Times New Roman"/>
                <w:i/>
                <w:sz w:val="24"/>
                <w:szCs w:val="24"/>
                <w:lang w:val="uk-UA"/>
              </w:rPr>
              <w:t>(n)</w:t>
            </w:r>
            <w:r w:rsidRPr="00962BEE">
              <w:rPr>
                <w:rFonts w:ascii="Times New Roman" w:hAnsi="Times New Roman"/>
                <w:sz w:val="24"/>
                <w:szCs w:val="24"/>
                <w:lang w:val="uk-UA"/>
              </w:rPr>
              <w:t xml:space="preserve"> </w:t>
            </w:r>
          </w:p>
        </w:tc>
        <w:tc>
          <w:tcPr>
            <w:tcW w:w="2063"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0</w:t>
            </w:r>
            <w:r w:rsidRPr="00962BEE">
              <w:rPr>
                <w:rFonts w:ascii="Times New Roman" w:hAnsi="Times New Roman"/>
                <w:sz w:val="24"/>
                <w:szCs w:val="24"/>
              </w:rPr>
              <w:t>.</w:t>
            </w:r>
            <w:r w:rsidRPr="00962BEE">
              <w:rPr>
                <w:rFonts w:ascii="Times New Roman" w:hAnsi="Times New Roman"/>
                <w:sz w:val="24"/>
                <w:szCs w:val="24"/>
                <w:lang w:val="uk-UA"/>
              </w:rPr>
              <w:t>28±0</w:t>
            </w:r>
            <w:r w:rsidRPr="00962BEE">
              <w:rPr>
                <w:rFonts w:ascii="Times New Roman" w:hAnsi="Times New Roman"/>
                <w:sz w:val="24"/>
                <w:szCs w:val="24"/>
              </w:rPr>
              <w:t>.</w:t>
            </w:r>
            <w:r w:rsidRPr="00962BEE">
              <w:rPr>
                <w:rFonts w:ascii="Times New Roman" w:hAnsi="Times New Roman"/>
                <w:sz w:val="24"/>
                <w:szCs w:val="24"/>
                <w:lang w:val="uk-UA"/>
              </w:rPr>
              <w:t>07</w:t>
            </w:r>
          </w:p>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56±12</w:t>
            </w:r>
          </w:p>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10</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0</w:t>
            </w:r>
            <w:r w:rsidRPr="00962BEE">
              <w:rPr>
                <w:rFonts w:ascii="Times New Roman" w:hAnsi="Times New Roman"/>
                <w:sz w:val="24"/>
                <w:szCs w:val="24"/>
              </w:rPr>
              <w:t>.</w:t>
            </w:r>
            <w:r w:rsidRPr="00962BEE">
              <w:rPr>
                <w:rFonts w:ascii="Times New Roman" w:hAnsi="Times New Roman"/>
                <w:sz w:val="24"/>
                <w:szCs w:val="24"/>
                <w:lang w:val="uk-UA"/>
              </w:rPr>
              <w:t>40±0</w:t>
            </w:r>
            <w:r w:rsidRPr="00962BEE">
              <w:rPr>
                <w:rFonts w:ascii="Times New Roman" w:hAnsi="Times New Roman"/>
                <w:sz w:val="24"/>
                <w:szCs w:val="24"/>
              </w:rPr>
              <w:t>.</w:t>
            </w:r>
            <w:r w:rsidRPr="00962BEE">
              <w:rPr>
                <w:rFonts w:ascii="Times New Roman" w:hAnsi="Times New Roman"/>
                <w:sz w:val="24"/>
                <w:szCs w:val="24"/>
                <w:lang w:val="uk-UA"/>
              </w:rPr>
              <w:t>06</w:t>
            </w:r>
          </w:p>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76±9</w:t>
            </w:r>
          </w:p>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19</w:t>
            </w:r>
          </w:p>
        </w:tc>
        <w:tc>
          <w:tcPr>
            <w:tcW w:w="2160" w:type="dxa"/>
          </w:tcPr>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0</w:t>
            </w:r>
            <w:r w:rsidRPr="00962BEE">
              <w:rPr>
                <w:rFonts w:ascii="Times New Roman" w:hAnsi="Times New Roman"/>
                <w:sz w:val="24"/>
                <w:szCs w:val="24"/>
              </w:rPr>
              <w:t>.</w:t>
            </w:r>
            <w:r w:rsidRPr="00962BEE">
              <w:rPr>
                <w:rFonts w:ascii="Times New Roman" w:hAnsi="Times New Roman"/>
                <w:sz w:val="24"/>
                <w:szCs w:val="24"/>
                <w:lang w:val="uk-UA"/>
              </w:rPr>
              <w:t>41±0</w:t>
            </w:r>
            <w:r w:rsidRPr="00962BEE">
              <w:rPr>
                <w:rFonts w:ascii="Times New Roman" w:hAnsi="Times New Roman"/>
                <w:sz w:val="24"/>
                <w:szCs w:val="24"/>
              </w:rPr>
              <w:t>.</w:t>
            </w:r>
            <w:r w:rsidRPr="00962BEE">
              <w:rPr>
                <w:rFonts w:ascii="Times New Roman" w:hAnsi="Times New Roman"/>
                <w:sz w:val="24"/>
                <w:szCs w:val="24"/>
                <w:lang w:val="uk-UA"/>
              </w:rPr>
              <w:t>04</w:t>
            </w:r>
          </w:p>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80±7</w:t>
            </w:r>
          </w:p>
          <w:p w:rsidR="005548AC" w:rsidRPr="00962BEE" w:rsidRDefault="005548AC" w:rsidP="00C87F1B">
            <w:pPr>
              <w:spacing w:after="0" w:line="360" w:lineRule="auto"/>
              <w:jc w:val="center"/>
              <w:rPr>
                <w:rFonts w:ascii="Times New Roman" w:hAnsi="Times New Roman"/>
                <w:sz w:val="24"/>
                <w:szCs w:val="24"/>
                <w:lang w:val="uk-UA"/>
              </w:rPr>
            </w:pPr>
            <w:r w:rsidRPr="00962BEE">
              <w:rPr>
                <w:rFonts w:ascii="Times New Roman" w:hAnsi="Times New Roman"/>
                <w:sz w:val="24"/>
                <w:szCs w:val="24"/>
                <w:lang w:val="uk-UA"/>
              </w:rPr>
              <w:t>28</w:t>
            </w:r>
          </w:p>
        </w:tc>
      </w:tr>
    </w:tbl>
    <w:p w:rsidR="005548AC" w:rsidRPr="00962BEE" w:rsidRDefault="005548AC" w:rsidP="005548AC">
      <w:pPr>
        <w:pStyle w:val="BodyText2"/>
        <w:spacing w:after="0" w:line="360" w:lineRule="auto"/>
        <w:ind w:firstLine="708"/>
        <w:jc w:val="both"/>
        <w:rPr>
          <w:sz w:val="28"/>
          <w:szCs w:val="28"/>
          <w:lang w:val="uk-UA"/>
        </w:rPr>
      </w:pPr>
      <w:r w:rsidRPr="00962BEE">
        <w:rPr>
          <w:sz w:val="28"/>
          <w:szCs w:val="28"/>
          <w:lang w:val="en-US"/>
        </w:rPr>
        <w:lastRenderedPageBreak/>
        <w:t>In</w:t>
      </w:r>
      <w:r w:rsidRPr="00962BEE">
        <w:rPr>
          <w:sz w:val="28"/>
          <w:szCs w:val="28"/>
          <w:lang w:val="uk-UA"/>
        </w:rPr>
        <w:t xml:space="preserve"> 1 </w:t>
      </w:r>
      <w:r w:rsidRPr="00962BEE">
        <w:rPr>
          <w:sz w:val="28"/>
          <w:szCs w:val="28"/>
          <w:lang w:val="en-US"/>
        </w:rPr>
        <w:t>degree</w:t>
      </w:r>
      <w:r w:rsidRPr="00962BEE">
        <w:rPr>
          <w:sz w:val="28"/>
          <w:szCs w:val="28"/>
          <w:lang w:val="uk-UA"/>
        </w:rPr>
        <w:t xml:space="preserve"> </w:t>
      </w:r>
      <w:r w:rsidRPr="00962BEE">
        <w:rPr>
          <w:sz w:val="28"/>
          <w:szCs w:val="28"/>
          <w:lang w:val="en-US"/>
        </w:rPr>
        <w:t>AH</w:t>
      </w:r>
      <w:r w:rsidRPr="00962BEE">
        <w:rPr>
          <w:sz w:val="28"/>
          <w:szCs w:val="28"/>
          <w:lang w:val="uk-UA"/>
        </w:rPr>
        <w:t xml:space="preserve"> </w:t>
      </w:r>
      <w:proofErr w:type="spellStart"/>
      <w:r w:rsidRPr="00962BEE">
        <w:rPr>
          <w:sz w:val="28"/>
          <w:szCs w:val="28"/>
          <w:lang w:val="en-US"/>
        </w:rPr>
        <w:t>sFasL</w:t>
      </w:r>
      <w:proofErr w:type="spellEnd"/>
      <w:r w:rsidRPr="00962BEE">
        <w:rPr>
          <w:sz w:val="28"/>
          <w:szCs w:val="28"/>
          <w:lang w:val="uk-UA"/>
        </w:rPr>
        <w:t xml:space="preserve"> </w:t>
      </w:r>
      <w:r w:rsidRPr="00962BEE">
        <w:rPr>
          <w:sz w:val="28"/>
          <w:szCs w:val="28"/>
          <w:lang w:val="en-US"/>
        </w:rPr>
        <w:t>presence</w:t>
      </w:r>
      <w:r w:rsidRPr="00962BEE">
        <w:rPr>
          <w:sz w:val="28"/>
          <w:szCs w:val="28"/>
          <w:lang w:val="uk-UA"/>
        </w:rPr>
        <w:t xml:space="preserve"> </w:t>
      </w:r>
      <w:r w:rsidRPr="00962BEE">
        <w:rPr>
          <w:sz w:val="28"/>
          <w:szCs w:val="28"/>
          <w:lang w:val="en-US"/>
        </w:rPr>
        <w:t>was</w:t>
      </w:r>
      <w:r w:rsidRPr="00962BEE">
        <w:rPr>
          <w:sz w:val="28"/>
          <w:szCs w:val="28"/>
          <w:lang w:val="uk-UA"/>
        </w:rPr>
        <w:t xml:space="preserve"> </w:t>
      </w:r>
      <w:r w:rsidRPr="00962BEE">
        <w:rPr>
          <w:sz w:val="28"/>
          <w:szCs w:val="28"/>
          <w:lang w:val="en-US"/>
        </w:rPr>
        <w:t>found</w:t>
      </w:r>
      <w:r w:rsidRPr="00962BEE">
        <w:rPr>
          <w:sz w:val="28"/>
          <w:szCs w:val="28"/>
          <w:lang w:val="uk-UA"/>
        </w:rPr>
        <w:t xml:space="preserve"> </w:t>
      </w:r>
      <w:r w:rsidRPr="00962BEE">
        <w:rPr>
          <w:sz w:val="28"/>
          <w:szCs w:val="28"/>
          <w:lang w:val="en-US"/>
        </w:rPr>
        <w:t>approximately</w:t>
      </w:r>
      <w:r w:rsidRPr="00962BEE">
        <w:rPr>
          <w:sz w:val="28"/>
          <w:szCs w:val="28"/>
          <w:lang w:val="uk-UA"/>
        </w:rPr>
        <w:t xml:space="preserve"> </w:t>
      </w:r>
      <w:r w:rsidRPr="00962BEE">
        <w:rPr>
          <w:sz w:val="28"/>
          <w:szCs w:val="28"/>
          <w:lang w:val="en-US"/>
        </w:rPr>
        <w:t>in</w:t>
      </w:r>
      <w:r w:rsidRPr="00962BEE">
        <w:rPr>
          <w:sz w:val="28"/>
          <w:szCs w:val="28"/>
          <w:lang w:val="uk-UA"/>
        </w:rPr>
        <w:t xml:space="preserve"> </w:t>
      </w:r>
      <w:r w:rsidRPr="00962BEE">
        <w:rPr>
          <w:sz w:val="28"/>
          <w:szCs w:val="28"/>
          <w:lang w:val="en-US"/>
        </w:rPr>
        <w:t>one</w:t>
      </w:r>
      <w:r w:rsidRPr="00962BEE">
        <w:rPr>
          <w:sz w:val="28"/>
          <w:szCs w:val="28"/>
          <w:lang w:val="uk-UA"/>
        </w:rPr>
        <w:t>-</w:t>
      </w:r>
      <w:r w:rsidRPr="00962BEE">
        <w:rPr>
          <w:sz w:val="28"/>
          <w:szCs w:val="28"/>
          <w:lang w:val="en-US"/>
        </w:rPr>
        <w:t>half</w:t>
      </w:r>
      <w:r w:rsidRPr="00962BEE">
        <w:rPr>
          <w:sz w:val="28"/>
          <w:szCs w:val="28"/>
          <w:lang w:val="uk-UA"/>
        </w:rPr>
        <w:t xml:space="preserve"> </w:t>
      </w:r>
      <w:r w:rsidRPr="00962BEE">
        <w:rPr>
          <w:sz w:val="28"/>
          <w:szCs w:val="28"/>
          <w:lang w:val="en-US"/>
        </w:rPr>
        <w:t>of</w:t>
      </w:r>
      <w:r w:rsidRPr="00962BEE">
        <w:rPr>
          <w:sz w:val="28"/>
          <w:szCs w:val="28"/>
          <w:lang w:val="uk-UA"/>
        </w:rPr>
        <w:t xml:space="preserve"> </w:t>
      </w:r>
      <w:r w:rsidRPr="00962BEE">
        <w:rPr>
          <w:sz w:val="28"/>
          <w:szCs w:val="28"/>
          <w:lang w:val="en-US"/>
        </w:rPr>
        <w:t>patients</w:t>
      </w:r>
      <w:r w:rsidRPr="00962BEE">
        <w:rPr>
          <w:sz w:val="28"/>
          <w:szCs w:val="28"/>
          <w:lang w:val="uk-UA"/>
        </w:rPr>
        <w:t xml:space="preserve">; </w:t>
      </w:r>
      <w:r w:rsidRPr="00962BEE">
        <w:rPr>
          <w:sz w:val="28"/>
          <w:szCs w:val="28"/>
          <w:lang w:val="en-US"/>
        </w:rPr>
        <w:t>in</w:t>
      </w:r>
      <w:r w:rsidRPr="00962BEE">
        <w:rPr>
          <w:sz w:val="28"/>
          <w:szCs w:val="28"/>
          <w:lang w:val="uk-UA"/>
        </w:rPr>
        <w:t xml:space="preserve"> 2 </w:t>
      </w:r>
      <w:r w:rsidRPr="00962BEE">
        <w:rPr>
          <w:sz w:val="28"/>
          <w:szCs w:val="28"/>
          <w:lang w:val="en-US"/>
        </w:rPr>
        <w:t>degree</w:t>
      </w:r>
      <w:r w:rsidRPr="00962BEE">
        <w:rPr>
          <w:sz w:val="28"/>
          <w:szCs w:val="28"/>
          <w:lang w:val="uk-UA"/>
        </w:rPr>
        <w:t xml:space="preserve"> </w:t>
      </w:r>
      <w:r w:rsidRPr="00962BEE">
        <w:rPr>
          <w:sz w:val="28"/>
          <w:szCs w:val="28"/>
          <w:lang w:val="en-US"/>
        </w:rPr>
        <w:t>AH</w:t>
      </w:r>
      <w:r w:rsidRPr="00962BEE">
        <w:rPr>
          <w:sz w:val="28"/>
          <w:szCs w:val="28"/>
          <w:lang w:val="uk-UA"/>
        </w:rPr>
        <w:t xml:space="preserve"> </w:t>
      </w:r>
      <w:proofErr w:type="spellStart"/>
      <w:r w:rsidRPr="00962BEE">
        <w:rPr>
          <w:sz w:val="28"/>
          <w:szCs w:val="28"/>
          <w:lang w:val="en-US"/>
        </w:rPr>
        <w:t>sFasL</w:t>
      </w:r>
      <w:proofErr w:type="spellEnd"/>
      <w:r w:rsidRPr="00962BEE">
        <w:rPr>
          <w:sz w:val="28"/>
          <w:szCs w:val="28"/>
          <w:lang w:val="uk-UA"/>
        </w:rPr>
        <w:t xml:space="preserve"> </w:t>
      </w:r>
      <w:r w:rsidRPr="00962BEE">
        <w:rPr>
          <w:sz w:val="28"/>
          <w:szCs w:val="28"/>
          <w:lang w:val="en-US"/>
        </w:rPr>
        <w:t>detection</w:t>
      </w:r>
      <w:r w:rsidRPr="00962BEE">
        <w:rPr>
          <w:sz w:val="28"/>
          <w:szCs w:val="28"/>
          <w:lang w:val="uk-UA"/>
        </w:rPr>
        <w:t xml:space="preserve"> </w:t>
      </w:r>
      <w:r w:rsidRPr="00962BEE">
        <w:rPr>
          <w:sz w:val="28"/>
          <w:szCs w:val="28"/>
          <w:lang w:val="en-US"/>
        </w:rPr>
        <w:t>rate</w:t>
      </w:r>
      <w:r w:rsidRPr="00962BEE">
        <w:rPr>
          <w:sz w:val="28"/>
          <w:szCs w:val="28"/>
          <w:lang w:val="uk-UA"/>
        </w:rPr>
        <w:t xml:space="preserve"> </w:t>
      </w:r>
      <w:r w:rsidRPr="00962BEE">
        <w:rPr>
          <w:sz w:val="28"/>
          <w:szCs w:val="28"/>
          <w:lang w:val="en-US"/>
        </w:rPr>
        <w:t>was</w:t>
      </w:r>
      <w:r w:rsidRPr="00962BEE">
        <w:rPr>
          <w:sz w:val="28"/>
          <w:szCs w:val="28"/>
          <w:lang w:val="uk-UA"/>
        </w:rPr>
        <w:t xml:space="preserve"> </w:t>
      </w:r>
      <w:r w:rsidRPr="00962BEE">
        <w:rPr>
          <w:sz w:val="28"/>
          <w:szCs w:val="28"/>
          <w:lang w:val="en-US"/>
        </w:rPr>
        <w:t>higher</w:t>
      </w:r>
      <w:r w:rsidRPr="00962BEE">
        <w:rPr>
          <w:sz w:val="28"/>
          <w:szCs w:val="28"/>
          <w:lang w:val="uk-UA"/>
        </w:rPr>
        <w:t xml:space="preserve"> (</w:t>
      </w:r>
      <w:r w:rsidRPr="00962BEE">
        <w:rPr>
          <w:sz w:val="28"/>
          <w:szCs w:val="28"/>
          <w:lang w:val="en-US"/>
        </w:rPr>
        <w:t>p</w:t>
      </w:r>
      <w:r w:rsidRPr="00962BEE">
        <w:rPr>
          <w:sz w:val="28"/>
          <w:szCs w:val="28"/>
          <w:lang w:val="uk-UA"/>
        </w:rPr>
        <w:t xml:space="preserve">=0.082 </w:t>
      </w:r>
      <w:r w:rsidRPr="00962BEE">
        <w:rPr>
          <w:sz w:val="28"/>
          <w:szCs w:val="28"/>
          <w:lang w:val="en-US"/>
        </w:rPr>
        <w:t>according</w:t>
      </w:r>
      <w:r w:rsidRPr="00962BEE">
        <w:rPr>
          <w:sz w:val="28"/>
          <w:szCs w:val="28"/>
          <w:lang w:val="uk-UA"/>
        </w:rPr>
        <w:t xml:space="preserve"> χ</w:t>
      </w:r>
      <w:r w:rsidRPr="00962BEE">
        <w:rPr>
          <w:sz w:val="28"/>
          <w:szCs w:val="28"/>
          <w:vertAlign w:val="superscript"/>
          <w:lang w:val="uk-UA"/>
        </w:rPr>
        <w:t>2</w:t>
      </w:r>
      <w:r w:rsidRPr="00962BEE">
        <w:rPr>
          <w:sz w:val="28"/>
          <w:szCs w:val="28"/>
          <w:lang w:val="uk-UA"/>
        </w:rPr>
        <w:t xml:space="preserve">); </w:t>
      </w:r>
      <w:r w:rsidRPr="00962BEE">
        <w:rPr>
          <w:sz w:val="28"/>
          <w:szCs w:val="28"/>
          <w:lang w:val="en-US"/>
        </w:rPr>
        <w:t>in</w:t>
      </w:r>
      <w:r w:rsidRPr="00962BEE">
        <w:rPr>
          <w:sz w:val="28"/>
          <w:szCs w:val="28"/>
          <w:lang w:val="uk-UA"/>
        </w:rPr>
        <w:t xml:space="preserve"> 3 </w:t>
      </w:r>
      <w:r w:rsidRPr="00962BEE">
        <w:rPr>
          <w:sz w:val="28"/>
          <w:szCs w:val="28"/>
          <w:lang w:val="en-US"/>
        </w:rPr>
        <w:t>degree</w:t>
      </w:r>
      <w:r w:rsidRPr="00962BEE">
        <w:rPr>
          <w:sz w:val="28"/>
          <w:szCs w:val="28"/>
          <w:lang w:val="uk-UA"/>
        </w:rPr>
        <w:t xml:space="preserve"> </w:t>
      </w:r>
      <w:proofErr w:type="gramStart"/>
      <w:r w:rsidRPr="00962BEE">
        <w:rPr>
          <w:sz w:val="28"/>
          <w:szCs w:val="28"/>
          <w:lang w:val="en-US"/>
        </w:rPr>
        <w:t>AH</w:t>
      </w:r>
      <w:r w:rsidRPr="00962BEE">
        <w:rPr>
          <w:sz w:val="28"/>
          <w:szCs w:val="28"/>
          <w:lang w:val="uk-UA"/>
        </w:rPr>
        <w:t xml:space="preserve">  </w:t>
      </w:r>
      <w:r w:rsidRPr="00962BEE">
        <w:rPr>
          <w:sz w:val="28"/>
          <w:szCs w:val="28"/>
          <w:lang w:val="en-US"/>
        </w:rPr>
        <w:t>tendency</w:t>
      </w:r>
      <w:proofErr w:type="gramEnd"/>
      <w:r w:rsidRPr="00962BEE">
        <w:rPr>
          <w:sz w:val="28"/>
          <w:szCs w:val="28"/>
          <w:lang w:val="en-US"/>
        </w:rPr>
        <w:t xml:space="preserve"> of </w:t>
      </w:r>
      <w:proofErr w:type="spellStart"/>
      <w:r w:rsidRPr="00962BEE">
        <w:rPr>
          <w:sz w:val="28"/>
          <w:szCs w:val="28"/>
          <w:lang w:val="en-US"/>
        </w:rPr>
        <w:t>sFasL</w:t>
      </w:r>
      <w:proofErr w:type="spellEnd"/>
      <w:r w:rsidRPr="00962BEE">
        <w:rPr>
          <w:sz w:val="28"/>
          <w:szCs w:val="28"/>
          <w:lang w:val="en-US"/>
        </w:rPr>
        <w:t xml:space="preserve"> detection rate increasing was shown </w:t>
      </w:r>
      <w:r w:rsidRPr="00962BEE">
        <w:rPr>
          <w:sz w:val="28"/>
          <w:szCs w:val="28"/>
          <w:lang w:val="uk-UA"/>
        </w:rPr>
        <w:t>(</w:t>
      </w:r>
      <w:r w:rsidRPr="00962BEE">
        <w:rPr>
          <w:sz w:val="28"/>
          <w:szCs w:val="28"/>
          <w:lang w:val="en-US"/>
        </w:rPr>
        <w:t>p</w:t>
      </w:r>
      <w:r w:rsidRPr="00962BEE">
        <w:rPr>
          <w:sz w:val="28"/>
          <w:szCs w:val="28"/>
          <w:lang w:val="uk-UA"/>
        </w:rPr>
        <w:t>=0</w:t>
      </w:r>
      <w:r w:rsidRPr="00962BEE">
        <w:rPr>
          <w:sz w:val="28"/>
          <w:szCs w:val="28"/>
          <w:lang w:val="en-US"/>
        </w:rPr>
        <w:t>.</w:t>
      </w:r>
      <w:r w:rsidRPr="00962BEE">
        <w:rPr>
          <w:sz w:val="28"/>
          <w:szCs w:val="28"/>
          <w:lang w:val="uk-UA"/>
        </w:rPr>
        <w:t xml:space="preserve">75 </w:t>
      </w:r>
      <w:r w:rsidRPr="00962BEE">
        <w:rPr>
          <w:sz w:val="28"/>
          <w:szCs w:val="28"/>
          <w:lang w:val="en-US"/>
        </w:rPr>
        <w:t>vs 2 degree AH</w:t>
      </w:r>
      <w:r w:rsidRPr="00962BEE">
        <w:rPr>
          <w:sz w:val="28"/>
          <w:szCs w:val="28"/>
          <w:lang w:val="uk-UA"/>
        </w:rPr>
        <w:t xml:space="preserve">; </w:t>
      </w:r>
      <w:r w:rsidRPr="00962BEE">
        <w:rPr>
          <w:sz w:val="28"/>
          <w:szCs w:val="28"/>
          <w:lang w:val="en-US"/>
        </w:rPr>
        <w:t>p</w:t>
      </w:r>
      <w:r w:rsidRPr="00962BEE">
        <w:rPr>
          <w:sz w:val="28"/>
          <w:szCs w:val="28"/>
          <w:lang w:val="uk-UA"/>
        </w:rPr>
        <w:t>=0</w:t>
      </w:r>
      <w:r w:rsidRPr="00962BEE">
        <w:rPr>
          <w:sz w:val="28"/>
          <w:szCs w:val="28"/>
          <w:lang w:val="en-US"/>
        </w:rPr>
        <w:t>.</w:t>
      </w:r>
      <w:r w:rsidRPr="00962BEE">
        <w:rPr>
          <w:sz w:val="28"/>
          <w:szCs w:val="28"/>
          <w:lang w:val="uk-UA"/>
        </w:rPr>
        <w:t xml:space="preserve">040 </w:t>
      </w:r>
      <w:r w:rsidRPr="00962BEE">
        <w:rPr>
          <w:sz w:val="28"/>
          <w:szCs w:val="28"/>
          <w:lang w:val="en-US"/>
        </w:rPr>
        <w:t>vs</w:t>
      </w:r>
      <w:r w:rsidRPr="00962BEE">
        <w:rPr>
          <w:sz w:val="28"/>
          <w:szCs w:val="28"/>
          <w:lang w:val="uk-UA"/>
        </w:rPr>
        <w:t xml:space="preserve"> 1 </w:t>
      </w:r>
      <w:r w:rsidRPr="00962BEE">
        <w:rPr>
          <w:sz w:val="28"/>
          <w:szCs w:val="28"/>
          <w:lang w:val="en-US"/>
        </w:rPr>
        <w:t>degree AH according</w:t>
      </w:r>
      <w:r w:rsidRPr="00962BEE">
        <w:rPr>
          <w:sz w:val="28"/>
          <w:szCs w:val="28"/>
          <w:lang w:val="uk-UA"/>
        </w:rPr>
        <w:t xml:space="preserve"> χ</w:t>
      </w:r>
      <w:r w:rsidRPr="00962BEE">
        <w:rPr>
          <w:sz w:val="28"/>
          <w:szCs w:val="28"/>
          <w:vertAlign w:val="superscript"/>
          <w:lang w:val="uk-UA"/>
        </w:rPr>
        <w:t>2</w:t>
      </w:r>
      <w:r w:rsidRPr="00962BEE">
        <w:rPr>
          <w:sz w:val="28"/>
          <w:szCs w:val="28"/>
          <w:lang w:val="uk-UA"/>
        </w:rPr>
        <w:t xml:space="preserve">). </w:t>
      </w:r>
      <w:r w:rsidRPr="00962BEE">
        <w:rPr>
          <w:sz w:val="28"/>
          <w:szCs w:val="28"/>
          <w:lang w:val="uk-UA"/>
        </w:rPr>
        <w:tab/>
      </w:r>
    </w:p>
    <w:p w:rsidR="005548AC" w:rsidRPr="00962BEE" w:rsidRDefault="005548AC" w:rsidP="005548AC">
      <w:pPr>
        <w:pStyle w:val="BodyText2"/>
        <w:spacing w:after="0" w:line="360" w:lineRule="auto"/>
        <w:ind w:firstLine="708"/>
        <w:jc w:val="both"/>
        <w:rPr>
          <w:sz w:val="28"/>
          <w:szCs w:val="28"/>
          <w:lang w:val="uk-UA"/>
        </w:rPr>
      </w:pPr>
      <w:r>
        <w:rPr>
          <w:noProof/>
          <w:lang w:val="en-US" w:eastAsia="en-US"/>
        </w:rPr>
        <w:drawing>
          <wp:anchor distT="0" distB="0" distL="114300" distR="114300" simplePos="0" relativeHeight="251673600" behindDoc="1" locked="0" layoutInCell="1" allowOverlap="1">
            <wp:simplePos x="0" y="0"/>
            <wp:positionH relativeFrom="column">
              <wp:posOffset>99695</wp:posOffset>
            </wp:positionH>
            <wp:positionV relativeFrom="paragraph">
              <wp:posOffset>572135</wp:posOffset>
            </wp:positionV>
            <wp:extent cx="4992370" cy="3917315"/>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2370" cy="391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BEE">
        <w:rPr>
          <w:sz w:val="28"/>
          <w:szCs w:val="28"/>
          <w:lang w:val="en-US"/>
        </w:rPr>
        <w:t xml:space="preserve">Assessment of average </w:t>
      </w:r>
      <w:proofErr w:type="spellStart"/>
      <w:r w:rsidRPr="00962BEE">
        <w:rPr>
          <w:sz w:val="28"/>
          <w:szCs w:val="28"/>
          <w:lang w:val="en-US"/>
        </w:rPr>
        <w:t>sFasL</w:t>
      </w:r>
      <w:proofErr w:type="spellEnd"/>
      <w:r w:rsidRPr="00962BEE">
        <w:rPr>
          <w:sz w:val="28"/>
          <w:szCs w:val="28"/>
          <w:lang w:val="en-US"/>
        </w:rPr>
        <w:t xml:space="preserve"> levels dynamics evaluated same tendency of its elevation </w:t>
      </w:r>
      <w:r w:rsidRPr="00962BEE">
        <w:rPr>
          <w:sz w:val="28"/>
          <w:szCs w:val="28"/>
          <w:lang w:val="uk-UA"/>
        </w:rPr>
        <w:t>(</w:t>
      </w:r>
      <w:r w:rsidRPr="00962BEE">
        <w:rPr>
          <w:sz w:val="28"/>
          <w:szCs w:val="28"/>
          <w:lang w:val="en-US"/>
        </w:rPr>
        <w:t xml:space="preserve">Figure </w:t>
      </w:r>
      <w:r w:rsidR="00F0454F">
        <w:rPr>
          <w:sz w:val="28"/>
          <w:szCs w:val="28"/>
          <w:lang w:val="en-US"/>
        </w:rPr>
        <w:t>7</w:t>
      </w:r>
      <w:r w:rsidRPr="00962BEE">
        <w:rPr>
          <w:sz w:val="28"/>
          <w:szCs w:val="28"/>
          <w:lang w:val="en-US"/>
        </w:rPr>
        <w:t>)</w:t>
      </w:r>
      <w:r w:rsidRPr="00962BEE">
        <w:rPr>
          <w:sz w:val="28"/>
          <w:szCs w:val="28"/>
          <w:lang w:val="uk-UA"/>
        </w:rPr>
        <w:t>.</w:t>
      </w: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Pr="00962BEE" w:rsidRDefault="005548AC" w:rsidP="005548AC">
      <w:pPr>
        <w:spacing w:after="0" w:line="360" w:lineRule="auto"/>
        <w:ind w:firstLine="708"/>
        <w:jc w:val="both"/>
        <w:rPr>
          <w:rFonts w:ascii="Times New Roman" w:hAnsi="Times New Roman"/>
          <w:sz w:val="28"/>
          <w:szCs w:val="28"/>
          <w:lang w:val="uk-UA"/>
        </w:rPr>
      </w:pPr>
    </w:p>
    <w:p w:rsidR="005548AC" w:rsidRDefault="005548AC" w:rsidP="005548AC">
      <w:pPr>
        <w:spacing w:after="0" w:line="360" w:lineRule="auto"/>
        <w:ind w:firstLine="708"/>
        <w:jc w:val="both"/>
        <w:rPr>
          <w:rFonts w:ascii="Times New Roman" w:hAnsi="Times New Roman"/>
          <w:sz w:val="28"/>
          <w:szCs w:val="28"/>
        </w:rPr>
      </w:pPr>
    </w:p>
    <w:p w:rsidR="005548AC" w:rsidRDefault="005548AC" w:rsidP="005548AC">
      <w:pPr>
        <w:spacing w:after="0" w:line="360" w:lineRule="auto"/>
        <w:ind w:firstLine="708"/>
        <w:jc w:val="both"/>
        <w:rPr>
          <w:rFonts w:ascii="Times New Roman" w:hAnsi="Times New Roman"/>
          <w:sz w:val="28"/>
          <w:szCs w:val="28"/>
        </w:rPr>
      </w:pPr>
    </w:p>
    <w:p w:rsidR="005548AC" w:rsidRPr="00962BEE" w:rsidRDefault="005548AC" w:rsidP="005548AC">
      <w:pPr>
        <w:spacing w:after="0" w:line="360" w:lineRule="auto"/>
        <w:ind w:firstLine="708"/>
        <w:jc w:val="center"/>
        <w:rPr>
          <w:rFonts w:ascii="Times New Roman" w:hAnsi="Times New Roman"/>
          <w:sz w:val="24"/>
          <w:szCs w:val="24"/>
        </w:rPr>
      </w:pPr>
      <w:proofErr w:type="gramStart"/>
      <w:r w:rsidRPr="00962BEE">
        <w:rPr>
          <w:rFonts w:ascii="Times New Roman" w:hAnsi="Times New Roman"/>
          <w:b/>
          <w:sz w:val="24"/>
          <w:szCs w:val="24"/>
        </w:rPr>
        <w:t xml:space="preserve">Figure </w:t>
      </w:r>
      <w:r w:rsidR="00F0454F">
        <w:rPr>
          <w:rFonts w:ascii="Times New Roman" w:hAnsi="Times New Roman"/>
          <w:b/>
          <w:sz w:val="24"/>
          <w:szCs w:val="24"/>
        </w:rPr>
        <w:t>7</w:t>
      </w:r>
      <w:r w:rsidRPr="00962BEE">
        <w:rPr>
          <w:rFonts w:ascii="Times New Roman" w:hAnsi="Times New Roman"/>
          <w:b/>
          <w:sz w:val="24"/>
          <w:szCs w:val="24"/>
        </w:rPr>
        <w:t>.</w:t>
      </w:r>
      <w:proofErr w:type="gramEnd"/>
      <w:r w:rsidRPr="00962BEE">
        <w:rPr>
          <w:rFonts w:ascii="Times New Roman" w:hAnsi="Times New Roman"/>
          <w:sz w:val="24"/>
          <w:szCs w:val="24"/>
        </w:rPr>
        <w:t xml:space="preserve"> Plasma </w:t>
      </w:r>
      <w:proofErr w:type="spellStart"/>
      <w:r w:rsidRPr="00962BEE">
        <w:rPr>
          <w:rFonts w:ascii="Times New Roman" w:hAnsi="Times New Roman"/>
          <w:sz w:val="24"/>
          <w:szCs w:val="24"/>
        </w:rPr>
        <w:t>sFasL</w:t>
      </w:r>
      <w:proofErr w:type="spellEnd"/>
      <w:r w:rsidRPr="00962BEE">
        <w:rPr>
          <w:rFonts w:ascii="Times New Roman" w:hAnsi="Times New Roman"/>
          <w:sz w:val="24"/>
          <w:szCs w:val="24"/>
        </w:rPr>
        <w:t xml:space="preserve"> levels in hypertensive patients depend on blood pressure level elevation</w:t>
      </w:r>
    </w:p>
    <w:p w:rsidR="005548AC" w:rsidRPr="00962BEE" w:rsidRDefault="005548AC" w:rsidP="005548AC">
      <w:pPr>
        <w:spacing w:after="0" w:line="360" w:lineRule="auto"/>
        <w:ind w:firstLine="709"/>
        <w:jc w:val="both"/>
        <w:rPr>
          <w:rFonts w:ascii="Times New Roman" w:hAnsi="Times New Roman"/>
          <w:sz w:val="28"/>
          <w:szCs w:val="28"/>
        </w:rPr>
      </w:pPr>
      <w:r w:rsidRPr="00962BEE">
        <w:rPr>
          <w:rFonts w:ascii="Times New Roman" w:hAnsi="Times New Roman"/>
          <w:sz w:val="28"/>
          <w:szCs w:val="28"/>
        </w:rPr>
        <w:t xml:space="preserve">There were no significant difference between average </w:t>
      </w:r>
      <w:proofErr w:type="spellStart"/>
      <w:r w:rsidRPr="00962BEE">
        <w:rPr>
          <w:rFonts w:ascii="Times New Roman" w:hAnsi="Times New Roman"/>
          <w:sz w:val="28"/>
          <w:szCs w:val="28"/>
        </w:rPr>
        <w:t>sFasL</w:t>
      </w:r>
      <w:proofErr w:type="spellEnd"/>
      <w:r w:rsidRPr="00962BEE">
        <w:rPr>
          <w:rFonts w:ascii="Times New Roman" w:hAnsi="Times New Roman"/>
          <w:sz w:val="28"/>
          <w:szCs w:val="28"/>
        </w:rPr>
        <w:t xml:space="preserve"> means in blood plasma of patients with 2 and 3 degree AH (p=0.97) and </w:t>
      </w:r>
      <w:proofErr w:type="spellStart"/>
      <w:r w:rsidRPr="00962BEE">
        <w:rPr>
          <w:rFonts w:ascii="Times New Roman" w:hAnsi="Times New Roman"/>
          <w:sz w:val="28"/>
          <w:szCs w:val="28"/>
        </w:rPr>
        <w:t>sFasL</w:t>
      </w:r>
      <w:proofErr w:type="spellEnd"/>
      <w:r w:rsidRPr="00962BEE">
        <w:rPr>
          <w:rFonts w:ascii="Times New Roman" w:hAnsi="Times New Roman"/>
          <w:sz w:val="28"/>
          <w:szCs w:val="28"/>
        </w:rPr>
        <w:t xml:space="preserve"> levels were some higher compared with 1 degree AH (p=0.16; p=0.10 correspondingly).  </w:t>
      </w:r>
    </w:p>
    <w:p w:rsidR="005548AC" w:rsidRDefault="005548AC" w:rsidP="005548AC">
      <w:pPr>
        <w:spacing w:after="0" w:line="360" w:lineRule="auto"/>
        <w:ind w:firstLine="709"/>
        <w:jc w:val="both"/>
        <w:rPr>
          <w:rFonts w:ascii="Times New Roman" w:hAnsi="Times New Roman"/>
          <w:sz w:val="28"/>
          <w:szCs w:val="28"/>
        </w:rPr>
      </w:pPr>
      <w:r w:rsidRPr="00962BEE">
        <w:rPr>
          <w:rFonts w:ascii="Times New Roman" w:hAnsi="Times New Roman"/>
          <w:sz w:val="28"/>
          <w:szCs w:val="28"/>
        </w:rPr>
        <w:t xml:space="preserve">Positive correlation was found between age of </w:t>
      </w:r>
      <w:proofErr w:type="spellStart"/>
      <w:r w:rsidRPr="00962BEE">
        <w:rPr>
          <w:rFonts w:ascii="Times New Roman" w:hAnsi="Times New Roman"/>
          <w:sz w:val="28"/>
          <w:szCs w:val="28"/>
        </w:rPr>
        <w:t>hypertensives</w:t>
      </w:r>
      <w:proofErr w:type="spellEnd"/>
      <w:r w:rsidRPr="00962BEE">
        <w:rPr>
          <w:rFonts w:ascii="Times New Roman" w:hAnsi="Times New Roman"/>
          <w:sz w:val="28"/>
          <w:szCs w:val="28"/>
        </w:rPr>
        <w:t xml:space="preserve"> and plasma </w:t>
      </w:r>
      <w:proofErr w:type="spellStart"/>
      <w:r w:rsidRPr="00962BEE">
        <w:rPr>
          <w:rFonts w:ascii="Times New Roman" w:hAnsi="Times New Roman"/>
          <w:sz w:val="28"/>
          <w:szCs w:val="28"/>
        </w:rPr>
        <w:t>sFasL</w:t>
      </w:r>
      <w:proofErr w:type="spellEnd"/>
      <w:r w:rsidRPr="00962BEE">
        <w:rPr>
          <w:rFonts w:ascii="Times New Roman" w:hAnsi="Times New Roman"/>
          <w:sz w:val="28"/>
          <w:szCs w:val="28"/>
        </w:rPr>
        <w:t xml:space="preserve"> levels </w:t>
      </w:r>
      <w:r w:rsidRPr="00962BEE">
        <w:rPr>
          <w:rFonts w:ascii="Times New Roman" w:hAnsi="Times New Roman"/>
          <w:sz w:val="28"/>
          <w:szCs w:val="28"/>
          <w:lang w:val="uk-UA"/>
        </w:rPr>
        <w:t>(</w:t>
      </w:r>
      <w:r w:rsidRPr="00962BEE">
        <w:rPr>
          <w:rFonts w:ascii="Times New Roman" w:hAnsi="Times New Roman"/>
          <w:sz w:val="28"/>
          <w:szCs w:val="28"/>
        </w:rPr>
        <w:t>r</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40;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048); </w:t>
      </w:r>
      <w:r w:rsidRPr="00962BEE">
        <w:rPr>
          <w:rFonts w:ascii="Times New Roman" w:hAnsi="Times New Roman"/>
          <w:sz w:val="28"/>
          <w:szCs w:val="28"/>
        </w:rPr>
        <w:t xml:space="preserve">negative </w:t>
      </w:r>
      <w:r w:rsidRPr="00962BEE">
        <w:rPr>
          <w:rFonts w:ascii="Times New Roman" w:hAnsi="Times New Roman"/>
          <w:sz w:val="28"/>
          <w:szCs w:val="28"/>
          <w:lang w:val="uk-UA"/>
        </w:rPr>
        <w:t xml:space="preserve"> – </w:t>
      </w:r>
      <w:r w:rsidRPr="00962BEE">
        <w:rPr>
          <w:rFonts w:ascii="Times New Roman" w:hAnsi="Times New Roman"/>
          <w:sz w:val="28"/>
          <w:szCs w:val="28"/>
        </w:rPr>
        <w:t xml:space="preserve">between </w:t>
      </w:r>
      <w:proofErr w:type="spellStart"/>
      <w:r w:rsidRPr="00962BEE">
        <w:rPr>
          <w:rFonts w:ascii="Times New Roman" w:hAnsi="Times New Roman"/>
          <w:sz w:val="28"/>
          <w:szCs w:val="28"/>
        </w:rPr>
        <w:t>sFasL</w:t>
      </w:r>
      <w:proofErr w:type="spellEnd"/>
      <w:r w:rsidRPr="00962BEE">
        <w:rPr>
          <w:rFonts w:ascii="Times New Roman" w:hAnsi="Times New Roman"/>
          <w:sz w:val="28"/>
          <w:szCs w:val="28"/>
          <w:lang w:val="uk-UA"/>
        </w:rPr>
        <w:t xml:space="preserve"> </w:t>
      </w:r>
      <w:r w:rsidRPr="00962BEE">
        <w:rPr>
          <w:rFonts w:ascii="Times New Roman" w:hAnsi="Times New Roman"/>
          <w:sz w:val="28"/>
          <w:szCs w:val="28"/>
        </w:rPr>
        <w:t xml:space="preserve">and TNF-α </w:t>
      </w:r>
      <w:r w:rsidRPr="00962BEE">
        <w:rPr>
          <w:rFonts w:ascii="Times New Roman" w:hAnsi="Times New Roman"/>
          <w:sz w:val="28"/>
          <w:szCs w:val="28"/>
          <w:lang w:val="uk-UA"/>
        </w:rPr>
        <w:t>(</w:t>
      </w:r>
      <w:r w:rsidRPr="00962BEE">
        <w:rPr>
          <w:rFonts w:ascii="Times New Roman" w:hAnsi="Times New Roman"/>
          <w:sz w:val="28"/>
          <w:szCs w:val="28"/>
        </w:rPr>
        <w:t>r</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55;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005), </w:t>
      </w:r>
      <w:r w:rsidRPr="00962BEE">
        <w:rPr>
          <w:rFonts w:ascii="Times New Roman" w:hAnsi="Times New Roman"/>
          <w:sz w:val="28"/>
          <w:szCs w:val="28"/>
        </w:rPr>
        <w:t>TNF-α/sTNF-R1</w:t>
      </w:r>
      <w:r w:rsidRPr="00962BEE">
        <w:rPr>
          <w:rFonts w:ascii="Times New Roman" w:hAnsi="Times New Roman"/>
          <w:sz w:val="28"/>
          <w:szCs w:val="28"/>
          <w:lang w:val="uk-UA"/>
        </w:rPr>
        <w:t xml:space="preserve"> (</w:t>
      </w:r>
      <w:r w:rsidRPr="00962BEE">
        <w:rPr>
          <w:rFonts w:ascii="Times New Roman" w:hAnsi="Times New Roman"/>
          <w:sz w:val="28"/>
          <w:szCs w:val="28"/>
        </w:rPr>
        <w:t>r</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45;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023) </w:t>
      </w:r>
      <w:r w:rsidRPr="00962BEE">
        <w:rPr>
          <w:rFonts w:ascii="Times New Roman" w:hAnsi="Times New Roman"/>
          <w:sz w:val="28"/>
          <w:szCs w:val="28"/>
        </w:rPr>
        <w:t xml:space="preserve">in patients of 2 degree AH, between </w:t>
      </w:r>
      <w:proofErr w:type="spellStart"/>
      <w:r w:rsidRPr="00962BEE">
        <w:rPr>
          <w:rFonts w:ascii="Times New Roman" w:hAnsi="Times New Roman"/>
          <w:sz w:val="28"/>
          <w:szCs w:val="28"/>
        </w:rPr>
        <w:lastRenderedPageBreak/>
        <w:t>sFasL</w:t>
      </w:r>
      <w:proofErr w:type="spellEnd"/>
      <w:r w:rsidRPr="00962BEE">
        <w:rPr>
          <w:rFonts w:ascii="Times New Roman" w:hAnsi="Times New Roman"/>
          <w:sz w:val="28"/>
          <w:szCs w:val="28"/>
        </w:rPr>
        <w:t xml:space="preserve"> and TNF-α</w:t>
      </w:r>
      <w:r w:rsidRPr="00962BEE">
        <w:rPr>
          <w:rFonts w:ascii="Times New Roman" w:hAnsi="Times New Roman"/>
          <w:sz w:val="28"/>
          <w:szCs w:val="28"/>
          <w:lang w:val="uk-UA"/>
        </w:rPr>
        <w:t xml:space="preserve"> (</w:t>
      </w:r>
      <w:proofErr w:type="spellStart"/>
      <w:r w:rsidRPr="00962BEE">
        <w:rPr>
          <w:rFonts w:ascii="Times New Roman" w:hAnsi="Times New Roman"/>
          <w:sz w:val="28"/>
          <w:szCs w:val="28"/>
        </w:rPr>
        <w:t>r</w:t>
      </w:r>
      <w:r w:rsidRPr="00962BEE">
        <w:rPr>
          <w:rFonts w:ascii="Times New Roman" w:hAnsi="Times New Roman"/>
          <w:sz w:val="28"/>
          <w:szCs w:val="28"/>
          <w:vertAlign w:val="subscript"/>
        </w:rPr>
        <w:t>s</w:t>
      </w:r>
      <w:proofErr w:type="spellEnd"/>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54;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0008), </w:t>
      </w:r>
      <w:r w:rsidRPr="00962BEE">
        <w:rPr>
          <w:rFonts w:ascii="Times New Roman" w:hAnsi="Times New Roman"/>
          <w:sz w:val="28"/>
          <w:szCs w:val="28"/>
        </w:rPr>
        <w:t xml:space="preserve">TNF-α/sTNF-R1 </w:t>
      </w:r>
      <w:r w:rsidRPr="00962BEE">
        <w:rPr>
          <w:rFonts w:ascii="Times New Roman" w:hAnsi="Times New Roman"/>
          <w:sz w:val="28"/>
          <w:szCs w:val="28"/>
          <w:lang w:val="uk-UA"/>
        </w:rPr>
        <w:t>(</w:t>
      </w:r>
      <w:proofErr w:type="spellStart"/>
      <w:r w:rsidRPr="00962BEE">
        <w:rPr>
          <w:rFonts w:ascii="Times New Roman" w:hAnsi="Times New Roman"/>
          <w:sz w:val="28"/>
          <w:szCs w:val="28"/>
        </w:rPr>
        <w:t>r</w:t>
      </w:r>
      <w:r w:rsidRPr="00962BEE">
        <w:rPr>
          <w:rFonts w:ascii="Times New Roman" w:hAnsi="Times New Roman"/>
          <w:sz w:val="28"/>
          <w:szCs w:val="28"/>
          <w:vertAlign w:val="subscript"/>
        </w:rPr>
        <w:t>s</w:t>
      </w:r>
      <w:proofErr w:type="spellEnd"/>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55; </w:t>
      </w:r>
      <w:r w:rsidRPr="00962BEE">
        <w:rPr>
          <w:rFonts w:ascii="Times New Roman" w:hAnsi="Times New Roman"/>
          <w:sz w:val="28"/>
          <w:szCs w:val="28"/>
        </w:rPr>
        <w:t>p</w:t>
      </w:r>
      <w:r w:rsidRPr="00962BEE">
        <w:rPr>
          <w:rFonts w:ascii="Times New Roman" w:hAnsi="Times New Roman"/>
          <w:sz w:val="28"/>
          <w:szCs w:val="28"/>
          <w:lang w:val="uk-UA"/>
        </w:rPr>
        <w:t>=0</w:t>
      </w:r>
      <w:r w:rsidRPr="00962BEE">
        <w:rPr>
          <w:rFonts w:ascii="Times New Roman" w:hAnsi="Times New Roman"/>
          <w:sz w:val="28"/>
          <w:szCs w:val="28"/>
        </w:rPr>
        <w:t>.</w:t>
      </w:r>
      <w:r w:rsidRPr="00962BEE">
        <w:rPr>
          <w:rFonts w:ascii="Times New Roman" w:hAnsi="Times New Roman"/>
          <w:sz w:val="28"/>
          <w:szCs w:val="28"/>
          <w:lang w:val="uk-UA"/>
        </w:rPr>
        <w:t xml:space="preserve">0006) </w:t>
      </w:r>
      <w:r w:rsidRPr="00962BEE">
        <w:rPr>
          <w:rFonts w:ascii="Times New Roman" w:hAnsi="Times New Roman"/>
          <w:sz w:val="28"/>
          <w:szCs w:val="28"/>
        </w:rPr>
        <w:t>in 3 degree AH patients.</w:t>
      </w:r>
      <w:r>
        <w:rPr>
          <w:rFonts w:ascii="Times New Roman" w:hAnsi="Times New Roman"/>
          <w:sz w:val="28"/>
          <w:szCs w:val="28"/>
        </w:rPr>
        <w:t xml:space="preserve"> </w:t>
      </w:r>
      <w:r w:rsidRPr="00962BEE">
        <w:rPr>
          <w:rFonts w:ascii="Times New Roman" w:hAnsi="Times New Roman"/>
          <w:sz w:val="28"/>
          <w:szCs w:val="28"/>
        </w:rPr>
        <w:t>Obtained</w:t>
      </w:r>
      <w:r w:rsidRPr="00962BEE">
        <w:rPr>
          <w:rFonts w:ascii="Times New Roman" w:hAnsi="Times New Roman"/>
          <w:sz w:val="28"/>
          <w:szCs w:val="28"/>
          <w:lang w:val="uk-UA"/>
        </w:rPr>
        <w:t xml:space="preserve"> </w:t>
      </w:r>
      <w:r w:rsidRPr="00962BEE">
        <w:rPr>
          <w:rFonts w:ascii="Times New Roman" w:hAnsi="Times New Roman"/>
          <w:sz w:val="28"/>
          <w:szCs w:val="28"/>
        </w:rPr>
        <w:t>results</w:t>
      </w:r>
      <w:r w:rsidRPr="00962BEE">
        <w:rPr>
          <w:rFonts w:ascii="Times New Roman" w:hAnsi="Times New Roman"/>
          <w:sz w:val="28"/>
          <w:szCs w:val="28"/>
          <w:lang w:val="uk-UA"/>
        </w:rPr>
        <w:t xml:space="preserve"> </w:t>
      </w:r>
      <w:r w:rsidRPr="00962BEE">
        <w:rPr>
          <w:rFonts w:ascii="Times New Roman" w:hAnsi="Times New Roman"/>
          <w:sz w:val="28"/>
          <w:szCs w:val="28"/>
        </w:rPr>
        <w:t>indicate</w:t>
      </w:r>
      <w:r w:rsidRPr="00962BEE">
        <w:rPr>
          <w:rFonts w:ascii="Times New Roman" w:hAnsi="Times New Roman"/>
          <w:sz w:val="28"/>
          <w:szCs w:val="28"/>
          <w:lang w:val="uk-UA"/>
        </w:rPr>
        <w:t xml:space="preserve"> </w:t>
      </w:r>
      <w:r w:rsidRPr="00962BEE">
        <w:rPr>
          <w:rFonts w:ascii="Times New Roman" w:hAnsi="Times New Roman"/>
          <w:sz w:val="28"/>
          <w:szCs w:val="28"/>
        </w:rPr>
        <w:t>possibility</w:t>
      </w:r>
      <w:r w:rsidRPr="00962BEE">
        <w:rPr>
          <w:rFonts w:ascii="Times New Roman" w:hAnsi="Times New Roman"/>
          <w:sz w:val="28"/>
          <w:szCs w:val="28"/>
          <w:lang w:val="uk-UA"/>
        </w:rPr>
        <w:t xml:space="preserve"> </w:t>
      </w:r>
      <w:proofErr w:type="gramStart"/>
      <w:r w:rsidRPr="00962BEE">
        <w:rPr>
          <w:rFonts w:ascii="Times New Roman" w:hAnsi="Times New Roman"/>
          <w:sz w:val="28"/>
          <w:szCs w:val="28"/>
        </w:rPr>
        <w:t>of</w:t>
      </w:r>
      <w:r w:rsidRPr="00962BEE">
        <w:rPr>
          <w:rFonts w:ascii="Times New Roman" w:hAnsi="Times New Roman"/>
          <w:sz w:val="28"/>
          <w:szCs w:val="28"/>
          <w:lang w:val="uk-UA"/>
        </w:rPr>
        <w:t xml:space="preserve"> </w:t>
      </w:r>
      <w:r>
        <w:rPr>
          <w:rFonts w:ascii="Times New Roman" w:hAnsi="Times New Roman"/>
          <w:sz w:val="28"/>
          <w:szCs w:val="28"/>
        </w:rPr>
        <w:t xml:space="preserve"> </w:t>
      </w:r>
      <w:r w:rsidRPr="00962BEE">
        <w:rPr>
          <w:rFonts w:ascii="Times New Roman" w:hAnsi="Times New Roman"/>
          <w:sz w:val="28"/>
          <w:szCs w:val="28"/>
        </w:rPr>
        <w:t>Fas</w:t>
      </w:r>
      <w:proofErr w:type="gramEnd"/>
      <w:r w:rsidRPr="00962BEE">
        <w:rPr>
          <w:rFonts w:ascii="Times New Roman" w:hAnsi="Times New Roman"/>
          <w:sz w:val="28"/>
          <w:szCs w:val="28"/>
          <w:lang w:val="uk-UA"/>
        </w:rPr>
        <w:t>-</w:t>
      </w:r>
      <w:r w:rsidRPr="00962BEE">
        <w:rPr>
          <w:rFonts w:ascii="Times New Roman" w:hAnsi="Times New Roman"/>
          <w:sz w:val="28"/>
          <w:szCs w:val="28"/>
        </w:rPr>
        <w:t>related</w:t>
      </w:r>
      <w:r w:rsidRPr="00962BEE">
        <w:rPr>
          <w:rFonts w:ascii="Times New Roman" w:hAnsi="Times New Roman"/>
          <w:sz w:val="28"/>
          <w:szCs w:val="28"/>
          <w:lang w:val="uk-UA"/>
        </w:rPr>
        <w:t xml:space="preserve"> </w:t>
      </w:r>
      <w:r w:rsidRPr="00962BEE">
        <w:rPr>
          <w:rFonts w:ascii="Times New Roman" w:hAnsi="Times New Roman"/>
          <w:sz w:val="28"/>
          <w:szCs w:val="28"/>
        </w:rPr>
        <w:t>apoptosis</w:t>
      </w:r>
      <w:r w:rsidRPr="00962BEE">
        <w:rPr>
          <w:rFonts w:ascii="Times New Roman" w:hAnsi="Times New Roman"/>
          <w:sz w:val="28"/>
          <w:szCs w:val="28"/>
          <w:lang w:val="uk-UA"/>
        </w:rPr>
        <w:t xml:space="preserve"> </w:t>
      </w:r>
      <w:r w:rsidRPr="00962BEE">
        <w:rPr>
          <w:rFonts w:ascii="Times New Roman" w:hAnsi="Times New Roman"/>
          <w:sz w:val="28"/>
          <w:szCs w:val="28"/>
        </w:rPr>
        <w:t>in</w:t>
      </w:r>
      <w:r w:rsidRPr="00962BEE">
        <w:rPr>
          <w:rFonts w:ascii="Times New Roman" w:hAnsi="Times New Roman"/>
          <w:sz w:val="28"/>
          <w:szCs w:val="28"/>
          <w:lang w:val="uk-UA"/>
        </w:rPr>
        <w:t xml:space="preserve"> </w:t>
      </w:r>
      <w:r w:rsidRPr="00962BEE">
        <w:rPr>
          <w:rFonts w:ascii="Times New Roman" w:hAnsi="Times New Roman"/>
          <w:sz w:val="28"/>
          <w:szCs w:val="28"/>
        </w:rPr>
        <w:t>patients</w:t>
      </w:r>
      <w:r w:rsidRPr="00962BEE">
        <w:rPr>
          <w:rFonts w:ascii="Times New Roman" w:hAnsi="Times New Roman"/>
          <w:sz w:val="28"/>
          <w:szCs w:val="28"/>
          <w:lang w:val="uk-UA"/>
        </w:rPr>
        <w:t xml:space="preserve"> </w:t>
      </w:r>
      <w:r w:rsidRPr="00962BEE">
        <w:rPr>
          <w:rFonts w:ascii="Times New Roman" w:hAnsi="Times New Roman"/>
          <w:sz w:val="28"/>
          <w:szCs w:val="28"/>
        </w:rPr>
        <w:t>with</w:t>
      </w:r>
      <w:r w:rsidRPr="00962BEE">
        <w:rPr>
          <w:rFonts w:ascii="Times New Roman" w:hAnsi="Times New Roman"/>
          <w:sz w:val="28"/>
          <w:szCs w:val="28"/>
          <w:lang w:val="uk-UA"/>
        </w:rPr>
        <w:t xml:space="preserve"> </w:t>
      </w:r>
      <w:r w:rsidRPr="00962BEE">
        <w:rPr>
          <w:rFonts w:ascii="Times New Roman" w:hAnsi="Times New Roman"/>
          <w:sz w:val="28"/>
          <w:szCs w:val="28"/>
        </w:rPr>
        <w:t>arterial</w:t>
      </w:r>
      <w:r w:rsidRPr="00962BEE">
        <w:rPr>
          <w:rFonts w:ascii="Times New Roman" w:hAnsi="Times New Roman"/>
          <w:sz w:val="28"/>
          <w:szCs w:val="28"/>
          <w:lang w:val="uk-UA"/>
        </w:rPr>
        <w:t xml:space="preserve"> </w:t>
      </w:r>
      <w:r w:rsidRPr="00962BEE">
        <w:rPr>
          <w:rFonts w:ascii="Times New Roman" w:hAnsi="Times New Roman"/>
          <w:sz w:val="28"/>
          <w:szCs w:val="28"/>
        </w:rPr>
        <w:t>hypertension</w:t>
      </w:r>
      <w:r w:rsidRPr="00962BEE">
        <w:rPr>
          <w:rFonts w:ascii="Times New Roman" w:hAnsi="Times New Roman"/>
          <w:sz w:val="28"/>
          <w:szCs w:val="28"/>
          <w:lang w:val="uk-UA"/>
        </w:rPr>
        <w:t>.</w:t>
      </w:r>
    </w:p>
    <w:p w:rsidR="005548AC" w:rsidRPr="00F0454F" w:rsidRDefault="00F0454F" w:rsidP="00F0454F">
      <w:pPr>
        <w:pStyle w:val="BodyText2"/>
        <w:spacing w:after="0" w:line="360" w:lineRule="auto"/>
        <w:jc w:val="both"/>
        <w:rPr>
          <w:b/>
          <w:sz w:val="28"/>
          <w:szCs w:val="28"/>
          <w:lang w:val="en-US"/>
        </w:rPr>
      </w:pPr>
      <w:r>
        <w:rPr>
          <w:b/>
          <w:lang w:val="en-US"/>
        </w:rPr>
        <w:tab/>
      </w:r>
      <w:proofErr w:type="gramStart"/>
      <w:r w:rsidR="005548AC" w:rsidRPr="00962BEE">
        <w:rPr>
          <w:b/>
          <w:sz w:val="28"/>
          <w:szCs w:val="28"/>
          <w:lang w:val="en-US"/>
        </w:rPr>
        <w:t>C</w:t>
      </w:r>
      <w:r>
        <w:rPr>
          <w:b/>
          <w:sz w:val="28"/>
          <w:szCs w:val="28"/>
          <w:lang w:val="en-US"/>
        </w:rPr>
        <w:t>onclusion.</w:t>
      </w:r>
      <w:proofErr w:type="gramEnd"/>
      <w:r>
        <w:rPr>
          <w:b/>
          <w:sz w:val="28"/>
          <w:szCs w:val="28"/>
          <w:lang w:val="en-US"/>
        </w:rPr>
        <w:t xml:space="preserve"> </w:t>
      </w:r>
      <w:r w:rsidR="005548AC" w:rsidRPr="00962BEE">
        <w:rPr>
          <w:sz w:val="28"/>
          <w:szCs w:val="28"/>
          <w:lang w:val="en-US"/>
        </w:rPr>
        <w:t xml:space="preserve">Result of our clinical study showed increased immune-inflammatory and </w:t>
      </w:r>
      <w:proofErr w:type="spellStart"/>
      <w:r w:rsidR="005548AC" w:rsidRPr="00962BEE">
        <w:rPr>
          <w:sz w:val="28"/>
          <w:szCs w:val="28"/>
          <w:lang w:val="en-US"/>
        </w:rPr>
        <w:t>proapoptotic</w:t>
      </w:r>
      <w:proofErr w:type="spellEnd"/>
      <w:r w:rsidR="005548AC" w:rsidRPr="00962BEE">
        <w:rPr>
          <w:sz w:val="28"/>
          <w:szCs w:val="28"/>
          <w:lang w:val="en-US"/>
        </w:rPr>
        <w:t xml:space="preserve"> </w:t>
      </w:r>
      <w:proofErr w:type="gramStart"/>
      <w:r w:rsidR="005548AC" w:rsidRPr="00962BEE">
        <w:rPr>
          <w:sz w:val="28"/>
          <w:szCs w:val="28"/>
          <w:lang w:val="en-US"/>
        </w:rPr>
        <w:t>activity depend</w:t>
      </w:r>
      <w:proofErr w:type="gramEnd"/>
      <w:r w:rsidR="005548AC" w:rsidRPr="00962BEE">
        <w:rPr>
          <w:sz w:val="28"/>
          <w:szCs w:val="28"/>
          <w:lang w:val="en-US"/>
        </w:rPr>
        <w:t xml:space="preserve"> on presence and degree of arterial hypertension.</w:t>
      </w:r>
    </w:p>
    <w:p w:rsidR="005548AC" w:rsidRPr="00962BEE" w:rsidRDefault="005548AC" w:rsidP="005548AC">
      <w:pPr>
        <w:spacing w:after="0" w:line="360" w:lineRule="auto"/>
        <w:jc w:val="center"/>
        <w:rPr>
          <w:rFonts w:ascii="Times New Roman" w:eastAsia="Times New Roman" w:hAnsi="Times New Roman"/>
          <w:b/>
          <w:bCs/>
          <w:sz w:val="28"/>
          <w:szCs w:val="28"/>
          <w:lang w:eastAsia="ru-RU"/>
        </w:rPr>
      </w:pPr>
      <w:r w:rsidRPr="00962BEE">
        <w:rPr>
          <w:rFonts w:ascii="Times New Roman" w:eastAsia="Times New Roman" w:hAnsi="Times New Roman"/>
          <w:b/>
          <w:bCs/>
          <w:sz w:val="28"/>
          <w:szCs w:val="28"/>
          <w:lang w:eastAsia="ru-RU"/>
        </w:rPr>
        <w:t>REFERENCES</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uk-UA" w:eastAsia="ru-RU"/>
        </w:rPr>
      </w:pPr>
      <w:proofErr w:type="spellStart"/>
      <w:r w:rsidRPr="00962BEE">
        <w:rPr>
          <w:rFonts w:ascii="Times New Roman" w:eastAsia="Times New Roman" w:hAnsi="Times New Roman"/>
          <w:bCs/>
          <w:color w:val="000000"/>
          <w:sz w:val="28"/>
          <w:szCs w:val="28"/>
          <w:lang w:val="en-US" w:eastAsia="ru-RU"/>
        </w:rPr>
        <w:t>Ameisen</w:t>
      </w:r>
      <w:proofErr w:type="spellEnd"/>
      <w:r w:rsidRPr="00962BEE">
        <w:rPr>
          <w:rFonts w:ascii="Times New Roman" w:eastAsia="Times New Roman" w:hAnsi="Times New Roman"/>
          <w:color w:val="000000"/>
          <w:sz w:val="28"/>
          <w:szCs w:val="28"/>
          <w:lang w:val="en-US" w:eastAsia="ru-RU"/>
        </w:rPr>
        <w:t xml:space="preserve"> JC. On the origin, evolution, and nature of programmed cell death: a timeline of four billion years // Cell Death Differ. – 2002. – </w:t>
      </w:r>
      <w:proofErr w:type="gramStart"/>
      <w:r w:rsidRPr="00962BEE">
        <w:rPr>
          <w:rFonts w:ascii="Times New Roman" w:eastAsia="Times New Roman" w:hAnsi="Times New Roman"/>
          <w:color w:val="000000"/>
          <w:sz w:val="28"/>
          <w:szCs w:val="28"/>
          <w:lang w:val="en-US" w:eastAsia="ru-RU"/>
        </w:rPr>
        <w:t>Vol.9(</w:t>
      </w:r>
      <w:proofErr w:type="gramEnd"/>
      <w:r w:rsidRPr="00962BEE">
        <w:rPr>
          <w:rFonts w:ascii="Times New Roman" w:eastAsia="Times New Roman" w:hAnsi="Times New Roman"/>
          <w:color w:val="000000"/>
          <w:sz w:val="28"/>
          <w:szCs w:val="28"/>
          <w:lang w:val="en-US" w:eastAsia="ru-RU"/>
        </w:rPr>
        <w:t>4). – P.367-393.</w:t>
      </w:r>
    </w:p>
    <w:p w:rsidR="005548AC" w:rsidRPr="00962BEE" w:rsidRDefault="005548AC" w:rsidP="005548AC">
      <w:pPr>
        <w:pStyle w:val="NormalWeb"/>
        <w:numPr>
          <w:ilvl w:val="0"/>
          <w:numId w:val="7"/>
        </w:numPr>
        <w:spacing w:before="0" w:beforeAutospacing="0" w:after="0" w:afterAutospacing="0" w:line="360" w:lineRule="auto"/>
        <w:jc w:val="both"/>
        <w:rPr>
          <w:sz w:val="28"/>
          <w:szCs w:val="28"/>
          <w:lang w:val="en-US"/>
        </w:rPr>
      </w:pPr>
      <w:proofErr w:type="spellStart"/>
      <w:r w:rsidRPr="005548AC">
        <w:rPr>
          <w:bCs/>
          <w:sz w:val="28"/>
          <w:szCs w:val="28"/>
          <w:lang w:val="en-US"/>
        </w:rPr>
        <w:t>Lawen</w:t>
      </w:r>
      <w:proofErr w:type="spellEnd"/>
      <w:r w:rsidRPr="005548AC">
        <w:rPr>
          <w:bCs/>
          <w:sz w:val="28"/>
          <w:szCs w:val="28"/>
          <w:lang w:val="en-US"/>
        </w:rPr>
        <w:t xml:space="preserve"> A.</w:t>
      </w:r>
      <w:r w:rsidRPr="00962BEE">
        <w:rPr>
          <w:rStyle w:val="apple-converted-space"/>
          <w:rFonts w:eastAsia="Calibri"/>
          <w:sz w:val="28"/>
          <w:szCs w:val="28"/>
          <w:lang w:val="en-US"/>
        </w:rPr>
        <w:t> </w:t>
      </w:r>
      <w:r w:rsidRPr="00962BEE">
        <w:rPr>
          <w:sz w:val="28"/>
          <w:szCs w:val="28"/>
          <w:lang w:val="en-US"/>
        </w:rPr>
        <w:t>Apoptosis-an introduction // Bio</w:t>
      </w:r>
      <w:r w:rsidR="00BE54D4">
        <w:rPr>
          <w:sz w:val="28"/>
          <w:szCs w:val="28"/>
          <w:lang w:val="en-US"/>
        </w:rPr>
        <w:t>a</w:t>
      </w:r>
      <w:r w:rsidRPr="00962BEE">
        <w:rPr>
          <w:sz w:val="28"/>
          <w:szCs w:val="28"/>
          <w:lang w:val="en-US"/>
        </w:rPr>
        <w:t xml:space="preserve">ssays. – 2003. – </w:t>
      </w:r>
      <w:proofErr w:type="gramStart"/>
      <w:r w:rsidRPr="00962BEE">
        <w:rPr>
          <w:sz w:val="28"/>
          <w:szCs w:val="28"/>
          <w:lang w:val="en-US"/>
        </w:rPr>
        <w:t>Vol.25(</w:t>
      </w:r>
      <w:proofErr w:type="gramEnd"/>
      <w:r w:rsidRPr="00962BEE">
        <w:rPr>
          <w:sz w:val="28"/>
          <w:szCs w:val="28"/>
          <w:lang w:val="en-US"/>
        </w:rPr>
        <w:t>9). – P.888-896.</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en-US" w:eastAsia="ru-RU"/>
        </w:rPr>
      </w:pPr>
      <w:r w:rsidRPr="00962BEE">
        <w:rPr>
          <w:rFonts w:ascii="Times New Roman" w:eastAsia="Times New Roman" w:hAnsi="Times New Roman"/>
          <w:color w:val="000000"/>
          <w:sz w:val="28"/>
          <w:szCs w:val="28"/>
          <w:lang w:val="en-US" w:eastAsia="ru-RU"/>
        </w:rPr>
        <w:t>Elmore S.</w:t>
      </w:r>
      <w:r w:rsidRPr="00962BEE">
        <w:rPr>
          <w:rFonts w:ascii="Times New Roman" w:eastAsia="Times New Roman" w:hAnsi="Times New Roman"/>
          <w:bCs/>
          <w:color w:val="000000"/>
          <w:sz w:val="28"/>
          <w:szCs w:val="28"/>
          <w:lang w:val="en-US" w:eastAsia="ru-RU"/>
        </w:rPr>
        <w:t xml:space="preserve"> Apoptosis: a review of programmed cell death // </w:t>
      </w:r>
      <w:r w:rsidRPr="00962BEE">
        <w:rPr>
          <w:rFonts w:ascii="Times New Roman" w:eastAsia="Times New Roman" w:hAnsi="Times New Roman"/>
          <w:color w:val="000000"/>
          <w:sz w:val="28"/>
          <w:szCs w:val="28"/>
          <w:lang w:val="en-US" w:eastAsia="ru-RU"/>
        </w:rPr>
        <w:br/>
      </w:r>
      <w:proofErr w:type="spellStart"/>
      <w:r w:rsidRPr="00962BEE">
        <w:rPr>
          <w:rFonts w:ascii="Times New Roman" w:eastAsia="Times New Roman" w:hAnsi="Times New Roman"/>
          <w:iCs/>
          <w:color w:val="000000"/>
          <w:sz w:val="28"/>
          <w:szCs w:val="28"/>
          <w:lang w:val="en-US" w:eastAsia="ru-RU"/>
        </w:rPr>
        <w:t>Toxicol</w:t>
      </w:r>
      <w:proofErr w:type="spellEnd"/>
      <w:r w:rsidRPr="00962BEE">
        <w:rPr>
          <w:rFonts w:ascii="Times New Roman" w:eastAsia="Times New Roman" w:hAnsi="Times New Roman"/>
          <w:iCs/>
          <w:color w:val="000000"/>
          <w:sz w:val="28"/>
          <w:szCs w:val="28"/>
          <w:lang w:val="en-US" w:eastAsia="ru-RU"/>
        </w:rPr>
        <w:t xml:space="preserve"> </w:t>
      </w:r>
      <w:proofErr w:type="spellStart"/>
      <w:proofErr w:type="gramStart"/>
      <w:r w:rsidRPr="00962BEE">
        <w:rPr>
          <w:rFonts w:ascii="Times New Roman" w:eastAsia="Times New Roman" w:hAnsi="Times New Roman"/>
          <w:iCs/>
          <w:color w:val="000000"/>
          <w:sz w:val="28"/>
          <w:szCs w:val="28"/>
          <w:lang w:val="en-US" w:eastAsia="ru-RU"/>
        </w:rPr>
        <w:t>Pathol</w:t>
      </w:r>
      <w:proofErr w:type="spellEnd"/>
      <w:r w:rsidRPr="00962BEE">
        <w:rPr>
          <w:rFonts w:ascii="Times New Roman" w:eastAsia="Times New Roman" w:hAnsi="Times New Roman"/>
          <w:color w:val="000000"/>
          <w:sz w:val="28"/>
          <w:szCs w:val="28"/>
          <w:lang w:val="en-US" w:eastAsia="ru-RU"/>
        </w:rPr>
        <w:t> .</w:t>
      </w:r>
      <w:proofErr w:type="gramEnd"/>
      <w:r w:rsidRPr="00962BEE">
        <w:rPr>
          <w:rFonts w:ascii="Times New Roman" w:eastAsia="Times New Roman" w:hAnsi="Times New Roman"/>
          <w:color w:val="000000"/>
          <w:sz w:val="28"/>
          <w:szCs w:val="28"/>
          <w:lang w:val="en-US" w:eastAsia="ru-RU"/>
        </w:rPr>
        <w:t xml:space="preserve"> – 2007. – </w:t>
      </w:r>
      <w:proofErr w:type="gramStart"/>
      <w:r w:rsidRPr="00962BEE">
        <w:rPr>
          <w:rFonts w:ascii="Times New Roman" w:eastAsia="Times New Roman" w:hAnsi="Times New Roman"/>
          <w:color w:val="000000"/>
          <w:sz w:val="28"/>
          <w:szCs w:val="28"/>
          <w:lang w:val="en-US" w:eastAsia="ru-RU"/>
        </w:rPr>
        <w:t>Vol.35(</w:t>
      </w:r>
      <w:proofErr w:type="gramEnd"/>
      <w:r w:rsidRPr="00962BEE">
        <w:rPr>
          <w:rFonts w:ascii="Times New Roman" w:eastAsia="Times New Roman" w:hAnsi="Times New Roman"/>
          <w:color w:val="000000"/>
          <w:sz w:val="28"/>
          <w:szCs w:val="28"/>
          <w:lang w:val="en-US" w:eastAsia="ru-RU"/>
        </w:rPr>
        <w:t xml:space="preserve">4). – P.495-516. </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uk-UA" w:eastAsia="ru-RU"/>
        </w:rPr>
      </w:pPr>
      <w:proofErr w:type="spellStart"/>
      <w:r w:rsidRPr="00962BEE">
        <w:rPr>
          <w:rFonts w:ascii="Times New Roman" w:eastAsia="Times New Roman" w:hAnsi="Times New Roman"/>
          <w:bCs/>
          <w:color w:val="000000"/>
          <w:sz w:val="28"/>
          <w:szCs w:val="28"/>
          <w:lang w:val="en-US" w:eastAsia="ru-RU"/>
        </w:rPr>
        <w:t>Rathmell</w:t>
      </w:r>
      <w:proofErr w:type="spellEnd"/>
      <w:r w:rsidRPr="00962BEE">
        <w:rPr>
          <w:rFonts w:ascii="Times New Roman" w:eastAsia="Times New Roman" w:hAnsi="Times New Roman"/>
          <w:color w:val="000000"/>
          <w:sz w:val="28"/>
          <w:szCs w:val="28"/>
          <w:lang w:val="en-US" w:eastAsia="ru-RU"/>
        </w:rPr>
        <w:t xml:space="preserve"> JC, Thompson CB. Pathways of apoptosis in lymphocyte development, homeostasis, and disease // Cell. – 2002. – </w:t>
      </w:r>
      <w:proofErr w:type="gramStart"/>
      <w:r w:rsidRPr="00962BEE">
        <w:rPr>
          <w:rFonts w:ascii="Times New Roman" w:eastAsia="Times New Roman" w:hAnsi="Times New Roman"/>
          <w:color w:val="000000"/>
          <w:sz w:val="28"/>
          <w:szCs w:val="28"/>
          <w:lang w:val="en-US" w:eastAsia="ru-RU"/>
        </w:rPr>
        <w:t>Vol.109(</w:t>
      </w:r>
      <w:proofErr w:type="spellStart"/>
      <w:proofErr w:type="gramEnd"/>
      <w:r w:rsidRPr="00962BEE">
        <w:rPr>
          <w:rFonts w:ascii="Times New Roman" w:eastAsia="Times New Roman" w:hAnsi="Times New Roman"/>
          <w:color w:val="000000"/>
          <w:sz w:val="28"/>
          <w:szCs w:val="28"/>
          <w:lang w:val="en-US" w:eastAsia="ru-RU"/>
        </w:rPr>
        <w:t>Suppl</w:t>
      </w:r>
      <w:proofErr w:type="spellEnd"/>
      <w:r w:rsidRPr="00962BEE">
        <w:rPr>
          <w:rFonts w:ascii="Times New Roman" w:eastAsia="Times New Roman" w:hAnsi="Times New Roman"/>
          <w:color w:val="000000"/>
          <w:sz w:val="28"/>
          <w:szCs w:val="28"/>
          <w:lang w:val="en-US" w:eastAsia="ru-RU"/>
        </w:rPr>
        <w:t>). – P.S97-107.</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uk-UA" w:eastAsia="ru-RU"/>
        </w:rPr>
      </w:pPr>
      <w:proofErr w:type="spellStart"/>
      <w:r w:rsidRPr="00962BEE">
        <w:rPr>
          <w:rFonts w:ascii="Times New Roman" w:eastAsia="Times New Roman" w:hAnsi="Times New Roman"/>
          <w:bCs/>
          <w:color w:val="000000"/>
          <w:sz w:val="28"/>
          <w:szCs w:val="28"/>
          <w:lang w:val="en-US" w:eastAsia="ru-RU"/>
        </w:rPr>
        <w:t>Lockshin</w:t>
      </w:r>
      <w:proofErr w:type="spellEnd"/>
      <w:r w:rsidRPr="00962BEE">
        <w:rPr>
          <w:rFonts w:ascii="Times New Roman" w:eastAsia="Times New Roman" w:hAnsi="Times New Roman"/>
          <w:color w:val="000000"/>
          <w:sz w:val="28"/>
          <w:szCs w:val="28"/>
          <w:lang w:val="en-US" w:eastAsia="ru-RU"/>
        </w:rPr>
        <w:t xml:space="preserve"> RA, </w:t>
      </w:r>
      <w:proofErr w:type="spellStart"/>
      <w:r w:rsidRPr="00962BEE">
        <w:rPr>
          <w:rFonts w:ascii="Times New Roman" w:eastAsia="Times New Roman" w:hAnsi="Times New Roman"/>
          <w:color w:val="000000"/>
          <w:sz w:val="28"/>
          <w:szCs w:val="28"/>
          <w:lang w:val="en-US" w:eastAsia="ru-RU"/>
        </w:rPr>
        <w:t>Zakeri</w:t>
      </w:r>
      <w:proofErr w:type="spellEnd"/>
      <w:r w:rsidRPr="00962BEE">
        <w:rPr>
          <w:rFonts w:ascii="Times New Roman" w:eastAsia="Times New Roman" w:hAnsi="Times New Roman"/>
          <w:color w:val="000000"/>
          <w:sz w:val="28"/>
          <w:szCs w:val="28"/>
          <w:lang w:val="en-US" w:eastAsia="ru-RU"/>
        </w:rPr>
        <w:t xml:space="preserve"> Z. Programmed cell death and apoptosis: origins of the theory // Nat Rev </w:t>
      </w:r>
      <w:proofErr w:type="spellStart"/>
      <w:r w:rsidRPr="00962BEE">
        <w:rPr>
          <w:rFonts w:ascii="Times New Roman" w:eastAsia="Times New Roman" w:hAnsi="Times New Roman"/>
          <w:color w:val="000000"/>
          <w:sz w:val="28"/>
          <w:szCs w:val="28"/>
          <w:lang w:val="en-US" w:eastAsia="ru-RU"/>
        </w:rPr>
        <w:t>Mol</w:t>
      </w:r>
      <w:proofErr w:type="spellEnd"/>
      <w:r w:rsidRPr="00962BEE">
        <w:rPr>
          <w:rFonts w:ascii="Times New Roman" w:eastAsia="Times New Roman" w:hAnsi="Times New Roman"/>
          <w:color w:val="000000"/>
          <w:sz w:val="28"/>
          <w:szCs w:val="28"/>
          <w:lang w:val="en-US" w:eastAsia="ru-RU"/>
        </w:rPr>
        <w:t xml:space="preserve"> Cell Biol. – 2001. – </w:t>
      </w:r>
      <w:proofErr w:type="gramStart"/>
      <w:r w:rsidRPr="00962BEE">
        <w:rPr>
          <w:rFonts w:ascii="Times New Roman" w:eastAsia="Times New Roman" w:hAnsi="Times New Roman"/>
          <w:color w:val="000000"/>
          <w:sz w:val="28"/>
          <w:szCs w:val="28"/>
          <w:lang w:val="en-US" w:eastAsia="ru-RU"/>
        </w:rPr>
        <w:t>Vol.2(</w:t>
      </w:r>
      <w:proofErr w:type="gramEnd"/>
      <w:r w:rsidRPr="00962BEE">
        <w:rPr>
          <w:rFonts w:ascii="Times New Roman" w:eastAsia="Times New Roman" w:hAnsi="Times New Roman"/>
          <w:color w:val="000000"/>
          <w:sz w:val="28"/>
          <w:szCs w:val="28"/>
          <w:lang w:val="en-US" w:eastAsia="ru-RU"/>
        </w:rPr>
        <w:t>7). – P.545-550.</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uk-UA" w:eastAsia="ru-RU"/>
        </w:rPr>
      </w:pPr>
      <w:r w:rsidRPr="00962BEE">
        <w:rPr>
          <w:rFonts w:ascii="Times New Roman" w:eastAsia="Times New Roman" w:hAnsi="Times New Roman"/>
          <w:bCs/>
          <w:color w:val="000000"/>
          <w:sz w:val="28"/>
          <w:szCs w:val="28"/>
          <w:lang w:val="en-US" w:eastAsia="ru-RU"/>
        </w:rPr>
        <w:t>Kerr</w:t>
      </w:r>
      <w:r w:rsidRPr="00962BEE">
        <w:rPr>
          <w:rFonts w:ascii="Times New Roman" w:eastAsia="Times New Roman" w:hAnsi="Times New Roman"/>
          <w:color w:val="000000"/>
          <w:sz w:val="28"/>
          <w:szCs w:val="28"/>
          <w:lang w:val="en-US" w:eastAsia="ru-RU"/>
        </w:rPr>
        <w:t xml:space="preserve"> JF, Wyllie AH, Currie AR. Apoptosis: a basic biological phenomenon with wide-ranging implications in tissue kinetics // Br J Cancer. – 1972. – </w:t>
      </w:r>
      <w:proofErr w:type="gramStart"/>
      <w:r w:rsidRPr="00962BEE">
        <w:rPr>
          <w:rFonts w:ascii="Times New Roman" w:eastAsia="Times New Roman" w:hAnsi="Times New Roman"/>
          <w:color w:val="000000"/>
          <w:sz w:val="28"/>
          <w:szCs w:val="28"/>
          <w:lang w:val="en-US" w:eastAsia="ru-RU"/>
        </w:rPr>
        <w:t>Vol.26(</w:t>
      </w:r>
      <w:proofErr w:type="gramEnd"/>
      <w:r w:rsidRPr="00962BEE">
        <w:rPr>
          <w:rFonts w:ascii="Times New Roman" w:eastAsia="Times New Roman" w:hAnsi="Times New Roman"/>
          <w:color w:val="000000"/>
          <w:sz w:val="28"/>
          <w:szCs w:val="28"/>
          <w:lang w:val="en-US" w:eastAsia="ru-RU"/>
        </w:rPr>
        <w:t>4). – P.239-257.</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uk-UA" w:eastAsia="ru-RU"/>
        </w:rPr>
      </w:pPr>
      <w:proofErr w:type="spellStart"/>
      <w:r w:rsidRPr="00962BEE">
        <w:rPr>
          <w:rFonts w:ascii="Times New Roman" w:eastAsia="Times New Roman" w:hAnsi="Times New Roman"/>
          <w:bCs/>
          <w:color w:val="000000"/>
          <w:sz w:val="28"/>
          <w:szCs w:val="28"/>
          <w:lang w:val="en-US" w:eastAsia="ru-RU"/>
        </w:rPr>
        <w:t>Kroemer</w:t>
      </w:r>
      <w:proofErr w:type="spellEnd"/>
      <w:r w:rsidRPr="00962BEE">
        <w:rPr>
          <w:rFonts w:ascii="Times New Roman" w:eastAsia="Times New Roman" w:hAnsi="Times New Roman"/>
          <w:color w:val="000000"/>
          <w:sz w:val="28"/>
          <w:szCs w:val="28"/>
          <w:lang w:val="en-US" w:eastAsia="ru-RU"/>
        </w:rPr>
        <w:t xml:space="preserve"> G, Reed JC. Mitochondrial control of cell death // Nat Med. – 2001. – </w:t>
      </w:r>
      <w:proofErr w:type="gramStart"/>
      <w:r w:rsidRPr="00962BEE">
        <w:rPr>
          <w:rFonts w:ascii="Times New Roman" w:eastAsia="Times New Roman" w:hAnsi="Times New Roman"/>
          <w:color w:val="000000"/>
          <w:sz w:val="28"/>
          <w:szCs w:val="28"/>
          <w:lang w:val="en-US" w:eastAsia="ru-RU"/>
        </w:rPr>
        <w:t>Vol.6(</w:t>
      </w:r>
      <w:proofErr w:type="gramEnd"/>
      <w:r w:rsidRPr="00962BEE">
        <w:rPr>
          <w:rFonts w:ascii="Times New Roman" w:eastAsia="Times New Roman" w:hAnsi="Times New Roman"/>
          <w:color w:val="000000"/>
          <w:sz w:val="28"/>
          <w:szCs w:val="28"/>
          <w:lang w:val="en-US" w:eastAsia="ru-RU"/>
        </w:rPr>
        <w:t>5).  – P.513-519.</w:t>
      </w:r>
    </w:p>
    <w:p w:rsidR="00322A50" w:rsidRPr="00BC6149" w:rsidRDefault="00322A50" w:rsidP="00322A50">
      <w:pPr>
        <w:pStyle w:val="1"/>
        <w:numPr>
          <w:ilvl w:val="0"/>
          <w:numId w:val="7"/>
        </w:numPr>
        <w:tabs>
          <w:tab w:val="left" w:pos="993"/>
        </w:tabs>
        <w:spacing w:line="360" w:lineRule="auto"/>
        <w:jc w:val="both"/>
        <w:rPr>
          <w:sz w:val="28"/>
          <w:szCs w:val="28"/>
          <w:lang w:val="uk-UA"/>
        </w:rPr>
      </w:pPr>
      <w:r w:rsidRPr="00BC6149">
        <w:rPr>
          <w:sz w:val="28"/>
          <w:szCs w:val="28"/>
          <w:lang w:val="uk-UA"/>
        </w:rPr>
        <w:t>Ashkenazi</w:t>
      </w:r>
      <w:r>
        <w:rPr>
          <w:sz w:val="28"/>
          <w:szCs w:val="28"/>
          <w:lang w:val="en-US"/>
        </w:rPr>
        <w:t>.</w:t>
      </w:r>
      <w:r w:rsidRPr="00BC6149">
        <w:rPr>
          <w:sz w:val="28"/>
          <w:szCs w:val="28"/>
          <w:lang w:val="uk-UA"/>
        </w:rPr>
        <w:t xml:space="preserve"> Death receptors: signaling and modulation</w:t>
      </w:r>
      <w:r>
        <w:rPr>
          <w:sz w:val="28"/>
          <w:szCs w:val="28"/>
          <w:lang w:val="en-US"/>
        </w:rPr>
        <w:t xml:space="preserve"> /</w:t>
      </w:r>
      <w:r w:rsidRPr="00BC6149">
        <w:rPr>
          <w:sz w:val="28"/>
          <w:szCs w:val="28"/>
          <w:lang w:val="uk-UA"/>
        </w:rPr>
        <w:t xml:space="preserve"> A Ashkenazi, V Dixit</w:t>
      </w:r>
      <w:r>
        <w:rPr>
          <w:sz w:val="28"/>
          <w:szCs w:val="28"/>
          <w:lang w:val="en-US"/>
        </w:rPr>
        <w:t xml:space="preserve"> //</w:t>
      </w:r>
      <w:r w:rsidRPr="00BC6149">
        <w:rPr>
          <w:sz w:val="28"/>
          <w:szCs w:val="28"/>
          <w:lang w:val="uk-UA"/>
        </w:rPr>
        <w:t xml:space="preserve"> Science</w:t>
      </w:r>
      <w:r>
        <w:rPr>
          <w:sz w:val="28"/>
          <w:szCs w:val="28"/>
          <w:lang w:val="en-US"/>
        </w:rPr>
        <w:t>. –</w:t>
      </w:r>
      <w:r w:rsidRPr="00BC6149">
        <w:rPr>
          <w:sz w:val="28"/>
          <w:szCs w:val="28"/>
          <w:lang w:val="uk-UA"/>
        </w:rPr>
        <w:t xml:space="preserve"> 2008</w:t>
      </w:r>
      <w:r>
        <w:rPr>
          <w:sz w:val="28"/>
          <w:szCs w:val="28"/>
          <w:lang w:val="en-US"/>
        </w:rPr>
        <w:t>. – Vol.</w:t>
      </w:r>
      <w:r w:rsidRPr="00BC6149">
        <w:rPr>
          <w:sz w:val="28"/>
          <w:szCs w:val="28"/>
          <w:lang w:val="uk-UA"/>
        </w:rPr>
        <w:t>281</w:t>
      </w:r>
      <w:r>
        <w:rPr>
          <w:sz w:val="28"/>
          <w:szCs w:val="28"/>
          <w:lang w:val="en-US"/>
        </w:rPr>
        <w:t>. – P.1</w:t>
      </w:r>
      <w:r w:rsidRPr="00BC6149">
        <w:rPr>
          <w:sz w:val="28"/>
          <w:szCs w:val="28"/>
          <w:lang w:val="uk-UA"/>
        </w:rPr>
        <w:t>305</w:t>
      </w:r>
      <w:r>
        <w:rPr>
          <w:sz w:val="28"/>
          <w:szCs w:val="28"/>
          <w:lang w:val="en-US"/>
        </w:rPr>
        <w:t>-130</w:t>
      </w:r>
      <w:r w:rsidRPr="00BC6149">
        <w:rPr>
          <w:sz w:val="28"/>
          <w:szCs w:val="28"/>
          <w:lang w:val="uk-UA"/>
        </w:rPr>
        <w:t>8.</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color w:val="000000"/>
          <w:sz w:val="28"/>
          <w:szCs w:val="28"/>
          <w:lang w:val="uk-UA" w:eastAsia="ru-RU"/>
        </w:rPr>
      </w:pPr>
      <w:proofErr w:type="spellStart"/>
      <w:r w:rsidRPr="00962BEE">
        <w:rPr>
          <w:rFonts w:ascii="Times New Roman" w:eastAsia="Times New Roman" w:hAnsi="Times New Roman"/>
          <w:bCs/>
          <w:color w:val="000000"/>
          <w:sz w:val="28"/>
          <w:szCs w:val="28"/>
          <w:lang w:val="en-US" w:eastAsia="ru-RU"/>
        </w:rPr>
        <w:lastRenderedPageBreak/>
        <w:t>Skulachev</w:t>
      </w:r>
      <w:proofErr w:type="spellEnd"/>
      <w:r w:rsidRPr="00962BEE">
        <w:rPr>
          <w:rFonts w:ascii="Times New Roman" w:eastAsia="Times New Roman" w:hAnsi="Times New Roman"/>
          <w:color w:val="000000"/>
          <w:sz w:val="28"/>
          <w:szCs w:val="28"/>
          <w:lang w:val="en-US" w:eastAsia="ru-RU"/>
        </w:rPr>
        <w:t xml:space="preserve"> VP. Programmed death in yeast as adaptation? // FEBS </w:t>
      </w:r>
      <w:proofErr w:type="spellStart"/>
      <w:r w:rsidRPr="00962BEE">
        <w:rPr>
          <w:rFonts w:ascii="Times New Roman" w:eastAsia="Times New Roman" w:hAnsi="Times New Roman"/>
          <w:color w:val="000000"/>
          <w:sz w:val="28"/>
          <w:szCs w:val="28"/>
          <w:lang w:val="en-US" w:eastAsia="ru-RU"/>
        </w:rPr>
        <w:t>Lett</w:t>
      </w:r>
      <w:proofErr w:type="spellEnd"/>
      <w:r w:rsidRPr="00962BEE">
        <w:rPr>
          <w:rFonts w:ascii="Times New Roman" w:eastAsia="Times New Roman" w:hAnsi="Times New Roman"/>
          <w:color w:val="000000"/>
          <w:sz w:val="28"/>
          <w:szCs w:val="28"/>
          <w:lang w:val="en-US" w:eastAsia="ru-RU"/>
        </w:rPr>
        <w:t xml:space="preserve">. – 2003. – </w:t>
      </w:r>
      <w:proofErr w:type="gramStart"/>
      <w:r w:rsidRPr="00962BEE">
        <w:rPr>
          <w:rFonts w:ascii="Times New Roman" w:eastAsia="Times New Roman" w:hAnsi="Times New Roman"/>
          <w:color w:val="000000"/>
          <w:sz w:val="28"/>
          <w:szCs w:val="28"/>
          <w:lang w:val="en-US" w:eastAsia="ru-RU"/>
        </w:rPr>
        <w:t>Vol.528(</w:t>
      </w:r>
      <w:proofErr w:type="gramEnd"/>
      <w:r w:rsidRPr="00962BEE">
        <w:rPr>
          <w:rFonts w:ascii="Times New Roman" w:eastAsia="Times New Roman" w:hAnsi="Times New Roman"/>
          <w:color w:val="000000"/>
          <w:sz w:val="28"/>
          <w:szCs w:val="28"/>
          <w:lang w:val="en-US" w:eastAsia="ru-RU"/>
        </w:rPr>
        <w:t>1-3). – P.23-26.</w:t>
      </w:r>
    </w:p>
    <w:p w:rsidR="005548AC" w:rsidRPr="00962BEE" w:rsidRDefault="005548AC" w:rsidP="005548AC">
      <w:pPr>
        <w:pStyle w:val="ListParagraph"/>
        <w:numPr>
          <w:ilvl w:val="0"/>
          <w:numId w:val="7"/>
        </w:numPr>
        <w:spacing w:after="0" w:line="360" w:lineRule="auto"/>
        <w:jc w:val="both"/>
        <w:rPr>
          <w:rFonts w:ascii="Times New Roman" w:hAnsi="Times New Roman"/>
          <w:sz w:val="28"/>
          <w:szCs w:val="28"/>
          <w:lang w:val="en-US"/>
        </w:rPr>
      </w:pPr>
      <w:proofErr w:type="spellStart"/>
      <w:r w:rsidRPr="00962BEE">
        <w:rPr>
          <w:rFonts w:ascii="Times New Roman" w:eastAsia="Times New Roman" w:hAnsi="Times New Roman"/>
          <w:bCs/>
          <w:color w:val="000000"/>
          <w:sz w:val="28"/>
          <w:szCs w:val="28"/>
          <w:lang w:val="en-US" w:eastAsia="ru-RU"/>
        </w:rPr>
        <w:t>Zuzarte</w:t>
      </w:r>
      <w:proofErr w:type="spellEnd"/>
      <w:r w:rsidRPr="00962BEE">
        <w:rPr>
          <w:rFonts w:ascii="Times New Roman" w:eastAsia="Times New Roman" w:hAnsi="Times New Roman"/>
          <w:bCs/>
          <w:color w:val="000000"/>
          <w:sz w:val="28"/>
          <w:szCs w:val="28"/>
          <w:lang w:val="en-US" w:eastAsia="ru-RU"/>
        </w:rPr>
        <w:t>-Luis</w:t>
      </w:r>
      <w:r w:rsidRPr="00962BEE">
        <w:rPr>
          <w:rFonts w:ascii="Times New Roman" w:eastAsia="Times New Roman" w:hAnsi="Times New Roman"/>
          <w:color w:val="000000"/>
          <w:sz w:val="28"/>
          <w:szCs w:val="28"/>
          <w:lang w:val="en-US" w:eastAsia="ru-RU"/>
        </w:rPr>
        <w:t xml:space="preserve"> V, </w:t>
      </w:r>
      <w:proofErr w:type="spellStart"/>
      <w:r w:rsidRPr="00962BEE">
        <w:rPr>
          <w:rFonts w:ascii="Times New Roman" w:eastAsia="Times New Roman" w:hAnsi="Times New Roman"/>
          <w:color w:val="000000"/>
          <w:sz w:val="28"/>
          <w:szCs w:val="28"/>
          <w:lang w:val="en-US" w:eastAsia="ru-RU"/>
        </w:rPr>
        <w:t>Hurle</w:t>
      </w:r>
      <w:proofErr w:type="spellEnd"/>
      <w:r w:rsidRPr="00962BEE">
        <w:rPr>
          <w:rFonts w:ascii="Times New Roman" w:eastAsia="Times New Roman" w:hAnsi="Times New Roman"/>
          <w:color w:val="000000"/>
          <w:sz w:val="28"/>
          <w:szCs w:val="28"/>
          <w:lang w:val="en-US" w:eastAsia="ru-RU"/>
        </w:rPr>
        <w:t xml:space="preserve"> JM. Programmed cell death in the developing limb // </w:t>
      </w:r>
      <w:proofErr w:type="spellStart"/>
      <w:r w:rsidRPr="00962BEE">
        <w:rPr>
          <w:rFonts w:ascii="Times New Roman" w:eastAsia="Times New Roman" w:hAnsi="Times New Roman"/>
          <w:color w:val="000000"/>
          <w:sz w:val="28"/>
          <w:szCs w:val="28"/>
          <w:lang w:val="en-US" w:eastAsia="ru-RU"/>
        </w:rPr>
        <w:t>Int</w:t>
      </w:r>
      <w:proofErr w:type="spellEnd"/>
      <w:r w:rsidRPr="00962BEE">
        <w:rPr>
          <w:rFonts w:ascii="Times New Roman" w:eastAsia="Times New Roman" w:hAnsi="Times New Roman"/>
          <w:color w:val="000000"/>
          <w:sz w:val="28"/>
          <w:szCs w:val="28"/>
          <w:lang w:val="en-US" w:eastAsia="ru-RU"/>
        </w:rPr>
        <w:t xml:space="preserve"> J Dev Biol. – 2002. – </w:t>
      </w:r>
      <w:proofErr w:type="gramStart"/>
      <w:r w:rsidRPr="00962BEE">
        <w:rPr>
          <w:rFonts w:ascii="Times New Roman" w:eastAsia="Times New Roman" w:hAnsi="Times New Roman"/>
          <w:color w:val="000000"/>
          <w:sz w:val="28"/>
          <w:szCs w:val="28"/>
          <w:lang w:val="en-US" w:eastAsia="ru-RU"/>
        </w:rPr>
        <w:t>Vol.46(</w:t>
      </w:r>
      <w:proofErr w:type="gramEnd"/>
      <w:r w:rsidRPr="00962BEE">
        <w:rPr>
          <w:rFonts w:ascii="Times New Roman" w:eastAsia="Times New Roman" w:hAnsi="Times New Roman"/>
          <w:color w:val="000000"/>
          <w:sz w:val="28"/>
          <w:szCs w:val="28"/>
          <w:lang w:val="en-US" w:eastAsia="ru-RU"/>
        </w:rPr>
        <w:t>7). – P.871-876.</w:t>
      </w:r>
    </w:p>
    <w:p w:rsidR="005548AC" w:rsidRPr="00962BEE" w:rsidRDefault="005548AC" w:rsidP="005548AC">
      <w:pPr>
        <w:pStyle w:val="ListParagraph"/>
        <w:numPr>
          <w:ilvl w:val="0"/>
          <w:numId w:val="7"/>
        </w:numPr>
        <w:spacing w:after="0" w:line="360" w:lineRule="auto"/>
        <w:jc w:val="both"/>
        <w:rPr>
          <w:rFonts w:ascii="Times New Roman" w:hAnsi="Times New Roman"/>
          <w:sz w:val="28"/>
          <w:szCs w:val="28"/>
          <w:lang w:val="en-US"/>
        </w:rPr>
      </w:pPr>
      <w:proofErr w:type="spellStart"/>
      <w:r w:rsidRPr="00A16AFC">
        <w:rPr>
          <w:rFonts w:ascii="Times New Roman" w:hAnsi="Times New Roman"/>
          <w:bCs/>
          <w:sz w:val="28"/>
          <w:szCs w:val="28"/>
          <w:lang w:val="en-US"/>
        </w:rPr>
        <w:t>Vermeulen</w:t>
      </w:r>
      <w:proofErr w:type="spellEnd"/>
      <w:r w:rsidRPr="00A16AFC">
        <w:rPr>
          <w:rFonts w:ascii="Times New Roman" w:hAnsi="Times New Roman"/>
          <w:bCs/>
          <w:sz w:val="28"/>
          <w:szCs w:val="28"/>
          <w:lang w:val="en-US"/>
        </w:rPr>
        <w:t xml:space="preserve"> K, </w:t>
      </w:r>
      <w:proofErr w:type="spellStart"/>
      <w:r w:rsidRPr="00A16AFC">
        <w:rPr>
          <w:rFonts w:ascii="Times New Roman" w:hAnsi="Times New Roman"/>
          <w:bCs/>
          <w:sz w:val="28"/>
          <w:szCs w:val="28"/>
          <w:lang w:val="en-US"/>
        </w:rPr>
        <w:t>Berneman</w:t>
      </w:r>
      <w:proofErr w:type="spellEnd"/>
      <w:r w:rsidRPr="00A16AFC">
        <w:rPr>
          <w:rFonts w:ascii="Times New Roman" w:hAnsi="Times New Roman"/>
          <w:bCs/>
          <w:sz w:val="28"/>
          <w:szCs w:val="28"/>
          <w:lang w:val="en-US"/>
        </w:rPr>
        <w:t xml:space="preserve"> ZN, Van </w:t>
      </w:r>
      <w:proofErr w:type="spellStart"/>
      <w:r w:rsidRPr="00A16AFC">
        <w:rPr>
          <w:rFonts w:ascii="Times New Roman" w:hAnsi="Times New Roman"/>
          <w:bCs/>
          <w:sz w:val="28"/>
          <w:szCs w:val="28"/>
          <w:lang w:val="en-US"/>
        </w:rPr>
        <w:t>Bockstaele</w:t>
      </w:r>
      <w:proofErr w:type="spellEnd"/>
      <w:r w:rsidRPr="00A16AFC">
        <w:rPr>
          <w:rFonts w:ascii="Times New Roman" w:hAnsi="Times New Roman"/>
          <w:bCs/>
          <w:sz w:val="28"/>
          <w:szCs w:val="28"/>
          <w:lang w:val="en-US"/>
        </w:rPr>
        <w:t xml:space="preserve"> DR.</w:t>
      </w:r>
      <w:r w:rsidRPr="00962BEE">
        <w:rPr>
          <w:rStyle w:val="apple-converted-space"/>
          <w:rFonts w:ascii="Times New Roman" w:hAnsi="Times New Roman"/>
          <w:sz w:val="28"/>
          <w:szCs w:val="28"/>
          <w:lang w:val="en-US"/>
        </w:rPr>
        <w:t> </w:t>
      </w:r>
      <w:r w:rsidRPr="00962BEE">
        <w:rPr>
          <w:rFonts w:ascii="Times New Roman" w:hAnsi="Times New Roman"/>
          <w:sz w:val="28"/>
          <w:szCs w:val="28"/>
          <w:lang w:val="en-US"/>
        </w:rPr>
        <w:t xml:space="preserve">Cell cycle and apoptosis // Cell </w:t>
      </w:r>
      <w:proofErr w:type="spellStart"/>
      <w:r w:rsidRPr="00962BEE">
        <w:rPr>
          <w:rFonts w:ascii="Times New Roman" w:hAnsi="Times New Roman"/>
          <w:sz w:val="28"/>
          <w:szCs w:val="28"/>
          <w:lang w:val="en-US"/>
        </w:rPr>
        <w:t>Prolif</w:t>
      </w:r>
      <w:proofErr w:type="spellEnd"/>
      <w:r w:rsidRPr="00962BEE">
        <w:rPr>
          <w:rFonts w:ascii="Times New Roman" w:hAnsi="Times New Roman"/>
          <w:sz w:val="28"/>
          <w:szCs w:val="28"/>
          <w:lang w:val="en-US"/>
        </w:rPr>
        <w:t xml:space="preserve">. – 2003/ - </w:t>
      </w:r>
      <w:proofErr w:type="gramStart"/>
      <w:r w:rsidRPr="00962BEE">
        <w:rPr>
          <w:rFonts w:ascii="Times New Roman" w:hAnsi="Times New Roman"/>
          <w:sz w:val="28"/>
          <w:szCs w:val="28"/>
          <w:lang w:val="en-US"/>
        </w:rPr>
        <w:t>Vol.36(</w:t>
      </w:r>
      <w:proofErr w:type="gramEnd"/>
      <w:r w:rsidRPr="00962BEE">
        <w:rPr>
          <w:rFonts w:ascii="Times New Roman" w:hAnsi="Times New Roman"/>
          <w:sz w:val="28"/>
          <w:szCs w:val="28"/>
          <w:lang w:val="en-US"/>
        </w:rPr>
        <w:t>3). – P.165-175.</w:t>
      </w:r>
    </w:p>
    <w:p w:rsidR="005548AC" w:rsidRPr="00962BEE" w:rsidRDefault="005548AC" w:rsidP="005548AC">
      <w:pPr>
        <w:pStyle w:val="ListParagraph"/>
        <w:numPr>
          <w:ilvl w:val="0"/>
          <w:numId w:val="7"/>
        </w:numPr>
        <w:spacing w:after="0" w:line="360" w:lineRule="auto"/>
        <w:jc w:val="both"/>
        <w:rPr>
          <w:rFonts w:ascii="Times New Roman" w:hAnsi="Times New Roman"/>
          <w:sz w:val="28"/>
          <w:szCs w:val="28"/>
          <w:lang w:val="en-US"/>
        </w:rPr>
      </w:pPr>
      <w:proofErr w:type="spellStart"/>
      <w:r w:rsidRPr="00A16AFC">
        <w:rPr>
          <w:rFonts w:ascii="Times New Roman" w:hAnsi="Times New Roman"/>
          <w:bCs/>
          <w:sz w:val="28"/>
          <w:szCs w:val="28"/>
          <w:lang w:val="en-US"/>
        </w:rPr>
        <w:t>Opferman</w:t>
      </w:r>
      <w:proofErr w:type="spellEnd"/>
      <w:r w:rsidRPr="00A16AFC">
        <w:rPr>
          <w:rFonts w:ascii="Times New Roman" w:hAnsi="Times New Roman"/>
          <w:bCs/>
          <w:sz w:val="28"/>
          <w:szCs w:val="28"/>
          <w:lang w:val="en-US"/>
        </w:rPr>
        <w:t xml:space="preserve"> JT, </w:t>
      </w:r>
      <w:proofErr w:type="spellStart"/>
      <w:r w:rsidRPr="00A16AFC">
        <w:rPr>
          <w:rFonts w:ascii="Times New Roman" w:hAnsi="Times New Roman"/>
          <w:bCs/>
          <w:sz w:val="28"/>
          <w:szCs w:val="28"/>
          <w:lang w:val="en-US"/>
        </w:rPr>
        <w:t>Korsmeyer</w:t>
      </w:r>
      <w:proofErr w:type="spellEnd"/>
      <w:r w:rsidRPr="00A16AFC">
        <w:rPr>
          <w:rFonts w:ascii="Times New Roman" w:hAnsi="Times New Roman"/>
          <w:bCs/>
          <w:sz w:val="28"/>
          <w:szCs w:val="28"/>
          <w:lang w:val="en-US"/>
        </w:rPr>
        <w:t xml:space="preserve"> SJ.</w:t>
      </w:r>
      <w:r w:rsidRPr="00962BEE">
        <w:rPr>
          <w:rStyle w:val="apple-converted-space"/>
          <w:rFonts w:ascii="Times New Roman" w:hAnsi="Times New Roman"/>
          <w:sz w:val="28"/>
          <w:szCs w:val="28"/>
          <w:lang w:val="en-US"/>
        </w:rPr>
        <w:t> </w:t>
      </w:r>
      <w:r w:rsidRPr="00962BEE">
        <w:rPr>
          <w:rFonts w:ascii="Times New Roman" w:hAnsi="Times New Roman"/>
          <w:sz w:val="28"/>
          <w:szCs w:val="28"/>
          <w:lang w:val="en-US"/>
        </w:rPr>
        <w:t xml:space="preserve">Apoptosis in the development and maintenance of the immune system // Nat </w:t>
      </w:r>
      <w:proofErr w:type="spellStart"/>
      <w:r w:rsidRPr="00962BEE">
        <w:rPr>
          <w:rFonts w:ascii="Times New Roman" w:hAnsi="Times New Roman"/>
          <w:sz w:val="28"/>
          <w:szCs w:val="28"/>
          <w:lang w:val="en-US"/>
        </w:rPr>
        <w:t>Immunol</w:t>
      </w:r>
      <w:proofErr w:type="spellEnd"/>
      <w:r w:rsidRPr="00962BEE">
        <w:rPr>
          <w:rFonts w:ascii="Times New Roman" w:hAnsi="Times New Roman"/>
          <w:sz w:val="28"/>
          <w:szCs w:val="28"/>
          <w:lang w:val="en-US"/>
        </w:rPr>
        <w:t xml:space="preserve">. – 2003. – </w:t>
      </w:r>
      <w:proofErr w:type="gramStart"/>
      <w:r w:rsidRPr="00962BEE">
        <w:rPr>
          <w:rFonts w:ascii="Times New Roman" w:hAnsi="Times New Roman"/>
          <w:sz w:val="28"/>
          <w:szCs w:val="28"/>
          <w:lang w:val="en-US"/>
        </w:rPr>
        <w:t>Vol.4(</w:t>
      </w:r>
      <w:proofErr w:type="gramEnd"/>
      <w:r w:rsidRPr="00962BEE">
        <w:rPr>
          <w:rFonts w:ascii="Times New Roman" w:hAnsi="Times New Roman"/>
          <w:sz w:val="28"/>
          <w:szCs w:val="28"/>
          <w:lang w:val="en-US"/>
        </w:rPr>
        <w:t>5). – P.410-415.</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sz w:val="28"/>
          <w:szCs w:val="28"/>
          <w:lang w:val="en-US" w:eastAsia="ru-RU"/>
        </w:rPr>
      </w:pPr>
      <w:proofErr w:type="spellStart"/>
      <w:r w:rsidRPr="00A16AFC">
        <w:rPr>
          <w:rFonts w:ascii="Times New Roman" w:hAnsi="Times New Roman"/>
          <w:bCs/>
          <w:sz w:val="28"/>
          <w:szCs w:val="28"/>
          <w:lang w:val="en-US"/>
        </w:rPr>
        <w:t>Matute</w:t>
      </w:r>
      <w:proofErr w:type="spellEnd"/>
      <w:r w:rsidRPr="00A16AFC">
        <w:rPr>
          <w:rFonts w:ascii="Times New Roman" w:hAnsi="Times New Roman"/>
          <w:bCs/>
          <w:sz w:val="28"/>
          <w:szCs w:val="28"/>
          <w:lang w:val="en-US"/>
        </w:rPr>
        <w:t>-Bello G, Martin TR.</w:t>
      </w:r>
      <w:r w:rsidRPr="00962BEE">
        <w:rPr>
          <w:rStyle w:val="apple-converted-space"/>
          <w:rFonts w:ascii="Times New Roman" w:hAnsi="Times New Roman"/>
          <w:sz w:val="28"/>
          <w:szCs w:val="28"/>
          <w:lang w:val="en-US"/>
        </w:rPr>
        <w:t> </w:t>
      </w:r>
      <w:r w:rsidRPr="00962BEE">
        <w:rPr>
          <w:rFonts w:ascii="Times New Roman" w:hAnsi="Times New Roman"/>
          <w:sz w:val="28"/>
          <w:szCs w:val="28"/>
          <w:lang w:val="en-US"/>
        </w:rPr>
        <w:t xml:space="preserve">Apoptosis: the complex scenario for a silent cell death // </w:t>
      </w:r>
      <w:proofErr w:type="spellStart"/>
      <w:r w:rsidRPr="00962BEE">
        <w:rPr>
          <w:rFonts w:ascii="Times New Roman" w:hAnsi="Times New Roman"/>
          <w:sz w:val="28"/>
          <w:szCs w:val="28"/>
          <w:lang w:val="en-US"/>
        </w:rPr>
        <w:t>Mol</w:t>
      </w:r>
      <w:proofErr w:type="spellEnd"/>
      <w:r w:rsidRPr="00962BEE">
        <w:rPr>
          <w:rFonts w:ascii="Times New Roman" w:hAnsi="Times New Roman"/>
          <w:sz w:val="28"/>
          <w:szCs w:val="28"/>
          <w:lang w:val="en-US"/>
        </w:rPr>
        <w:t xml:space="preserve"> Imaging Biol. – 2003. – </w:t>
      </w:r>
      <w:proofErr w:type="gramStart"/>
      <w:r w:rsidRPr="00962BEE">
        <w:rPr>
          <w:rFonts w:ascii="Times New Roman" w:hAnsi="Times New Roman"/>
          <w:sz w:val="28"/>
          <w:szCs w:val="28"/>
          <w:lang w:val="en-US"/>
        </w:rPr>
        <w:t>Vol.5(</w:t>
      </w:r>
      <w:proofErr w:type="gramEnd"/>
      <w:r w:rsidRPr="00962BEE">
        <w:rPr>
          <w:rFonts w:ascii="Times New Roman" w:hAnsi="Times New Roman"/>
          <w:sz w:val="28"/>
          <w:szCs w:val="28"/>
          <w:lang w:val="en-US"/>
        </w:rPr>
        <w:t>1). – Vol.2-14.</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sz w:val="28"/>
          <w:szCs w:val="28"/>
          <w:lang w:val="en-US" w:eastAsia="ru-RU"/>
        </w:rPr>
      </w:pPr>
      <w:proofErr w:type="spellStart"/>
      <w:proofErr w:type="gramStart"/>
      <w:r w:rsidRPr="00962BEE">
        <w:rPr>
          <w:rFonts w:ascii="Times New Roman" w:eastAsia="Times New Roman" w:hAnsi="Times New Roman"/>
          <w:sz w:val="28"/>
          <w:szCs w:val="28"/>
          <w:lang w:val="en-US" w:eastAsia="ru-RU"/>
        </w:rPr>
        <w:t>Doseff</w:t>
      </w:r>
      <w:proofErr w:type="spellEnd"/>
      <w:r w:rsidRPr="00962BEE">
        <w:rPr>
          <w:rFonts w:ascii="Times New Roman" w:eastAsia="Times New Roman" w:hAnsi="Times New Roman"/>
          <w:sz w:val="28"/>
          <w:szCs w:val="28"/>
          <w:lang w:val="en-US" w:eastAsia="ru-RU"/>
        </w:rPr>
        <w:t xml:space="preserve">  AI</w:t>
      </w:r>
      <w:proofErr w:type="gramEnd"/>
      <w:r w:rsidRPr="00962BEE">
        <w:rPr>
          <w:rFonts w:ascii="Times New Roman" w:eastAsia="Times New Roman" w:hAnsi="Times New Roman"/>
          <w:sz w:val="28"/>
          <w:szCs w:val="28"/>
          <w:lang w:val="en-US" w:eastAsia="ru-RU"/>
        </w:rPr>
        <w:t xml:space="preserve">. </w:t>
      </w:r>
      <w:r w:rsidRPr="00962BEE">
        <w:rPr>
          <w:rFonts w:ascii="Times New Roman" w:eastAsia="Times New Roman" w:hAnsi="Times New Roman"/>
          <w:bCs/>
          <w:sz w:val="28"/>
          <w:szCs w:val="28"/>
          <w:lang w:val="en-US" w:eastAsia="ru-RU"/>
        </w:rPr>
        <w:t xml:space="preserve">Apoptosis: The Sculptor of Development // </w:t>
      </w:r>
      <w:r w:rsidRPr="00962BEE">
        <w:rPr>
          <w:rFonts w:ascii="Times New Roman" w:eastAsia="Times New Roman" w:hAnsi="Times New Roman"/>
          <w:sz w:val="28"/>
          <w:szCs w:val="28"/>
          <w:lang w:val="en-US" w:eastAsia="ru-RU"/>
        </w:rPr>
        <w:t xml:space="preserve">Stem Cells and Development. – 2004. – </w:t>
      </w:r>
      <w:proofErr w:type="gramStart"/>
      <w:r w:rsidRPr="00962BEE">
        <w:rPr>
          <w:rFonts w:ascii="Times New Roman" w:eastAsia="Times New Roman" w:hAnsi="Times New Roman"/>
          <w:sz w:val="28"/>
          <w:szCs w:val="28"/>
          <w:lang w:val="en-US" w:eastAsia="ru-RU"/>
        </w:rPr>
        <w:t>Vol.13(</w:t>
      </w:r>
      <w:proofErr w:type="gramEnd"/>
      <w:r w:rsidRPr="00962BEE">
        <w:rPr>
          <w:rFonts w:ascii="Times New Roman" w:eastAsia="Times New Roman" w:hAnsi="Times New Roman"/>
          <w:sz w:val="28"/>
          <w:szCs w:val="28"/>
          <w:lang w:val="en-US" w:eastAsia="ru-RU"/>
        </w:rPr>
        <w:t xml:space="preserve">5). – P.473-483. </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sz w:val="28"/>
          <w:szCs w:val="28"/>
          <w:lang w:val="en-US" w:eastAsia="ru-RU"/>
        </w:rPr>
      </w:pPr>
      <w:proofErr w:type="spellStart"/>
      <w:r w:rsidRPr="00962BEE">
        <w:rPr>
          <w:rFonts w:ascii="Times New Roman" w:eastAsia="Times New Roman" w:hAnsi="Times New Roman"/>
          <w:sz w:val="28"/>
          <w:szCs w:val="28"/>
          <w:lang w:val="en-US" w:eastAsia="ru-RU"/>
        </w:rPr>
        <w:t>Kitahori</w:t>
      </w:r>
      <w:proofErr w:type="spellEnd"/>
      <w:r w:rsidRPr="00962BEE">
        <w:rPr>
          <w:rFonts w:ascii="Times New Roman" w:eastAsia="Times New Roman" w:hAnsi="Times New Roman"/>
          <w:sz w:val="28"/>
          <w:szCs w:val="28"/>
          <w:lang w:val="en-US" w:eastAsia="ru-RU"/>
        </w:rPr>
        <w:t xml:space="preserve"> K., He H., </w:t>
      </w:r>
      <w:proofErr w:type="spellStart"/>
      <w:r w:rsidRPr="00962BEE">
        <w:rPr>
          <w:rFonts w:ascii="Times New Roman" w:eastAsia="Times New Roman" w:hAnsi="Times New Roman"/>
          <w:sz w:val="28"/>
          <w:szCs w:val="28"/>
          <w:lang w:val="en-US" w:eastAsia="ru-RU"/>
        </w:rPr>
        <w:t>Kawata</w:t>
      </w:r>
      <w:proofErr w:type="spellEnd"/>
      <w:r w:rsidRPr="00962BEE">
        <w:rPr>
          <w:rFonts w:ascii="Times New Roman" w:eastAsia="Times New Roman" w:hAnsi="Times New Roman"/>
          <w:sz w:val="28"/>
          <w:szCs w:val="28"/>
          <w:lang w:val="en-US" w:eastAsia="ru-RU"/>
        </w:rPr>
        <w:t xml:space="preserve"> M. et al. </w:t>
      </w:r>
      <w:r w:rsidRPr="00962BEE">
        <w:rPr>
          <w:rFonts w:ascii="Times New Roman" w:eastAsia="Times New Roman" w:hAnsi="Times New Roman"/>
          <w:bCs/>
          <w:sz w:val="28"/>
          <w:szCs w:val="28"/>
          <w:lang w:val="en-US" w:eastAsia="ru-RU"/>
        </w:rPr>
        <w:t>Development of Left Ventricular Diastolic Dysfunction With Preservation of Ejection Fraction During Progression of Infant Right Ventricular Hypertrophy</w:t>
      </w:r>
      <w:r w:rsidRPr="00962BEE">
        <w:rPr>
          <w:rFonts w:ascii="Times New Roman" w:eastAsia="Times New Roman" w:hAnsi="Times New Roman"/>
          <w:sz w:val="28"/>
          <w:szCs w:val="28"/>
          <w:lang w:val="en-US" w:eastAsia="ru-RU"/>
        </w:rPr>
        <w:t xml:space="preserve"> // </w:t>
      </w:r>
      <w:r w:rsidRPr="00962BEE">
        <w:rPr>
          <w:rFonts w:ascii="Times New Roman" w:eastAsia="Times New Roman" w:hAnsi="Times New Roman"/>
          <w:sz w:val="28"/>
          <w:szCs w:val="28"/>
          <w:lang w:val="en-US" w:eastAsia="ru-RU"/>
        </w:rPr>
        <w:br/>
      </w:r>
      <w:proofErr w:type="spellStart"/>
      <w:r w:rsidRPr="00962BEE">
        <w:rPr>
          <w:rFonts w:ascii="Times New Roman" w:eastAsia="Times New Roman" w:hAnsi="Times New Roman"/>
          <w:sz w:val="28"/>
          <w:szCs w:val="28"/>
          <w:lang w:val="en-US" w:eastAsia="ru-RU"/>
        </w:rPr>
        <w:t>Circ</w:t>
      </w:r>
      <w:proofErr w:type="spellEnd"/>
      <w:r w:rsidRPr="00962BEE">
        <w:rPr>
          <w:rFonts w:ascii="Times New Roman" w:eastAsia="Times New Roman" w:hAnsi="Times New Roman"/>
          <w:sz w:val="28"/>
          <w:szCs w:val="28"/>
          <w:lang w:val="en-US" w:eastAsia="ru-RU"/>
        </w:rPr>
        <w:t xml:space="preserve"> Heart </w:t>
      </w:r>
      <w:proofErr w:type="gramStart"/>
      <w:r w:rsidRPr="00962BEE">
        <w:rPr>
          <w:rFonts w:ascii="Times New Roman" w:eastAsia="Times New Roman" w:hAnsi="Times New Roman"/>
          <w:sz w:val="28"/>
          <w:szCs w:val="28"/>
          <w:lang w:val="en-US" w:eastAsia="ru-RU"/>
        </w:rPr>
        <w:t>Fail .</w:t>
      </w:r>
      <w:proofErr w:type="gramEnd"/>
      <w:r w:rsidRPr="00962BEE">
        <w:rPr>
          <w:rFonts w:ascii="Times New Roman" w:eastAsia="Times New Roman" w:hAnsi="Times New Roman"/>
          <w:sz w:val="28"/>
          <w:szCs w:val="28"/>
          <w:lang w:val="en-US" w:eastAsia="ru-RU"/>
        </w:rPr>
        <w:t xml:space="preserve"> – 2009. – </w:t>
      </w:r>
      <w:proofErr w:type="gramStart"/>
      <w:r w:rsidRPr="00962BEE">
        <w:rPr>
          <w:rFonts w:ascii="Times New Roman" w:eastAsia="Times New Roman" w:hAnsi="Times New Roman"/>
          <w:sz w:val="28"/>
          <w:szCs w:val="28"/>
          <w:lang w:val="en-US" w:eastAsia="ru-RU"/>
        </w:rPr>
        <w:t>Vol.2(</w:t>
      </w:r>
      <w:proofErr w:type="gramEnd"/>
      <w:r w:rsidRPr="00962BEE">
        <w:rPr>
          <w:rFonts w:ascii="Times New Roman" w:eastAsia="Times New Roman" w:hAnsi="Times New Roman"/>
          <w:sz w:val="28"/>
          <w:szCs w:val="28"/>
          <w:lang w:val="en-US" w:eastAsia="ru-RU"/>
        </w:rPr>
        <w:t>6). – P.599-607.</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sz w:val="28"/>
          <w:szCs w:val="28"/>
          <w:lang w:val="en-US" w:eastAsia="ru-RU"/>
        </w:rPr>
      </w:pPr>
      <w:r w:rsidRPr="00962BEE">
        <w:rPr>
          <w:rFonts w:ascii="Times New Roman" w:eastAsia="Times New Roman" w:hAnsi="Times New Roman"/>
          <w:sz w:val="28"/>
          <w:szCs w:val="28"/>
          <w:lang w:val="en-US" w:eastAsia="ru-RU"/>
        </w:rPr>
        <w:t xml:space="preserve">Sharma A.K., </w:t>
      </w:r>
      <w:proofErr w:type="spellStart"/>
      <w:r w:rsidRPr="00962BEE">
        <w:rPr>
          <w:rFonts w:ascii="Times New Roman" w:eastAsia="Times New Roman" w:hAnsi="Times New Roman"/>
          <w:sz w:val="28"/>
          <w:szCs w:val="28"/>
          <w:lang w:val="en-US" w:eastAsia="ru-RU"/>
        </w:rPr>
        <w:t>Dhingra</w:t>
      </w:r>
      <w:proofErr w:type="spellEnd"/>
      <w:r w:rsidRPr="00962BEE">
        <w:rPr>
          <w:rFonts w:ascii="Times New Roman" w:eastAsia="Times New Roman" w:hAnsi="Times New Roman"/>
          <w:sz w:val="28"/>
          <w:szCs w:val="28"/>
          <w:lang w:val="en-US" w:eastAsia="ru-RU"/>
        </w:rPr>
        <w:t xml:space="preserve"> S., </w:t>
      </w:r>
      <w:proofErr w:type="spellStart"/>
      <w:r w:rsidRPr="00962BEE">
        <w:rPr>
          <w:rFonts w:ascii="Times New Roman" w:eastAsia="Times New Roman" w:hAnsi="Times New Roman"/>
          <w:sz w:val="28"/>
          <w:szCs w:val="28"/>
          <w:lang w:val="en-US" w:eastAsia="ru-RU"/>
        </w:rPr>
        <w:t>Khaper</w:t>
      </w:r>
      <w:proofErr w:type="spellEnd"/>
      <w:r w:rsidRPr="00962BEE">
        <w:rPr>
          <w:rFonts w:ascii="Times New Roman" w:eastAsia="Times New Roman" w:hAnsi="Times New Roman"/>
          <w:sz w:val="28"/>
          <w:szCs w:val="28"/>
          <w:lang w:val="en-US" w:eastAsia="ru-RU"/>
        </w:rPr>
        <w:t xml:space="preserve"> N., </w:t>
      </w:r>
      <w:proofErr w:type="spellStart"/>
      <w:r w:rsidRPr="00962BEE">
        <w:rPr>
          <w:rFonts w:ascii="Times New Roman" w:eastAsia="Times New Roman" w:hAnsi="Times New Roman"/>
          <w:sz w:val="28"/>
          <w:szCs w:val="28"/>
          <w:lang w:val="en-US" w:eastAsia="ru-RU"/>
        </w:rPr>
        <w:t>Singal</w:t>
      </w:r>
      <w:proofErr w:type="spellEnd"/>
      <w:r w:rsidRPr="00962BEE">
        <w:rPr>
          <w:rFonts w:ascii="Times New Roman" w:eastAsia="Times New Roman" w:hAnsi="Times New Roman"/>
          <w:sz w:val="28"/>
          <w:szCs w:val="28"/>
          <w:lang w:val="en-US" w:eastAsia="ru-RU"/>
        </w:rPr>
        <w:t xml:space="preserve"> P.K.</w:t>
      </w:r>
      <w:r w:rsidRPr="00962BEE">
        <w:rPr>
          <w:rFonts w:ascii="Times New Roman" w:eastAsia="Times New Roman" w:hAnsi="Times New Roman"/>
          <w:sz w:val="28"/>
          <w:szCs w:val="28"/>
          <w:lang w:val="en-US" w:eastAsia="ru-RU"/>
        </w:rPr>
        <w:br/>
      </w:r>
      <w:r w:rsidRPr="00962BEE">
        <w:rPr>
          <w:rFonts w:ascii="Times New Roman" w:eastAsia="Times New Roman" w:hAnsi="Times New Roman"/>
          <w:bCs/>
          <w:sz w:val="28"/>
          <w:szCs w:val="28"/>
          <w:lang w:val="en-US" w:eastAsia="ru-RU"/>
        </w:rPr>
        <w:t>Activation of apoptotic processes during transition from hypertrophy to heart failure in guinea pigs</w:t>
      </w:r>
      <w:r w:rsidRPr="00962BEE">
        <w:rPr>
          <w:rFonts w:ascii="Times New Roman" w:eastAsia="Times New Roman" w:hAnsi="Times New Roman"/>
          <w:sz w:val="28"/>
          <w:szCs w:val="28"/>
          <w:lang w:val="en-US" w:eastAsia="ru-RU"/>
        </w:rPr>
        <w:t xml:space="preserve"> // Am J </w:t>
      </w:r>
      <w:proofErr w:type="spellStart"/>
      <w:r w:rsidRPr="00962BEE">
        <w:rPr>
          <w:rFonts w:ascii="Times New Roman" w:eastAsia="Times New Roman" w:hAnsi="Times New Roman"/>
          <w:sz w:val="28"/>
          <w:szCs w:val="28"/>
          <w:lang w:val="en-US" w:eastAsia="ru-RU"/>
        </w:rPr>
        <w:t>Physiol</w:t>
      </w:r>
      <w:proofErr w:type="spellEnd"/>
      <w:r w:rsidRPr="00962BEE">
        <w:rPr>
          <w:rFonts w:ascii="Times New Roman" w:eastAsia="Times New Roman" w:hAnsi="Times New Roman"/>
          <w:sz w:val="28"/>
          <w:szCs w:val="28"/>
          <w:lang w:val="en-US" w:eastAsia="ru-RU"/>
        </w:rPr>
        <w:t xml:space="preserve"> Heart </w:t>
      </w:r>
      <w:proofErr w:type="spellStart"/>
      <w:r w:rsidRPr="00962BEE">
        <w:rPr>
          <w:rFonts w:ascii="Times New Roman" w:eastAsia="Times New Roman" w:hAnsi="Times New Roman"/>
          <w:sz w:val="28"/>
          <w:szCs w:val="28"/>
          <w:lang w:val="en-US" w:eastAsia="ru-RU"/>
        </w:rPr>
        <w:t>Circ</w:t>
      </w:r>
      <w:proofErr w:type="spellEnd"/>
      <w:r w:rsidRPr="00962BEE">
        <w:rPr>
          <w:rFonts w:ascii="Times New Roman" w:eastAsia="Times New Roman" w:hAnsi="Times New Roman"/>
          <w:sz w:val="28"/>
          <w:szCs w:val="28"/>
          <w:lang w:val="en-US" w:eastAsia="ru-RU"/>
        </w:rPr>
        <w:t xml:space="preserve"> Physiol. – 2007. – </w:t>
      </w:r>
      <w:proofErr w:type="gramStart"/>
      <w:r w:rsidRPr="00962BEE">
        <w:rPr>
          <w:rFonts w:ascii="Times New Roman" w:eastAsia="Times New Roman" w:hAnsi="Times New Roman"/>
          <w:sz w:val="28"/>
          <w:szCs w:val="28"/>
          <w:lang w:val="en-US" w:eastAsia="ru-RU"/>
        </w:rPr>
        <w:t>Vol.293(</w:t>
      </w:r>
      <w:proofErr w:type="gramEnd"/>
      <w:r w:rsidRPr="00962BEE">
        <w:rPr>
          <w:rFonts w:ascii="Times New Roman" w:eastAsia="Times New Roman" w:hAnsi="Times New Roman"/>
          <w:sz w:val="28"/>
          <w:szCs w:val="28"/>
          <w:lang w:val="en-US" w:eastAsia="ru-RU"/>
        </w:rPr>
        <w:t>3). – P.H1384-H1390.</w:t>
      </w:r>
    </w:p>
    <w:p w:rsidR="005548AC" w:rsidRPr="00962BEE" w:rsidRDefault="005548AC" w:rsidP="005548AC">
      <w:pPr>
        <w:pStyle w:val="ListParagraph"/>
        <w:numPr>
          <w:ilvl w:val="0"/>
          <w:numId w:val="7"/>
        </w:numPr>
        <w:spacing w:after="0" w:line="360" w:lineRule="auto"/>
        <w:jc w:val="both"/>
        <w:rPr>
          <w:rFonts w:ascii="Times New Roman" w:eastAsia="Times New Roman" w:hAnsi="Times New Roman"/>
          <w:sz w:val="28"/>
          <w:szCs w:val="28"/>
          <w:lang w:val="en-US" w:eastAsia="ru-RU"/>
        </w:rPr>
      </w:pPr>
      <w:proofErr w:type="gramStart"/>
      <w:r w:rsidRPr="00962BEE">
        <w:rPr>
          <w:rFonts w:ascii="Times New Roman" w:eastAsia="Times New Roman" w:hAnsi="Times New Roman"/>
          <w:sz w:val="28"/>
          <w:szCs w:val="28"/>
          <w:lang w:val="en-US" w:eastAsia="ru-RU"/>
        </w:rPr>
        <w:t>Gonzalez  A</w:t>
      </w:r>
      <w:proofErr w:type="gramEnd"/>
      <w:r w:rsidRPr="00962BEE">
        <w:rPr>
          <w:rFonts w:ascii="Times New Roman" w:eastAsia="Times New Roman" w:hAnsi="Times New Roman"/>
          <w:sz w:val="28"/>
          <w:szCs w:val="28"/>
          <w:lang w:val="en-US" w:eastAsia="ru-RU"/>
        </w:rPr>
        <w:t xml:space="preserve">., </w:t>
      </w:r>
      <w:proofErr w:type="spellStart"/>
      <w:r w:rsidRPr="00962BEE">
        <w:rPr>
          <w:rFonts w:ascii="Times New Roman" w:eastAsia="Times New Roman" w:hAnsi="Times New Roman"/>
          <w:sz w:val="28"/>
          <w:szCs w:val="28"/>
          <w:lang w:val="en-US" w:eastAsia="ru-RU"/>
        </w:rPr>
        <w:t>Fortuno</w:t>
      </w:r>
      <w:proofErr w:type="spellEnd"/>
      <w:r w:rsidRPr="00962BEE">
        <w:rPr>
          <w:rFonts w:ascii="Times New Roman" w:eastAsia="Times New Roman" w:hAnsi="Times New Roman"/>
          <w:sz w:val="28"/>
          <w:szCs w:val="28"/>
          <w:lang w:val="en-US" w:eastAsia="ru-RU"/>
        </w:rPr>
        <w:t xml:space="preserve"> M.A, </w:t>
      </w:r>
      <w:proofErr w:type="spellStart"/>
      <w:r w:rsidRPr="00962BEE">
        <w:rPr>
          <w:rFonts w:ascii="Times New Roman" w:eastAsia="Times New Roman" w:hAnsi="Times New Roman"/>
          <w:sz w:val="28"/>
          <w:szCs w:val="28"/>
          <w:lang w:val="en-US" w:eastAsia="ru-RU"/>
        </w:rPr>
        <w:t>Querejeta</w:t>
      </w:r>
      <w:proofErr w:type="spellEnd"/>
      <w:r w:rsidRPr="00962BEE">
        <w:rPr>
          <w:rFonts w:ascii="Times New Roman" w:eastAsia="Times New Roman" w:hAnsi="Times New Roman"/>
          <w:sz w:val="28"/>
          <w:szCs w:val="28"/>
          <w:lang w:val="en-US" w:eastAsia="ru-RU"/>
        </w:rPr>
        <w:t xml:space="preserve"> R. et al. </w:t>
      </w:r>
      <w:proofErr w:type="spellStart"/>
      <w:r w:rsidRPr="00962BEE">
        <w:rPr>
          <w:rFonts w:ascii="Times New Roman" w:eastAsia="Times New Roman" w:hAnsi="Times New Roman"/>
          <w:bCs/>
          <w:sz w:val="28"/>
          <w:szCs w:val="28"/>
          <w:lang w:val="en-US" w:eastAsia="ru-RU"/>
        </w:rPr>
        <w:t>Cardiomyocyte</w:t>
      </w:r>
      <w:proofErr w:type="spellEnd"/>
      <w:r w:rsidRPr="00962BEE">
        <w:rPr>
          <w:rFonts w:ascii="Times New Roman" w:eastAsia="Times New Roman" w:hAnsi="Times New Roman"/>
          <w:bCs/>
          <w:sz w:val="28"/>
          <w:szCs w:val="28"/>
          <w:lang w:val="en-US" w:eastAsia="ru-RU"/>
        </w:rPr>
        <w:t xml:space="preserve"> apoptosis in hypertensive cardiomyopathy</w:t>
      </w:r>
      <w:r w:rsidRPr="00962BEE">
        <w:rPr>
          <w:rFonts w:ascii="Times New Roman" w:eastAsia="Times New Roman" w:hAnsi="Times New Roman"/>
          <w:sz w:val="28"/>
          <w:szCs w:val="28"/>
          <w:lang w:val="en-US" w:eastAsia="ru-RU"/>
        </w:rPr>
        <w:t xml:space="preserve"> // </w:t>
      </w:r>
      <w:proofErr w:type="spellStart"/>
      <w:r w:rsidRPr="00962BEE">
        <w:rPr>
          <w:rFonts w:ascii="Times New Roman" w:eastAsia="Times New Roman" w:hAnsi="Times New Roman"/>
          <w:sz w:val="28"/>
          <w:szCs w:val="28"/>
          <w:lang w:val="en-US" w:eastAsia="ru-RU"/>
        </w:rPr>
        <w:t>Cardiovasc</w:t>
      </w:r>
      <w:proofErr w:type="spellEnd"/>
      <w:r w:rsidRPr="00962BEE">
        <w:rPr>
          <w:rFonts w:ascii="Times New Roman" w:eastAsia="Times New Roman" w:hAnsi="Times New Roman"/>
          <w:sz w:val="28"/>
          <w:szCs w:val="28"/>
          <w:lang w:val="en-US" w:eastAsia="ru-RU"/>
        </w:rPr>
        <w:t xml:space="preserve"> Res. – 2003. – </w:t>
      </w:r>
      <w:proofErr w:type="gramStart"/>
      <w:r w:rsidRPr="00962BEE">
        <w:rPr>
          <w:rFonts w:ascii="Times New Roman" w:eastAsia="Times New Roman" w:hAnsi="Times New Roman"/>
          <w:sz w:val="28"/>
          <w:szCs w:val="28"/>
          <w:lang w:val="en-US" w:eastAsia="ru-RU"/>
        </w:rPr>
        <w:t>Vol.59(</w:t>
      </w:r>
      <w:proofErr w:type="gramEnd"/>
      <w:r w:rsidRPr="00962BEE">
        <w:rPr>
          <w:rFonts w:ascii="Times New Roman" w:eastAsia="Times New Roman" w:hAnsi="Times New Roman"/>
          <w:sz w:val="28"/>
          <w:szCs w:val="28"/>
          <w:lang w:val="en-US" w:eastAsia="ru-RU"/>
        </w:rPr>
        <w:t>3). – P.549-562. </w:t>
      </w:r>
    </w:p>
    <w:p w:rsidR="00322A50" w:rsidRPr="0079400C" w:rsidRDefault="00322A50" w:rsidP="00322A50">
      <w:pPr>
        <w:pStyle w:val="1"/>
        <w:numPr>
          <w:ilvl w:val="0"/>
          <w:numId w:val="7"/>
        </w:numPr>
        <w:shd w:val="clear" w:color="auto" w:fill="FFFFFF"/>
        <w:tabs>
          <w:tab w:val="left" w:pos="993"/>
        </w:tabs>
        <w:spacing w:line="360" w:lineRule="auto"/>
        <w:jc w:val="both"/>
        <w:textAlignment w:val="baseline"/>
        <w:rPr>
          <w:color w:val="000000"/>
          <w:sz w:val="28"/>
          <w:szCs w:val="28"/>
          <w:lang w:val="en-US"/>
        </w:rPr>
      </w:pPr>
      <w:proofErr w:type="spellStart"/>
      <w:r w:rsidRPr="0079400C">
        <w:rPr>
          <w:sz w:val="28"/>
          <w:szCs w:val="28"/>
          <w:lang w:val="en-US"/>
        </w:rPr>
        <w:t>Korshunov</w:t>
      </w:r>
      <w:proofErr w:type="spellEnd"/>
      <w:r w:rsidRPr="0079400C">
        <w:rPr>
          <w:sz w:val="28"/>
          <w:szCs w:val="28"/>
          <w:lang w:val="en-US"/>
        </w:rPr>
        <w:t xml:space="preserve"> VA. S</w:t>
      </w:r>
      <w:r w:rsidRPr="0079400C">
        <w:rPr>
          <w:sz w:val="28"/>
          <w:szCs w:val="28"/>
          <w:lang w:val="uk-UA"/>
        </w:rPr>
        <w:t>mooth muscle apoptosis</w:t>
      </w:r>
      <w:r w:rsidRPr="0079400C">
        <w:rPr>
          <w:sz w:val="28"/>
          <w:szCs w:val="28"/>
          <w:lang w:val="en-US"/>
        </w:rPr>
        <w:t xml:space="preserve"> and vascular remodeling /</w:t>
      </w:r>
      <w:r w:rsidRPr="0079400C">
        <w:rPr>
          <w:sz w:val="28"/>
          <w:szCs w:val="28"/>
          <w:lang w:val="uk-UA"/>
        </w:rPr>
        <w:t xml:space="preserve"> </w:t>
      </w:r>
      <w:r w:rsidRPr="0079400C">
        <w:rPr>
          <w:sz w:val="28"/>
          <w:szCs w:val="28"/>
          <w:lang w:val="en-US"/>
        </w:rPr>
        <w:t xml:space="preserve">VA </w:t>
      </w:r>
      <w:proofErr w:type="spellStart"/>
      <w:r w:rsidRPr="0079400C">
        <w:rPr>
          <w:sz w:val="28"/>
          <w:szCs w:val="28"/>
          <w:lang w:val="en-US"/>
        </w:rPr>
        <w:t>Korshunov</w:t>
      </w:r>
      <w:proofErr w:type="spellEnd"/>
      <w:r w:rsidRPr="0079400C">
        <w:rPr>
          <w:sz w:val="28"/>
          <w:szCs w:val="28"/>
          <w:lang w:val="en-US"/>
        </w:rPr>
        <w:t xml:space="preserve">, BC </w:t>
      </w:r>
      <w:proofErr w:type="spellStart"/>
      <w:r w:rsidRPr="0079400C">
        <w:rPr>
          <w:sz w:val="28"/>
          <w:szCs w:val="28"/>
          <w:lang w:val="en-US"/>
        </w:rPr>
        <w:t>Berk</w:t>
      </w:r>
      <w:proofErr w:type="spellEnd"/>
      <w:r w:rsidRPr="0079400C">
        <w:rPr>
          <w:sz w:val="28"/>
          <w:szCs w:val="28"/>
          <w:lang w:val="en-US"/>
        </w:rPr>
        <w:t xml:space="preserve"> // </w:t>
      </w:r>
      <w:proofErr w:type="spellStart"/>
      <w:r w:rsidRPr="0079400C">
        <w:rPr>
          <w:sz w:val="28"/>
          <w:szCs w:val="28"/>
          <w:bdr w:val="none" w:sz="0" w:space="0" w:color="auto" w:frame="1"/>
          <w:shd w:val="clear" w:color="auto" w:fill="FFFFFF"/>
          <w:lang w:val="en-US"/>
        </w:rPr>
        <w:t>Curr</w:t>
      </w:r>
      <w:proofErr w:type="spellEnd"/>
      <w:r w:rsidRPr="0079400C">
        <w:rPr>
          <w:sz w:val="28"/>
          <w:szCs w:val="28"/>
          <w:bdr w:val="none" w:sz="0" w:space="0" w:color="auto" w:frame="1"/>
          <w:shd w:val="clear" w:color="auto" w:fill="FFFFFF"/>
          <w:lang w:val="en-US"/>
        </w:rPr>
        <w:t xml:space="preserve"> </w:t>
      </w:r>
      <w:proofErr w:type="spellStart"/>
      <w:r w:rsidRPr="0079400C">
        <w:rPr>
          <w:sz w:val="28"/>
          <w:szCs w:val="28"/>
          <w:bdr w:val="none" w:sz="0" w:space="0" w:color="auto" w:frame="1"/>
          <w:shd w:val="clear" w:color="auto" w:fill="FFFFFF"/>
          <w:lang w:val="en-US"/>
        </w:rPr>
        <w:t>Opin</w:t>
      </w:r>
      <w:proofErr w:type="spellEnd"/>
      <w:r w:rsidRPr="0079400C">
        <w:rPr>
          <w:sz w:val="28"/>
          <w:szCs w:val="28"/>
          <w:bdr w:val="none" w:sz="0" w:space="0" w:color="auto" w:frame="1"/>
          <w:shd w:val="clear" w:color="auto" w:fill="FFFFFF"/>
          <w:lang w:val="en-US"/>
        </w:rPr>
        <w:t xml:space="preserve"> </w:t>
      </w:r>
      <w:proofErr w:type="spellStart"/>
      <w:r w:rsidRPr="0079400C">
        <w:rPr>
          <w:sz w:val="28"/>
          <w:szCs w:val="28"/>
          <w:bdr w:val="none" w:sz="0" w:space="0" w:color="auto" w:frame="1"/>
          <w:shd w:val="clear" w:color="auto" w:fill="FFFFFF"/>
          <w:lang w:val="en-US"/>
        </w:rPr>
        <w:t>Hematol</w:t>
      </w:r>
      <w:proofErr w:type="spellEnd"/>
      <w:r w:rsidRPr="0079400C">
        <w:rPr>
          <w:sz w:val="28"/>
          <w:szCs w:val="28"/>
          <w:bdr w:val="none" w:sz="0" w:space="0" w:color="auto" w:frame="1"/>
          <w:shd w:val="clear" w:color="auto" w:fill="FFFFFF"/>
          <w:lang w:val="en-US"/>
        </w:rPr>
        <w:t>.</w:t>
      </w:r>
      <w:r w:rsidRPr="0079400C">
        <w:rPr>
          <w:color w:val="000000"/>
          <w:sz w:val="28"/>
          <w:szCs w:val="28"/>
          <w:shd w:val="clear" w:color="auto" w:fill="FFFFFF"/>
          <w:lang w:val="en-US"/>
        </w:rPr>
        <w:t xml:space="preserve"> – 2008. – </w:t>
      </w:r>
      <w:proofErr w:type="gramStart"/>
      <w:r w:rsidRPr="0079400C">
        <w:rPr>
          <w:color w:val="000000"/>
          <w:sz w:val="28"/>
          <w:szCs w:val="28"/>
          <w:shd w:val="clear" w:color="auto" w:fill="FFFFFF"/>
          <w:lang w:val="en-US"/>
        </w:rPr>
        <w:t>Vol.15(</w:t>
      </w:r>
      <w:proofErr w:type="gramEnd"/>
      <w:r w:rsidRPr="0079400C">
        <w:rPr>
          <w:color w:val="000000"/>
          <w:sz w:val="28"/>
          <w:szCs w:val="28"/>
          <w:shd w:val="clear" w:color="auto" w:fill="FFFFFF"/>
          <w:lang w:val="en-US"/>
        </w:rPr>
        <w:t xml:space="preserve">3). – P.250-254. </w:t>
      </w:r>
    </w:p>
    <w:p w:rsidR="00BE54D4" w:rsidRPr="00F01189" w:rsidRDefault="00BE54D4" w:rsidP="00BE54D4">
      <w:pPr>
        <w:pStyle w:val="1"/>
        <w:numPr>
          <w:ilvl w:val="0"/>
          <w:numId w:val="7"/>
        </w:numPr>
        <w:tabs>
          <w:tab w:val="left" w:pos="993"/>
        </w:tabs>
        <w:spacing w:line="360" w:lineRule="auto"/>
        <w:jc w:val="both"/>
        <w:rPr>
          <w:sz w:val="28"/>
          <w:szCs w:val="28"/>
          <w:lang w:val="uk-UA"/>
        </w:rPr>
      </w:pPr>
      <w:r w:rsidRPr="00F01189">
        <w:rPr>
          <w:sz w:val="28"/>
          <w:szCs w:val="28"/>
          <w:lang w:val="uk-UA"/>
        </w:rPr>
        <w:t>Kockx MM</w:t>
      </w:r>
      <w:r>
        <w:rPr>
          <w:sz w:val="28"/>
          <w:szCs w:val="28"/>
          <w:lang w:val="en-US"/>
        </w:rPr>
        <w:t>.</w:t>
      </w:r>
      <w:r w:rsidRPr="00F01189">
        <w:rPr>
          <w:sz w:val="28"/>
          <w:szCs w:val="28"/>
          <w:lang w:val="uk-UA"/>
        </w:rPr>
        <w:t xml:space="preserve"> The role of apoptosis in vascular disease</w:t>
      </w:r>
      <w:r>
        <w:rPr>
          <w:sz w:val="28"/>
          <w:szCs w:val="28"/>
          <w:lang w:val="en-US"/>
        </w:rPr>
        <w:t xml:space="preserve"> /</w:t>
      </w:r>
      <w:r w:rsidRPr="00F01189">
        <w:rPr>
          <w:sz w:val="28"/>
          <w:szCs w:val="28"/>
          <w:lang w:val="uk-UA"/>
        </w:rPr>
        <w:t xml:space="preserve"> MM Kockx, MWM Knaapen</w:t>
      </w:r>
      <w:r>
        <w:rPr>
          <w:sz w:val="28"/>
          <w:szCs w:val="28"/>
          <w:lang w:val="en-US"/>
        </w:rPr>
        <w:t xml:space="preserve"> // </w:t>
      </w:r>
      <w:r w:rsidRPr="00F01189">
        <w:rPr>
          <w:sz w:val="28"/>
          <w:szCs w:val="28"/>
          <w:lang w:val="uk-UA"/>
        </w:rPr>
        <w:t>J Pathol</w:t>
      </w:r>
      <w:r>
        <w:rPr>
          <w:sz w:val="28"/>
          <w:szCs w:val="28"/>
          <w:lang w:val="en-US"/>
        </w:rPr>
        <w:t>. –</w:t>
      </w:r>
      <w:r w:rsidRPr="00F01189">
        <w:rPr>
          <w:sz w:val="28"/>
          <w:szCs w:val="28"/>
          <w:lang w:val="uk-UA"/>
        </w:rPr>
        <w:t xml:space="preserve"> 2007</w:t>
      </w:r>
      <w:r>
        <w:rPr>
          <w:sz w:val="28"/>
          <w:szCs w:val="28"/>
          <w:lang w:val="en-US"/>
        </w:rPr>
        <w:t>. – Vol.</w:t>
      </w:r>
      <w:r w:rsidRPr="00F01189">
        <w:rPr>
          <w:sz w:val="28"/>
          <w:szCs w:val="28"/>
          <w:lang w:val="uk-UA"/>
        </w:rPr>
        <w:t>190</w:t>
      </w:r>
      <w:r>
        <w:rPr>
          <w:sz w:val="28"/>
          <w:szCs w:val="28"/>
          <w:lang w:val="en-US"/>
        </w:rPr>
        <w:t>. – P.</w:t>
      </w:r>
      <w:r w:rsidRPr="00F01189">
        <w:rPr>
          <w:sz w:val="28"/>
          <w:szCs w:val="28"/>
          <w:lang w:val="uk-UA"/>
        </w:rPr>
        <w:t>267</w:t>
      </w:r>
      <w:r>
        <w:rPr>
          <w:sz w:val="28"/>
          <w:szCs w:val="28"/>
          <w:lang w:val="en-US"/>
        </w:rPr>
        <w:t>-2</w:t>
      </w:r>
      <w:r w:rsidRPr="00F01189">
        <w:rPr>
          <w:sz w:val="28"/>
          <w:szCs w:val="28"/>
          <w:lang w:val="uk-UA"/>
        </w:rPr>
        <w:t>80.</w:t>
      </w:r>
    </w:p>
    <w:p w:rsidR="00B77AAB" w:rsidRPr="00B77AAB" w:rsidRDefault="00B77AAB" w:rsidP="00B77AAB">
      <w:pPr>
        <w:spacing w:after="0" w:line="360" w:lineRule="auto"/>
        <w:jc w:val="center"/>
        <w:rPr>
          <w:rFonts w:ascii="Times New Roman" w:hAnsi="Times New Roman"/>
          <w:b/>
          <w:sz w:val="28"/>
          <w:szCs w:val="32"/>
        </w:rPr>
      </w:pPr>
      <w:r w:rsidRPr="00B77AAB">
        <w:rPr>
          <w:rFonts w:ascii="Times New Roman" w:hAnsi="Times New Roman"/>
          <w:b/>
          <w:sz w:val="28"/>
          <w:szCs w:val="32"/>
        </w:rPr>
        <w:lastRenderedPageBreak/>
        <w:t>DISTANT APOPTOSIS BIOMARKERS IN HUMAN HYPERTENSION</w:t>
      </w:r>
    </w:p>
    <w:p w:rsidR="00B77AAB" w:rsidRPr="00B77AAB" w:rsidRDefault="00B77AAB" w:rsidP="00B77AAB">
      <w:pPr>
        <w:spacing w:after="0" w:line="360" w:lineRule="auto"/>
        <w:jc w:val="center"/>
        <w:rPr>
          <w:rFonts w:ascii="Times New Roman" w:hAnsi="Times New Roman"/>
          <w:b/>
          <w:sz w:val="28"/>
          <w:szCs w:val="32"/>
        </w:rPr>
      </w:pPr>
      <w:proofErr w:type="spellStart"/>
      <w:r w:rsidRPr="00B77AAB">
        <w:rPr>
          <w:rFonts w:ascii="Times New Roman" w:hAnsi="Times New Roman"/>
          <w:b/>
          <w:sz w:val="28"/>
          <w:szCs w:val="32"/>
        </w:rPr>
        <w:t>Ashcheulova</w:t>
      </w:r>
      <w:proofErr w:type="spellEnd"/>
      <w:r w:rsidRPr="00B77AAB">
        <w:rPr>
          <w:rFonts w:ascii="Times New Roman" w:hAnsi="Times New Roman"/>
          <w:b/>
          <w:sz w:val="28"/>
          <w:szCs w:val="32"/>
        </w:rPr>
        <w:t xml:space="preserve"> T</w:t>
      </w:r>
      <w:r w:rsidR="00D637F1">
        <w:rPr>
          <w:rFonts w:ascii="Times New Roman" w:hAnsi="Times New Roman"/>
          <w:b/>
          <w:sz w:val="28"/>
          <w:szCs w:val="32"/>
        </w:rPr>
        <w:t xml:space="preserve">, </w:t>
      </w:r>
      <w:proofErr w:type="spellStart"/>
      <w:r w:rsidR="00D637F1">
        <w:rPr>
          <w:rFonts w:ascii="Times New Roman" w:hAnsi="Times New Roman"/>
          <w:b/>
          <w:sz w:val="28"/>
          <w:szCs w:val="32"/>
        </w:rPr>
        <w:t>Kovalyova</w:t>
      </w:r>
      <w:proofErr w:type="spellEnd"/>
      <w:r w:rsidR="00D637F1">
        <w:rPr>
          <w:rFonts w:ascii="Times New Roman" w:hAnsi="Times New Roman"/>
          <w:b/>
          <w:sz w:val="28"/>
          <w:szCs w:val="32"/>
        </w:rPr>
        <w:t xml:space="preserve"> O.</w:t>
      </w:r>
    </w:p>
    <w:p w:rsidR="00B77AAB" w:rsidRDefault="00B77AAB" w:rsidP="00B77AAB">
      <w:pPr>
        <w:spacing w:after="0" w:line="36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T</w:t>
      </w:r>
      <w:r w:rsidRPr="00B77AAB">
        <w:rPr>
          <w:rFonts w:ascii="Times New Roman" w:eastAsia="Times New Roman" w:hAnsi="Times New Roman"/>
          <w:color w:val="000000"/>
          <w:sz w:val="28"/>
          <w:szCs w:val="28"/>
          <w:lang w:eastAsia="ru-RU"/>
        </w:rPr>
        <w:t xml:space="preserve">he aim was to study plasma apoptosis markers (TNF-α, sTNF-R1, </w:t>
      </w:r>
      <w:proofErr w:type="spellStart"/>
      <w:r w:rsidRPr="00B77AAB">
        <w:rPr>
          <w:rFonts w:ascii="Times New Roman" w:eastAsia="Times New Roman" w:hAnsi="Times New Roman"/>
          <w:color w:val="000000"/>
          <w:sz w:val="28"/>
          <w:szCs w:val="28"/>
          <w:lang w:eastAsia="ru-RU"/>
        </w:rPr>
        <w:t>sFasL</w:t>
      </w:r>
      <w:proofErr w:type="spellEnd"/>
      <w:r w:rsidRPr="00B77AAB">
        <w:rPr>
          <w:rFonts w:ascii="Times New Roman" w:eastAsia="Times New Roman" w:hAnsi="Times New Roman"/>
          <w:color w:val="000000"/>
          <w:sz w:val="28"/>
          <w:szCs w:val="28"/>
          <w:lang w:eastAsia="ru-RU"/>
        </w:rPr>
        <w:t xml:space="preserve">) levels in patients with arterial hypertension </w:t>
      </w:r>
      <w:r w:rsidR="005D3366">
        <w:rPr>
          <w:rFonts w:ascii="Times New Roman" w:eastAsia="Times New Roman" w:hAnsi="Times New Roman"/>
          <w:color w:val="000000"/>
          <w:sz w:val="28"/>
          <w:szCs w:val="28"/>
          <w:lang w:eastAsia="ru-RU"/>
        </w:rPr>
        <w:t xml:space="preserve">(AH) </w:t>
      </w:r>
      <w:r w:rsidRPr="00B77AAB">
        <w:rPr>
          <w:rFonts w:ascii="Times New Roman" w:eastAsia="Times New Roman" w:hAnsi="Times New Roman"/>
          <w:color w:val="000000"/>
          <w:sz w:val="28"/>
          <w:szCs w:val="28"/>
          <w:lang w:eastAsia="ru-RU"/>
        </w:rPr>
        <w:t>depend on degree of blood pressure elevation.</w:t>
      </w:r>
    </w:p>
    <w:p w:rsidR="00B77AAB" w:rsidRDefault="004940B7" w:rsidP="00B77AAB">
      <w:pPr>
        <w:spacing w:after="0" w:line="360" w:lineRule="auto"/>
        <w:ind w:firstLine="720"/>
        <w:jc w:val="both"/>
        <w:rPr>
          <w:rFonts w:ascii="Times New Roman" w:hAnsi="Times New Roman"/>
          <w:sz w:val="28"/>
          <w:szCs w:val="28"/>
        </w:rPr>
      </w:pPr>
      <w:r>
        <w:rPr>
          <w:rFonts w:ascii="Times New Roman" w:hAnsi="Times New Roman"/>
          <w:sz w:val="28"/>
          <w:szCs w:val="28"/>
        </w:rPr>
        <w:t xml:space="preserve">We examined 78 </w:t>
      </w:r>
      <w:r w:rsidR="00B77AAB">
        <w:rPr>
          <w:rFonts w:ascii="Times New Roman" w:hAnsi="Times New Roman"/>
          <w:sz w:val="28"/>
          <w:szCs w:val="28"/>
        </w:rPr>
        <w:t>patients</w:t>
      </w:r>
      <w:r>
        <w:rPr>
          <w:rFonts w:ascii="Times New Roman" w:hAnsi="Times New Roman"/>
          <w:sz w:val="28"/>
          <w:szCs w:val="28"/>
        </w:rPr>
        <w:t xml:space="preserve"> with AH, which</w:t>
      </w:r>
      <w:r w:rsidR="00B77AAB">
        <w:rPr>
          <w:rFonts w:ascii="Times New Roman" w:hAnsi="Times New Roman"/>
          <w:sz w:val="28"/>
          <w:szCs w:val="28"/>
        </w:rPr>
        <w:t xml:space="preserve"> were divided into 3 groups depend on AH degree: 1 group (n</w:t>
      </w:r>
      <w:r w:rsidR="00B77AAB">
        <w:rPr>
          <w:rFonts w:ascii="Times New Roman" w:hAnsi="Times New Roman"/>
          <w:sz w:val="28"/>
          <w:szCs w:val="28"/>
          <w:lang w:val="uk-UA"/>
        </w:rPr>
        <w:t xml:space="preserve">=18) – 1 </w:t>
      </w:r>
      <w:r w:rsidR="00B77AAB">
        <w:rPr>
          <w:rFonts w:ascii="Times New Roman" w:hAnsi="Times New Roman"/>
          <w:sz w:val="28"/>
          <w:szCs w:val="28"/>
        </w:rPr>
        <w:t>degree AH</w:t>
      </w:r>
      <w:r w:rsidR="00B77AAB">
        <w:rPr>
          <w:rFonts w:ascii="Times New Roman" w:hAnsi="Times New Roman"/>
          <w:sz w:val="28"/>
          <w:szCs w:val="28"/>
          <w:lang w:val="uk-UA"/>
        </w:rPr>
        <w:t xml:space="preserve">, 2 </w:t>
      </w:r>
      <w:r w:rsidR="00B77AAB">
        <w:rPr>
          <w:rFonts w:ascii="Times New Roman" w:hAnsi="Times New Roman"/>
          <w:sz w:val="28"/>
          <w:szCs w:val="28"/>
        </w:rPr>
        <w:t xml:space="preserve">group </w:t>
      </w:r>
      <w:r w:rsidR="00B77AAB">
        <w:rPr>
          <w:rFonts w:ascii="Times New Roman" w:hAnsi="Times New Roman"/>
          <w:sz w:val="28"/>
          <w:szCs w:val="28"/>
          <w:lang w:val="uk-UA"/>
        </w:rPr>
        <w:t>(</w:t>
      </w:r>
      <w:r w:rsidR="00B77AAB">
        <w:rPr>
          <w:rFonts w:ascii="Times New Roman" w:hAnsi="Times New Roman"/>
          <w:sz w:val="28"/>
          <w:szCs w:val="28"/>
        </w:rPr>
        <w:t>n</w:t>
      </w:r>
      <w:r w:rsidR="00B77AAB">
        <w:rPr>
          <w:rFonts w:ascii="Times New Roman" w:hAnsi="Times New Roman"/>
          <w:sz w:val="28"/>
          <w:szCs w:val="28"/>
          <w:lang w:val="uk-UA"/>
        </w:rPr>
        <w:t xml:space="preserve">=25) – 2 </w:t>
      </w:r>
      <w:r w:rsidR="00B77AAB">
        <w:rPr>
          <w:rFonts w:ascii="Times New Roman" w:hAnsi="Times New Roman"/>
          <w:sz w:val="28"/>
          <w:szCs w:val="28"/>
        </w:rPr>
        <w:t>degree AH</w:t>
      </w:r>
      <w:r w:rsidR="00B77AAB">
        <w:rPr>
          <w:rFonts w:ascii="Times New Roman" w:hAnsi="Times New Roman"/>
          <w:sz w:val="28"/>
          <w:szCs w:val="28"/>
          <w:lang w:val="uk-UA"/>
        </w:rPr>
        <w:t xml:space="preserve">, 3 </w:t>
      </w:r>
      <w:r w:rsidR="00B77AAB">
        <w:rPr>
          <w:rFonts w:ascii="Times New Roman" w:hAnsi="Times New Roman"/>
          <w:sz w:val="28"/>
          <w:szCs w:val="28"/>
        </w:rPr>
        <w:t xml:space="preserve">group </w:t>
      </w:r>
      <w:r w:rsidR="00B77AAB">
        <w:rPr>
          <w:rFonts w:ascii="Times New Roman" w:hAnsi="Times New Roman"/>
          <w:sz w:val="28"/>
          <w:szCs w:val="28"/>
          <w:lang w:val="uk-UA"/>
        </w:rPr>
        <w:t>(</w:t>
      </w:r>
      <w:r w:rsidR="00B77AAB">
        <w:rPr>
          <w:rFonts w:ascii="Times New Roman" w:hAnsi="Times New Roman"/>
          <w:sz w:val="28"/>
          <w:szCs w:val="28"/>
        </w:rPr>
        <w:t>n</w:t>
      </w:r>
      <w:r w:rsidR="00B77AAB">
        <w:rPr>
          <w:rFonts w:ascii="Times New Roman" w:hAnsi="Times New Roman"/>
          <w:sz w:val="28"/>
          <w:szCs w:val="28"/>
          <w:lang w:val="uk-UA"/>
        </w:rPr>
        <w:t xml:space="preserve">=35) – 3 </w:t>
      </w:r>
      <w:r w:rsidR="00B77AAB">
        <w:rPr>
          <w:rFonts w:ascii="Times New Roman" w:hAnsi="Times New Roman"/>
          <w:sz w:val="28"/>
          <w:szCs w:val="28"/>
        </w:rPr>
        <w:t>degree AH</w:t>
      </w:r>
      <w:r w:rsidR="00B77AAB">
        <w:rPr>
          <w:rFonts w:ascii="Times New Roman" w:hAnsi="Times New Roman"/>
          <w:sz w:val="28"/>
          <w:szCs w:val="28"/>
        </w:rPr>
        <w:t>.</w:t>
      </w:r>
      <w:r>
        <w:rPr>
          <w:rFonts w:ascii="Times New Roman" w:hAnsi="Times New Roman"/>
          <w:sz w:val="28"/>
          <w:szCs w:val="28"/>
        </w:rPr>
        <w:t xml:space="preserve"> Plasma tumor necrosis factor</w:t>
      </w:r>
      <w:r w:rsidRPr="00B77AAB">
        <w:rPr>
          <w:rFonts w:ascii="Times New Roman" w:eastAsia="Times New Roman" w:hAnsi="Times New Roman"/>
          <w:color w:val="000000"/>
          <w:sz w:val="28"/>
          <w:szCs w:val="28"/>
          <w:lang w:eastAsia="ru-RU"/>
        </w:rPr>
        <w:t>-α</w:t>
      </w:r>
      <w:r>
        <w:rPr>
          <w:rFonts w:ascii="Times New Roman" w:eastAsia="Times New Roman" w:hAnsi="Times New Roman"/>
          <w:color w:val="000000"/>
          <w:sz w:val="28"/>
          <w:szCs w:val="28"/>
          <w:lang w:eastAsia="ru-RU"/>
        </w:rPr>
        <w:t xml:space="preserve"> (TNF</w:t>
      </w:r>
      <w:r w:rsidRPr="00B77AAB">
        <w:rPr>
          <w:rFonts w:ascii="Times New Roman" w:eastAsia="Times New Roman" w:hAnsi="Times New Roman"/>
          <w:color w:val="000000"/>
          <w:sz w:val="28"/>
          <w:szCs w:val="28"/>
          <w:lang w:eastAsia="ru-RU"/>
        </w:rPr>
        <w:t>-α</w:t>
      </w:r>
      <w:r>
        <w:rPr>
          <w:rFonts w:ascii="Times New Roman" w:eastAsia="Times New Roman" w:hAnsi="Times New Roman"/>
          <w:color w:val="000000"/>
          <w:sz w:val="28"/>
          <w:szCs w:val="28"/>
          <w:lang w:eastAsia="ru-RU"/>
        </w:rPr>
        <w:t>), soluble TNF receptors type 1 (sTNF-R1), and soluble</w:t>
      </w:r>
      <w:r w:rsidR="00954149">
        <w:rPr>
          <w:rFonts w:ascii="Times New Roman" w:eastAsia="Times New Roman" w:hAnsi="Times New Roman"/>
          <w:color w:val="000000"/>
          <w:sz w:val="28"/>
          <w:szCs w:val="28"/>
          <w:lang w:eastAsia="ru-RU"/>
        </w:rPr>
        <w:t xml:space="preserve"> Fas ligand (</w:t>
      </w:r>
      <w:proofErr w:type="spellStart"/>
      <w:r w:rsidR="00954149">
        <w:rPr>
          <w:rFonts w:ascii="Times New Roman" w:eastAsia="Times New Roman" w:hAnsi="Times New Roman"/>
          <w:color w:val="000000"/>
          <w:sz w:val="28"/>
          <w:szCs w:val="28"/>
          <w:lang w:eastAsia="ru-RU"/>
        </w:rPr>
        <w:t>sFasL</w:t>
      </w:r>
      <w:proofErr w:type="spellEnd"/>
      <w:r w:rsidR="00954149">
        <w:rPr>
          <w:rFonts w:ascii="Times New Roman" w:eastAsia="Times New Roman" w:hAnsi="Times New Roman"/>
          <w:color w:val="000000"/>
          <w:sz w:val="28"/>
          <w:szCs w:val="28"/>
          <w:lang w:eastAsia="ru-RU"/>
        </w:rPr>
        <w:t>) levels by ELISA were detected.</w:t>
      </w:r>
      <w:r>
        <w:rPr>
          <w:rFonts w:ascii="Times New Roman" w:eastAsia="Times New Roman" w:hAnsi="Times New Roman"/>
          <w:color w:val="000000"/>
          <w:sz w:val="28"/>
          <w:szCs w:val="28"/>
          <w:lang w:eastAsia="ru-RU"/>
        </w:rPr>
        <w:t xml:space="preserve"> </w:t>
      </w:r>
    </w:p>
    <w:p w:rsidR="004940B7" w:rsidRDefault="00954149" w:rsidP="00954149">
      <w:pPr>
        <w:spacing w:after="0" w:line="360" w:lineRule="auto"/>
        <w:ind w:firstLine="709"/>
        <w:jc w:val="both"/>
        <w:rPr>
          <w:rFonts w:ascii="Times New Roman" w:hAnsi="Times New Roman"/>
          <w:sz w:val="28"/>
          <w:szCs w:val="28"/>
        </w:rPr>
      </w:pPr>
      <w:r>
        <w:rPr>
          <w:rFonts w:ascii="Times New Roman" w:hAnsi="Times New Roman"/>
          <w:sz w:val="28"/>
          <w:szCs w:val="28"/>
        </w:rPr>
        <w:t xml:space="preserve">It was found that plasma TNF-α levels in all groups patients were higher than </w:t>
      </w:r>
      <w:r w:rsidR="005D3366">
        <w:rPr>
          <w:rFonts w:ascii="Times New Roman" w:hAnsi="Times New Roman"/>
          <w:sz w:val="28"/>
          <w:szCs w:val="28"/>
        </w:rPr>
        <w:t xml:space="preserve">in </w:t>
      </w:r>
      <w:r>
        <w:rPr>
          <w:rFonts w:ascii="Times New Roman" w:hAnsi="Times New Roman"/>
          <w:sz w:val="28"/>
          <w:szCs w:val="28"/>
        </w:rPr>
        <w:t>healthy normotensive</w:t>
      </w:r>
      <w:r w:rsidR="005D3366">
        <w:rPr>
          <w:rFonts w:ascii="Times New Roman" w:hAnsi="Times New Roman"/>
          <w:sz w:val="28"/>
          <w:szCs w:val="28"/>
        </w:rPr>
        <w:t>s</w:t>
      </w:r>
      <w:r>
        <w:rPr>
          <w:rFonts w:ascii="Times New Roman" w:hAnsi="Times New Roman"/>
          <w:sz w:val="28"/>
          <w:szCs w:val="28"/>
        </w:rPr>
        <w:t xml:space="preserve"> (</w:t>
      </w:r>
      <w:r>
        <w:rPr>
          <w:rFonts w:ascii="Times New Roman" w:hAnsi="Times New Roman"/>
          <w:sz w:val="28"/>
          <w:szCs w:val="28"/>
        </w:rPr>
        <w:t>p&lt;0.05</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Maximum</w:t>
      </w:r>
      <w:r>
        <w:rPr>
          <w:rFonts w:ascii="Times New Roman" w:hAnsi="Times New Roman"/>
          <w:sz w:val="28"/>
          <w:szCs w:val="28"/>
          <w:lang w:val="uk-UA"/>
        </w:rPr>
        <w:t xml:space="preserve"> </w:t>
      </w:r>
      <w:r>
        <w:rPr>
          <w:rFonts w:ascii="Times New Roman" w:hAnsi="Times New Roman"/>
          <w:sz w:val="28"/>
          <w:szCs w:val="28"/>
        </w:rPr>
        <w:t>mean</w:t>
      </w:r>
      <w:r>
        <w:rPr>
          <w:rFonts w:ascii="Times New Roman" w:hAnsi="Times New Roman"/>
          <w:sz w:val="28"/>
          <w:szCs w:val="28"/>
          <w:lang w:val="uk-UA"/>
        </w:rPr>
        <w:t xml:space="preserve"> </w:t>
      </w:r>
      <w:r>
        <w:rPr>
          <w:rFonts w:ascii="Times New Roman" w:hAnsi="Times New Roman"/>
          <w:sz w:val="28"/>
          <w:szCs w:val="28"/>
        </w:rPr>
        <w:t>was detected in 2 degree AH patients</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Circulating sTNF-R1 levels of all groups patients were elevated vs normal means </w:t>
      </w:r>
      <w:r>
        <w:rPr>
          <w:rFonts w:ascii="Times New Roman" w:hAnsi="Times New Roman"/>
          <w:sz w:val="28"/>
          <w:szCs w:val="28"/>
          <w:lang w:val="uk-UA"/>
        </w:rPr>
        <w:t>(</w:t>
      </w:r>
      <w:r>
        <w:rPr>
          <w:rFonts w:ascii="Times New Roman" w:hAnsi="Times New Roman"/>
          <w:sz w:val="28"/>
          <w:szCs w:val="28"/>
        </w:rPr>
        <w:t>p</w:t>
      </w:r>
      <w:r>
        <w:rPr>
          <w:rFonts w:ascii="Times New Roman" w:hAnsi="Times New Roman"/>
          <w:sz w:val="28"/>
          <w:szCs w:val="28"/>
          <w:lang w:val="uk-UA"/>
        </w:rPr>
        <w:t>&lt;0</w:t>
      </w:r>
      <w:r>
        <w:rPr>
          <w:rFonts w:ascii="Times New Roman" w:hAnsi="Times New Roman"/>
          <w:sz w:val="28"/>
          <w:szCs w:val="28"/>
        </w:rPr>
        <w:t>.</w:t>
      </w:r>
      <w:r>
        <w:rPr>
          <w:rFonts w:ascii="Times New Roman" w:hAnsi="Times New Roman"/>
          <w:sz w:val="28"/>
          <w:szCs w:val="28"/>
          <w:lang w:val="uk-UA"/>
        </w:rPr>
        <w:t>0</w:t>
      </w:r>
      <w:r w:rsidR="005D3366">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 xml:space="preserve">. </w:t>
      </w:r>
      <w:r w:rsidR="004940B7">
        <w:rPr>
          <w:rFonts w:ascii="Times New Roman" w:hAnsi="Times New Roman"/>
          <w:sz w:val="28"/>
          <w:szCs w:val="28"/>
        </w:rPr>
        <w:t>I</w:t>
      </w:r>
      <w:r w:rsidR="004940B7">
        <w:rPr>
          <w:rFonts w:ascii="Times New Roman" w:hAnsi="Times New Roman"/>
          <w:sz w:val="28"/>
          <w:szCs w:val="28"/>
        </w:rPr>
        <w:t>n</w:t>
      </w:r>
      <w:r w:rsidR="004940B7">
        <w:rPr>
          <w:rFonts w:ascii="Times New Roman" w:hAnsi="Times New Roman"/>
          <w:sz w:val="28"/>
          <w:szCs w:val="28"/>
          <w:lang w:val="uk-UA"/>
        </w:rPr>
        <w:t xml:space="preserve"> </w:t>
      </w:r>
      <w:r w:rsidR="004940B7">
        <w:rPr>
          <w:rFonts w:ascii="Times New Roman" w:hAnsi="Times New Roman"/>
          <w:sz w:val="28"/>
          <w:szCs w:val="28"/>
        </w:rPr>
        <w:t>spite</w:t>
      </w:r>
      <w:r w:rsidR="004940B7">
        <w:rPr>
          <w:rFonts w:ascii="Times New Roman" w:hAnsi="Times New Roman"/>
          <w:sz w:val="28"/>
          <w:szCs w:val="28"/>
          <w:lang w:val="uk-UA"/>
        </w:rPr>
        <w:t xml:space="preserve"> </w:t>
      </w:r>
      <w:r w:rsidR="004940B7">
        <w:rPr>
          <w:rFonts w:ascii="Times New Roman" w:hAnsi="Times New Roman"/>
          <w:sz w:val="28"/>
          <w:szCs w:val="28"/>
        </w:rPr>
        <w:t>of</w:t>
      </w:r>
      <w:r w:rsidR="004940B7">
        <w:rPr>
          <w:rFonts w:ascii="Times New Roman" w:hAnsi="Times New Roman"/>
          <w:sz w:val="28"/>
          <w:szCs w:val="28"/>
          <w:lang w:val="uk-UA"/>
        </w:rPr>
        <w:t xml:space="preserve"> </w:t>
      </w:r>
      <w:r w:rsidR="004940B7">
        <w:rPr>
          <w:rFonts w:ascii="Times New Roman" w:hAnsi="Times New Roman"/>
          <w:sz w:val="28"/>
          <w:szCs w:val="28"/>
        </w:rPr>
        <w:t>detected</w:t>
      </w:r>
      <w:r w:rsidR="004940B7">
        <w:rPr>
          <w:rFonts w:ascii="Times New Roman" w:hAnsi="Times New Roman"/>
          <w:sz w:val="28"/>
          <w:szCs w:val="28"/>
          <w:lang w:val="uk-UA"/>
        </w:rPr>
        <w:t xml:space="preserve"> </w:t>
      </w:r>
      <w:r w:rsidR="004940B7">
        <w:rPr>
          <w:rFonts w:ascii="Times New Roman" w:hAnsi="Times New Roman"/>
          <w:sz w:val="28"/>
          <w:szCs w:val="28"/>
        </w:rPr>
        <w:t>increasing</w:t>
      </w:r>
      <w:r w:rsidR="004940B7">
        <w:rPr>
          <w:rFonts w:ascii="Times New Roman" w:hAnsi="Times New Roman"/>
          <w:sz w:val="28"/>
          <w:szCs w:val="28"/>
          <w:lang w:val="uk-UA"/>
        </w:rPr>
        <w:t xml:space="preserve"> </w:t>
      </w:r>
      <w:proofErr w:type="spellStart"/>
      <w:r w:rsidR="004940B7">
        <w:rPr>
          <w:rFonts w:ascii="Times New Roman" w:hAnsi="Times New Roman"/>
          <w:sz w:val="28"/>
          <w:szCs w:val="28"/>
        </w:rPr>
        <w:t>sTNF</w:t>
      </w:r>
      <w:proofErr w:type="spellEnd"/>
      <w:r w:rsidR="004940B7">
        <w:rPr>
          <w:rFonts w:ascii="Times New Roman" w:hAnsi="Times New Roman"/>
          <w:sz w:val="28"/>
          <w:szCs w:val="28"/>
          <w:lang w:val="uk-UA"/>
        </w:rPr>
        <w:t>-</w:t>
      </w:r>
      <w:r w:rsidR="004940B7">
        <w:rPr>
          <w:rFonts w:ascii="Times New Roman" w:hAnsi="Times New Roman"/>
          <w:sz w:val="28"/>
          <w:szCs w:val="28"/>
        </w:rPr>
        <w:t>R</w:t>
      </w:r>
      <w:r w:rsidR="004940B7">
        <w:rPr>
          <w:rFonts w:ascii="Times New Roman" w:hAnsi="Times New Roman"/>
          <w:sz w:val="28"/>
          <w:szCs w:val="28"/>
          <w:lang w:val="uk-UA"/>
        </w:rPr>
        <w:t xml:space="preserve">1 </w:t>
      </w:r>
      <w:r w:rsidR="004940B7">
        <w:rPr>
          <w:rFonts w:ascii="Times New Roman" w:hAnsi="Times New Roman"/>
          <w:sz w:val="28"/>
          <w:szCs w:val="28"/>
        </w:rPr>
        <w:t>concentration</w:t>
      </w:r>
      <w:r w:rsidR="004940B7">
        <w:rPr>
          <w:rFonts w:ascii="Times New Roman" w:hAnsi="Times New Roman"/>
          <w:sz w:val="28"/>
          <w:szCs w:val="28"/>
          <w:lang w:val="uk-UA"/>
        </w:rPr>
        <w:t xml:space="preserve">, </w:t>
      </w:r>
      <w:r w:rsidR="004940B7">
        <w:rPr>
          <w:rFonts w:ascii="Times New Roman" w:hAnsi="Times New Roman"/>
          <w:sz w:val="28"/>
          <w:szCs w:val="28"/>
        </w:rPr>
        <w:t>natural</w:t>
      </w:r>
      <w:r w:rsidR="004940B7">
        <w:rPr>
          <w:rFonts w:ascii="Times New Roman" w:hAnsi="Times New Roman"/>
          <w:sz w:val="28"/>
          <w:szCs w:val="28"/>
          <w:lang w:val="uk-UA"/>
        </w:rPr>
        <w:t xml:space="preserve"> </w:t>
      </w:r>
      <w:r w:rsidR="004940B7">
        <w:rPr>
          <w:rFonts w:ascii="Times New Roman" w:hAnsi="Times New Roman"/>
          <w:sz w:val="28"/>
          <w:szCs w:val="28"/>
        </w:rPr>
        <w:t>TNF</w:t>
      </w:r>
      <w:r w:rsidR="004940B7">
        <w:rPr>
          <w:rFonts w:ascii="Times New Roman" w:hAnsi="Times New Roman"/>
          <w:sz w:val="28"/>
          <w:szCs w:val="28"/>
          <w:lang w:val="uk-UA"/>
        </w:rPr>
        <w:t>-</w:t>
      </w:r>
      <w:r w:rsidR="004940B7">
        <w:rPr>
          <w:rFonts w:ascii="Times New Roman" w:hAnsi="Times New Roman"/>
          <w:sz w:val="28"/>
          <w:szCs w:val="28"/>
        </w:rPr>
        <w:t>α</w:t>
      </w:r>
      <w:r w:rsidR="004940B7">
        <w:rPr>
          <w:rFonts w:ascii="Times New Roman" w:hAnsi="Times New Roman"/>
          <w:sz w:val="28"/>
          <w:szCs w:val="28"/>
          <w:lang w:val="uk-UA"/>
        </w:rPr>
        <w:t xml:space="preserve"> </w:t>
      </w:r>
      <w:r w:rsidR="004940B7">
        <w:rPr>
          <w:rFonts w:ascii="Times New Roman" w:hAnsi="Times New Roman"/>
          <w:sz w:val="28"/>
          <w:szCs w:val="28"/>
        </w:rPr>
        <w:t>inhibitor</w:t>
      </w:r>
      <w:r w:rsidR="004940B7">
        <w:rPr>
          <w:rFonts w:ascii="Times New Roman" w:hAnsi="Times New Roman"/>
          <w:sz w:val="28"/>
          <w:szCs w:val="28"/>
          <w:lang w:val="uk-UA"/>
        </w:rPr>
        <w:t xml:space="preserve">, </w:t>
      </w:r>
      <w:r w:rsidR="004940B7">
        <w:rPr>
          <w:rFonts w:ascii="Times New Roman" w:hAnsi="Times New Roman"/>
          <w:sz w:val="28"/>
          <w:szCs w:val="28"/>
        </w:rPr>
        <w:t>and</w:t>
      </w:r>
      <w:r w:rsidR="004940B7">
        <w:rPr>
          <w:rFonts w:ascii="Times New Roman" w:hAnsi="Times New Roman"/>
          <w:sz w:val="28"/>
          <w:szCs w:val="28"/>
          <w:lang w:val="uk-UA"/>
        </w:rPr>
        <w:t xml:space="preserve"> </w:t>
      </w:r>
      <w:r w:rsidR="004940B7">
        <w:rPr>
          <w:rFonts w:ascii="Times New Roman" w:hAnsi="Times New Roman"/>
          <w:sz w:val="28"/>
          <w:szCs w:val="28"/>
        </w:rPr>
        <w:t>insignificant</w:t>
      </w:r>
      <w:r w:rsidR="004940B7">
        <w:rPr>
          <w:rFonts w:ascii="Times New Roman" w:hAnsi="Times New Roman"/>
          <w:sz w:val="28"/>
          <w:szCs w:val="28"/>
          <w:lang w:val="uk-UA"/>
        </w:rPr>
        <w:t xml:space="preserve"> </w:t>
      </w:r>
      <w:r w:rsidR="004940B7">
        <w:rPr>
          <w:rFonts w:ascii="Times New Roman" w:hAnsi="Times New Roman"/>
          <w:sz w:val="28"/>
          <w:szCs w:val="28"/>
        </w:rPr>
        <w:t>decreasing</w:t>
      </w:r>
      <w:r w:rsidR="004940B7">
        <w:rPr>
          <w:rFonts w:ascii="Times New Roman" w:hAnsi="Times New Roman"/>
          <w:sz w:val="28"/>
          <w:szCs w:val="28"/>
          <w:lang w:val="uk-UA"/>
        </w:rPr>
        <w:t xml:space="preserve"> </w:t>
      </w:r>
      <w:r w:rsidR="004940B7">
        <w:rPr>
          <w:rFonts w:ascii="Times New Roman" w:hAnsi="Times New Roman"/>
          <w:sz w:val="28"/>
          <w:szCs w:val="28"/>
        </w:rPr>
        <w:t>of</w:t>
      </w:r>
      <w:r w:rsidR="004940B7">
        <w:rPr>
          <w:rFonts w:ascii="Times New Roman" w:hAnsi="Times New Roman"/>
          <w:sz w:val="28"/>
          <w:szCs w:val="28"/>
          <w:lang w:val="uk-UA"/>
        </w:rPr>
        <w:t xml:space="preserve"> </w:t>
      </w:r>
      <w:r w:rsidR="004940B7">
        <w:rPr>
          <w:rFonts w:ascii="Times New Roman" w:hAnsi="Times New Roman"/>
          <w:sz w:val="28"/>
          <w:szCs w:val="28"/>
        </w:rPr>
        <w:t>TNF</w:t>
      </w:r>
      <w:r w:rsidR="004940B7">
        <w:rPr>
          <w:rFonts w:ascii="Times New Roman" w:hAnsi="Times New Roman"/>
          <w:sz w:val="28"/>
          <w:szCs w:val="28"/>
          <w:lang w:val="uk-UA"/>
        </w:rPr>
        <w:t>-</w:t>
      </w:r>
      <w:r w:rsidR="004940B7">
        <w:rPr>
          <w:rFonts w:ascii="Times New Roman" w:hAnsi="Times New Roman"/>
          <w:sz w:val="28"/>
          <w:szCs w:val="28"/>
        </w:rPr>
        <w:t>α</w:t>
      </w:r>
      <w:r w:rsidR="004940B7">
        <w:rPr>
          <w:rFonts w:ascii="Times New Roman" w:hAnsi="Times New Roman"/>
          <w:sz w:val="28"/>
          <w:szCs w:val="28"/>
          <w:lang w:val="uk-UA"/>
        </w:rPr>
        <w:t>/</w:t>
      </w:r>
      <w:proofErr w:type="spellStart"/>
      <w:r w:rsidR="004940B7">
        <w:rPr>
          <w:rFonts w:ascii="Times New Roman" w:hAnsi="Times New Roman"/>
          <w:sz w:val="28"/>
          <w:szCs w:val="28"/>
        </w:rPr>
        <w:t>sTNF</w:t>
      </w:r>
      <w:proofErr w:type="spellEnd"/>
      <w:r w:rsidR="004940B7">
        <w:rPr>
          <w:rFonts w:ascii="Times New Roman" w:hAnsi="Times New Roman"/>
          <w:sz w:val="28"/>
          <w:szCs w:val="28"/>
          <w:lang w:val="uk-UA"/>
        </w:rPr>
        <w:t>-</w:t>
      </w:r>
      <w:r w:rsidR="004940B7">
        <w:rPr>
          <w:rFonts w:ascii="Times New Roman" w:hAnsi="Times New Roman"/>
          <w:sz w:val="28"/>
          <w:szCs w:val="28"/>
        </w:rPr>
        <w:t>R</w:t>
      </w:r>
      <w:r w:rsidR="004940B7">
        <w:rPr>
          <w:rFonts w:ascii="Times New Roman" w:hAnsi="Times New Roman"/>
          <w:sz w:val="28"/>
          <w:szCs w:val="28"/>
          <w:lang w:val="uk-UA"/>
        </w:rPr>
        <w:t xml:space="preserve">1, </w:t>
      </w:r>
      <w:r w:rsidR="004940B7">
        <w:rPr>
          <w:rFonts w:ascii="Times New Roman" w:hAnsi="Times New Roman"/>
          <w:sz w:val="28"/>
          <w:szCs w:val="28"/>
        </w:rPr>
        <w:t>cytokine</w:t>
      </w:r>
      <w:r w:rsidR="004940B7">
        <w:rPr>
          <w:rFonts w:ascii="Times New Roman" w:hAnsi="Times New Roman"/>
          <w:sz w:val="28"/>
          <w:szCs w:val="28"/>
          <w:lang w:val="uk-UA"/>
        </w:rPr>
        <w:t xml:space="preserve"> </w:t>
      </w:r>
      <w:r w:rsidR="004940B7">
        <w:rPr>
          <w:rFonts w:ascii="Times New Roman" w:hAnsi="Times New Roman"/>
          <w:sz w:val="28"/>
          <w:szCs w:val="28"/>
        </w:rPr>
        <w:t>level</w:t>
      </w:r>
      <w:r w:rsidR="004940B7">
        <w:rPr>
          <w:rFonts w:ascii="Times New Roman" w:hAnsi="Times New Roman"/>
          <w:sz w:val="28"/>
          <w:szCs w:val="28"/>
          <w:lang w:val="uk-UA"/>
        </w:rPr>
        <w:t xml:space="preserve"> </w:t>
      </w:r>
      <w:r w:rsidR="004940B7">
        <w:rPr>
          <w:rFonts w:ascii="Times New Roman" w:hAnsi="Times New Roman"/>
          <w:sz w:val="28"/>
          <w:szCs w:val="28"/>
        </w:rPr>
        <w:t>remained</w:t>
      </w:r>
      <w:r w:rsidR="004940B7">
        <w:rPr>
          <w:rFonts w:ascii="Times New Roman" w:hAnsi="Times New Roman"/>
          <w:sz w:val="28"/>
          <w:szCs w:val="28"/>
          <w:lang w:val="uk-UA"/>
        </w:rPr>
        <w:t xml:space="preserve"> </w:t>
      </w:r>
      <w:r w:rsidR="004940B7">
        <w:rPr>
          <w:rFonts w:ascii="Times New Roman" w:hAnsi="Times New Roman"/>
          <w:sz w:val="28"/>
          <w:szCs w:val="28"/>
        </w:rPr>
        <w:t>high</w:t>
      </w:r>
      <w:r w:rsidR="004940B7">
        <w:rPr>
          <w:rFonts w:ascii="Times New Roman" w:hAnsi="Times New Roman"/>
          <w:sz w:val="28"/>
          <w:szCs w:val="28"/>
          <w:lang w:val="uk-UA"/>
        </w:rPr>
        <w:t xml:space="preserve">, </w:t>
      </w:r>
      <w:r w:rsidR="004940B7">
        <w:rPr>
          <w:rFonts w:ascii="Times New Roman" w:hAnsi="Times New Roman"/>
          <w:sz w:val="28"/>
          <w:szCs w:val="28"/>
        </w:rPr>
        <w:t>that</w:t>
      </w:r>
      <w:r w:rsidR="004940B7">
        <w:rPr>
          <w:rFonts w:ascii="Times New Roman" w:hAnsi="Times New Roman"/>
          <w:sz w:val="28"/>
          <w:szCs w:val="28"/>
          <w:lang w:val="uk-UA"/>
        </w:rPr>
        <w:t xml:space="preserve"> </w:t>
      </w:r>
      <w:r w:rsidR="004940B7">
        <w:rPr>
          <w:rFonts w:ascii="Times New Roman" w:hAnsi="Times New Roman"/>
          <w:sz w:val="28"/>
          <w:szCs w:val="28"/>
        </w:rPr>
        <w:t>confirm</w:t>
      </w:r>
      <w:r w:rsidR="004940B7">
        <w:rPr>
          <w:rFonts w:ascii="Times New Roman" w:hAnsi="Times New Roman"/>
          <w:sz w:val="28"/>
          <w:szCs w:val="28"/>
          <w:lang w:val="uk-UA"/>
        </w:rPr>
        <w:t xml:space="preserve"> </w:t>
      </w:r>
      <w:r w:rsidR="004940B7">
        <w:rPr>
          <w:rFonts w:ascii="Times New Roman" w:hAnsi="Times New Roman"/>
          <w:sz w:val="28"/>
          <w:szCs w:val="28"/>
        </w:rPr>
        <w:t>possibility</w:t>
      </w:r>
      <w:r w:rsidR="004940B7">
        <w:rPr>
          <w:rFonts w:ascii="Times New Roman" w:hAnsi="Times New Roman"/>
          <w:sz w:val="28"/>
          <w:szCs w:val="28"/>
          <w:lang w:val="uk-UA"/>
        </w:rPr>
        <w:t xml:space="preserve"> </w:t>
      </w:r>
      <w:r w:rsidR="004940B7">
        <w:rPr>
          <w:rFonts w:ascii="Times New Roman" w:hAnsi="Times New Roman"/>
          <w:sz w:val="28"/>
          <w:szCs w:val="28"/>
        </w:rPr>
        <w:t>of</w:t>
      </w:r>
      <w:r w:rsidR="004940B7">
        <w:rPr>
          <w:rFonts w:ascii="Times New Roman" w:hAnsi="Times New Roman"/>
          <w:sz w:val="28"/>
          <w:szCs w:val="28"/>
          <w:lang w:val="uk-UA"/>
        </w:rPr>
        <w:t xml:space="preserve"> </w:t>
      </w:r>
      <w:r w:rsidR="004940B7">
        <w:rPr>
          <w:rFonts w:ascii="Times New Roman" w:hAnsi="Times New Roman"/>
          <w:sz w:val="28"/>
          <w:szCs w:val="28"/>
        </w:rPr>
        <w:t>TNF</w:t>
      </w:r>
      <w:r w:rsidR="004940B7">
        <w:rPr>
          <w:rFonts w:ascii="Times New Roman" w:hAnsi="Times New Roman"/>
          <w:sz w:val="28"/>
          <w:szCs w:val="28"/>
          <w:lang w:val="uk-UA"/>
        </w:rPr>
        <w:t>-</w:t>
      </w:r>
      <w:r w:rsidR="004940B7">
        <w:rPr>
          <w:rFonts w:ascii="Times New Roman" w:hAnsi="Times New Roman"/>
          <w:sz w:val="28"/>
          <w:szCs w:val="28"/>
        </w:rPr>
        <w:t>mediated apoptosis pathway in hypertensive patients. Obtained</w:t>
      </w:r>
      <w:r w:rsidR="004940B7">
        <w:rPr>
          <w:rFonts w:ascii="Times New Roman" w:hAnsi="Times New Roman"/>
          <w:sz w:val="28"/>
          <w:szCs w:val="28"/>
          <w:lang w:val="uk-UA"/>
        </w:rPr>
        <w:t xml:space="preserve"> </w:t>
      </w:r>
      <w:r w:rsidR="004940B7">
        <w:rPr>
          <w:rFonts w:ascii="Times New Roman" w:hAnsi="Times New Roman"/>
          <w:sz w:val="28"/>
          <w:szCs w:val="28"/>
        </w:rPr>
        <w:t>results</w:t>
      </w:r>
      <w:r w:rsidR="004940B7">
        <w:rPr>
          <w:rFonts w:ascii="Times New Roman" w:hAnsi="Times New Roman"/>
          <w:sz w:val="28"/>
          <w:szCs w:val="28"/>
          <w:lang w:val="uk-UA"/>
        </w:rPr>
        <w:t xml:space="preserve"> </w:t>
      </w:r>
      <w:r w:rsidR="004940B7">
        <w:rPr>
          <w:rFonts w:ascii="Times New Roman" w:hAnsi="Times New Roman"/>
          <w:sz w:val="28"/>
          <w:szCs w:val="28"/>
        </w:rPr>
        <w:t>indicate</w:t>
      </w:r>
      <w:r w:rsidR="004940B7">
        <w:rPr>
          <w:rFonts w:ascii="Times New Roman" w:hAnsi="Times New Roman"/>
          <w:sz w:val="28"/>
          <w:szCs w:val="28"/>
          <w:lang w:val="uk-UA"/>
        </w:rPr>
        <w:t xml:space="preserve"> </w:t>
      </w:r>
      <w:r w:rsidR="004940B7">
        <w:rPr>
          <w:rFonts w:ascii="Times New Roman" w:hAnsi="Times New Roman"/>
          <w:sz w:val="28"/>
          <w:szCs w:val="28"/>
        </w:rPr>
        <w:t>possibility</w:t>
      </w:r>
      <w:r w:rsidR="004940B7">
        <w:rPr>
          <w:rFonts w:ascii="Times New Roman" w:hAnsi="Times New Roman"/>
          <w:sz w:val="28"/>
          <w:szCs w:val="28"/>
          <w:lang w:val="uk-UA"/>
        </w:rPr>
        <w:t xml:space="preserve"> </w:t>
      </w:r>
      <w:r w:rsidR="004940B7">
        <w:rPr>
          <w:rFonts w:ascii="Times New Roman" w:hAnsi="Times New Roman"/>
          <w:sz w:val="28"/>
          <w:szCs w:val="28"/>
        </w:rPr>
        <w:t>of</w:t>
      </w:r>
      <w:r w:rsidR="004940B7">
        <w:rPr>
          <w:rFonts w:ascii="Times New Roman" w:hAnsi="Times New Roman"/>
          <w:sz w:val="28"/>
          <w:szCs w:val="28"/>
          <w:lang w:val="uk-UA"/>
        </w:rPr>
        <w:t xml:space="preserve"> </w:t>
      </w:r>
      <w:r w:rsidR="004940B7">
        <w:rPr>
          <w:rFonts w:ascii="Times New Roman" w:hAnsi="Times New Roman"/>
          <w:sz w:val="28"/>
          <w:szCs w:val="28"/>
        </w:rPr>
        <w:t>Fas</w:t>
      </w:r>
      <w:r w:rsidR="004940B7">
        <w:rPr>
          <w:rFonts w:ascii="Times New Roman" w:hAnsi="Times New Roman"/>
          <w:sz w:val="28"/>
          <w:szCs w:val="28"/>
          <w:lang w:val="uk-UA"/>
        </w:rPr>
        <w:t>-</w:t>
      </w:r>
      <w:r w:rsidR="004940B7">
        <w:rPr>
          <w:rFonts w:ascii="Times New Roman" w:hAnsi="Times New Roman"/>
          <w:sz w:val="28"/>
          <w:szCs w:val="28"/>
        </w:rPr>
        <w:t>related</w:t>
      </w:r>
      <w:r w:rsidR="004940B7">
        <w:rPr>
          <w:rFonts w:ascii="Times New Roman" w:hAnsi="Times New Roman"/>
          <w:sz w:val="28"/>
          <w:szCs w:val="28"/>
          <w:lang w:val="uk-UA"/>
        </w:rPr>
        <w:t xml:space="preserve"> </w:t>
      </w:r>
      <w:r w:rsidR="004940B7">
        <w:rPr>
          <w:rFonts w:ascii="Times New Roman" w:hAnsi="Times New Roman"/>
          <w:sz w:val="28"/>
          <w:szCs w:val="28"/>
        </w:rPr>
        <w:t>apoptosis</w:t>
      </w:r>
      <w:r w:rsidR="004940B7">
        <w:rPr>
          <w:rFonts w:ascii="Times New Roman" w:hAnsi="Times New Roman"/>
          <w:sz w:val="28"/>
          <w:szCs w:val="28"/>
          <w:lang w:val="uk-UA"/>
        </w:rPr>
        <w:t xml:space="preserve"> </w:t>
      </w:r>
      <w:r w:rsidR="004940B7">
        <w:rPr>
          <w:rFonts w:ascii="Times New Roman" w:hAnsi="Times New Roman"/>
          <w:sz w:val="28"/>
          <w:szCs w:val="28"/>
        </w:rPr>
        <w:t>in</w:t>
      </w:r>
      <w:r w:rsidR="004940B7">
        <w:rPr>
          <w:rFonts w:ascii="Times New Roman" w:hAnsi="Times New Roman"/>
          <w:sz w:val="28"/>
          <w:szCs w:val="28"/>
          <w:lang w:val="uk-UA"/>
        </w:rPr>
        <w:t xml:space="preserve"> </w:t>
      </w:r>
      <w:r w:rsidR="004940B7">
        <w:rPr>
          <w:rFonts w:ascii="Times New Roman" w:hAnsi="Times New Roman"/>
          <w:sz w:val="28"/>
          <w:szCs w:val="28"/>
        </w:rPr>
        <w:t>patients</w:t>
      </w:r>
      <w:r w:rsidR="004940B7">
        <w:rPr>
          <w:rFonts w:ascii="Times New Roman" w:hAnsi="Times New Roman"/>
          <w:sz w:val="28"/>
          <w:szCs w:val="28"/>
          <w:lang w:val="uk-UA"/>
        </w:rPr>
        <w:t xml:space="preserve"> </w:t>
      </w:r>
      <w:r w:rsidR="004940B7">
        <w:rPr>
          <w:rFonts w:ascii="Times New Roman" w:hAnsi="Times New Roman"/>
          <w:sz w:val="28"/>
          <w:szCs w:val="28"/>
        </w:rPr>
        <w:t>with</w:t>
      </w:r>
      <w:r w:rsidR="004940B7">
        <w:rPr>
          <w:rFonts w:ascii="Times New Roman" w:hAnsi="Times New Roman"/>
          <w:sz w:val="28"/>
          <w:szCs w:val="28"/>
          <w:lang w:val="uk-UA"/>
        </w:rPr>
        <w:t xml:space="preserve"> </w:t>
      </w:r>
      <w:r w:rsidR="004940B7">
        <w:rPr>
          <w:rFonts w:ascii="Times New Roman" w:hAnsi="Times New Roman"/>
          <w:sz w:val="28"/>
          <w:szCs w:val="28"/>
        </w:rPr>
        <w:t>arterial</w:t>
      </w:r>
      <w:r w:rsidR="004940B7">
        <w:rPr>
          <w:rFonts w:ascii="Times New Roman" w:hAnsi="Times New Roman"/>
          <w:sz w:val="28"/>
          <w:szCs w:val="28"/>
          <w:lang w:val="uk-UA"/>
        </w:rPr>
        <w:t xml:space="preserve"> </w:t>
      </w:r>
      <w:r w:rsidR="004940B7">
        <w:rPr>
          <w:rFonts w:ascii="Times New Roman" w:hAnsi="Times New Roman"/>
          <w:sz w:val="28"/>
          <w:szCs w:val="28"/>
        </w:rPr>
        <w:t>hypertension</w:t>
      </w:r>
      <w:r w:rsidR="004940B7">
        <w:rPr>
          <w:rFonts w:ascii="Times New Roman" w:hAnsi="Times New Roman"/>
          <w:sz w:val="28"/>
          <w:szCs w:val="28"/>
          <w:lang w:val="uk-UA"/>
        </w:rPr>
        <w:t>.</w:t>
      </w:r>
    </w:p>
    <w:p w:rsidR="004940B7" w:rsidRDefault="004940B7" w:rsidP="004940B7">
      <w:pPr>
        <w:pStyle w:val="BodyText2"/>
        <w:spacing w:after="0" w:line="360" w:lineRule="auto"/>
        <w:ind w:firstLine="709"/>
        <w:jc w:val="both"/>
        <w:rPr>
          <w:sz w:val="28"/>
          <w:szCs w:val="28"/>
          <w:lang w:val="en-US"/>
        </w:rPr>
      </w:pPr>
      <w:proofErr w:type="gramStart"/>
      <w:r>
        <w:rPr>
          <w:b/>
          <w:sz w:val="28"/>
          <w:szCs w:val="28"/>
          <w:lang w:val="en-US"/>
        </w:rPr>
        <w:t>Conclusion.</w:t>
      </w:r>
      <w:proofErr w:type="gramEnd"/>
      <w:r>
        <w:rPr>
          <w:b/>
          <w:sz w:val="28"/>
          <w:szCs w:val="28"/>
          <w:lang w:val="en-US"/>
        </w:rPr>
        <w:t xml:space="preserve"> </w:t>
      </w:r>
      <w:r>
        <w:rPr>
          <w:sz w:val="28"/>
          <w:szCs w:val="28"/>
          <w:lang w:val="en-US"/>
        </w:rPr>
        <w:t xml:space="preserve">Result of our clinical study showed increased </w:t>
      </w:r>
      <w:proofErr w:type="spellStart"/>
      <w:r>
        <w:rPr>
          <w:sz w:val="28"/>
          <w:szCs w:val="28"/>
          <w:lang w:val="en-US"/>
        </w:rPr>
        <w:t>immun</w:t>
      </w:r>
      <w:r w:rsidR="005D3366">
        <w:rPr>
          <w:sz w:val="28"/>
          <w:szCs w:val="28"/>
          <w:lang w:val="en-US"/>
        </w:rPr>
        <w:t>o</w:t>
      </w:r>
      <w:proofErr w:type="spellEnd"/>
      <w:r>
        <w:rPr>
          <w:sz w:val="28"/>
          <w:szCs w:val="28"/>
          <w:lang w:val="en-US"/>
        </w:rPr>
        <w:t xml:space="preserve">-inflammatory and </w:t>
      </w:r>
      <w:proofErr w:type="spellStart"/>
      <w:r>
        <w:rPr>
          <w:sz w:val="28"/>
          <w:szCs w:val="28"/>
          <w:lang w:val="en-US"/>
        </w:rPr>
        <w:t>proapoptotic</w:t>
      </w:r>
      <w:proofErr w:type="spellEnd"/>
      <w:r>
        <w:rPr>
          <w:sz w:val="28"/>
          <w:szCs w:val="28"/>
          <w:lang w:val="en-US"/>
        </w:rPr>
        <w:t xml:space="preserve"> </w:t>
      </w:r>
      <w:r w:rsidR="005D3366">
        <w:rPr>
          <w:sz w:val="28"/>
          <w:szCs w:val="28"/>
          <w:lang w:val="en-US"/>
        </w:rPr>
        <w:t>activity depends</w:t>
      </w:r>
      <w:r>
        <w:rPr>
          <w:sz w:val="28"/>
          <w:szCs w:val="28"/>
          <w:lang w:val="en-US"/>
        </w:rPr>
        <w:t xml:space="preserve"> on presence and degree of arterial hypertension.</w:t>
      </w:r>
    </w:p>
    <w:p w:rsidR="004940B7" w:rsidRDefault="004940B7" w:rsidP="004940B7">
      <w:pPr>
        <w:pStyle w:val="BodyText2"/>
        <w:spacing w:after="0" w:line="360" w:lineRule="auto"/>
        <w:ind w:firstLine="709"/>
        <w:jc w:val="both"/>
        <w:rPr>
          <w:b/>
          <w:sz w:val="28"/>
          <w:szCs w:val="28"/>
          <w:lang w:val="en-US"/>
        </w:rPr>
      </w:pPr>
      <w:r w:rsidRPr="004940B7">
        <w:rPr>
          <w:b/>
          <w:sz w:val="28"/>
          <w:szCs w:val="28"/>
          <w:lang w:val="en-US"/>
        </w:rPr>
        <w:t>Keywords</w:t>
      </w:r>
      <w:r>
        <w:rPr>
          <w:sz w:val="28"/>
          <w:szCs w:val="28"/>
          <w:lang w:val="en-US"/>
        </w:rPr>
        <w:t xml:space="preserve">: apoptosis, </w:t>
      </w:r>
      <w:r w:rsidR="005D3366">
        <w:rPr>
          <w:sz w:val="28"/>
          <w:szCs w:val="28"/>
          <w:lang w:val="en-US"/>
        </w:rPr>
        <w:t>circulating apoptosis biomarkers</w:t>
      </w:r>
      <w:r>
        <w:rPr>
          <w:sz w:val="28"/>
          <w:szCs w:val="28"/>
          <w:lang w:val="en-US"/>
        </w:rPr>
        <w:t xml:space="preserve">, arterial hypertension. </w:t>
      </w:r>
    </w:p>
    <w:p w:rsidR="006124EE" w:rsidRPr="00316259" w:rsidRDefault="006124EE" w:rsidP="00316259">
      <w:pPr>
        <w:spacing w:after="0" w:line="360" w:lineRule="auto"/>
        <w:ind w:firstLine="709"/>
        <w:jc w:val="center"/>
        <w:rPr>
          <w:rFonts w:ascii="Times New Roman" w:hAnsi="Times New Roman"/>
          <w:b/>
          <w:sz w:val="28"/>
          <w:szCs w:val="28"/>
          <w:lang w:val="ru-RU"/>
        </w:rPr>
      </w:pPr>
      <w:r w:rsidRPr="00316259">
        <w:rPr>
          <w:rFonts w:ascii="Times New Roman" w:hAnsi="Times New Roman"/>
          <w:b/>
          <w:sz w:val="28"/>
          <w:szCs w:val="28"/>
          <w:lang w:val="ru-RU"/>
        </w:rPr>
        <w:t>ДИСТАНТН</w:t>
      </w:r>
      <w:r w:rsidRPr="00316259">
        <w:rPr>
          <w:rFonts w:ascii="Times New Roman" w:hAnsi="Times New Roman"/>
          <w:b/>
          <w:sz w:val="28"/>
          <w:szCs w:val="28"/>
          <w:lang w:val="ru-RU"/>
        </w:rPr>
        <w:t>Ы</w:t>
      </w:r>
      <w:r w:rsidRPr="00316259">
        <w:rPr>
          <w:rFonts w:ascii="Times New Roman" w:hAnsi="Times New Roman"/>
          <w:b/>
          <w:sz w:val="28"/>
          <w:szCs w:val="28"/>
          <w:lang w:val="ru-RU"/>
        </w:rPr>
        <w:t>Е БИОМАРКЕРЫ</w:t>
      </w:r>
      <w:r w:rsidRPr="00316259">
        <w:rPr>
          <w:rFonts w:ascii="Times New Roman" w:hAnsi="Times New Roman"/>
          <w:b/>
          <w:sz w:val="28"/>
          <w:szCs w:val="28"/>
          <w:lang w:val="ru-RU"/>
        </w:rPr>
        <w:t xml:space="preserve"> </w:t>
      </w:r>
      <w:r w:rsidRPr="00316259">
        <w:rPr>
          <w:rFonts w:ascii="Times New Roman" w:hAnsi="Times New Roman"/>
          <w:b/>
          <w:sz w:val="28"/>
          <w:szCs w:val="28"/>
          <w:lang w:val="ru-RU"/>
        </w:rPr>
        <w:t>АПОПТОЗ</w:t>
      </w:r>
      <w:r w:rsidRPr="00316259">
        <w:rPr>
          <w:rFonts w:ascii="Times New Roman" w:hAnsi="Times New Roman"/>
          <w:b/>
          <w:sz w:val="28"/>
          <w:szCs w:val="28"/>
          <w:lang w:val="ru-RU"/>
        </w:rPr>
        <w:t>А</w:t>
      </w:r>
      <w:r w:rsidRPr="00316259">
        <w:rPr>
          <w:rFonts w:ascii="Times New Roman" w:hAnsi="Times New Roman"/>
          <w:b/>
          <w:sz w:val="28"/>
          <w:szCs w:val="28"/>
          <w:lang w:val="ru-RU"/>
        </w:rPr>
        <w:t xml:space="preserve"> </w:t>
      </w:r>
      <w:r w:rsidRPr="00316259">
        <w:rPr>
          <w:rFonts w:ascii="Times New Roman" w:hAnsi="Times New Roman"/>
          <w:b/>
          <w:sz w:val="28"/>
          <w:szCs w:val="28"/>
          <w:lang w:val="ru-RU"/>
        </w:rPr>
        <w:t xml:space="preserve">ПРИ </w:t>
      </w:r>
      <w:r w:rsidR="00316259" w:rsidRPr="00316259">
        <w:rPr>
          <w:rFonts w:ascii="Times New Roman" w:hAnsi="Times New Roman"/>
          <w:b/>
          <w:sz w:val="28"/>
          <w:szCs w:val="28"/>
          <w:lang w:val="ru-RU"/>
        </w:rPr>
        <w:t xml:space="preserve">АРТЕРИАЛЬНОЙ </w:t>
      </w:r>
      <w:r w:rsidRPr="00316259">
        <w:rPr>
          <w:rFonts w:ascii="Times New Roman" w:hAnsi="Times New Roman"/>
          <w:b/>
          <w:sz w:val="28"/>
          <w:szCs w:val="28"/>
          <w:lang w:val="ru-RU"/>
        </w:rPr>
        <w:t>ГИПЕРТЕНЗИИ</w:t>
      </w:r>
      <w:r w:rsidR="00316259" w:rsidRPr="00316259">
        <w:rPr>
          <w:rFonts w:ascii="Times New Roman" w:hAnsi="Times New Roman"/>
          <w:b/>
          <w:sz w:val="28"/>
          <w:szCs w:val="28"/>
          <w:lang w:val="ru-RU"/>
        </w:rPr>
        <w:t xml:space="preserve"> У ЧЕЛОВЕКА</w:t>
      </w:r>
    </w:p>
    <w:p w:rsidR="006124EE" w:rsidRPr="00316259" w:rsidRDefault="006124EE" w:rsidP="00316259">
      <w:pPr>
        <w:spacing w:after="0" w:line="360" w:lineRule="auto"/>
        <w:ind w:firstLine="709"/>
        <w:jc w:val="center"/>
        <w:rPr>
          <w:rFonts w:ascii="Times New Roman" w:hAnsi="Times New Roman"/>
          <w:b/>
          <w:sz w:val="28"/>
          <w:szCs w:val="28"/>
          <w:lang w:val="ru-RU"/>
        </w:rPr>
      </w:pPr>
      <w:r w:rsidRPr="00316259">
        <w:rPr>
          <w:rFonts w:ascii="Times New Roman" w:hAnsi="Times New Roman"/>
          <w:b/>
          <w:sz w:val="28"/>
          <w:szCs w:val="28"/>
          <w:lang w:val="ru-RU"/>
        </w:rPr>
        <w:t>Ащеулова Т</w:t>
      </w:r>
      <w:r w:rsidR="00D04354">
        <w:rPr>
          <w:rFonts w:ascii="Times New Roman" w:hAnsi="Times New Roman"/>
          <w:b/>
          <w:sz w:val="28"/>
          <w:szCs w:val="28"/>
          <w:lang w:val="ru-RU"/>
        </w:rPr>
        <w:t>.В.</w:t>
      </w:r>
      <w:r w:rsidRPr="00316259">
        <w:rPr>
          <w:rFonts w:ascii="Times New Roman" w:hAnsi="Times New Roman"/>
          <w:b/>
          <w:sz w:val="28"/>
          <w:szCs w:val="28"/>
          <w:lang w:val="ru-RU"/>
        </w:rPr>
        <w:t>, Ковалева О.</w:t>
      </w:r>
      <w:r w:rsidR="00D04354">
        <w:rPr>
          <w:rFonts w:ascii="Times New Roman" w:hAnsi="Times New Roman"/>
          <w:b/>
          <w:sz w:val="28"/>
          <w:szCs w:val="28"/>
          <w:lang w:val="ru-RU"/>
        </w:rPr>
        <w:t>Н.</w:t>
      </w:r>
    </w:p>
    <w:p w:rsidR="006124EE" w:rsidRPr="006124EE" w:rsidRDefault="006124EE" w:rsidP="006124EE">
      <w:pPr>
        <w:spacing w:after="0" w:line="360" w:lineRule="auto"/>
        <w:ind w:firstLine="709"/>
        <w:jc w:val="both"/>
        <w:rPr>
          <w:rFonts w:ascii="Times New Roman" w:hAnsi="Times New Roman"/>
          <w:sz w:val="28"/>
          <w:szCs w:val="28"/>
          <w:lang w:val="ru-RU"/>
        </w:rPr>
      </w:pPr>
      <w:r w:rsidRPr="006124EE">
        <w:rPr>
          <w:rFonts w:ascii="Times New Roman" w:hAnsi="Times New Roman"/>
          <w:sz w:val="28"/>
          <w:szCs w:val="28"/>
          <w:lang w:val="ru-RU"/>
        </w:rPr>
        <w:lastRenderedPageBreak/>
        <w:t xml:space="preserve">Целью было изучение </w:t>
      </w:r>
      <w:r w:rsidR="00316259">
        <w:rPr>
          <w:rFonts w:ascii="Times New Roman" w:hAnsi="Times New Roman"/>
          <w:sz w:val="28"/>
          <w:szCs w:val="28"/>
          <w:lang w:val="ru-RU"/>
        </w:rPr>
        <w:t xml:space="preserve">уровня </w:t>
      </w:r>
      <w:r w:rsidRPr="006124EE">
        <w:rPr>
          <w:rFonts w:ascii="Times New Roman" w:hAnsi="Times New Roman"/>
          <w:sz w:val="28"/>
          <w:szCs w:val="28"/>
          <w:lang w:val="ru-RU"/>
        </w:rPr>
        <w:t>плазм</w:t>
      </w:r>
      <w:r w:rsidR="00316259">
        <w:rPr>
          <w:rFonts w:ascii="Times New Roman" w:hAnsi="Times New Roman"/>
          <w:sz w:val="28"/>
          <w:szCs w:val="28"/>
          <w:lang w:val="ru-RU"/>
        </w:rPr>
        <w:t>атических</w:t>
      </w:r>
      <w:r w:rsidRPr="006124EE">
        <w:rPr>
          <w:rFonts w:ascii="Times New Roman" w:hAnsi="Times New Roman"/>
          <w:sz w:val="28"/>
          <w:szCs w:val="28"/>
          <w:lang w:val="ru-RU"/>
        </w:rPr>
        <w:t xml:space="preserve"> маркеров </w:t>
      </w:r>
      <w:r w:rsidR="00316259" w:rsidRPr="006124EE">
        <w:rPr>
          <w:rFonts w:ascii="Times New Roman" w:hAnsi="Times New Roman"/>
          <w:sz w:val="28"/>
          <w:szCs w:val="28"/>
          <w:lang w:val="ru-RU"/>
        </w:rPr>
        <w:t>апоптоза</w:t>
      </w:r>
      <w:r w:rsidR="00316259" w:rsidRPr="006124EE">
        <w:rPr>
          <w:rFonts w:ascii="Times New Roman" w:hAnsi="Times New Roman"/>
          <w:sz w:val="28"/>
          <w:szCs w:val="28"/>
          <w:lang w:val="ru-RU"/>
        </w:rPr>
        <w:t xml:space="preserve"> </w:t>
      </w:r>
      <w:r w:rsidRPr="006124EE">
        <w:rPr>
          <w:rFonts w:ascii="Times New Roman" w:hAnsi="Times New Roman"/>
          <w:sz w:val="28"/>
          <w:szCs w:val="28"/>
          <w:lang w:val="ru-RU"/>
        </w:rPr>
        <w:t>(ФНО-</w:t>
      </w:r>
      <w:r w:rsidRPr="006124EE">
        <w:rPr>
          <w:rFonts w:ascii="Times New Roman" w:hAnsi="Times New Roman"/>
          <w:sz w:val="28"/>
          <w:szCs w:val="28"/>
        </w:rPr>
        <w:t>α</w:t>
      </w:r>
      <w:r w:rsidRPr="006124EE">
        <w:rPr>
          <w:rFonts w:ascii="Times New Roman" w:hAnsi="Times New Roman"/>
          <w:sz w:val="28"/>
          <w:szCs w:val="28"/>
          <w:lang w:val="ru-RU"/>
        </w:rPr>
        <w:t xml:space="preserve">, </w:t>
      </w:r>
      <w:r w:rsidR="00316259">
        <w:rPr>
          <w:rFonts w:ascii="Times New Roman" w:hAnsi="Times New Roman"/>
          <w:sz w:val="28"/>
          <w:szCs w:val="28"/>
          <w:lang w:val="ru-RU"/>
        </w:rPr>
        <w:t>рФНО-Р1</w:t>
      </w:r>
      <w:r w:rsidRPr="006124EE">
        <w:rPr>
          <w:rFonts w:ascii="Times New Roman" w:hAnsi="Times New Roman"/>
          <w:sz w:val="28"/>
          <w:szCs w:val="28"/>
          <w:lang w:val="ru-RU"/>
        </w:rPr>
        <w:t xml:space="preserve">, </w:t>
      </w:r>
      <w:proofErr w:type="spellStart"/>
      <w:r w:rsidRPr="006124EE">
        <w:rPr>
          <w:rFonts w:ascii="Times New Roman" w:hAnsi="Times New Roman"/>
          <w:sz w:val="28"/>
          <w:szCs w:val="28"/>
        </w:rPr>
        <w:t>sFasL</w:t>
      </w:r>
      <w:proofErr w:type="spellEnd"/>
      <w:r w:rsidRPr="006124EE">
        <w:rPr>
          <w:rFonts w:ascii="Times New Roman" w:hAnsi="Times New Roman"/>
          <w:sz w:val="28"/>
          <w:szCs w:val="28"/>
          <w:lang w:val="ru-RU"/>
        </w:rPr>
        <w:t xml:space="preserve">) у больных с артериальной гипертензией (АГ) </w:t>
      </w:r>
      <w:r w:rsidR="00316259">
        <w:rPr>
          <w:rFonts w:ascii="Times New Roman" w:hAnsi="Times New Roman"/>
          <w:sz w:val="28"/>
          <w:szCs w:val="28"/>
          <w:lang w:val="ru-RU"/>
        </w:rPr>
        <w:t xml:space="preserve">в </w:t>
      </w:r>
      <w:r w:rsidRPr="006124EE">
        <w:rPr>
          <w:rFonts w:ascii="Times New Roman" w:hAnsi="Times New Roman"/>
          <w:sz w:val="28"/>
          <w:szCs w:val="28"/>
          <w:lang w:val="ru-RU"/>
        </w:rPr>
        <w:t>завис</w:t>
      </w:r>
      <w:r w:rsidR="00316259">
        <w:rPr>
          <w:rFonts w:ascii="Times New Roman" w:hAnsi="Times New Roman"/>
          <w:sz w:val="28"/>
          <w:szCs w:val="28"/>
          <w:lang w:val="ru-RU"/>
        </w:rPr>
        <w:t xml:space="preserve">имости </w:t>
      </w:r>
      <w:r w:rsidRPr="006124EE">
        <w:rPr>
          <w:rFonts w:ascii="Times New Roman" w:hAnsi="Times New Roman"/>
          <w:sz w:val="28"/>
          <w:szCs w:val="28"/>
          <w:lang w:val="ru-RU"/>
        </w:rPr>
        <w:t xml:space="preserve">от степени повышения </w:t>
      </w:r>
      <w:r w:rsidR="00316259">
        <w:rPr>
          <w:rFonts w:ascii="Times New Roman" w:hAnsi="Times New Roman"/>
          <w:sz w:val="28"/>
          <w:szCs w:val="28"/>
          <w:lang w:val="ru-RU"/>
        </w:rPr>
        <w:t>уровня артериального давления</w:t>
      </w:r>
      <w:r w:rsidRPr="006124EE">
        <w:rPr>
          <w:rFonts w:ascii="Times New Roman" w:hAnsi="Times New Roman"/>
          <w:sz w:val="28"/>
          <w:szCs w:val="28"/>
          <w:lang w:val="ru-RU"/>
        </w:rPr>
        <w:t>.</w:t>
      </w:r>
    </w:p>
    <w:p w:rsidR="006124EE" w:rsidRPr="006124EE" w:rsidRDefault="00316259" w:rsidP="006124EE">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Обследовано </w:t>
      </w:r>
      <w:r w:rsidR="006124EE" w:rsidRPr="006124EE">
        <w:rPr>
          <w:rFonts w:ascii="Times New Roman" w:hAnsi="Times New Roman"/>
          <w:sz w:val="28"/>
          <w:szCs w:val="28"/>
          <w:lang w:val="ru-RU"/>
        </w:rPr>
        <w:t xml:space="preserve">78 пациентов с АГ, которые были разделены на 3 группы в зависимости от степени </w:t>
      </w:r>
      <w:r>
        <w:rPr>
          <w:rFonts w:ascii="Times New Roman" w:hAnsi="Times New Roman"/>
          <w:sz w:val="28"/>
          <w:szCs w:val="28"/>
          <w:lang w:val="ru-RU"/>
        </w:rPr>
        <w:t>АГ</w:t>
      </w:r>
      <w:r w:rsidR="006124EE" w:rsidRPr="006124EE">
        <w:rPr>
          <w:rFonts w:ascii="Times New Roman" w:hAnsi="Times New Roman"/>
          <w:sz w:val="28"/>
          <w:szCs w:val="28"/>
          <w:lang w:val="ru-RU"/>
        </w:rPr>
        <w:t>: 1 группа (</w:t>
      </w:r>
      <w:r>
        <w:rPr>
          <w:rFonts w:ascii="Times New Roman" w:hAnsi="Times New Roman"/>
          <w:sz w:val="28"/>
          <w:szCs w:val="28"/>
        </w:rPr>
        <w:t>n</w:t>
      </w:r>
      <w:r w:rsidR="006124EE" w:rsidRPr="006124EE">
        <w:rPr>
          <w:rFonts w:ascii="Times New Roman" w:hAnsi="Times New Roman"/>
          <w:sz w:val="28"/>
          <w:szCs w:val="28"/>
          <w:lang w:val="ru-RU"/>
        </w:rPr>
        <w:t xml:space="preserve">=18) - 1 </w:t>
      </w:r>
      <w:r>
        <w:rPr>
          <w:rFonts w:ascii="Times New Roman" w:hAnsi="Times New Roman"/>
          <w:sz w:val="28"/>
          <w:szCs w:val="28"/>
          <w:lang w:val="ru-RU"/>
        </w:rPr>
        <w:t>степень АГ</w:t>
      </w:r>
      <w:r w:rsidR="006124EE" w:rsidRPr="006124EE">
        <w:rPr>
          <w:rFonts w:ascii="Times New Roman" w:hAnsi="Times New Roman"/>
          <w:sz w:val="28"/>
          <w:szCs w:val="28"/>
          <w:lang w:val="ru-RU"/>
        </w:rPr>
        <w:t>, 2 группа (</w:t>
      </w:r>
      <w:r>
        <w:rPr>
          <w:rFonts w:ascii="Times New Roman" w:hAnsi="Times New Roman"/>
          <w:sz w:val="28"/>
          <w:szCs w:val="28"/>
        </w:rPr>
        <w:t>n</w:t>
      </w:r>
      <w:r w:rsidR="006124EE" w:rsidRPr="006124EE">
        <w:rPr>
          <w:rFonts w:ascii="Times New Roman" w:hAnsi="Times New Roman"/>
          <w:sz w:val="28"/>
          <w:szCs w:val="28"/>
          <w:lang w:val="ru-RU"/>
        </w:rPr>
        <w:t>= 25) - 2 степень АГ, 3 группа (</w:t>
      </w:r>
      <w:r>
        <w:rPr>
          <w:rFonts w:ascii="Times New Roman" w:hAnsi="Times New Roman"/>
          <w:sz w:val="28"/>
          <w:szCs w:val="28"/>
        </w:rPr>
        <w:t>n</w:t>
      </w:r>
      <w:r w:rsidR="006124EE" w:rsidRPr="006124EE">
        <w:rPr>
          <w:rFonts w:ascii="Times New Roman" w:hAnsi="Times New Roman"/>
          <w:sz w:val="28"/>
          <w:szCs w:val="28"/>
          <w:lang w:val="ru-RU"/>
        </w:rPr>
        <w:t xml:space="preserve">=35) - 3 степень АГ. </w:t>
      </w:r>
      <w:r>
        <w:rPr>
          <w:rFonts w:ascii="Times New Roman" w:hAnsi="Times New Roman"/>
          <w:sz w:val="28"/>
          <w:szCs w:val="28"/>
          <w:lang w:val="ru-RU"/>
        </w:rPr>
        <w:t>Уровень фактора некроза опухолей-</w:t>
      </w:r>
      <w:r w:rsidR="006124EE" w:rsidRPr="006124EE">
        <w:rPr>
          <w:rFonts w:ascii="Times New Roman" w:hAnsi="Times New Roman"/>
          <w:sz w:val="28"/>
          <w:szCs w:val="28"/>
        </w:rPr>
        <w:t>α</w:t>
      </w:r>
      <w:r w:rsidR="006124EE" w:rsidRPr="006124EE">
        <w:rPr>
          <w:rFonts w:ascii="Times New Roman" w:hAnsi="Times New Roman"/>
          <w:sz w:val="28"/>
          <w:szCs w:val="28"/>
          <w:lang w:val="ru-RU"/>
        </w:rPr>
        <w:t xml:space="preserve"> (ФНО-</w:t>
      </w:r>
      <w:r w:rsidR="006124EE" w:rsidRPr="006124EE">
        <w:rPr>
          <w:rFonts w:ascii="Times New Roman" w:hAnsi="Times New Roman"/>
          <w:sz w:val="28"/>
          <w:szCs w:val="28"/>
        </w:rPr>
        <w:t>α</w:t>
      </w:r>
      <w:r w:rsidR="006124EE" w:rsidRPr="006124EE">
        <w:rPr>
          <w:rFonts w:ascii="Times New Roman" w:hAnsi="Times New Roman"/>
          <w:sz w:val="28"/>
          <w:szCs w:val="28"/>
          <w:lang w:val="ru-RU"/>
        </w:rPr>
        <w:t>)</w:t>
      </w:r>
      <w:r>
        <w:rPr>
          <w:rFonts w:ascii="Times New Roman" w:hAnsi="Times New Roman"/>
          <w:sz w:val="28"/>
          <w:szCs w:val="28"/>
          <w:lang w:val="ru-RU"/>
        </w:rPr>
        <w:t>, растворимых</w:t>
      </w:r>
      <w:r w:rsidR="006124EE" w:rsidRPr="006124EE">
        <w:rPr>
          <w:rFonts w:ascii="Times New Roman" w:hAnsi="Times New Roman"/>
          <w:sz w:val="28"/>
          <w:szCs w:val="28"/>
          <w:lang w:val="ru-RU"/>
        </w:rPr>
        <w:t xml:space="preserve"> рецептор</w:t>
      </w:r>
      <w:r>
        <w:rPr>
          <w:rFonts w:ascii="Times New Roman" w:hAnsi="Times New Roman"/>
          <w:sz w:val="28"/>
          <w:szCs w:val="28"/>
          <w:lang w:val="ru-RU"/>
        </w:rPr>
        <w:t>ов</w:t>
      </w:r>
      <w:r w:rsidR="006124EE" w:rsidRPr="006124EE">
        <w:rPr>
          <w:rFonts w:ascii="Times New Roman" w:hAnsi="Times New Roman"/>
          <w:sz w:val="28"/>
          <w:szCs w:val="28"/>
          <w:lang w:val="ru-RU"/>
        </w:rPr>
        <w:t xml:space="preserve"> ФНО </w:t>
      </w:r>
      <w:r>
        <w:rPr>
          <w:rFonts w:ascii="Times New Roman" w:hAnsi="Times New Roman"/>
          <w:sz w:val="28"/>
          <w:szCs w:val="28"/>
          <w:lang w:val="ru-RU"/>
        </w:rPr>
        <w:t xml:space="preserve">1 </w:t>
      </w:r>
      <w:r w:rsidR="006124EE" w:rsidRPr="006124EE">
        <w:rPr>
          <w:rFonts w:ascii="Times New Roman" w:hAnsi="Times New Roman"/>
          <w:sz w:val="28"/>
          <w:szCs w:val="28"/>
          <w:lang w:val="ru-RU"/>
        </w:rPr>
        <w:t>типа (</w:t>
      </w:r>
      <w:r>
        <w:rPr>
          <w:rFonts w:ascii="Times New Roman" w:hAnsi="Times New Roman"/>
          <w:sz w:val="28"/>
          <w:szCs w:val="28"/>
          <w:lang w:val="ru-RU"/>
        </w:rPr>
        <w:t>рФНО-Р1)</w:t>
      </w:r>
      <w:r w:rsidR="006124EE" w:rsidRPr="006124EE">
        <w:rPr>
          <w:rFonts w:ascii="Times New Roman" w:hAnsi="Times New Roman"/>
          <w:sz w:val="28"/>
          <w:szCs w:val="28"/>
          <w:lang w:val="ru-RU"/>
        </w:rPr>
        <w:t>, и растворим</w:t>
      </w:r>
      <w:r>
        <w:rPr>
          <w:rFonts w:ascii="Times New Roman" w:hAnsi="Times New Roman"/>
          <w:sz w:val="28"/>
          <w:szCs w:val="28"/>
          <w:lang w:val="ru-RU"/>
        </w:rPr>
        <w:t>ого</w:t>
      </w:r>
      <w:r w:rsidR="006124EE" w:rsidRPr="006124EE">
        <w:rPr>
          <w:rFonts w:ascii="Times New Roman" w:hAnsi="Times New Roman"/>
          <w:sz w:val="28"/>
          <w:szCs w:val="28"/>
          <w:lang w:val="ru-RU"/>
        </w:rPr>
        <w:t xml:space="preserve"> </w:t>
      </w:r>
      <w:r w:rsidR="006124EE" w:rsidRPr="006124EE">
        <w:rPr>
          <w:rFonts w:ascii="Times New Roman" w:hAnsi="Times New Roman"/>
          <w:sz w:val="28"/>
          <w:szCs w:val="28"/>
        </w:rPr>
        <w:t>Fas</w:t>
      </w:r>
      <w:r>
        <w:rPr>
          <w:rFonts w:ascii="Times New Roman" w:hAnsi="Times New Roman"/>
          <w:sz w:val="28"/>
          <w:szCs w:val="28"/>
          <w:lang w:val="ru-RU"/>
        </w:rPr>
        <w:t xml:space="preserve"> лиганда (</w:t>
      </w:r>
      <w:proofErr w:type="spellStart"/>
      <w:r w:rsidR="006124EE" w:rsidRPr="006124EE">
        <w:rPr>
          <w:rFonts w:ascii="Times New Roman" w:hAnsi="Times New Roman"/>
          <w:sz w:val="28"/>
          <w:szCs w:val="28"/>
        </w:rPr>
        <w:t>sFasL</w:t>
      </w:r>
      <w:proofErr w:type="spellEnd"/>
      <w:r w:rsidR="006124EE" w:rsidRPr="006124EE">
        <w:rPr>
          <w:rFonts w:ascii="Times New Roman" w:hAnsi="Times New Roman"/>
          <w:sz w:val="28"/>
          <w:szCs w:val="28"/>
          <w:lang w:val="ru-RU"/>
        </w:rPr>
        <w:t xml:space="preserve">) </w:t>
      </w:r>
      <w:r>
        <w:rPr>
          <w:rFonts w:ascii="Times New Roman" w:hAnsi="Times New Roman"/>
          <w:sz w:val="28"/>
          <w:szCs w:val="28"/>
          <w:lang w:val="ru-RU"/>
        </w:rPr>
        <w:t>определялись иммуноферментным методом.</w:t>
      </w:r>
    </w:p>
    <w:p w:rsidR="006124EE" w:rsidRPr="006124EE" w:rsidRDefault="006124EE" w:rsidP="006124EE">
      <w:pPr>
        <w:spacing w:after="0" w:line="360" w:lineRule="auto"/>
        <w:ind w:firstLine="709"/>
        <w:jc w:val="both"/>
        <w:rPr>
          <w:rFonts w:ascii="Times New Roman" w:hAnsi="Times New Roman"/>
          <w:sz w:val="28"/>
          <w:szCs w:val="28"/>
          <w:lang w:val="ru-RU"/>
        </w:rPr>
      </w:pPr>
      <w:r w:rsidRPr="006124EE">
        <w:rPr>
          <w:rFonts w:ascii="Times New Roman" w:hAnsi="Times New Roman"/>
          <w:sz w:val="28"/>
          <w:szCs w:val="28"/>
          <w:lang w:val="ru-RU"/>
        </w:rPr>
        <w:t>Было обнаружено, что уров</w:t>
      </w:r>
      <w:r w:rsidR="00316259">
        <w:rPr>
          <w:rFonts w:ascii="Times New Roman" w:hAnsi="Times New Roman"/>
          <w:sz w:val="28"/>
          <w:szCs w:val="28"/>
          <w:lang w:val="ru-RU"/>
        </w:rPr>
        <w:t>ень</w:t>
      </w:r>
      <w:r w:rsidRPr="006124EE">
        <w:rPr>
          <w:rFonts w:ascii="Times New Roman" w:hAnsi="Times New Roman"/>
          <w:sz w:val="28"/>
          <w:szCs w:val="28"/>
          <w:lang w:val="ru-RU"/>
        </w:rPr>
        <w:t xml:space="preserve"> в плазме </w:t>
      </w:r>
      <w:r w:rsidR="00316259" w:rsidRPr="006124EE">
        <w:rPr>
          <w:rFonts w:ascii="Times New Roman" w:hAnsi="Times New Roman"/>
          <w:sz w:val="28"/>
          <w:szCs w:val="28"/>
          <w:lang w:val="ru-RU"/>
        </w:rPr>
        <w:t>ФНО-</w:t>
      </w:r>
      <w:r w:rsidR="00316259" w:rsidRPr="006124EE">
        <w:rPr>
          <w:rFonts w:ascii="Times New Roman" w:hAnsi="Times New Roman"/>
          <w:sz w:val="28"/>
          <w:szCs w:val="28"/>
        </w:rPr>
        <w:t>α</w:t>
      </w:r>
      <w:r w:rsidRPr="006124EE">
        <w:rPr>
          <w:rFonts w:ascii="Times New Roman" w:hAnsi="Times New Roman"/>
          <w:sz w:val="28"/>
          <w:szCs w:val="28"/>
          <w:lang w:val="ru-RU"/>
        </w:rPr>
        <w:t xml:space="preserve"> у всех групп пациентов был выше, чем у здоровых </w:t>
      </w:r>
      <w:r w:rsidR="00316259">
        <w:rPr>
          <w:rFonts w:ascii="Times New Roman" w:hAnsi="Times New Roman"/>
          <w:sz w:val="28"/>
          <w:szCs w:val="28"/>
          <w:lang w:val="ru-RU"/>
        </w:rPr>
        <w:t>лиц</w:t>
      </w:r>
      <w:r w:rsidRPr="006124EE">
        <w:rPr>
          <w:rFonts w:ascii="Times New Roman" w:hAnsi="Times New Roman"/>
          <w:sz w:val="28"/>
          <w:szCs w:val="28"/>
          <w:lang w:val="ru-RU"/>
        </w:rPr>
        <w:t xml:space="preserve"> (р&lt;0,05). Максимальн</w:t>
      </w:r>
      <w:r w:rsidR="00316259">
        <w:rPr>
          <w:rFonts w:ascii="Times New Roman" w:hAnsi="Times New Roman"/>
          <w:sz w:val="28"/>
          <w:szCs w:val="28"/>
          <w:lang w:val="ru-RU"/>
        </w:rPr>
        <w:t>ое среднее значение определено у больных с 2 степенью АГ.</w:t>
      </w:r>
      <w:r w:rsidRPr="006124EE">
        <w:rPr>
          <w:rFonts w:ascii="Times New Roman" w:hAnsi="Times New Roman"/>
          <w:sz w:val="28"/>
          <w:szCs w:val="28"/>
          <w:lang w:val="ru-RU"/>
        </w:rPr>
        <w:t xml:space="preserve"> Циркулирующие уровни </w:t>
      </w:r>
      <w:r w:rsidR="00316259">
        <w:rPr>
          <w:rFonts w:ascii="Times New Roman" w:hAnsi="Times New Roman"/>
          <w:sz w:val="28"/>
          <w:szCs w:val="28"/>
          <w:lang w:val="ru-RU"/>
        </w:rPr>
        <w:t xml:space="preserve">рФНО-Р1 во </w:t>
      </w:r>
      <w:r w:rsidRPr="006124EE">
        <w:rPr>
          <w:rFonts w:ascii="Times New Roman" w:hAnsi="Times New Roman"/>
          <w:sz w:val="28"/>
          <w:szCs w:val="28"/>
          <w:lang w:val="ru-RU"/>
        </w:rPr>
        <w:t>групп</w:t>
      </w:r>
      <w:r w:rsidR="00316259">
        <w:rPr>
          <w:rFonts w:ascii="Times New Roman" w:hAnsi="Times New Roman"/>
          <w:sz w:val="28"/>
          <w:szCs w:val="28"/>
          <w:lang w:val="ru-RU"/>
        </w:rPr>
        <w:t>ах</w:t>
      </w:r>
      <w:r w:rsidRPr="006124EE">
        <w:rPr>
          <w:rFonts w:ascii="Times New Roman" w:hAnsi="Times New Roman"/>
          <w:sz w:val="28"/>
          <w:szCs w:val="28"/>
          <w:lang w:val="ru-RU"/>
        </w:rPr>
        <w:t xml:space="preserve"> пациентов были повышены против </w:t>
      </w:r>
      <w:r w:rsidR="00316259">
        <w:rPr>
          <w:rFonts w:ascii="Times New Roman" w:hAnsi="Times New Roman"/>
          <w:sz w:val="28"/>
          <w:szCs w:val="28"/>
          <w:lang w:val="ru-RU"/>
        </w:rPr>
        <w:t>контрольной группы</w:t>
      </w:r>
      <w:r w:rsidRPr="006124EE">
        <w:rPr>
          <w:rFonts w:ascii="Times New Roman" w:hAnsi="Times New Roman"/>
          <w:sz w:val="28"/>
          <w:szCs w:val="28"/>
          <w:lang w:val="ru-RU"/>
        </w:rPr>
        <w:t xml:space="preserve"> (р&lt;0,05). Несмотря на обнаруженно</w:t>
      </w:r>
      <w:r w:rsidR="00316259">
        <w:rPr>
          <w:rFonts w:ascii="Times New Roman" w:hAnsi="Times New Roman"/>
          <w:sz w:val="28"/>
          <w:szCs w:val="28"/>
          <w:lang w:val="ru-RU"/>
        </w:rPr>
        <w:t>е увеличение</w:t>
      </w:r>
      <w:r w:rsidRPr="006124EE">
        <w:rPr>
          <w:rFonts w:ascii="Times New Roman" w:hAnsi="Times New Roman"/>
          <w:sz w:val="28"/>
          <w:szCs w:val="28"/>
          <w:lang w:val="ru-RU"/>
        </w:rPr>
        <w:t xml:space="preserve"> концентрации </w:t>
      </w:r>
      <w:r w:rsidR="00316259">
        <w:rPr>
          <w:rFonts w:ascii="Times New Roman" w:hAnsi="Times New Roman"/>
          <w:sz w:val="28"/>
          <w:szCs w:val="28"/>
          <w:lang w:val="ru-RU"/>
        </w:rPr>
        <w:t>рФНО-Р1</w:t>
      </w:r>
      <w:r w:rsidRPr="006124EE">
        <w:rPr>
          <w:rFonts w:ascii="Times New Roman" w:hAnsi="Times New Roman"/>
          <w:sz w:val="28"/>
          <w:szCs w:val="28"/>
          <w:lang w:val="ru-RU"/>
        </w:rPr>
        <w:t xml:space="preserve">, </w:t>
      </w:r>
      <w:r w:rsidR="00316259">
        <w:rPr>
          <w:rFonts w:ascii="Times New Roman" w:hAnsi="Times New Roman"/>
          <w:sz w:val="28"/>
          <w:szCs w:val="28"/>
          <w:lang w:val="ru-RU"/>
        </w:rPr>
        <w:t xml:space="preserve">естественного </w:t>
      </w:r>
      <w:r w:rsidR="00316259" w:rsidRPr="006124EE">
        <w:rPr>
          <w:rFonts w:ascii="Times New Roman" w:hAnsi="Times New Roman"/>
          <w:sz w:val="28"/>
          <w:szCs w:val="28"/>
          <w:lang w:val="ru-RU"/>
        </w:rPr>
        <w:t>ингибитора</w:t>
      </w:r>
      <w:r w:rsidR="00316259" w:rsidRPr="006124EE">
        <w:rPr>
          <w:rFonts w:ascii="Times New Roman" w:hAnsi="Times New Roman"/>
          <w:sz w:val="28"/>
          <w:szCs w:val="28"/>
          <w:lang w:val="ru-RU"/>
        </w:rPr>
        <w:t xml:space="preserve"> </w:t>
      </w:r>
      <w:r w:rsidRPr="006124EE">
        <w:rPr>
          <w:rFonts w:ascii="Times New Roman" w:hAnsi="Times New Roman"/>
          <w:sz w:val="28"/>
          <w:szCs w:val="28"/>
          <w:lang w:val="ru-RU"/>
        </w:rPr>
        <w:t>ФНО-</w:t>
      </w:r>
      <w:r w:rsidRPr="006124EE">
        <w:rPr>
          <w:rFonts w:ascii="Times New Roman" w:hAnsi="Times New Roman"/>
          <w:sz w:val="28"/>
          <w:szCs w:val="28"/>
        </w:rPr>
        <w:t>α</w:t>
      </w:r>
      <w:r w:rsidRPr="006124EE">
        <w:rPr>
          <w:rFonts w:ascii="Times New Roman" w:hAnsi="Times New Roman"/>
          <w:sz w:val="28"/>
          <w:szCs w:val="28"/>
          <w:lang w:val="ru-RU"/>
        </w:rPr>
        <w:t xml:space="preserve">, и незначительное снижение </w:t>
      </w:r>
      <w:r w:rsidR="00316259">
        <w:rPr>
          <w:rFonts w:ascii="Times New Roman" w:hAnsi="Times New Roman"/>
          <w:sz w:val="28"/>
          <w:szCs w:val="28"/>
          <w:lang w:val="ru-RU"/>
        </w:rPr>
        <w:t>соотношения ФНО-</w:t>
      </w:r>
      <w:r w:rsidR="00316259" w:rsidRPr="006124EE">
        <w:rPr>
          <w:rFonts w:ascii="Times New Roman" w:hAnsi="Times New Roman"/>
          <w:sz w:val="28"/>
          <w:szCs w:val="28"/>
        </w:rPr>
        <w:t>α</w:t>
      </w:r>
      <w:r w:rsidR="00316259">
        <w:rPr>
          <w:rFonts w:ascii="Times New Roman" w:hAnsi="Times New Roman"/>
          <w:sz w:val="28"/>
          <w:szCs w:val="28"/>
          <w:lang w:val="ru-RU"/>
        </w:rPr>
        <w:t>/</w:t>
      </w:r>
      <w:r w:rsidR="00316259">
        <w:rPr>
          <w:rFonts w:ascii="Times New Roman" w:hAnsi="Times New Roman"/>
          <w:sz w:val="28"/>
          <w:szCs w:val="28"/>
          <w:lang w:val="ru-RU"/>
        </w:rPr>
        <w:t>рФНО-Р1</w:t>
      </w:r>
      <w:r w:rsidRPr="006124EE">
        <w:rPr>
          <w:rFonts w:ascii="Times New Roman" w:hAnsi="Times New Roman"/>
          <w:sz w:val="28"/>
          <w:szCs w:val="28"/>
          <w:lang w:val="ru-RU"/>
        </w:rPr>
        <w:t>, уровень цитокинов оставался высоким, что подтвержда</w:t>
      </w:r>
      <w:r w:rsidR="00F20865">
        <w:rPr>
          <w:rFonts w:ascii="Times New Roman" w:hAnsi="Times New Roman"/>
          <w:sz w:val="28"/>
          <w:szCs w:val="28"/>
          <w:lang w:val="ru-RU"/>
        </w:rPr>
        <w:t>е</w:t>
      </w:r>
      <w:r w:rsidRPr="006124EE">
        <w:rPr>
          <w:rFonts w:ascii="Times New Roman" w:hAnsi="Times New Roman"/>
          <w:sz w:val="28"/>
          <w:szCs w:val="28"/>
          <w:lang w:val="ru-RU"/>
        </w:rPr>
        <w:t xml:space="preserve">т возможность </w:t>
      </w:r>
      <w:r w:rsidR="00F20865">
        <w:rPr>
          <w:rFonts w:ascii="Times New Roman" w:hAnsi="Times New Roman"/>
          <w:sz w:val="28"/>
          <w:szCs w:val="28"/>
          <w:lang w:val="ru-RU"/>
        </w:rPr>
        <w:t>ФНО</w:t>
      </w:r>
      <w:r w:rsidRPr="006124EE">
        <w:rPr>
          <w:rFonts w:ascii="Times New Roman" w:hAnsi="Times New Roman"/>
          <w:sz w:val="28"/>
          <w:szCs w:val="28"/>
          <w:lang w:val="ru-RU"/>
        </w:rPr>
        <w:t>-опосредованно</w:t>
      </w:r>
      <w:r w:rsidR="00F20865">
        <w:rPr>
          <w:rFonts w:ascii="Times New Roman" w:hAnsi="Times New Roman"/>
          <w:sz w:val="28"/>
          <w:szCs w:val="28"/>
          <w:lang w:val="ru-RU"/>
        </w:rPr>
        <w:t>го</w:t>
      </w:r>
      <w:r w:rsidRPr="006124EE">
        <w:rPr>
          <w:rFonts w:ascii="Times New Roman" w:hAnsi="Times New Roman"/>
          <w:sz w:val="28"/>
          <w:szCs w:val="28"/>
          <w:lang w:val="ru-RU"/>
        </w:rPr>
        <w:t xml:space="preserve"> пути апоптоза у больных </w:t>
      </w:r>
      <w:r w:rsidR="00F20865">
        <w:rPr>
          <w:rFonts w:ascii="Times New Roman" w:hAnsi="Times New Roman"/>
          <w:sz w:val="28"/>
          <w:szCs w:val="28"/>
          <w:lang w:val="ru-RU"/>
        </w:rPr>
        <w:t>АГ</w:t>
      </w:r>
      <w:r w:rsidRPr="006124EE">
        <w:rPr>
          <w:rFonts w:ascii="Times New Roman" w:hAnsi="Times New Roman"/>
          <w:sz w:val="28"/>
          <w:szCs w:val="28"/>
          <w:lang w:val="ru-RU"/>
        </w:rPr>
        <w:t xml:space="preserve">. Полученные результаты </w:t>
      </w:r>
      <w:r w:rsidR="00F20865">
        <w:rPr>
          <w:rFonts w:ascii="Times New Roman" w:hAnsi="Times New Roman"/>
          <w:sz w:val="28"/>
          <w:szCs w:val="28"/>
          <w:lang w:val="ru-RU"/>
        </w:rPr>
        <w:t>ука</w:t>
      </w:r>
      <w:r w:rsidRPr="006124EE">
        <w:rPr>
          <w:rFonts w:ascii="Times New Roman" w:hAnsi="Times New Roman"/>
          <w:sz w:val="28"/>
          <w:szCs w:val="28"/>
          <w:lang w:val="ru-RU"/>
        </w:rPr>
        <w:t>зывают</w:t>
      </w:r>
      <w:r w:rsidR="00F20865">
        <w:rPr>
          <w:rFonts w:ascii="Times New Roman" w:hAnsi="Times New Roman"/>
          <w:sz w:val="28"/>
          <w:szCs w:val="28"/>
          <w:lang w:val="ru-RU"/>
        </w:rPr>
        <w:t xml:space="preserve"> на </w:t>
      </w:r>
      <w:r w:rsidRPr="006124EE">
        <w:rPr>
          <w:rFonts w:ascii="Times New Roman" w:hAnsi="Times New Roman"/>
          <w:sz w:val="28"/>
          <w:szCs w:val="28"/>
          <w:lang w:val="ru-RU"/>
        </w:rPr>
        <w:t xml:space="preserve">возможность </w:t>
      </w:r>
      <w:r w:rsidRPr="006124EE">
        <w:rPr>
          <w:rFonts w:ascii="Times New Roman" w:hAnsi="Times New Roman"/>
          <w:sz w:val="28"/>
          <w:szCs w:val="28"/>
        </w:rPr>
        <w:t>Fas</w:t>
      </w:r>
      <w:r w:rsidRPr="006124EE">
        <w:rPr>
          <w:rFonts w:ascii="Times New Roman" w:hAnsi="Times New Roman"/>
          <w:sz w:val="28"/>
          <w:szCs w:val="28"/>
          <w:lang w:val="ru-RU"/>
        </w:rPr>
        <w:t>-</w:t>
      </w:r>
      <w:r w:rsidR="00F20865">
        <w:rPr>
          <w:rFonts w:ascii="Times New Roman" w:hAnsi="Times New Roman"/>
          <w:sz w:val="28"/>
          <w:szCs w:val="28"/>
          <w:lang w:val="ru-RU"/>
        </w:rPr>
        <w:t xml:space="preserve">зависимого </w:t>
      </w:r>
      <w:r w:rsidRPr="006124EE">
        <w:rPr>
          <w:rFonts w:ascii="Times New Roman" w:hAnsi="Times New Roman"/>
          <w:sz w:val="28"/>
          <w:szCs w:val="28"/>
          <w:lang w:val="ru-RU"/>
        </w:rPr>
        <w:t xml:space="preserve">апоптоза у больных с </w:t>
      </w:r>
      <w:r w:rsidR="00F20865">
        <w:rPr>
          <w:rFonts w:ascii="Times New Roman" w:hAnsi="Times New Roman"/>
          <w:sz w:val="28"/>
          <w:szCs w:val="28"/>
          <w:lang w:val="ru-RU"/>
        </w:rPr>
        <w:t>АГ</w:t>
      </w:r>
      <w:r w:rsidRPr="006124EE">
        <w:rPr>
          <w:rFonts w:ascii="Times New Roman" w:hAnsi="Times New Roman"/>
          <w:sz w:val="28"/>
          <w:szCs w:val="28"/>
          <w:lang w:val="ru-RU"/>
        </w:rPr>
        <w:t>.</w:t>
      </w:r>
    </w:p>
    <w:p w:rsidR="006124EE" w:rsidRPr="006124EE" w:rsidRDefault="00F20865" w:rsidP="006124EE">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Выводы</w:t>
      </w:r>
      <w:r w:rsidR="006124EE" w:rsidRPr="006124EE">
        <w:rPr>
          <w:rFonts w:ascii="Times New Roman" w:hAnsi="Times New Roman"/>
          <w:sz w:val="28"/>
          <w:szCs w:val="28"/>
          <w:lang w:val="ru-RU"/>
        </w:rPr>
        <w:t>. Результат</w:t>
      </w:r>
      <w:r>
        <w:rPr>
          <w:rFonts w:ascii="Times New Roman" w:hAnsi="Times New Roman"/>
          <w:sz w:val="28"/>
          <w:szCs w:val="28"/>
          <w:lang w:val="ru-RU"/>
        </w:rPr>
        <w:t>ы</w:t>
      </w:r>
      <w:r w:rsidR="006124EE" w:rsidRPr="006124EE">
        <w:rPr>
          <w:rFonts w:ascii="Times New Roman" w:hAnsi="Times New Roman"/>
          <w:sz w:val="28"/>
          <w:szCs w:val="28"/>
          <w:lang w:val="ru-RU"/>
        </w:rPr>
        <w:t xml:space="preserve"> нашей клинического исследования показали повышенную иммуно- воспалительн</w:t>
      </w:r>
      <w:r>
        <w:rPr>
          <w:rFonts w:ascii="Times New Roman" w:hAnsi="Times New Roman"/>
          <w:sz w:val="28"/>
          <w:szCs w:val="28"/>
          <w:lang w:val="ru-RU"/>
        </w:rPr>
        <w:t>ую</w:t>
      </w:r>
      <w:r w:rsidR="006124EE" w:rsidRPr="006124EE">
        <w:rPr>
          <w:rFonts w:ascii="Times New Roman" w:hAnsi="Times New Roman"/>
          <w:sz w:val="28"/>
          <w:szCs w:val="28"/>
          <w:lang w:val="ru-RU"/>
        </w:rPr>
        <w:t xml:space="preserve"> и проапопто</w:t>
      </w:r>
      <w:r>
        <w:rPr>
          <w:rFonts w:ascii="Times New Roman" w:hAnsi="Times New Roman"/>
          <w:sz w:val="28"/>
          <w:szCs w:val="28"/>
          <w:lang w:val="ru-RU"/>
        </w:rPr>
        <w:t xml:space="preserve">тическую </w:t>
      </w:r>
      <w:r w:rsidR="006124EE" w:rsidRPr="006124EE">
        <w:rPr>
          <w:rFonts w:ascii="Times New Roman" w:hAnsi="Times New Roman"/>
          <w:sz w:val="28"/>
          <w:szCs w:val="28"/>
          <w:lang w:val="ru-RU"/>
        </w:rPr>
        <w:t xml:space="preserve">активность </w:t>
      </w:r>
      <w:r>
        <w:rPr>
          <w:rFonts w:ascii="Times New Roman" w:hAnsi="Times New Roman"/>
          <w:sz w:val="28"/>
          <w:szCs w:val="28"/>
          <w:lang w:val="ru-RU"/>
        </w:rPr>
        <w:t xml:space="preserve">в </w:t>
      </w:r>
      <w:r w:rsidR="006124EE" w:rsidRPr="006124EE">
        <w:rPr>
          <w:rFonts w:ascii="Times New Roman" w:hAnsi="Times New Roman"/>
          <w:sz w:val="28"/>
          <w:szCs w:val="28"/>
          <w:lang w:val="ru-RU"/>
        </w:rPr>
        <w:t>зависи</w:t>
      </w:r>
      <w:r>
        <w:rPr>
          <w:rFonts w:ascii="Times New Roman" w:hAnsi="Times New Roman"/>
          <w:sz w:val="28"/>
          <w:szCs w:val="28"/>
          <w:lang w:val="ru-RU"/>
        </w:rPr>
        <w:t xml:space="preserve">мости </w:t>
      </w:r>
      <w:r w:rsidR="006124EE" w:rsidRPr="006124EE">
        <w:rPr>
          <w:rFonts w:ascii="Times New Roman" w:hAnsi="Times New Roman"/>
          <w:sz w:val="28"/>
          <w:szCs w:val="28"/>
          <w:lang w:val="ru-RU"/>
        </w:rPr>
        <w:t>от наличия и степени артериальной гипертензии.</w:t>
      </w:r>
    </w:p>
    <w:p w:rsidR="004940B7" w:rsidRPr="00F20865" w:rsidRDefault="006124EE" w:rsidP="006124EE">
      <w:pPr>
        <w:spacing w:after="0" w:line="360" w:lineRule="auto"/>
        <w:ind w:firstLine="709"/>
        <w:jc w:val="both"/>
        <w:rPr>
          <w:rFonts w:ascii="Times New Roman" w:hAnsi="Times New Roman"/>
          <w:sz w:val="28"/>
          <w:szCs w:val="28"/>
          <w:lang w:val="ru-RU"/>
        </w:rPr>
      </w:pPr>
      <w:r w:rsidRPr="00F20865">
        <w:rPr>
          <w:rFonts w:ascii="Times New Roman" w:hAnsi="Times New Roman"/>
          <w:b/>
          <w:sz w:val="28"/>
          <w:szCs w:val="28"/>
          <w:lang w:val="ru-RU"/>
        </w:rPr>
        <w:t>Ключевые слова</w:t>
      </w:r>
      <w:r w:rsidRPr="006124EE">
        <w:rPr>
          <w:rFonts w:ascii="Times New Roman" w:hAnsi="Times New Roman"/>
          <w:sz w:val="28"/>
          <w:szCs w:val="28"/>
          <w:lang w:val="ru-RU"/>
        </w:rPr>
        <w:t>: апоптоз, циркулирующие биомаркеры апоптоз</w:t>
      </w:r>
      <w:r w:rsidR="00F20865">
        <w:rPr>
          <w:rFonts w:ascii="Times New Roman" w:hAnsi="Times New Roman"/>
          <w:sz w:val="28"/>
          <w:szCs w:val="28"/>
          <w:lang w:val="ru-RU"/>
        </w:rPr>
        <w:t>а, артериальная гипертензия</w:t>
      </w:r>
      <w:r w:rsidRPr="006124EE">
        <w:rPr>
          <w:rFonts w:ascii="Times New Roman" w:hAnsi="Times New Roman"/>
          <w:sz w:val="28"/>
          <w:szCs w:val="28"/>
          <w:lang w:val="ru-RU"/>
        </w:rPr>
        <w:t>.</w:t>
      </w:r>
    </w:p>
    <w:p w:rsidR="006124EE" w:rsidRPr="00F20865" w:rsidRDefault="006124EE" w:rsidP="006124EE">
      <w:pPr>
        <w:spacing w:after="0" w:line="360" w:lineRule="auto"/>
        <w:ind w:firstLine="709"/>
        <w:jc w:val="both"/>
        <w:rPr>
          <w:rFonts w:ascii="Times New Roman" w:hAnsi="Times New Roman"/>
          <w:sz w:val="28"/>
          <w:szCs w:val="28"/>
          <w:lang w:val="ru-RU"/>
        </w:rPr>
      </w:pPr>
    </w:p>
    <w:p w:rsidR="006124EE" w:rsidRPr="00D04354" w:rsidRDefault="00D04354" w:rsidP="00D04354">
      <w:pPr>
        <w:spacing w:after="0" w:line="360" w:lineRule="auto"/>
        <w:ind w:firstLine="709"/>
        <w:jc w:val="center"/>
        <w:rPr>
          <w:rFonts w:ascii="Times New Roman" w:hAnsi="Times New Roman"/>
          <w:b/>
          <w:sz w:val="28"/>
          <w:szCs w:val="28"/>
          <w:lang w:val="ru-RU"/>
        </w:rPr>
      </w:pPr>
      <w:r w:rsidRPr="00D04354">
        <w:rPr>
          <w:rFonts w:ascii="Times New Roman" w:hAnsi="Times New Roman"/>
          <w:b/>
          <w:sz w:val="28"/>
          <w:szCs w:val="28"/>
          <w:lang w:val="ru-RU"/>
        </w:rPr>
        <w:t xml:space="preserve">ДИСТАНТНІ БІОМАРКЕРИ </w:t>
      </w:r>
      <w:r w:rsidR="006124EE" w:rsidRPr="00D04354">
        <w:rPr>
          <w:rFonts w:ascii="Times New Roman" w:hAnsi="Times New Roman"/>
          <w:b/>
          <w:sz w:val="28"/>
          <w:szCs w:val="28"/>
          <w:lang w:val="ru-RU"/>
        </w:rPr>
        <w:t>АПОПТОЗ</w:t>
      </w:r>
      <w:r w:rsidRPr="00D04354">
        <w:rPr>
          <w:rFonts w:ascii="Times New Roman" w:hAnsi="Times New Roman"/>
          <w:b/>
          <w:sz w:val="28"/>
          <w:szCs w:val="28"/>
          <w:lang w:val="ru-RU"/>
        </w:rPr>
        <w:t>У</w:t>
      </w:r>
      <w:r w:rsidR="006124EE" w:rsidRPr="00D04354">
        <w:rPr>
          <w:rFonts w:ascii="Times New Roman" w:hAnsi="Times New Roman"/>
          <w:b/>
          <w:sz w:val="28"/>
          <w:szCs w:val="28"/>
          <w:lang w:val="ru-RU"/>
        </w:rPr>
        <w:t xml:space="preserve"> </w:t>
      </w:r>
      <w:r w:rsidRPr="00D04354">
        <w:rPr>
          <w:rFonts w:ascii="Times New Roman" w:hAnsi="Times New Roman"/>
          <w:b/>
          <w:sz w:val="28"/>
          <w:szCs w:val="28"/>
          <w:lang w:val="ru-RU"/>
        </w:rPr>
        <w:t xml:space="preserve">ПРИ АРТЕРІАЛЬНІЙ </w:t>
      </w:r>
      <w:r w:rsidR="006124EE" w:rsidRPr="00D04354">
        <w:rPr>
          <w:rFonts w:ascii="Times New Roman" w:hAnsi="Times New Roman"/>
          <w:b/>
          <w:sz w:val="28"/>
          <w:szCs w:val="28"/>
          <w:lang w:val="ru-RU"/>
        </w:rPr>
        <w:t>ГІПЕРТЕНЗІЇ</w:t>
      </w:r>
      <w:r w:rsidRPr="00D04354">
        <w:rPr>
          <w:rFonts w:ascii="Times New Roman" w:hAnsi="Times New Roman"/>
          <w:b/>
          <w:sz w:val="28"/>
          <w:szCs w:val="28"/>
          <w:lang w:val="ru-RU"/>
        </w:rPr>
        <w:t xml:space="preserve"> У </w:t>
      </w:r>
      <w:r w:rsidRPr="00D04354">
        <w:rPr>
          <w:rFonts w:ascii="Times New Roman" w:hAnsi="Times New Roman"/>
          <w:b/>
          <w:sz w:val="28"/>
          <w:szCs w:val="28"/>
          <w:lang w:val="ru-RU"/>
        </w:rPr>
        <w:t>ЛЮДИНИ</w:t>
      </w:r>
    </w:p>
    <w:p w:rsidR="006124EE" w:rsidRPr="00D04354" w:rsidRDefault="006124EE" w:rsidP="00D04354">
      <w:pPr>
        <w:spacing w:after="0" w:line="360" w:lineRule="auto"/>
        <w:ind w:firstLine="709"/>
        <w:jc w:val="center"/>
        <w:rPr>
          <w:rFonts w:ascii="Times New Roman" w:hAnsi="Times New Roman"/>
          <w:b/>
          <w:sz w:val="28"/>
          <w:szCs w:val="28"/>
          <w:lang w:val="ru-RU"/>
        </w:rPr>
      </w:pPr>
      <w:r w:rsidRPr="00D04354">
        <w:rPr>
          <w:rFonts w:ascii="Times New Roman" w:hAnsi="Times New Roman"/>
          <w:b/>
          <w:sz w:val="28"/>
          <w:szCs w:val="28"/>
          <w:lang w:val="ru-RU"/>
        </w:rPr>
        <w:lastRenderedPageBreak/>
        <w:t>Ащеулова Т</w:t>
      </w:r>
      <w:r w:rsidR="00D04354" w:rsidRPr="00D04354">
        <w:rPr>
          <w:rFonts w:ascii="Times New Roman" w:hAnsi="Times New Roman"/>
          <w:b/>
          <w:sz w:val="28"/>
          <w:szCs w:val="28"/>
          <w:lang w:val="ru-RU"/>
        </w:rPr>
        <w:t>.В.</w:t>
      </w:r>
      <w:r w:rsidRPr="00D04354">
        <w:rPr>
          <w:rFonts w:ascii="Times New Roman" w:hAnsi="Times New Roman"/>
          <w:b/>
          <w:sz w:val="28"/>
          <w:szCs w:val="28"/>
          <w:lang w:val="ru-RU"/>
        </w:rPr>
        <w:t>, Ковальова О.</w:t>
      </w:r>
      <w:r w:rsidR="00D04354" w:rsidRPr="00D04354">
        <w:rPr>
          <w:rFonts w:ascii="Times New Roman" w:hAnsi="Times New Roman"/>
          <w:b/>
          <w:sz w:val="28"/>
          <w:szCs w:val="28"/>
          <w:lang w:val="ru-RU"/>
        </w:rPr>
        <w:t>М.</w:t>
      </w:r>
    </w:p>
    <w:p w:rsidR="006124EE" w:rsidRPr="006124EE" w:rsidRDefault="006124EE" w:rsidP="006124EE">
      <w:pPr>
        <w:spacing w:after="0" w:line="360" w:lineRule="auto"/>
        <w:ind w:firstLine="709"/>
        <w:jc w:val="both"/>
        <w:rPr>
          <w:rFonts w:ascii="Times New Roman" w:hAnsi="Times New Roman"/>
          <w:sz w:val="28"/>
          <w:szCs w:val="28"/>
          <w:lang w:val="ru-RU"/>
        </w:rPr>
      </w:pPr>
      <w:r w:rsidRPr="006124EE">
        <w:rPr>
          <w:rFonts w:ascii="Times New Roman" w:hAnsi="Times New Roman"/>
          <w:sz w:val="28"/>
          <w:szCs w:val="28"/>
          <w:lang w:val="ru-RU"/>
        </w:rPr>
        <w:t xml:space="preserve">Метою було вивчення </w:t>
      </w:r>
      <w:r w:rsidR="00D04354">
        <w:rPr>
          <w:rFonts w:ascii="Times New Roman" w:hAnsi="Times New Roman"/>
          <w:sz w:val="28"/>
          <w:szCs w:val="28"/>
          <w:lang w:val="ru-RU"/>
        </w:rPr>
        <w:t>рівня плазматичних</w:t>
      </w:r>
      <w:r w:rsidR="00D04354" w:rsidRPr="006124EE">
        <w:rPr>
          <w:rFonts w:ascii="Times New Roman" w:hAnsi="Times New Roman"/>
          <w:sz w:val="28"/>
          <w:szCs w:val="28"/>
          <w:lang w:val="ru-RU"/>
        </w:rPr>
        <w:t xml:space="preserve"> маркерів </w:t>
      </w:r>
      <w:r w:rsidRPr="006124EE">
        <w:rPr>
          <w:rFonts w:ascii="Times New Roman" w:hAnsi="Times New Roman"/>
          <w:sz w:val="28"/>
          <w:szCs w:val="28"/>
          <w:lang w:val="ru-RU"/>
        </w:rPr>
        <w:t>апоптозу (ФНП-</w:t>
      </w:r>
      <w:r w:rsidRPr="006124EE">
        <w:rPr>
          <w:rFonts w:ascii="Times New Roman" w:hAnsi="Times New Roman"/>
          <w:sz w:val="28"/>
          <w:szCs w:val="28"/>
        </w:rPr>
        <w:t>α</w:t>
      </w:r>
      <w:r w:rsidRPr="006124EE">
        <w:rPr>
          <w:rFonts w:ascii="Times New Roman" w:hAnsi="Times New Roman"/>
          <w:sz w:val="28"/>
          <w:szCs w:val="28"/>
          <w:lang w:val="ru-RU"/>
        </w:rPr>
        <w:t xml:space="preserve">, </w:t>
      </w:r>
      <w:r w:rsidR="00D04354">
        <w:rPr>
          <w:rFonts w:ascii="Times New Roman" w:hAnsi="Times New Roman"/>
          <w:sz w:val="28"/>
          <w:szCs w:val="28"/>
          <w:lang w:val="ru-RU"/>
        </w:rPr>
        <w:t>рФНП-Р1</w:t>
      </w:r>
      <w:r w:rsidRPr="006124EE">
        <w:rPr>
          <w:rFonts w:ascii="Times New Roman" w:hAnsi="Times New Roman"/>
          <w:sz w:val="28"/>
          <w:szCs w:val="28"/>
          <w:lang w:val="ru-RU"/>
        </w:rPr>
        <w:t xml:space="preserve">, </w:t>
      </w:r>
      <w:proofErr w:type="spellStart"/>
      <w:r w:rsidRPr="006124EE">
        <w:rPr>
          <w:rFonts w:ascii="Times New Roman" w:hAnsi="Times New Roman"/>
          <w:sz w:val="28"/>
          <w:szCs w:val="28"/>
        </w:rPr>
        <w:t>sFasL</w:t>
      </w:r>
      <w:proofErr w:type="spellEnd"/>
      <w:r w:rsidRPr="006124EE">
        <w:rPr>
          <w:rFonts w:ascii="Times New Roman" w:hAnsi="Times New Roman"/>
          <w:sz w:val="28"/>
          <w:szCs w:val="28"/>
          <w:lang w:val="ru-RU"/>
        </w:rPr>
        <w:t xml:space="preserve">) </w:t>
      </w:r>
      <w:r w:rsidR="00D04354">
        <w:rPr>
          <w:rFonts w:ascii="Times New Roman" w:hAnsi="Times New Roman"/>
          <w:sz w:val="28"/>
          <w:szCs w:val="28"/>
          <w:lang w:val="ru-RU"/>
        </w:rPr>
        <w:t xml:space="preserve">у хворих на </w:t>
      </w:r>
      <w:r w:rsidRPr="006124EE">
        <w:rPr>
          <w:rFonts w:ascii="Times New Roman" w:hAnsi="Times New Roman"/>
          <w:sz w:val="28"/>
          <w:szCs w:val="28"/>
          <w:lang w:val="ru-RU"/>
        </w:rPr>
        <w:t>артеріальн</w:t>
      </w:r>
      <w:r w:rsidR="00D04354">
        <w:rPr>
          <w:rFonts w:ascii="Times New Roman" w:hAnsi="Times New Roman"/>
          <w:sz w:val="28"/>
          <w:szCs w:val="28"/>
          <w:lang w:val="ru-RU"/>
        </w:rPr>
        <w:t>у гіпертензі</w:t>
      </w:r>
      <w:r w:rsidRPr="006124EE">
        <w:rPr>
          <w:rFonts w:ascii="Times New Roman" w:hAnsi="Times New Roman"/>
          <w:sz w:val="28"/>
          <w:szCs w:val="28"/>
          <w:lang w:val="ru-RU"/>
        </w:rPr>
        <w:t>ю (АГ) залежать від ступеня підвищення артеріального тиску.</w:t>
      </w:r>
    </w:p>
    <w:p w:rsidR="006124EE" w:rsidRPr="006124EE" w:rsidRDefault="006124EE" w:rsidP="006124EE">
      <w:pPr>
        <w:spacing w:after="0" w:line="360" w:lineRule="auto"/>
        <w:ind w:firstLine="709"/>
        <w:jc w:val="both"/>
        <w:rPr>
          <w:rFonts w:ascii="Times New Roman" w:hAnsi="Times New Roman"/>
          <w:sz w:val="28"/>
          <w:szCs w:val="28"/>
          <w:lang w:val="ru-RU"/>
        </w:rPr>
      </w:pPr>
      <w:r w:rsidRPr="006124EE">
        <w:rPr>
          <w:rFonts w:ascii="Times New Roman" w:hAnsi="Times New Roman"/>
          <w:sz w:val="28"/>
          <w:szCs w:val="28"/>
          <w:lang w:val="ru-RU"/>
        </w:rPr>
        <w:t xml:space="preserve">Ми </w:t>
      </w:r>
      <w:r w:rsidR="00D04354">
        <w:rPr>
          <w:rFonts w:ascii="Times New Roman" w:hAnsi="Times New Roman"/>
          <w:sz w:val="28"/>
          <w:szCs w:val="28"/>
          <w:lang w:val="ru-RU"/>
        </w:rPr>
        <w:t xml:space="preserve">обстежили </w:t>
      </w:r>
      <w:r w:rsidRPr="006124EE">
        <w:rPr>
          <w:rFonts w:ascii="Times New Roman" w:hAnsi="Times New Roman"/>
          <w:sz w:val="28"/>
          <w:szCs w:val="28"/>
          <w:lang w:val="ru-RU"/>
        </w:rPr>
        <w:t xml:space="preserve">78 пацієнтів з АГ, які були розділені на 3 групи залежно від </w:t>
      </w:r>
      <w:r w:rsidR="00D04354">
        <w:rPr>
          <w:rFonts w:ascii="Times New Roman" w:hAnsi="Times New Roman"/>
          <w:sz w:val="28"/>
          <w:szCs w:val="28"/>
          <w:lang w:val="ru-RU"/>
        </w:rPr>
        <w:t>с</w:t>
      </w:r>
      <w:r w:rsidRPr="006124EE">
        <w:rPr>
          <w:rFonts w:ascii="Times New Roman" w:hAnsi="Times New Roman"/>
          <w:sz w:val="28"/>
          <w:szCs w:val="28"/>
          <w:lang w:val="ru-RU"/>
        </w:rPr>
        <w:t>тупеня</w:t>
      </w:r>
      <w:r w:rsidR="00D04354">
        <w:rPr>
          <w:rFonts w:ascii="Times New Roman" w:hAnsi="Times New Roman"/>
          <w:sz w:val="28"/>
          <w:szCs w:val="28"/>
          <w:lang w:val="ru-RU"/>
        </w:rPr>
        <w:t xml:space="preserve"> АГ</w:t>
      </w:r>
      <w:r w:rsidRPr="006124EE">
        <w:rPr>
          <w:rFonts w:ascii="Times New Roman" w:hAnsi="Times New Roman"/>
          <w:sz w:val="28"/>
          <w:szCs w:val="28"/>
          <w:lang w:val="ru-RU"/>
        </w:rPr>
        <w:t>: 1 група (</w:t>
      </w:r>
      <w:r w:rsidR="00D04354">
        <w:rPr>
          <w:rFonts w:ascii="Times New Roman" w:hAnsi="Times New Roman"/>
          <w:sz w:val="28"/>
          <w:szCs w:val="28"/>
        </w:rPr>
        <w:t>n</w:t>
      </w:r>
      <w:r w:rsidRPr="006124EE">
        <w:rPr>
          <w:rFonts w:ascii="Times New Roman" w:hAnsi="Times New Roman"/>
          <w:sz w:val="28"/>
          <w:szCs w:val="28"/>
          <w:lang w:val="ru-RU"/>
        </w:rPr>
        <w:t xml:space="preserve">=18) - 1 </w:t>
      </w:r>
      <w:r w:rsidR="00D04354">
        <w:rPr>
          <w:rFonts w:ascii="Times New Roman" w:hAnsi="Times New Roman"/>
          <w:sz w:val="28"/>
          <w:szCs w:val="28"/>
          <w:lang w:val="ru-RU"/>
        </w:rPr>
        <w:t>ступінь</w:t>
      </w:r>
      <w:r w:rsidRPr="006124EE">
        <w:rPr>
          <w:rFonts w:ascii="Times New Roman" w:hAnsi="Times New Roman"/>
          <w:sz w:val="28"/>
          <w:szCs w:val="28"/>
          <w:lang w:val="ru-RU"/>
        </w:rPr>
        <w:t xml:space="preserve"> </w:t>
      </w:r>
      <w:r w:rsidRPr="006124EE">
        <w:rPr>
          <w:rFonts w:ascii="Times New Roman" w:hAnsi="Times New Roman"/>
          <w:sz w:val="28"/>
          <w:szCs w:val="28"/>
        </w:rPr>
        <w:t>A</w:t>
      </w:r>
      <w:r w:rsidR="00D04354">
        <w:rPr>
          <w:rFonts w:ascii="Times New Roman" w:hAnsi="Times New Roman"/>
          <w:sz w:val="28"/>
          <w:szCs w:val="28"/>
          <w:lang w:val="uk-UA"/>
        </w:rPr>
        <w:t>Г</w:t>
      </w:r>
      <w:r w:rsidRPr="006124EE">
        <w:rPr>
          <w:rFonts w:ascii="Times New Roman" w:hAnsi="Times New Roman"/>
          <w:sz w:val="28"/>
          <w:szCs w:val="28"/>
          <w:lang w:val="ru-RU"/>
        </w:rPr>
        <w:t>, 2 група (</w:t>
      </w:r>
      <w:r w:rsidR="00D04354">
        <w:rPr>
          <w:rFonts w:ascii="Times New Roman" w:hAnsi="Times New Roman"/>
          <w:sz w:val="28"/>
          <w:szCs w:val="28"/>
        </w:rPr>
        <w:t>n</w:t>
      </w:r>
      <w:r w:rsidRPr="006124EE">
        <w:rPr>
          <w:rFonts w:ascii="Times New Roman" w:hAnsi="Times New Roman"/>
          <w:sz w:val="28"/>
          <w:szCs w:val="28"/>
          <w:lang w:val="ru-RU"/>
        </w:rPr>
        <w:t>=25) - 2 ступінь АГ, 3 група (</w:t>
      </w:r>
      <w:r w:rsidR="00D04354">
        <w:rPr>
          <w:rFonts w:ascii="Times New Roman" w:hAnsi="Times New Roman"/>
          <w:sz w:val="28"/>
          <w:szCs w:val="28"/>
        </w:rPr>
        <w:t>n</w:t>
      </w:r>
      <w:r w:rsidRPr="006124EE">
        <w:rPr>
          <w:rFonts w:ascii="Times New Roman" w:hAnsi="Times New Roman"/>
          <w:sz w:val="28"/>
          <w:szCs w:val="28"/>
          <w:lang w:val="ru-RU"/>
        </w:rPr>
        <w:t xml:space="preserve">=35) - 3 ступінь АГ. </w:t>
      </w:r>
      <w:r w:rsidR="00D04354">
        <w:rPr>
          <w:rFonts w:ascii="Times New Roman" w:hAnsi="Times New Roman"/>
          <w:sz w:val="28"/>
          <w:szCs w:val="28"/>
          <w:lang w:val="ru-RU"/>
        </w:rPr>
        <w:t>Рівень фактора некрозу пухлин-</w:t>
      </w:r>
      <w:r w:rsidRPr="006124EE">
        <w:rPr>
          <w:rFonts w:ascii="Times New Roman" w:hAnsi="Times New Roman"/>
          <w:sz w:val="28"/>
          <w:szCs w:val="28"/>
        </w:rPr>
        <w:t>α</w:t>
      </w:r>
      <w:r w:rsidRPr="006124EE">
        <w:rPr>
          <w:rFonts w:ascii="Times New Roman" w:hAnsi="Times New Roman"/>
          <w:sz w:val="28"/>
          <w:szCs w:val="28"/>
          <w:lang w:val="ru-RU"/>
        </w:rPr>
        <w:t xml:space="preserve"> </w:t>
      </w:r>
      <w:r w:rsidR="00D04354">
        <w:rPr>
          <w:rFonts w:ascii="Times New Roman" w:hAnsi="Times New Roman"/>
          <w:sz w:val="28"/>
          <w:szCs w:val="28"/>
          <w:lang w:val="ru-RU"/>
        </w:rPr>
        <w:t>(</w:t>
      </w:r>
      <w:r w:rsidRPr="006124EE">
        <w:rPr>
          <w:rFonts w:ascii="Times New Roman" w:hAnsi="Times New Roman"/>
          <w:sz w:val="28"/>
          <w:szCs w:val="28"/>
          <w:lang w:val="ru-RU"/>
        </w:rPr>
        <w:t>ФНП-</w:t>
      </w:r>
      <w:r w:rsidRPr="006124EE">
        <w:rPr>
          <w:rFonts w:ascii="Times New Roman" w:hAnsi="Times New Roman"/>
          <w:sz w:val="28"/>
          <w:szCs w:val="28"/>
        </w:rPr>
        <w:t>α</w:t>
      </w:r>
      <w:r w:rsidRPr="006124EE">
        <w:rPr>
          <w:rFonts w:ascii="Times New Roman" w:hAnsi="Times New Roman"/>
          <w:sz w:val="28"/>
          <w:szCs w:val="28"/>
          <w:lang w:val="ru-RU"/>
        </w:rPr>
        <w:t xml:space="preserve">), розчинні рецептори ФНП 1 </w:t>
      </w:r>
      <w:r w:rsidR="00D04354" w:rsidRPr="006124EE">
        <w:rPr>
          <w:rFonts w:ascii="Times New Roman" w:hAnsi="Times New Roman"/>
          <w:sz w:val="28"/>
          <w:szCs w:val="28"/>
          <w:lang w:val="ru-RU"/>
        </w:rPr>
        <w:t>типу</w:t>
      </w:r>
      <w:r w:rsidR="00D04354" w:rsidRPr="006124EE">
        <w:rPr>
          <w:rFonts w:ascii="Times New Roman" w:hAnsi="Times New Roman"/>
          <w:sz w:val="28"/>
          <w:szCs w:val="28"/>
          <w:lang w:val="ru-RU"/>
        </w:rPr>
        <w:t xml:space="preserve"> </w:t>
      </w:r>
      <w:r w:rsidRPr="006124EE">
        <w:rPr>
          <w:rFonts w:ascii="Times New Roman" w:hAnsi="Times New Roman"/>
          <w:sz w:val="28"/>
          <w:szCs w:val="28"/>
          <w:lang w:val="ru-RU"/>
        </w:rPr>
        <w:t>(</w:t>
      </w:r>
      <w:r w:rsidR="00D04354">
        <w:rPr>
          <w:rFonts w:ascii="Times New Roman" w:hAnsi="Times New Roman"/>
          <w:sz w:val="28"/>
          <w:szCs w:val="28"/>
          <w:lang w:val="ru-RU"/>
        </w:rPr>
        <w:t xml:space="preserve">рФНП-Р1) та </w:t>
      </w:r>
      <w:r w:rsidRPr="006124EE">
        <w:rPr>
          <w:rFonts w:ascii="Times New Roman" w:hAnsi="Times New Roman"/>
          <w:sz w:val="28"/>
          <w:szCs w:val="28"/>
          <w:lang w:val="ru-RU"/>
        </w:rPr>
        <w:t>розчинн</w:t>
      </w:r>
      <w:r w:rsidR="00D04354">
        <w:rPr>
          <w:rFonts w:ascii="Times New Roman" w:hAnsi="Times New Roman"/>
          <w:sz w:val="28"/>
          <w:szCs w:val="28"/>
          <w:lang w:val="ru-RU"/>
        </w:rPr>
        <w:t>і</w:t>
      </w:r>
      <w:r w:rsidRPr="006124EE">
        <w:rPr>
          <w:rFonts w:ascii="Times New Roman" w:hAnsi="Times New Roman"/>
          <w:sz w:val="28"/>
          <w:szCs w:val="28"/>
          <w:lang w:val="ru-RU"/>
        </w:rPr>
        <w:t xml:space="preserve"> </w:t>
      </w:r>
      <w:r w:rsidRPr="006124EE">
        <w:rPr>
          <w:rFonts w:ascii="Times New Roman" w:hAnsi="Times New Roman"/>
          <w:sz w:val="28"/>
          <w:szCs w:val="28"/>
        </w:rPr>
        <w:t>Fas</w:t>
      </w:r>
      <w:r w:rsidRPr="006124EE">
        <w:rPr>
          <w:rFonts w:ascii="Times New Roman" w:hAnsi="Times New Roman"/>
          <w:sz w:val="28"/>
          <w:szCs w:val="28"/>
          <w:lang w:val="ru-RU"/>
        </w:rPr>
        <w:t xml:space="preserve"> ліганд</w:t>
      </w:r>
      <w:r w:rsidR="00D04354">
        <w:rPr>
          <w:rFonts w:ascii="Times New Roman" w:hAnsi="Times New Roman"/>
          <w:sz w:val="28"/>
          <w:szCs w:val="28"/>
          <w:lang w:val="ru-RU"/>
        </w:rPr>
        <w:t xml:space="preserve"> и (</w:t>
      </w:r>
      <w:proofErr w:type="spellStart"/>
      <w:r w:rsidRPr="006124EE">
        <w:rPr>
          <w:rFonts w:ascii="Times New Roman" w:hAnsi="Times New Roman"/>
          <w:sz w:val="28"/>
          <w:szCs w:val="28"/>
        </w:rPr>
        <w:t>sFasL</w:t>
      </w:r>
      <w:proofErr w:type="spellEnd"/>
      <w:r w:rsidRPr="006124EE">
        <w:rPr>
          <w:rFonts w:ascii="Times New Roman" w:hAnsi="Times New Roman"/>
          <w:sz w:val="28"/>
          <w:szCs w:val="28"/>
          <w:lang w:val="ru-RU"/>
        </w:rPr>
        <w:t xml:space="preserve">) </w:t>
      </w:r>
      <w:r w:rsidR="00D04354">
        <w:rPr>
          <w:rFonts w:ascii="Times New Roman" w:hAnsi="Times New Roman"/>
          <w:sz w:val="28"/>
          <w:szCs w:val="28"/>
          <w:lang w:val="ru-RU"/>
        </w:rPr>
        <w:t>визначали імуноферментним методом.</w:t>
      </w:r>
    </w:p>
    <w:p w:rsidR="006124EE" w:rsidRPr="002E086A" w:rsidRDefault="006124EE" w:rsidP="006124EE">
      <w:pPr>
        <w:spacing w:after="0" w:line="360" w:lineRule="auto"/>
        <w:ind w:firstLine="709"/>
        <w:jc w:val="both"/>
        <w:rPr>
          <w:rFonts w:ascii="Times New Roman" w:hAnsi="Times New Roman"/>
          <w:sz w:val="28"/>
          <w:szCs w:val="28"/>
          <w:lang w:val="ru-RU"/>
        </w:rPr>
      </w:pPr>
      <w:r w:rsidRPr="00D04354">
        <w:rPr>
          <w:rFonts w:ascii="Times New Roman" w:hAnsi="Times New Roman"/>
          <w:sz w:val="28"/>
          <w:szCs w:val="28"/>
          <w:lang w:val="ru-RU"/>
        </w:rPr>
        <w:t xml:space="preserve">Було виявлено, що рівні в плазмі </w:t>
      </w:r>
      <w:r w:rsidR="00D04354" w:rsidRPr="006124EE">
        <w:rPr>
          <w:rFonts w:ascii="Times New Roman" w:hAnsi="Times New Roman"/>
          <w:sz w:val="28"/>
          <w:szCs w:val="28"/>
          <w:lang w:val="ru-RU"/>
        </w:rPr>
        <w:t>ФНП-</w:t>
      </w:r>
      <w:r w:rsidR="00D04354" w:rsidRPr="006124EE">
        <w:rPr>
          <w:rFonts w:ascii="Times New Roman" w:hAnsi="Times New Roman"/>
          <w:sz w:val="28"/>
          <w:szCs w:val="28"/>
        </w:rPr>
        <w:t>α</w:t>
      </w:r>
      <w:r w:rsidRPr="00D04354">
        <w:rPr>
          <w:rFonts w:ascii="Times New Roman" w:hAnsi="Times New Roman"/>
          <w:sz w:val="28"/>
          <w:szCs w:val="28"/>
          <w:lang w:val="ru-RU"/>
        </w:rPr>
        <w:t xml:space="preserve"> у всіх груп пацієнтів були вище, ніж у здорових </w:t>
      </w:r>
      <w:r w:rsidR="00D04354">
        <w:rPr>
          <w:rFonts w:ascii="Times New Roman" w:hAnsi="Times New Roman"/>
          <w:sz w:val="28"/>
          <w:szCs w:val="28"/>
          <w:lang w:val="ru-RU"/>
        </w:rPr>
        <w:t>осіб</w:t>
      </w:r>
      <w:r w:rsidRPr="00D04354">
        <w:rPr>
          <w:rFonts w:ascii="Times New Roman" w:hAnsi="Times New Roman"/>
          <w:sz w:val="28"/>
          <w:szCs w:val="28"/>
          <w:lang w:val="ru-RU"/>
        </w:rPr>
        <w:t xml:space="preserve"> (р&lt;0,05</w:t>
      </w:r>
      <w:r w:rsidR="00D04354">
        <w:rPr>
          <w:rFonts w:ascii="Times New Roman" w:hAnsi="Times New Roman"/>
          <w:sz w:val="28"/>
          <w:szCs w:val="28"/>
          <w:lang w:val="ru-RU"/>
        </w:rPr>
        <w:t>)</w:t>
      </w:r>
      <w:r w:rsidRPr="00D04354">
        <w:rPr>
          <w:rFonts w:ascii="Times New Roman" w:hAnsi="Times New Roman"/>
          <w:sz w:val="28"/>
          <w:szCs w:val="28"/>
          <w:lang w:val="ru-RU"/>
        </w:rPr>
        <w:t xml:space="preserve">. </w:t>
      </w:r>
      <w:r w:rsidRPr="002E086A">
        <w:rPr>
          <w:rFonts w:ascii="Times New Roman" w:hAnsi="Times New Roman"/>
          <w:sz w:val="28"/>
          <w:szCs w:val="28"/>
          <w:lang w:val="ru-RU"/>
        </w:rPr>
        <w:t>Максимальн</w:t>
      </w:r>
      <w:r w:rsidR="002E086A">
        <w:rPr>
          <w:rFonts w:ascii="Times New Roman" w:hAnsi="Times New Roman"/>
          <w:sz w:val="28"/>
          <w:szCs w:val="28"/>
          <w:lang w:val="uk-UA"/>
        </w:rPr>
        <w:t xml:space="preserve">е значення </w:t>
      </w:r>
      <w:r w:rsidRPr="002E086A">
        <w:rPr>
          <w:rFonts w:ascii="Times New Roman" w:hAnsi="Times New Roman"/>
          <w:sz w:val="28"/>
          <w:szCs w:val="28"/>
          <w:lang w:val="ru-RU"/>
        </w:rPr>
        <w:t>бу</w:t>
      </w:r>
      <w:r w:rsidR="002E086A">
        <w:rPr>
          <w:rFonts w:ascii="Times New Roman" w:hAnsi="Times New Roman"/>
          <w:sz w:val="28"/>
          <w:szCs w:val="28"/>
          <w:lang w:val="uk-UA"/>
        </w:rPr>
        <w:t>ло</w:t>
      </w:r>
      <w:r w:rsidRPr="002E086A">
        <w:rPr>
          <w:rFonts w:ascii="Times New Roman" w:hAnsi="Times New Roman"/>
          <w:sz w:val="28"/>
          <w:szCs w:val="28"/>
          <w:lang w:val="ru-RU"/>
        </w:rPr>
        <w:t xml:space="preserve"> виявлен</w:t>
      </w:r>
      <w:r w:rsidR="002E086A">
        <w:rPr>
          <w:rFonts w:ascii="Times New Roman" w:hAnsi="Times New Roman"/>
          <w:sz w:val="28"/>
          <w:szCs w:val="28"/>
          <w:lang w:val="uk-UA"/>
        </w:rPr>
        <w:t>о у хворих з 2 ступенем АГ</w:t>
      </w:r>
      <w:r w:rsidRPr="002E086A">
        <w:rPr>
          <w:rFonts w:ascii="Times New Roman" w:hAnsi="Times New Roman"/>
          <w:sz w:val="28"/>
          <w:szCs w:val="28"/>
          <w:lang w:val="ru-RU"/>
        </w:rPr>
        <w:t>. Циркулююч</w:t>
      </w:r>
      <w:r w:rsidR="002E086A">
        <w:rPr>
          <w:rFonts w:ascii="Times New Roman" w:hAnsi="Times New Roman"/>
          <w:sz w:val="28"/>
          <w:szCs w:val="28"/>
          <w:lang w:val="uk-UA"/>
        </w:rPr>
        <w:t>ий</w:t>
      </w:r>
      <w:r w:rsidRPr="002E086A">
        <w:rPr>
          <w:rFonts w:ascii="Times New Roman" w:hAnsi="Times New Roman"/>
          <w:sz w:val="28"/>
          <w:szCs w:val="28"/>
          <w:lang w:val="ru-RU"/>
        </w:rPr>
        <w:t xml:space="preserve"> </w:t>
      </w:r>
      <w:r w:rsidR="002E086A">
        <w:rPr>
          <w:rFonts w:ascii="Times New Roman" w:hAnsi="Times New Roman"/>
          <w:sz w:val="28"/>
          <w:szCs w:val="28"/>
          <w:lang w:val="uk-UA"/>
        </w:rPr>
        <w:t xml:space="preserve">рівень рФНП-Р1 у </w:t>
      </w:r>
      <w:r w:rsidRPr="002E086A">
        <w:rPr>
          <w:rFonts w:ascii="Times New Roman" w:hAnsi="Times New Roman"/>
          <w:sz w:val="28"/>
          <w:szCs w:val="28"/>
          <w:lang w:val="ru-RU"/>
        </w:rPr>
        <w:t>всіх груп</w:t>
      </w:r>
      <w:r w:rsidR="002E086A">
        <w:rPr>
          <w:rFonts w:ascii="Times New Roman" w:hAnsi="Times New Roman"/>
          <w:sz w:val="28"/>
          <w:szCs w:val="28"/>
          <w:lang w:val="ru-RU"/>
        </w:rPr>
        <w:t>ах</w:t>
      </w:r>
      <w:r w:rsidRPr="002E086A">
        <w:rPr>
          <w:rFonts w:ascii="Times New Roman" w:hAnsi="Times New Roman"/>
          <w:sz w:val="28"/>
          <w:szCs w:val="28"/>
          <w:lang w:val="ru-RU"/>
        </w:rPr>
        <w:t xml:space="preserve"> пацієнті</w:t>
      </w:r>
      <w:r w:rsidR="002E086A">
        <w:rPr>
          <w:rFonts w:ascii="Times New Roman" w:hAnsi="Times New Roman"/>
          <w:sz w:val="28"/>
          <w:szCs w:val="28"/>
          <w:lang w:val="ru-RU"/>
        </w:rPr>
        <w:t xml:space="preserve">в був </w:t>
      </w:r>
      <w:r w:rsidRPr="002E086A">
        <w:rPr>
          <w:rFonts w:ascii="Times New Roman" w:hAnsi="Times New Roman"/>
          <w:sz w:val="28"/>
          <w:szCs w:val="28"/>
          <w:lang w:val="ru-RU"/>
        </w:rPr>
        <w:t>підвищен</w:t>
      </w:r>
      <w:r w:rsidR="002E086A">
        <w:rPr>
          <w:rFonts w:ascii="Times New Roman" w:hAnsi="Times New Roman"/>
          <w:sz w:val="28"/>
          <w:szCs w:val="28"/>
          <w:lang w:val="ru-RU"/>
        </w:rPr>
        <w:t>ий</w:t>
      </w:r>
      <w:r w:rsidRPr="002E086A">
        <w:rPr>
          <w:rFonts w:ascii="Times New Roman" w:hAnsi="Times New Roman"/>
          <w:sz w:val="28"/>
          <w:szCs w:val="28"/>
          <w:lang w:val="ru-RU"/>
        </w:rPr>
        <w:t xml:space="preserve"> проти </w:t>
      </w:r>
      <w:r w:rsidR="002E086A">
        <w:rPr>
          <w:rFonts w:ascii="Times New Roman" w:hAnsi="Times New Roman"/>
          <w:sz w:val="28"/>
          <w:szCs w:val="28"/>
          <w:lang w:val="ru-RU"/>
        </w:rPr>
        <w:t>контрольної групи</w:t>
      </w:r>
      <w:r w:rsidRPr="002E086A">
        <w:rPr>
          <w:rFonts w:ascii="Times New Roman" w:hAnsi="Times New Roman"/>
          <w:sz w:val="28"/>
          <w:szCs w:val="28"/>
          <w:lang w:val="ru-RU"/>
        </w:rPr>
        <w:t xml:space="preserve"> (р&lt;0,05) . Незважаючи на виявлен</w:t>
      </w:r>
      <w:r w:rsidR="002E086A">
        <w:rPr>
          <w:rFonts w:ascii="Times New Roman" w:hAnsi="Times New Roman"/>
          <w:sz w:val="28"/>
          <w:szCs w:val="28"/>
          <w:lang w:val="uk-UA"/>
        </w:rPr>
        <w:t>е</w:t>
      </w:r>
      <w:r w:rsidRPr="002E086A">
        <w:rPr>
          <w:rFonts w:ascii="Times New Roman" w:hAnsi="Times New Roman"/>
          <w:sz w:val="28"/>
          <w:szCs w:val="28"/>
          <w:lang w:val="ru-RU"/>
        </w:rPr>
        <w:t xml:space="preserve"> збільшення концентрації </w:t>
      </w:r>
      <w:r w:rsidR="002E086A">
        <w:rPr>
          <w:rFonts w:ascii="Times New Roman" w:hAnsi="Times New Roman"/>
          <w:sz w:val="28"/>
          <w:szCs w:val="28"/>
          <w:lang w:val="uk-UA"/>
        </w:rPr>
        <w:t>рФНП-Р1</w:t>
      </w:r>
      <w:r w:rsidRPr="002E086A">
        <w:rPr>
          <w:rFonts w:ascii="Times New Roman" w:hAnsi="Times New Roman"/>
          <w:sz w:val="28"/>
          <w:szCs w:val="28"/>
          <w:lang w:val="ru-RU"/>
        </w:rPr>
        <w:t xml:space="preserve">, природного </w:t>
      </w:r>
      <w:r w:rsidR="002E086A" w:rsidRPr="002E086A">
        <w:rPr>
          <w:rFonts w:ascii="Times New Roman" w:hAnsi="Times New Roman"/>
          <w:sz w:val="28"/>
          <w:szCs w:val="28"/>
          <w:lang w:val="ru-RU"/>
        </w:rPr>
        <w:t>інгібітора</w:t>
      </w:r>
      <w:r w:rsidR="002E086A" w:rsidRPr="002E086A">
        <w:rPr>
          <w:rFonts w:ascii="Times New Roman" w:hAnsi="Times New Roman"/>
          <w:sz w:val="28"/>
          <w:szCs w:val="28"/>
          <w:lang w:val="ru-RU"/>
        </w:rPr>
        <w:t xml:space="preserve"> </w:t>
      </w:r>
      <w:r w:rsidRPr="002E086A">
        <w:rPr>
          <w:rFonts w:ascii="Times New Roman" w:hAnsi="Times New Roman"/>
          <w:sz w:val="28"/>
          <w:szCs w:val="28"/>
          <w:lang w:val="ru-RU"/>
        </w:rPr>
        <w:t>ФНП-</w:t>
      </w:r>
      <w:r w:rsidRPr="006124EE">
        <w:rPr>
          <w:rFonts w:ascii="Times New Roman" w:hAnsi="Times New Roman"/>
          <w:sz w:val="28"/>
          <w:szCs w:val="28"/>
        </w:rPr>
        <w:t>α</w:t>
      </w:r>
      <w:r w:rsidRPr="002E086A">
        <w:rPr>
          <w:rFonts w:ascii="Times New Roman" w:hAnsi="Times New Roman"/>
          <w:sz w:val="28"/>
          <w:szCs w:val="28"/>
          <w:lang w:val="ru-RU"/>
        </w:rPr>
        <w:t xml:space="preserve">, і незначне зниження </w:t>
      </w:r>
      <w:r w:rsidR="002E086A">
        <w:rPr>
          <w:rFonts w:ascii="Times New Roman" w:hAnsi="Times New Roman"/>
          <w:sz w:val="28"/>
          <w:szCs w:val="28"/>
          <w:lang w:val="ru-RU"/>
        </w:rPr>
        <w:t>ФН</w:t>
      </w:r>
      <w:r w:rsidR="002E086A">
        <w:rPr>
          <w:rFonts w:ascii="Times New Roman" w:hAnsi="Times New Roman"/>
          <w:sz w:val="28"/>
          <w:szCs w:val="28"/>
          <w:lang w:val="ru-RU"/>
        </w:rPr>
        <w:t>П</w:t>
      </w:r>
      <w:r w:rsidR="002E086A">
        <w:rPr>
          <w:rFonts w:ascii="Times New Roman" w:hAnsi="Times New Roman"/>
          <w:sz w:val="28"/>
          <w:szCs w:val="28"/>
          <w:lang w:val="ru-RU"/>
        </w:rPr>
        <w:t>-</w:t>
      </w:r>
      <w:r w:rsidR="002E086A" w:rsidRPr="006124EE">
        <w:rPr>
          <w:rFonts w:ascii="Times New Roman" w:hAnsi="Times New Roman"/>
          <w:sz w:val="28"/>
          <w:szCs w:val="28"/>
        </w:rPr>
        <w:t>α</w:t>
      </w:r>
      <w:r w:rsidR="002E086A">
        <w:rPr>
          <w:rFonts w:ascii="Times New Roman" w:hAnsi="Times New Roman"/>
          <w:sz w:val="28"/>
          <w:szCs w:val="28"/>
          <w:lang w:val="ru-RU"/>
        </w:rPr>
        <w:t>/</w:t>
      </w:r>
      <w:r w:rsidR="002E086A">
        <w:rPr>
          <w:rFonts w:ascii="Times New Roman" w:hAnsi="Times New Roman"/>
          <w:sz w:val="28"/>
          <w:szCs w:val="28"/>
          <w:lang w:val="ru-RU"/>
        </w:rPr>
        <w:t>рФНП</w:t>
      </w:r>
      <w:r w:rsidR="002E086A">
        <w:rPr>
          <w:rFonts w:ascii="Times New Roman" w:hAnsi="Times New Roman"/>
          <w:sz w:val="28"/>
          <w:szCs w:val="28"/>
          <w:lang w:val="ru-RU"/>
        </w:rPr>
        <w:t>-Р1</w:t>
      </w:r>
      <w:r w:rsidRPr="002E086A">
        <w:rPr>
          <w:rFonts w:ascii="Times New Roman" w:hAnsi="Times New Roman"/>
          <w:sz w:val="28"/>
          <w:szCs w:val="28"/>
          <w:lang w:val="ru-RU"/>
        </w:rPr>
        <w:t>, рівень цитокінів залишався високим, що підтверджу</w:t>
      </w:r>
      <w:r w:rsidR="002E086A">
        <w:rPr>
          <w:rFonts w:ascii="Times New Roman" w:hAnsi="Times New Roman"/>
          <w:sz w:val="28"/>
          <w:szCs w:val="28"/>
          <w:lang w:val="ru-RU"/>
        </w:rPr>
        <w:t>є</w:t>
      </w:r>
      <w:r w:rsidRPr="002E086A">
        <w:rPr>
          <w:rFonts w:ascii="Times New Roman" w:hAnsi="Times New Roman"/>
          <w:sz w:val="28"/>
          <w:szCs w:val="28"/>
          <w:lang w:val="ru-RU"/>
        </w:rPr>
        <w:t xml:space="preserve"> можливість </w:t>
      </w:r>
      <w:r w:rsidR="002E086A">
        <w:rPr>
          <w:rFonts w:ascii="Times New Roman" w:hAnsi="Times New Roman"/>
          <w:sz w:val="28"/>
          <w:szCs w:val="28"/>
          <w:lang w:val="ru-RU"/>
        </w:rPr>
        <w:t>ФНП</w:t>
      </w:r>
      <w:r w:rsidRPr="002E086A">
        <w:rPr>
          <w:rFonts w:ascii="Times New Roman" w:hAnsi="Times New Roman"/>
          <w:sz w:val="28"/>
          <w:szCs w:val="28"/>
          <w:lang w:val="ru-RU"/>
        </w:rPr>
        <w:t>-опосередковано</w:t>
      </w:r>
      <w:r w:rsidR="002E086A">
        <w:rPr>
          <w:rFonts w:ascii="Times New Roman" w:hAnsi="Times New Roman"/>
          <w:sz w:val="28"/>
          <w:szCs w:val="28"/>
          <w:lang w:val="ru-RU"/>
        </w:rPr>
        <w:t>го</w:t>
      </w:r>
      <w:r w:rsidRPr="002E086A">
        <w:rPr>
          <w:rFonts w:ascii="Times New Roman" w:hAnsi="Times New Roman"/>
          <w:sz w:val="28"/>
          <w:szCs w:val="28"/>
          <w:lang w:val="ru-RU"/>
        </w:rPr>
        <w:t xml:space="preserve"> шляху апоптозу у хворих на гіпертонічну хворобу. Отримані результати </w:t>
      </w:r>
      <w:r w:rsidR="002E086A">
        <w:rPr>
          <w:rFonts w:ascii="Times New Roman" w:hAnsi="Times New Roman"/>
          <w:sz w:val="28"/>
          <w:szCs w:val="28"/>
          <w:lang w:val="uk-UA"/>
        </w:rPr>
        <w:t>свідчать про</w:t>
      </w:r>
      <w:r w:rsidRPr="002E086A">
        <w:rPr>
          <w:rFonts w:ascii="Times New Roman" w:hAnsi="Times New Roman"/>
          <w:sz w:val="28"/>
          <w:szCs w:val="28"/>
          <w:lang w:val="ru-RU"/>
        </w:rPr>
        <w:t xml:space="preserve"> можливість </w:t>
      </w:r>
      <w:r w:rsidRPr="006124EE">
        <w:rPr>
          <w:rFonts w:ascii="Times New Roman" w:hAnsi="Times New Roman"/>
          <w:sz w:val="28"/>
          <w:szCs w:val="28"/>
        </w:rPr>
        <w:t>Fas</w:t>
      </w:r>
      <w:r w:rsidRPr="002E086A">
        <w:rPr>
          <w:rFonts w:ascii="Times New Roman" w:hAnsi="Times New Roman"/>
          <w:sz w:val="28"/>
          <w:szCs w:val="28"/>
          <w:lang w:val="ru-RU"/>
        </w:rPr>
        <w:t>-</w:t>
      </w:r>
      <w:r w:rsidR="002E086A">
        <w:rPr>
          <w:rFonts w:ascii="Times New Roman" w:hAnsi="Times New Roman"/>
          <w:sz w:val="28"/>
          <w:szCs w:val="28"/>
          <w:lang w:val="uk-UA"/>
        </w:rPr>
        <w:t xml:space="preserve">залежного </w:t>
      </w:r>
      <w:r w:rsidRPr="002E086A">
        <w:rPr>
          <w:rFonts w:ascii="Times New Roman" w:hAnsi="Times New Roman"/>
          <w:sz w:val="28"/>
          <w:szCs w:val="28"/>
          <w:lang w:val="ru-RU"/>
        </w:rPr>
        <w:t xml:space="preserve">апоптозу у хворих </w:t>
      </w:r>
      <w:r w:rsidR="002E086A">
        <w:rPr>
          <w:rFonts w:ascii="Times New Roman" w:hAnsi="Times New Roman"/>
          <w:sz w:val="28"/>
          <w:szCs w:val="28"/>
          <w:lang w:val="uk-UA"/>
        </w:rPr>
        <w:t>на АГ</w:t>
      </w:r>
      <w:r w:rsidRPr="002E086A">
        <w:rPr>
          <w:rFonts w:ascii="Times New Roman" w:hAnsi="Times New Roman"/>
          <w:sz w:val="28"/>
          <w:szCs w:val="28"/>
          <w:lang w:val="ru-RU"/>
        </w:rPr>
        <w:t>.</w:t>
      </w:r>
    </w:p>
    <w:p w:rsidR="006124EE" w:rsidRPr="008558DC" w:rsidRDefault="006124EE" w:rsidP="006124EE">
      <w:pPr>
        <w:spacing w:after="0" w:line="360" w:lineRule="auto"/>
        <w:ind w:firstLine="709"/>
        <w:jc w:val="both"/>
        <w:rPr>
          <w:rFonts w:ascii="Times New Roman" w:hAnsi="Times New Roman"/>
          <w:sz w:val="28"/>
          <w:szCs w:val="28"/>
          <w:lang w:val="ru-RU"/>
        </w:rPr>
      </w:pPr>
      <w:r w:rsidRPr="008558DC">
        <w:rPr>
          <w:rFonts w:ascii="Times New Roman" w:hAnsi="Times New Roman"/>
          <w:b/>
          <w:sz w:val="28"/>
          <w:szCs w:val="28"/>
          <w:lang w:val="ru-RU"/>
        </w:rPr>
        <w:t>Виснов</w:t>
      </w:r>
      <w:r w:rsidR="002E086A" w:rsidRPr="002E086A">
        <w:rPr>
          <w:rFonts w:ascii="Times New Roman" w:hAnsi="Times New Roman"/>
          <w:b/>
          <w:sz w:val="28"/>
          <w:szCs w:val="28"/>
          <w:lang w:val="uk-UA"/>
        </w:rPr>
        <w:t>ки</w:t>
      </w:r>
      <w:r w:rsidRPr="008558DC">
        <w:rPr>
          <w:rFonts w:ascii="Times New Roman" w:hAnsi="Times New Roman"/>
          <w:sz w:val="28"/>
          <w:szCs w:val="28"/>
          <w:lang w:val="ru-RU"/>
        </w:rPr>
        <w:t>. Результат</w:t>
      </w:r>
      <w:r w:rsidR="008558DC">
        <w:rPr>
          <w:rFonts w:ascii="Times New Roman" w:hAnsi="Times New Roman"/>
          <w:sz w:val="28"/>
          <w:szCs w:val="28"/>
          <w:lang w:val="ru-RU"/>
        </w:rPr>
        <w:t>и</w:t>
      </w:r>
      <w:r w:rsidRPr="008558DC">
        <w:rPr>
          <w:rFonts w:ascii="Times New Roman" w:hAnsi="Times New Roman"/>
          <w:sz w:val="28"/>
          <w:szCs w:val="28"/>
          <w:lang w:val="ru-RU"/>
        </w:rPr>
        <w:t xml:space="preserve"> нашо</w:t>
      </w:r>
      <w:r w:rsidR="008558DC">
        <w:rPr>
          <w:rFonts w:ascii="Times New Roman" w:hAnsi="Times New Roman"/>
          <w:sz w:val="28"/>
          <w:szCs w:val="28"/>
          <w:lang w:val="uk-UA"/>
        </w:rPr>
        <w:t>го</w:t>
      </w:r>
      <w:r w:rsidRPr="008558DC">
        <w:rPr>
          <w:rFonts w:ascii="Times New Roman" w:hAnsi="Times New Roman"/>
          <w:sz w:val="28"/>
          <w:szCs w:val="28"/>
          <w:lang w:val="ru-RU"/>
        </w:rPr>
        <w:t xml:space="preserve"> клінічного дослідження показали підвищену імуно-запальн</w:t>
      </w:r>
      <w:r w:rsidR="008558DC">
        <w:rPr>
          <w:rFonts w:ascii="Times New Roman" w:hAnsi="Times New Roman"/>
          <w:sz w:val="28"/>
          <w:szCs w:val="28"/>
          <w:lang w:val="ru-RU"/>
        </w:rPr>
        <w:t>у</w:t>
      </w:r>
      <w:r w:rsidRPr="008558DC">
        <w:rPr>
          <w:rFonts w:ascii="Times New Roman" w:hAnsi="Times New Roman"/>
          <w:sz w:val="28"/>
          <w:szCs w:val="28"/>
          <w:lang w:val="ru-RU"/>
        </w:rPr>
        <w:t xml:space="preserve"> і проапопто</w:t>
      </w:r>
      <w:r w:rsidR="008558DC">
        <w:rPr>
          <w:rFonts w:ascii="Times New Roman" w:hAnsi="Times New Roman"/>
          <w:sz w:val="28"/>
          <w:szCs w:val="28"/>
          <w:lang w:val="ru-RU"/>
        </w:rPr>
        <w:t>тичну</w:t>
      </w:r>
      <w:r w:rsidRPr="008558DC">
        <w:rPr>
          <w:rFonts w:ascii="Times New Roman" w:hAnsi="Times New Roman"/>
          <w:sz w:val="28"/>
          <w:szCs w:val="28"/>
          <w:lang w:val="ru-RU"/>
        </w:rPr>
        <w:t xml:space="preserve"> активність залеж</w:t>
      </w:r>
      <w:r w:rsidR="008558DC">
        <w:rPr>
          <w:rFonts w:ascii="Times New Roman" w:hAnsi="Times New Roman"/>
          <w:sz w:val="28"/>
          <w:szCs w:val="28"/>
          <w:lang w:val="ru-RU"/>
        </w:rPr>
        <w:t>но</w:t>
      </w:r>
      <w:r w:rsidRPr="008558DC">
        <w:rPr>
          <w:rFonts w:ascii="Times New Roman" w:hAnsi="Times New Roman"/>
          <w:sz w:val="28"/>
          <w:szCs w:val="28"/>
          <w:lang w:val="ru-RU"/>
        </w:rPr>
        <w:t xml:space="preserve"> від наявності та ступеня артеріальної гіпертензії.</w:t>
      </w:r>
    </w:p>
    <w:p w:rsidR="006124EE" w:rsidRPr="006124EE" w:rsidRDefault="006124EE" w:rsidP="006124EE">
      <w:pPr>
        <w:spacing w:after="0" w:line="360" w:lineRule="auto"/>
        <w:ind w:firstLine="709"/>
        <w:jc w:val="both"/>
        <w:rPr>
          <w:rFonts w:ascii="Times New Roman" w:hAnsi="Times New Roman"/>
          <w:sz w:val="28"/>
          <w:szCs w:val="28"/>
          <w:lang w:val="ru-RU"/>
        </w:rPr>
      </w:pPr>
      <w:r w:rsidRPr="008558DC">
        <w:rPr>
          <w:rFonts w:ascii="Times New Roman" w:hAnsi="Times New Roman"/>
          <w:b/>
          <w:sz w:val="28"/>
          <w:szCs w:val="28"/>
          <w:lang w:val="ru-RU"/>
        </w:rPr>
        <w:t>Ключові слова</w:t>
      </w:r>
      <w:r w:rsidRPr="008558DC">
        <w:rPr>
          <w:rFonts w:ascii="Times New Roman" w:hAnsi="Times New Roman"/>
          <w:sz w:val="28"/>
          <w:szCs w:val="28"/>
          <w:lang w:val="ru-RU"/>
        </w:rPr>
        <w:t>: апоптоз</w:t>
      </w:r>
      <w:bookmarkStart w:id="0" w:name="_GoBack"/>
      <w:bookmarkEnd w:id="0"/>
      <w:r w:rsidRPr="008558DC">
        <w:rPr>
          <w:rFonts w:ascii="Times New Roman" w:hAnsi="Times New Roman"/>
          <w:sz w:val="28"/>
          <w:szCs w:val="28"/>
          <w:lang w:val="ru-RU"/>
        </w:rPr>
        <w:t>, циркулюючі біомаркери апоптоз</w:t>
      </w:r>
      <w:r w:rsidR="008558DC">
        <w:rPr>
          <w:rFonts w:ascii="Times New Roman" w:hAnsi="Times New Roman"/>
          <w:sz w:val="28"/>
          <w:szCs w:val="28"/>
          <w:lang w:val="uk-UA"/>
        </w:rPr>
        <w:t>у</w:t>
      </w:r>
      <w:r w:rsidRPr="008558DC">
        <w:rPr>
          <w:rFonts w:ascii="Times New Roman" w:hAnsi="Times New Roman"/>
          <w:sz w:val="28"/>
          <w:szCs w:val="28"/>
          <w:lang w:val="ru-RU"/>
        </w:rPr>
        <w:t>, артеріальна гіпертензія .</w:t>
      </w:r>
    </w:p>
    <w:p w:rsidR="005F470A" w:rsidRPr="008558DC" w:rsidRDefault="005F470A" w:rsidP="00B77AAB">
      <w:pPr>
        <w:spacing w:after="0" w:line="360" w:lineRule="auto"/>
        <w:jc w:val="center"/>
        <w:rPr>
          <w:sz w:val="20"/>
          <w:lang w:val="ru-RU"/>
        </w:rPr>
      </w:pPr>
    </w:p>
    <w:sectPr w:rsidR="005F470A" w:rsidRPr="008558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E33"/>
    <w:multiLevelType w:val="hybridMultilevel"/>
    <w:tmpl w:val="3D7E713A"/>
    <w:lvl w:ilvl="0" w:tplc="D7A67714">
      <w:start w:val="1"/>
      <w:numFmt w:val="decimal"/>
      <w:lvlText w:val="%1."/>
      <w:lvlJc w:val="left"/>
      <w:pPr>
        <w:ind w:left="135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BEF0019"/>
    <w:multiLevelType w:val="multilevel"/>
    <w:tmpl w:val="C96475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A6AEE"/>
    <w:multiLevelType w:val="hybridMultilevel"/>
    <w:tmpl w:val="C71E47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06FEF"/>
    <w:multiLevelType w:val="multilevel"/>
    <w:tmpl w:val="F3965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40EA0"/>
    <w:multiLevelType w:val="hybridMultilevel"/>
    <w:tmpl w:val="778E12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0C741B1"/>
    <w:multiLevelType w:val="multilevel"/>
    <w:tmpl w:val="C74E99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E196D61"/>
    <w:multiLevelType w:val="hybridMultilevel"/>
    <w:tmpl w:val="BDAE4260"/>
    <w:lvl w:ilvl="0" w:tplc="44365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160863"/>
    <w:multiLevelType w:val="hybridMultilevel"/>
    <w:tmpl w:val="FA94AA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8328B0"/>
    <w:multiLevelType w:val="multilevel"/>
    <w:tmpl w:val="32E86D6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0A"/>
    <w:rsid w:val="00016CDD"/>
    <w:rsid w:val="00097CE9"/>
    <w:rsid w:val="00104E57"/>
    <w:rsid w:val="00153EC3"/>
    <w:rsid w:val="002E086A"/>
    <w:rsid w:val="00316259"/>
    <w:rsid w:val="00322A50"/>
    <w:rsid w:val="00367CA9"/>
    <w:rsid w:val="004940B7"/>
    <w:rsid w:val="004A52EB"/>
    <w:rsid w:val="005548AC"/>
    <w:rsid w:val="005D3366"/>
    <w:rsid w:val="005F470A"/>
    <w:rsid w:val="006124EE"/>
    <w:rsid w:val="008558DC"/>
    <w:rsid w:val="008E462A"/>
    <w:rsid w:val="00954149"/>
    <w:rsid w:val="00A16AFC"/>
    <w:rsid w:val="00B77AAB"/>
    <w:rsid w:val="00BE54D4"/>
    <w:rsid w:val="00D04354"/>
    <w:rsid w:val="00D22885"/>
    <w:rsid w:val="00D637F1"/>
    <w:rsid w:val="00ED1ED6"/>
    <w:rsid w:val="00EF1A89"/>
    <w:rsid w:val="00F0454F"/>
    <w:rsid w:val="00F20865"/>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1"/>
  </w:style>
  <w:style w:type="paragraph" w:styleId="Heading1">
    <w:name w:val="heading 1"/>
    <w:basedOn w:val="Normal"/>
    <w:link w:val="Heading1Char"/>
    <w:uiPriority w:val="9"/>
    <w:qFormat/>
    <w:rsid w:val="005548A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8AC"/>
    <w:rPr>
      <w:rFonts w:ascii="Times New Roman" w:eastAsia="Times New Roman" w:hAnsi="Times New Roman" w:cs="Times New Roman"/>
      <w:b/>
      <w:bCs/>
      <w:kern w:val="36"/>
      <w:sz w:val="48"/>
      <w:szCs w:val="48"/>
      <w:lang w:val="ru-RU" w:eastAsia="ru-RU"/>
    </w:rPr>
  </w:style>
  <w:style w:type="table" w:styleId="TableGrid">
    <w:name w:val="Table Grid"/>
    <w:basedOn w:val="TableNormal"/>
    <w:uiPriority w:val="59"/>
    <w:rsid w:val="005548A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48AC"/>
    <w:pPr>
      <w:tabs>
        <w:tab w:val="center" w:pos="4677"/>
        <w:tab w:val="right" w:pos="9355"/>
      </w:tabs>
    </w:pPr>
    <w:rPr>
      <w:rFonts w:ascii="Calibri" w:eastAsia="Calibri" w:hAnsi="Calibri" w:cs="Times New Roman"/>
      <w:lang w:val="ru-RU"/>
    </w:rPr>
  </w:style>
  <w:style w:type="character" w:customStyle="1" w:styleId="HeaderChar">
    <w:name w:val="Header Char"/>
    <w:basedOn w:val="DefaultParagraphFont"/>
    <w:link w:val="Header"/>
    <w:uiPriority w:val="99"/>
    <w:rsid w:val="005548AC"/>
    <w:rPr>
      <w:rFonts w:ascii="Calibri" w:eastAsia="Calibri" w:hAnsi="Calibri" w:cs="Times New Roman"/>
      <w:lang w:val="ru-RU"/>
    </w:rPr>
  </w:style>
  <w:style w:type="paragraph" w:styleId="Footer">
    <w:name w:val="footer"/>
    <w:basedOn w:val="Normal"/>
    <w:link w:val="FooterChar"/>
    <w:uiPriority w:val="99"/>
    <w:semiHidden/>
    <w:unhideWhenUsed/>
    <w:rsid w:val="005548AC"/>
    <w:pPr>
      <w:tabs>
        <w:tab w:val="center" w:pos="4677"/>
        <w:tab w:val="right" w:pos="9355"/>
      </w:tabs>
    </w:pPr>
    <w:rPr>
      <w:rFonts w:ascii="Calibri" w:eastAsia="Calibri" w:hAnsi="Calibri" w:cs="Times New Roman"/>
      <w:lang w:val="ru-RU"/>
    </w:rPr>
  </w:style>
  <w:style w:type="character" w:customStyle="1" w:styleId="FooterChar">
    <w:name w:val="Footer Char"/>
    <w:basedOn w:val="DefaultParagraphFont"/>
    <w:link w:val="Footer"/>
    <w:uiPriority w:val="99"/>
    <w:semiHidden/>
    <w:rsid w:val="005548AC"/>
    <w:rPr>
      <w:rFonts w:ascii="Calibri" w:eastAsia="Calibri" w:hAnsi="Calibri" w:cs="Times New Roman"/>
      <w:lang w:val="ru-RU"/>
    </w:rPr>
  </w:style>
  <w:style w:type="character" w:customStyle="1" w:styleId="apple-converted-space">
    <w:name w:val="apple-converted-space"/>
    <w:basedOn w:val="DefaultParagraphFont"/>
    <w:rsid w:val="005548AC"/>
  </w:style>
  <w:style w:type="character" w:styleId="Hyperlink">
    <w:name w:val="Hyperlink"/>
    <w:basedOn w:val="DefaultParagraphFont"/>
    <w:uiPriority w:val="99"/>
    <w:semiHidden/>
    <w:unhideWhenUsed/>
    <w:rsid w:val="005548AC"/>
    <w:rPr>
      <w:color w:val="0000FF"/>
      <w:u w:val="single"/>
    </w:rPr>
  </w:style>
  <w:style w:type="paragraph" w:styleId="NormalWeb">
    <w:name w:val="Normal (Web)"/>
    <w:basedOn w:val="Normal"/>
    <w:uiPriority w:val="99"/>
    <w:unhideWhenUsed/>
    <w:rsid w:val="00554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2">
    <w:name w:val="Body Text 2"/>
    <w:basedOn w:val="Normal"/>
    <w:link w:val="BodyText2Char"/>
    <w:rsid w:val="005548AC"/>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5548AC"/>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5548AC"/>
    <w:pPr>
      <w:spacing w:after="0" w:line="360" w:lineRule="auto"/>
      <w:jc w:val="center"/>
    </w:pPr>
    <w:rPr>
      <w:rFonts w:ascii="Arial" w:eastAsia="Times New Roman" w:hAnsi="Arial" w:cs="Arial"/>
      <w:b/>
      <w:bCs/>
      <w:sz w:val="28"/>
      <w:szCs w:val="24"/>
      <w:lang w:val="uk-UA" w:eastAsia="ru-RU"/>
    </w:rPr>
  </w:style>
  <w:style w:type="character" w:customStyle="1" w:styleId="TitleChar">
    <w:name w:val="Title Char"/>
    <w:basedOn w:val="DefaultParagraphFont"/>
    <w:link w:val="Title"/>
    <w:rsid w:val="005548AC"/>
    <w:rPr>
      <w:rFonts w:ascii="Arial" w:eastAsia="Times New Roman" w:hAnsi="Arial" w:cs="Arial"/>
      <w:b/>
      <w:bCs/>
      <w:sz w:val="28"/>
      <w:szCs w:val="24"/>
      <w:lang w:val="uk-UA" w:eastAsia="ru-RU"/>
    </w:rPr>
  </w:style>
  <w:style w:type="paragraph" w:styleId="BodyText">
    <w:name w:val="Body Text"/>
    <w:basedOn w:val="Normal"/>
    <w:link w:val="BodyTextChar"/>
    <w:rsid w:val="005548A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5548AC"/>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5548AC"/>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5548A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5548AC"/>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5548AC"/>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548AC"/>
    <w:pPr>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55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AC"/>
    <w:rPr>
      <w:rFonts w:ascii="Tahoma" w:hAnsi="Tahoma" w:cs="Tahoma"/>
      <w:sz w:val="16"/>
      <w:szCs w:val="16"/>
    </w:rPr>
  </w:style>
  <w:style w:type="paragraph" w:customStyle="1" w:styleId="1">
    <w:name w:val="Абзац списка1"/>
    <w:basedOn w:val="Normal"/>
    <w:rsid w:val="00BE54D4"/>
    <w:pPr>
      <w:spacing w:after="0" w:line="240" w:lineRule="auto"/>
      <w:ind w:left="720"/>
      <w:contextualSpacing/>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1"/>
  </w:style>
  <w:style w:type="paragraph" w:styleId="Heading1">
    <w:name w:val="heading 1"/>
    <w:basedOn w:val="Normal"/>
    <w:link w:val="Heading1Char"/>
    <w:uiPriority w:val="9"/>
    <w:qFormat/>
    <w:rsid w:val="005548A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8AC"/>
    <w:rPr>
      <w:rFonts w:ascii="Times New Roman" w:eastAsia="Times New Roman" w:hAnsi="Times New Roman" w:cs="Times New Roman"/>
      <w:b/>
      <w:bCs/>
      <w:kern w:val="36"/>
      <w:sz w:val="48"/>
      <w:szCs w:val="48"/>
      <w:lang w:val="ru-RU" w:eastAsia="ru-RU"/>
    </w:rPr>
  </w:style>
  <w:style w:type="table" w:styleId="TableGrid">
    <w:name w:val="Table Grid"/>
    <w:basedOn w:val="TableNormal"/>
    <w:uiPriority w:val="59"/>
    <w:rsid w:val="005548A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48AC"/>
    <w:pPr>
      <w:tabs>
        <w:tab w:val="center" w:pos="4677"/>
        <w:tab w:val="right" w:pos="9355"/>
      </w:tabs>
    </w:pPr>
    <w:rPr>
      <w:rFonts w:ascii="Calibri" w:eastAsia="Calibri" w:hAnsi="Calibri" w:cs="Times New Roman"/>
      <w:lang w:val="ru-RU"/>
    </w:rPr>
  </w:style>
  <w:style w:type="character" w:customStyle="1" w:styleId="HeaderChar">
    <w:name w:val="Header Char"/>
    <w:basedOn w:val="DefaultParagraphFont"/>
    <w:link w:val="Header"/>
    <w:uiPriority w:val="99"/>
    <w:rsid w:val="005548AC"/>
    <w:rPr>
      <w:rFonts w:ascii="Calibri" w:eastAsia="Calibri" w:hAnsi="Calibri" w:cs="Times New Roman"/>
      <w:lang w:val="ru-RU"/>
    </w:rPr>
  </w:style>
  <w:style w:type="paragraph" w:styleId="Footer">
    <w:name w:val="footer"/>
    <w:basedOn w:val="Normal"/>
    <w:link w:val="FooterChar"/>
    <w:uiPriority w:val="99"/>
    <w:semiHidden/>
    <w:unhideWhenUsed/>
    <w:rsid w:val="005548AC"/>
    <w:pPr>
      <w:tabs>
        <w:tab w:val="center" w:pos="4677"/>
        <w:tab w:val="right" w:pos="9355"/>
      </w:tabs>
    </w:pPr>
    <w:rPr>
      <w:rFonts w:ascii="Calibri" w:eastAsia="Calibri" w:hAnsi="Calibri" w:cs="Times New Roman"/>
      <w:lang w:val="ru-RU"/>
    </w:rPr>
  </w:style>
  <w:style w:type="character" w:customStyle="1" w:styleId="FooterChar">
    <w:name w:val="Footer Char"/>
    <w:basedOn w:val="DefaultParagraphFont"/>
    <w:link w:val="Footer"/>
    <w:uiPriority w:val="99"/>
    <w:semiHidden/>
    <w:rsid w:val="005548AC"/>
    <w:rPr>
      <w:rFonts w:ascii="Calibri" w:eastAsia="Calibri" w:hAnsi="Calibri" w:cs="Times New Roman"/>
      <w:lang w:val="ru-RU"/>
    </w:rPr>
  </w:style>
  <w:style w:type="character" w:customStyle="1" w:styleId="apple-converted-space">
    <w:name w:val="apple-converted-space"/>
    <w:basedOn w:val="DefaultParagraphFont"/>
    <w:rsid w:val="005548AC"/>
  </w:style>
  <w:style w:type="character" w:styleId="Hyperlink">
    <w:name w:val="Hyperlink"/>
    <w:basedOn w:val="DefaultParagraphFont"/>
    <w:uiPriority w:val="99"/>
    <w:semiHidden/>
    <w:unhideWhenUsed/>
    <w:rsid w:val="005548AC"/>
    <w:rPr>
      <w:color w:val="0000FF"/>
      <w:u w:val="single"/>
    </w:rPr>
  </w:style>
  <w:style w:type="paragraph" w:styleId="NormalWeb">
    <w:name w:val="Normal (Web)"/>
    <w:basedOn w:val="Normal"/>
    <w:uiPriority w:val="99"/>
    <w:unhideWhenUsed/>
    <w:rsid w:val="00554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2">
    <w:name w:val="Body Text 2"/>
    <w:basedOn w:val="Normal"/>
    <w:link w:val="BodyText2Char"/>
    <w:rsid w:val="005548AC"/>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5548AC"/>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5548AC"/>
    <w:pPr>
      <w:spacing w:after="0" w:line="360" w:lineRule="auto"/>
      <w:jc w:val="center"/>
    </w:pPr>
    <w:rPr>
      <w:rFonts w:ascii="Arial" w:eastAsia="Times New Roman" w:hAnsi="Arial" w:cs="Arial"/>
      <w:b/>
      <w:bCs/>
      <w:sz w:val="28"/>
      <w:szCs w:val="24"/>
      <w:lang w:val="uk-UA" w:eastAsia="ru-RU"/>
    </w:rPr>
  </w:style>
  <w:style w:type="character" w:customStyle="1" w:styleId="TitleChar">
    <w:name w:val="Title Char"/>
    <w:basedOn w:val="DefaultParagraphFont"/>
    <w:link w:val="Title"/>
    <w:rsid w:val="005548AC"/>
    <w:rPr>
      <w:rFonts w:ascii="Arial" w:eastAsia="Times New Roman" w:hAnsi="Arial" w:cs="Arial"/>
      <w:b/>
      <w:bCs/>
      <w:sz w:val="28"/>
      <w:szCs w:val="24"/>
      <w:lang w:val="uk-UA" w:eastAsia="ru-RU"/>
    </w:rPr>
  </w:style>
  <w:style w:type="paragraph" w:styleId="BodyText">
    <w:name w:val="Body Text"/>
    <w:basedOn w:val="Normal"/>
    <w:link w:val="BodyTextChar"/>
    <w:rsid w:val="005548A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5548AC"/>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5548AC"/>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5548A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5548AC"/>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5548AC"/>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548AC"/>
    <w:pPr>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55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AC"/>
    <w:rPr>
      <w:rFonts w:ascii="Tahoma" w:hAnsi="Tahoma" w:cs="Tahoma"/>
      <w:sz w:val="16"/>
      <w:szCs w:val="16"/>
    </w:rPr>
  </w:style>
  <w:style w:type="paragraph" w:customStyle="1" w:styleId="1">
    <w:name w:val="Абзац списка1"/>
    <w:basedOn w:val="Normal"/>
    <w:rsid w:val="00BE54D4"/>
    <w:pPr>
      <w:spacing w:after="0" w:line="240" w:lineRule="auto"/>
      <w:ind w:left="720"/>
      <w:contextualSpacing/>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9626">
      <w:bodyDiv w:val="1"/>
      <w:marLeft w:val="0"/>
      <w:marRight w:val="0"/>
      <w:marTop w:val="0"/>
      <w:marBottom w:val="0"/>
      <w:divBdr>
        <w:top w:val="none" w:sz="0" w:space="0" w:color="auto"/>
        <w:left w:val="none" w:sz="0" w:space="0" w:color="auto"/>
        <w:bottom w:val="none" w:sz="0" w:space="0" w:color="auto"/>
        <w:right w:val="none" w:sz="0" w:space="0" w:color="auto"/>
      </w:divBdr>
    </w:div>
    <w:div w:id="935867841">
      <w:bodyDiv w:val="1"/>
      <w:marLeft w:val="0"/>
      <w:marRight w:val="0"/>
      <w:marTop w:val="0"/>
      <w:marBottom w:val="0"/>
      <w:divBdr>
        <w:top w:val="none" w:sz="0" w:space="0" w:color="auto"/>
        <w:left w:val="none" w:sz="0" w:space="0" w:color="auto"/>
        <w:bottom w:val="none" w:sz="0" w:space="0" w:color="auto"/>
        <w:right w:val="none" w:sz="0" w:space="0" w:color="auto"/>
      </w:divBdr>
    </w:div>
    <w:div w:id="1016422387">
      <w:bodyDiv w:val="1"/>
      <w:marLeft w:val="0"/>
      <w:marRight w:val="0"/>
      <w:marTop w:val="0"/>
      <w:marBottom w:val="0"/>
      <w:divBdr>
        <w:top w:val="none" w:sz="0" w:space="0" w:color="auto"/>
        <w:left w:val="none" w:sz="0" w:space="0" w:color="auto"/>
        <w:bottom w:val="none" w:sz="0" w:space="0" w:color="auto"/>
        <w:right w:val="none" w:sz="0" w:space="0" w:color="auto"/>
      </w:divBdr>
    </w:div>
    <w:div w:id="1314406202">
      <w:bodyDiv w:val="1"/>
      <w:marLeft w:val="0"/>
      <w:marRight w:val="0"/>
      <w:marTop w:val="0"/>
      <w:marBottom w:val="0"/>
      <w:divBdr>
        <w:top w:val="none" w:sz="0" w:space="0" w:color="auto"/>
        <w:left w:val="none" w:sz="0" w:space="0" w:color="auto"/>
        <w:bottom w:val="none" w:sz="0" w:space="0" w:color="auto"/>
        <w:right w:val="none" w:sz="0" w:space="0" w:color="auto"/>
      </w:divBdr>
    </w:div>
    <w:div w:id="1370255075">
      <w:bodyDiv w:val="1"/>
      <w:marLeft w:val="0"/>
      <w:marRight w:val="0"/>
      <w:marTop w:val="0"/>
      <w:marBottom w:val="0"/>
      <w:divBdr>
        <w:top w:val="none" w:sz="0" w:space="0" w:color="auto"/>
        <w:left w:val="none" w:sz="0" w:space="0" w:color="auto"/>
        <w:bottom w:val="none" w:sz="0" w:space="0" w:color="auto"/>
        <w:right w:val="none" w:sz="0" w:space="0" w:color="auto"/>
      </w:divBdr>
    </w:div>
    <w:div w:id="15342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4010152284263961"/>
          <c:y val="0.37560975609756098"/>
          <c:w val="0.31979695431472083"/>
          <c:h val="0.24390243902439024"/>
        </c:manualLayout>
      </c:layout>
      <c:pie3DChart>
        <c:varyColors val="1"/>
        <c:ser>
          <c:idx val="0"/>
          <c:order val="0"/>
          <c:spPr>
            <a:solidFill>
              <a:srgbClr val="9999FF"/>
            </a:solidFill>
            <a:ln w="12681">
              <a:solidFill>
                <a:srgbClr val="000000"/>
              </a:solidFill>
              <a:prstDash val="solid"/>
            </a:ln>
          </c:spPr>
          <c:explosion val="25"/>
          <c:dPt>
            <c:idx val="0"/>
            <c:bubble3D val="0"/>
            <c:spPr>
              <a:pattFill prst="lgGrid">
                <a:fgClr>
                  <a:srgbClr val="C0C0C0"/>
                </a:fgClr>
                <a:bgClr>
                  <a:srgbClr val="FFFFFF"/>
                </a:bgClr>
              </a:pattFill>
              <a:ln w="12681">
                <a:solidFill>
                  <a:srgbClr val="000000"/>
                </a:solidFill>
                <a:prstDash val="solid"/>
              </a:ln>
            </c:spPr>
          </c:dPt>
          <c:dPt>
            <c:idx val="1"/>
            <c:bubble3D val="0"/>
            <c:spPr>
              <a:pattFill prst="lgCheck">
                <a:fgClr>
                  <a:srgbClr val="333333"/>
                </a:fgClr>
                <a:bgClr>
                  <a:srgbClr val="FFFFFF"/>
                </a:bgClr>
              </a:pattFill>
              <a:ln w="12681">
                <a:solidFill>
                  <a:srgbClr val="000000"/>
                </a:solidFill>
                <a:prstDash val="solid"/>
              </a:ln>
            </c:spPr>
          </c:dPt>
          <c:dPt>
            <c:idx val="2"/>
            <c:bubble3D val="0"/>
            <c:spPr>
              <a:pattFill prst="pct5">
                <a:fgClr>
                  <a:srgbClr val="969696"/>
                </a:fgClr>
                <a:bgClr>
                  <a:srgbClr val="FFFFFF"/>
                </a:bgClr>
              </a:pattFill>
              <a:ln w="12681">
                <a:solidFill>
                  <a:srgbClr val="000000"/>
                </a:solidFill>
                <a:prstDash val="solid"/>
              </a:ln>
            </c:spPr>
          </c:dPt>
          <c:dLbls>
            <c:dLbl>
              <c:idx val="0"/>
              <c:layout>
                <c:manualLayout>
                  <c:x val="2.5924297533874211E-2"/>
                  <c:y val="-8.0330324563088126E-2"/>
                </c:manualLayout>
              </c:layout>
              <c:tx>
                <c:rich>
                  <a:bodyPr/>
                  <a:lstStyle/>
                  <a:p>
                    <a:pPr>
                      <a:defRPr sz="1021" b="0" i="0" u="none" strike="noStrike" baseline="0">
                        <a:solidFill>
                          <a:srgbClr val="000000"/>
                        </a:solidFill>
                        <a:latin typeface="Arial Cyr"/>
                        <a:ea typeface="Arial Cyr"/>
                        <a:cs typeface="Arial Cyr"/>
                      </a:defRPr>
                    </a:pPr>
                    <a:r>
                      <a:rPr lang="en-US" sz="874" b="1" i="0" u="none" strike="noStrike" baseline="0">
                        <a:solidFill>
                          <a:srgbClr val="000000"/>
                        </a:solidFill>
                        <a:latin typeface="Arial Cyr"/>
                        <a:cs typeface="Arial Cyr"/>
                      </a:rPr>
                      <a:t>1 degree AH</a:t>
                    </a:r>
                  </a:p>
                  <a:p>
                    <a:pPr>
                      <a:defRPr sz="1021" b="0" i="0" u="none" strike="noStrike" baseline="0">
                        <a:solidFill>
                          <a:srgbClr val="000000"/>
                        </a:solidFill>
                        <a:latin typeface="Arial Cyr"/>
                        <a:ea typeface="Arial Cyr"/>
                        <a:cs typeface="Arial Cyr"/>
                      </a:defRPr>
                    </a:pPr>
                    <a:r>
                      <a:rPr lang="en-US" sz="1023" b="0" i="0" u="none" strike="noStrike" baseline="0">
                        <a:solidFill>
                          <a:srgbClr val="000000"/>
                        </a:solidFill>
                        <a:latin typeface="Arial Cyr"/>
                        <a:cs typeface="Arial Cyr"/>
                      </a:rPr>
                      <a:t> 35.21%</a:t>
                    </a:r>
                  </a:p>
                </c:rich>
              </c:tx>
              <c:spPr>
                <a:noFill/>
                <a:ln w="25361">
                  <a:noFill/>
                </a:ln>
              </c:spPr>
              <c:dLblPos val="bestFit"/>
              <c:showLegendKey val="0"/>
              <c:showVal val="0"/>
              <c:showCatName val="0"/>
              <c:showSerName val="0"/>
              <c:showPercent val="0"/>
              <c:showBubbleSize val="0"/>
            </c:dLbl>
            <c:dLbl>
              <c:idx val="1"/>
              <c:layout>
                <c:manualLayout>
                  <c:x val="7.2122253753813786E-2"/>
                  <c:y val="5.3844440176685257E-2"/>
                </c:manualLayout>
              </c:layout>
              <c:tx>
                <c:rich>
                  <a:bodyPr/>
                  <a:lstStyle/>
                  <a:p>
                    <a:pPr>
                      <a:defRPr sz="1023" b="0" i="0" u="none" strike="noStrike" baseline="0">
                        <a:solidFill>
                          <a:srgbClr val="000000"/>
                        </a:solidFill>
                        <a:latin typeface="Arial Cyr"/>
                        <a:ea typeface="Arial Cyr"/>
                        <a:cs typeface="Arial Cyr"/>
                      </a:defRPr>
                    </a:pPr>
                    <a:r>
                      <a:rPr lang="en-US" sz="874" b="1" i="0" u="none" strike="noStrike" baseline="0">
                        <a:solidFill>
                          <a:srgbClr val="000000"/>
                        </a:solidFill>
                        <a:latin typeface="Arial Cyr"/>
                        <a:cs typeface="Arial Cyr"/>
                      </a:rPr>
                      <a:t>2 degree AH </a:t>
                    </a:r>
                    <a:r>
                      <a:rPr lang="en-US" sz="1023" b="0" i="0" u="none" strike="noStrike" baseline="0">
                        <a:solidFill>
                          <a:srgbClr val="000000"/>
                        </a:solidFill>
                        <a:latin typeface="Arial Cyr"/>
                        <a:cs typeface="Arial Cyr"/>
                      </a:rPr>
                      <a:t>32.39%</a:t>
                    </a:r>
                  </a:p>
                </c:rich>
              </c:tx>
              <c:spPr>
                <a:noFill/>
                <a:ln w="25361">
                  <a:noFill/>
                </a:ln>
              </c:spPr>
              <c:dLblPos val="bestFit"/>
              <c:showLegendKey val="0"/>
              <c:showVal val="0"/>
              <c:showCatName val="0"/>
              <c:showSerName val="0"/>
              <c:showPercent val="0"/>
              <c:showBubbleSize val="0"/>
            </c:dLbl>
            <c:dLbl>
              <c:idx val="2"/>
              <c:layout>
                <c:manualLayout>
                  <c:x val="-6.3946067655248707E-3"/>
                  <c:y val="-0.10448959733691826"/>
                </c:manualLayout>
              </c:layout>
              <c:tx>
                <c:rich>
                  <a:bodyPr/>
                  <a:lstStyle/>
                  <a:p>
                    <a:pPr>
                      <a:defRPr sz="1023" b="0" i="0" u="none" strike="noStrike" baseline="0">
                        <a:solidFill>
                          <a:srgbClr val="000000"/>
                        </a:solidFill>
                        <a:latin typeface="Arial Cyr"/>
                        <a:ea typeface="Arial Cyr"/>
                        <a:cs typeface="Arial Cyr"/>
                      </a:defRPr>
                    </a:pPr>
                    <a:r>
                      <a:rPr lang="en-US" sz="874" b="1" i="0" u="none" strike="noStrike" baseline="0">
                        <a:solidFill>
                          <a:srgbClr val="000000"/>
                        </a:solidFill>
                        <a:latin typeface="Arial Cyr"/>
                        <a:cs typeface="Arial Cyr"/>
                      </a:rPr>
                      <a:t>3 degree AH</a:t>
                    </a:r>
                    <a:r>
                      <a:rPr lang="en-US" sz="1023" b="1" i="0" u="none" strike="noStrike" baseline="0">
                        <a:solidFill>
                          <a:srgbClr val="000000"/>
                        </a:solidFill>
                        <a:latin typeface="Arial Cyr"/>
                        <a:cs typeface="Arial Cyr"/>
                      </a:rPr>
                      <a:t> </a:t>
                    </a:r>
                    <a:r>
                      <a:rPr lang="en-US" sz="1023" b="0" i="0" u="none" strike="noStrike" baseline="0">
                        <a:solidFill>
                          <a:srgbClr val="000000"/>
                        </a:solidFill>
                        <a:latin typeface="Arial Cyr"/>
                        <a:cs typeface="Arial Cyr"/>
                      </a:rPr>
                      <a:t>32.39%</a:t>
                    </a:r>
                  </a:p>
                </c:rich>
              </c:tx>
              <c:spPr>
                <a:noFill/>
                <a:ln w="25361">
                  <a:noFill/>
                </a:ln>
              </c:spPr>
              <c:dLblPos val="bestFit"/>
              <c:showLegendKey val="0"/>
              <c:showVal val="0"/>
              <c:showCatName val="0"/>
              <c:showSerName val="0"/>
              <c:showPercent val="0"/>
              <c:showBubbleSize val="0"/>
            </c:dLbl>
            <c:numFmt formatCode="0.00%" sourceLinked="0"/>
            <c:spPr>
              <a:noFill/>
              <a:ln w="25361">
                <a:noFill/>
              </a:ln>
            </c:spPr>
            <c:txPr>
              <a:bodyPr/>
              <a:lstStyle/>
              <a:p>
                <a:pPr>
                  <a:defRPr sz="1023" b="0" i="0" u="none" strike="noStrike" baseline="0">
                    <a:solidFill>
                      <a:srgbClr val="000000"/>
                    </a:solidFill>
                    <a:latin typeface="Arial Cyr"/>
                    <a:ea typeface="Arial Cyr"/>
                    <a:cs typeface="Arial Cyr"/>
                  </a:defRPr>
                </a:pPr>
                <a:endParaRPr lang="en-US"/>
              </a:p>
            </c:txPr>
            <c:showLegendKey val="0"/>
            <c:showVal val="0"/>
            <c:showCatName val="0"/>
            <c:showSerName val="0"/>
            <c:showPercent val="1"/>
            <c:showBubbleSize val="0"/>
            <c:showLeaderLines val="1"/>
          </c:dLbls>
          <c:val>
            <c:numRef>
              <c:f>Лист3!$A$355:$A$357</c:f>
              <c:numCache>
                <c:formatCode>General</c:formatCode>
                <c:ptCount val="3"/>
                <c:pt idx="0">
                  <c:v>35.21</c:v>
                </c:pt>
                <c:pt idx="1">
                  <c:v>32.39</c:v>
                </c:pt>
                <c:pt idx="2">
                  <c:v>32.39</c:v>
                </c:pt>
              </c:numCache>
            </c:numRef>
          </c:val>
        </c:ser>
        <c:dLbls>
          <c:showLegendKey val="0"/>
          <c:showVal val="0"/>
          <c:showCatName val="0"/>
          <c:showSerName val="0"/>
          <c:showPercent val="1"/>
          <c:showBubbleSize val="0"/>
          <c:showLeaderLines val="1"/>
        </c:dLbls>
      </c:pie3DChart>
      <c:spPr>
        <a:noFill/>
        <a:ln w="25361">
          <a:noFill/>
        </a:ln>
      </c:spPr>
    </c:plotArea>
    <c:plotVisOnly val="1"/>
    <c:dispBlanksAs val="zero"/>
    <c:showDLblsOverMax val="0"/>
  </c:chart>
  <c:spPr>
    <a:solidFill>
      <a:srgbClr val="FFFFFF"/>
    </a:solidFill>
    <a:ln w="3170">
      <a:solidFill>
        <a:srgbClr val="000000"/>
      </a:solidFill>
      <a:prstDash val="solid"/>
    </a:ln>
  </c:spPr>
  <c:txPr>
    <a:bodyPr/>
    <a:lstStyle/>
    <a:p>
      <a:pPr>
        <a:defRPr sz="1023" b="0" i="0" u="none" strike="noStrike" baseline="0">
          <a:solidFill>
            <a:srgbClr val="000000"/>
          </a:solidFill>
          <a:latin typeface="Arial Cyr"/>
          <a:ea typeface="Arial Cyr"/>
          <a:cs typeface="Arial Cy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795811518324643"/>
          <c:y val="0.34449760765550241"/>
          <c:w val="0.42408376963350808"/>
          <c:h val="0.30622009569378011"/>
        </c:manualLayout>
      </c:layout>
      <c:pie3DChart>
        <c:varyColors val="1"/>
        <c:ser>
          <c:idx val="0"/>
          <c:order val="0"/>
          <c:spPr>
            <a:solidFill>
              <a:srgbClr val="9999FF"/>
            </a:solidFill>
            <a:ln w="12700">
              <a:solidFill>
                <a:srgbClr val="000000"/>
              </a:solidFill>
              <a:prstDash val="solid"/>
            </a:ln>
          </c:spPr>
          <c:explosion val="25"/>
          <c:dPt>
            <c:idx val="0"/>
            <c:bubble3D val="0"/>
            <c:spPr>
              <a:pattFill prst="pct5">
                <a:fgClr>
                  <a:srgbClr val="C0C0C0"/>
                </a:fgClr>
                <a:bgClr>
                  <a:srgbClr val="FFFFFF"/>
                </a:bgClr>
              </a:pattFill>
              <a:ln w="12700">
                <a:solidFill>
                  <a:srgbClr val="000000"/>
                </a:solidFill>
                <a:prstDash val="solid"/>
              </a:ln>
            </c:spPr>
          </c:dPt>
          <c:dPt>
            <c:idx val="1"/>
            <c:bubble3D val="0"/>
            <c:spPr>
              <a:pattFill prst="trellis">
                <a:fgClr>
                  <a:srgbClr val="969696"/>
                </a:fgClr>
                <a:bgClr>
                  <a:srgbClr val="FFFFFF"/>
                </a:bgClr>
              </a:pattFill>
              <a:ln w="12700">
                <a:solidFill>
                  <a:srgbClr val="000000"/>
                </a:solidFill>
                <a:prstDash val="solid"/>
              </a:ln>
            </c:spPr>
          </c:dPt>
          <c:dPt>
            <c:idx val="2"/>
            <c:bubble3D val="0"/>
            <c:spPr>
              <a:pattFill prst="pct90">
                <a:fgClr>
                  <a:srgbClr val="333333"/>
                </a:fgClr>
                <a:bgClr>
                  <a:srgbClr val="FFFFFF"/>
                </a:bgClr>
              </a:pattFill>
              <a:ln w="12700">
                <a:solidFill>
                  <a:srgbClr val="000000"/>
                </a:solidFill>
                <a:prstDash val="solid"/>
              </a:ln>
            </c:spPr>
          </c:dPt>
          <c:dLbls>
            <c:dLbl>
              <c:idx val="0"/>
              <c:layout>
                <c:manualLayout>
                  <c:x val="8.940566984100809E-2"/>
                  <c:y val="-4.4294415351191191E-2"/>
                </c:manualLayout>
              </c:layout>
              <c:tx>
                <c:rich>
                  <a:bodyPr/>
                  <a:lstStyle/>
                  <a:p>
                    <a:pPr>
                      <a:defRPr sz="998" b="0" i="0" u="none" strike="noStrike" baseline="0">
                        <a:solidFill>
                          <a:srgbClr val="000000"/>
                        </a:solidFill>
                        <a:latin typeface="Arial Cyr"/>
                        <a:ea typeface="Arial Cyr"/>
                        <a:cs typeface="Arial Cyr"/>
                      </a:defRPr>
                    </a:pPr>
                    <a:r>
                      <a:rPr lang="en-US" sz="874" b="1" i="0" u="none" strike="noStrike" baseline="0">
                        <a:solidFill>
                          <a:srgbClr val="000000"/>
                        </a:solidFill>
                        <a:latin typeface="Arial Cyr"/>
                        <a:cs typeface="Arial Cyr"/>
                      </a:rPr>
                      <a:t>I stage AH </a:t>
                    </a:r>
                  </a:p>
                  <a:p>
                    <a:pPr>
                      <a:defRPr sz="998" b="0" i="0" u="none" strike="noStrike" baseline="0">
                        <a:solidFill>
                          <a:srgbClr val="000000"/>
                        </a:solidFill>
                        <a:latin typeface="Arial Cyr"/>
                        <a:ea typeface="Arial Cyr"/>
                        <a:cs typeface="Arial Cyr"/>
                      </a:defRPr>
                    </a:pPr>
                    <a:r>
                      <a:rPr lang="en-US" sz="999" b="0" i="0" u="none" strike="noStrike" baseline="0">
                        <a:solidFill>
                          <a:srgbClr val="000000"/>
                        </a:solidFill>
                        <a:latin typeface="Arial Cyr"/>
                        <a:cs typeface="Arial Cyr"/>
                      </a:rPr>
                      <a:t>8.45%</a:t>
                    </a:r>
                  </a:p>
                </c:rich>
              </c:tx>
              <c:spPr>
                <a:noFill/>
                <a:ln w="25401">
                  <a:noFill/>
                </a:ln>
              </c:spPr>
              <c:dLblPos val="bestFit"/>
              <c:showLegendKey val="0"/>
              <c:showVal val="0"/>
              <c:showCatName val="0"/>
              <c:showSerName val="0"/>
              <c:showPercent val="0"/>
              <c:showBubbleSize val="0"/>
            </c:dLbl>
            <c:dLbl>
              <c:idx val="1"/>
              <c:layout>
                <c:manualLayout>
                  <c:x val="-4.3020159129323471E-2"/>
                  <c:y val="0.15197578771553089"/>
                </c:manualLayout>
              </c:layout>
              <c:tx>
                <c:rich>
                  <a:bodyPr/>
                  <a:lstStyle/>
                  <a:p>
                    <a:pPr>
                      <a:defRPr sz="998" b="0" i="0" u="none" strike="noStrike" baseline="0">
                        <a:solidFill>
                          <a:srgbClr val="000000"/>
                        </a:solidFill>
                        <a:latin typeface="Arial Cyr"/>
                        <a:ea typeface="Arial Cyr"/>
                        <a:cs typeface="Arial Cyr"/>
                      </a:defRPr>
                    </a:pPr>
                    <a:r>
                      <a:rPr lang="en-US" sz="874" b="1" i="0" u="none" strike="noStrike" baseline="0">
                        <a:solidFill>
                          <a:srgbClr val="000000"/>
                        </a:solidFill>
                        <a:latin typeface="Arial Cyr"/>
                        <a:cs typeface="Arial Cyr"/>
                      </a:rPr>
                      <a:t>II stage AH </a:t>
                    </a:r>
                  </a:p>
                  <a:p>
                    <a:pPr>
                      <a:defRPr sz="998" b="0" i="0" u="none" strike="noStrike" baseline="0">
                        <a:solidFill>
                          <a:srgbClr val="000000"/>
                        </a:solidFill>
                        <a:latin typeface="Arial Cyr"/>
                        <a:ea typeface="Arial Cyr"/>
                        <a:cs typeface="Arial Cyr"/>
                      </a:defRPr>
                    </a:pPr>
                    <a:r>
                      <a:rPr lang="en-US" sz="999" b="0" i="0" u="none" strike="noStrike" baseline="0">
                        <a:solidFill>
                          <a:srgbClr val="000000"/>
                        </a:solidFill>
                        <a:latin typeface="Arial Cyr"/>
                        <a:cs typeface="Arial Cyr"/>
                      </a:rPr>
                      <a:t>81.69%</a:t>
                    </a:r>
                  </a:p>
                </c:rich>
              </c:tx>
              <c:spPr>
                <a:noFill/>
                <a:ln w="25401">
                  <a:noFill/>
                </a:ln>
              </c:spPr>
              <c:dLblPos val="bestFit"/>
              <c:showLegendKey val="0"/>
              <c:showVal val="0"/>
              <c:showCatName val="0"/>
              <c:showSerName val="0"/>
              <c:showPercent val="0"/>
              <c:showBubbleSize val="0"/>
            </c:dLbl>
            <c:dLbl>
              <c:idx val="2"/>
              <c:layout>
                <c:manualLayout>
                  <c:x val="-8.2230009206964313E-2"/>
                  <c:y val="-5.2221175702319454E-2"/>
                </c:manualLayout>
              </c:layout>
              <c:tx>
                <c:rich>
                  <a:bodyPr/>
                  <a:lstStyle/>
                  <a:p>
                    <a:pPr>
                      <a:defRPr sz="998" b="0" i="0" u="none" strike="noStrike" baseline="0">
                        <a:solidFill>
                          <a:srgbClr val="000000"/>
                        </a:solidFill>
                        <a:latin typeface="Arial Cyr"/>
                        <a:ea typeface="Arial Cyr"/>
                        <a:cs typeface="Arial Cyr"/>
                      </a:defRPr>
                    </a:pPr>
                    <a:r>
                      <a:rPr lang="en-US" sz="874" b="1" i="0" u="none" strike="noStrike" baseline="0">
                        <a:solidFill>
                          <a:srgbClr val="000000"/>
                        </a:solidFill>
                        <a:latin typeface="Arial Cyr"/>
                        <a:cs typeface="Arial Cyr"/>
                      </a:rPr>
                      <a:t>III stage AH</a:t>
                    </a:r>
                    <a:r>
                      <a:rPr lang="en-US" sz="999" b="1" i="0" u="none" strike="noStrike" baseline="0">
                        <a:solidFill>
                          <a:srgbClr val="000000"/>
                        </a:solidFill>
                        <a:latin typeface="Arial Cyr"/>
                        <a:cs typeface="Arial Cyr"/>
                      </a:rPr>
                      <a:t> </a:t>
                    </a:r>
                  </a:p>
                  <a:p>
                    <a:pPr>
                      <a:defRPr sz="998" b="0" i="0" u="none" strike="noStrike" baseline="0">
                        <a:solidFill>
                          <a:srgbClr val="000000"/>
                        </a:solidFill>
                        <a:latin typeface="Arial Cyr"/>
                        <a:ea typeface="Arial Cyr"/>
                        <a:cs typeface="Arial Cyr"/>
                      </a:defRPr>
                    </a:pPr>
                    <a:r>
                      <a:rPr lang="en-US" sz="999" b="0" i="0" u="none" strike="noStrike" baseline="0">
                        <a:solidFill>
                          <a:srgbClr val="000000"/>
                        </a:solidFill>
                        <a:latin typeface="Arial Cyr"/>
                        <a:cs typeface="Arial Cyr"/>
                      </a:rPr>
                      <a:t>9.86%</a:t>
                    </a:r>
                  </a:p>
                </c:rich>
              </c:tx>
              <c:spPr>
                <a:noFill/>
                <a:ln w="25401">
                  <a:noFill/>
                </a:ln>
              </c:spPr>
              <c:dLblPos val="bestFit"/>
              <c:showLegendKey val="0"/>
              <c:showVal val="0"/>
              <c:showCatName val="0"/>
              <c:showSerName val="0"/>
              <c:showPercent val="0"/>
              <c:showBubbleSize val="0"/>
            </c:dLbl>
            <c:numFmt formatCode="0.00%" sourceLinked="0"/>
            <c:spPr>
              <a:noFill/>
              <a:ln w="25401">
                <a:noFill/>
              </a:ln>
            </c:spPr>
            <c:txPr>
              <a:bodyPr/>
              <a:lstStyle/>
              <a:p>
                <a:pPr>
                  <a:defRPr sz="999" b="0" i="0" u="none" strike="noStrike" baseline="0">
                    <a:solidFill>
                      <a:srgbClr val="000000"/>
                    </a:solidFill>
                    <a:latin typeface="Arial Cyr"/>
                    <a:ea typeface="Arial Cyr"/>
                    <a:cs typeface="Arial Cyr"/>
                  </a:defRPr>
                </a:pPr>
                <a:endParaRPr lang="en-US"/>
              </a:p>
            </c:txPr>
            <c:showLegendKey val="0"/>
            <c:showVal val="0"/>
            <c:showCatName val="0"/>
            <c:showSerName val="0"/>
            <c:showPercent val="1"/>
            <c:showBubbleSize val="0"/>
            <c:showLeaderLines val="1"/>
          </c:dLbls>
          <c:val>
            <c:numRef>
              <c:f>Лист2!$A$1:$A$3</c:f>
              <c:numCache>
                <c:formatCode>General</c:formatCode>
                <c:ptCount val="3"/>
                <c:pt idx="0">
                  <c:v>8.4499999999999993</c:v>
                </c:pt>
                <c:pt idx="1">
                  <c:v>81.69</c:v>
                </c:pt>
                <c:pt idx="2">
                  <c:v>9.86</c:v>
                </c:pt>
              </c:numCache>
            </c:numRef>
          </c:val>
        </c:ser>
        <c:dLbls>
          <c:showLegendKey val="0"/>
          <c:showVal val="0"/>
          <c:showCatName val="0"/>
          <c:showSerName val="0"/>
          <c:showPercent val="1"/>
          <c:showBubbleSize val="0"/>
          <c:showLeaderLines val="1"/>
        </c:dLbls>
      </c:pie3DChart>
      <c:spPr>
        <a:noFill/>
        <a:ln w="25375">
          <a:noFill/>
        </a:ln>
      </c:spPr>
    </c:plotArea>
    <c:plotVisOnly val="1"/>
    <c:dispBlanksAs val="zero"/>
    <c:showDLblsOverMax val="0"/>
  </c:chart>
  <c:spPr>
    <a:solidFill>
      <a:srgbClr val="FFFFFF"/>
    </a:solidFill>
    <a:ln w="3175">
      <a:solidFill>
        <a:srgbClr val="000000"/>
      </a:solidFill>
      <a:prstDash val="solid"/>
    </a:ln>
  </c:spPr>
  <c:txPr>
    <a:bodyPr/>
    <a:lstStyle/>
    <a:p>
      <a:pPr>
        <a:defRPr sz="999" b="0"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9268292682926828"/>
          <c:y val="0.35148514851485146"/>
          <c:w val="0.41192411924119243"/>
          <c:h val="0.29702970297029702"/>
        </c:manualLayout>
      </c:layout>
      <c:pie3DChart>
        <c:varyColors val="1"/>
        <c:ser>
          <c:idx val="0"/>
          <c:order val="0"/>
          <c:spPr>
            <a:solidFill>
              <a:srgbClr val="9999FF"/>
            </a:solidFill>
            <a:ln w="12647">
              <a:solidFill>
                <a:srgbClr val="000000"/>
              </a:solidFill>
              <a:prstDash val="solid"/>
            </a:ln>
          </c:spPr>
          <c:explosion val="25"/>
          <c:dPt>
            <c:idx val="0"/>
            <c:bubble3D val="0"/>
            <c:spPr>
              <a:pattFill prst="lgCheck">
                <a:fgClr>
                  <a:srgbClr val="808080"/>
                </a:fgClr>
                <a:bgClr>
                  <a:srgbClr val="FFFFFF"/>
                </a:bgClr>
              </a:pattFill>
              <a:ln w="12647">
                <a:solidFill>
                  <a:srgbClr val="000000"/>
                </a:solidFill>
                <a:prstDash val="solid"/>
              </a:ln>
            </c:spPr>
          </c:dPt>
          <c:dPt>
            <c:idx val="1"/>
            <c:bubble3D val="0"/>
            <c:spPr>
              <a:pattFill prst="horzBrick">
                <a:fgClr>
                  <a:srgbClr val="333333"/>
                </a:fgClr>
                <a:bgClr>
                  <a:srgbClr val="FFFFFF"/>
                </a:bgClr>
              </a:pattFill>
              <a:ln w="12647">
                <a:solidFill>
                  <a:srgbClr val="000000"/>
                </a:solidFill>
                <a:prstDash val="solid"/>
              </a:ln>
            </c:spPr>
          </c:dPt>
          <c:dPt>
            <c:idx val="2"/>
            <c:bubble3D val="0"/>
            <c:spPr>
              <a:pattFill prst="trellis">
                <a:fgClr>
                  <a:srgbClr val="333333"/>
                </a:fgClr>
                <a:bgClr>
                  <a:srgbClr val="FFFFFF"/>
                </a:bgClr>
              </a:pattFill>
              <a:ln w="12647">
                <a:solidFill>
                  <a:srgbClr val="000000"/>
                </a:solidFill>
                <a:prstDash val="solid"/>
              </a:ln>
            </c:spPr>
          </c:dPt>
          <c:dPt>
            <c:idx val="3"/>
            <c:bubble3D val="0"/>
            <c:spPr>
              <a:pattFill prst="trellis">
                <a:fgClr>
                  <a:srgbClr val="C0C0C0"/>
                </a:fgClr>
                <a:bgClr>
                  <a:srgbClr val="FFFFFF"/>
                </a:bgClr>
              </a:pattFill>
              <a:ln w="12647">
                <a:solidFill>
                  <a:srgbClr val="000000"/>
                </a:solidFill>
                <a:prstDash val="solid"/>
              </a:ln>
            </c:spPr>
          </c:dPt>
          <c:dLbls>
            <c:dLbl>
              <c:idx val="0"/>
              <c:layout>
                <c:manualLayout>
                  <c:x val="-3.1800780999936003E-2"/>
                  <c:y val="-0.12226761258803046"/>
                </c:manualLayout>
              </c:layout>
              <c:tx>
                <c:rich>
                  <a:bodyPr/>
                  <a:lstStyle/>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 HF </a:t>
                    </a:r>
                  </a:p>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0 degree</a:t>
                    </a:r>
                  </a:p>
                  <a:p>
                    <a:pPr>
                      <a:defRPr sz="963" b="0" i="0" u="none" strike="noStrike" baseline="0">
                        <a:solidFill>
                          <a:srgbClr val="000000"/>
                        </a:solidFill>
                        <a:latin typeface="Arial Cyr"/>
                        <a:ea typeface="Arial Cyr"/>
                        <a:cs typeface="Arial Cyr"/>
                      </a:defRPr>
                    </a:pPr>
                    <a:r>
                      <a:rPr lang="en-US" sz="971" b="0" i="0" u="none" strike="noStrike" baseline="0">
                        <a:solidFill>
                          <a:srgbClr val="000000"/>
                        </a:solidFill>
                        <a:latin typeface="Arial Cyr"/>
                        <a:cs typeface="Arial Cyr"/>
                      </a:rPr>
                      <a:t>6.34%</a:t>
                    </a:r>
                  </a:p>
                </c:rich>
              </c:tx>
              <c:spPr>
                <a:noFill/>
                <a:ln w="25294">
                  <a:noFill/>
                </a:ln>
              </c:spPr>
              <c:dLblPos val="bestFit"/>
              <c:showLegendKey val="0"/>
              <c:showVal val="0"/>
              <c:showCatName val="0"/>
              <c:showSerName val="0"/>
              <c:showPercent val="0"/>
              <c:showBubbleSize val="0"/>
            </c:dLbl>
            <c:dLbl>
              <c:idx val="1"/>
              <c:layout>
                <c:manualLayout>
                  <c:x val="1.2301104638342922E-2"/>
                  <c:y val="-9.4758971960188135E-2"/>
                </c:manualLayout>
              </c:layout>
              <c:tx>
                <c:rich>
                  <a:bodyPr/>
                  <a:lstStyle/>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HF </a:t>
                    </a:r>
                  </a:p>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I degree</a:t>
                    </a:r>
                    <a:endParaRPr lang="en-US" sz="975" b="0" i="0" u="none" strike="noStrike" baseline="0">
                      <a:solidFill>
                        <a:srgbClr val="000000"/>
                      </a:solidFill>
                      <a:latin typeface="Arial Cyr"/>
                      <a:cs typeface="Arial Cyr"/>
                    </a:endParaRPr>
                  </a:p>
                  <a:p>
                    <a:pPr>
                      <a:defRPr sz="963" b="0" i="0" u="none" strike="noStrike" baseline="0">
                        <a:solidFill>
                          <a:srgbClr val="000000"/>
                        </a:solidFill>
                        <a:latin typeface="Arial Cyr"/>
                        <a:ea typeface="Arial Cyr"/>
                        <a:cs typeface="Arial Cyr"/>
                      </a:defRPr>
                    </a:pPr>
                    <a:r>
                      <a:rPr lang="en-US" sz="971" b="0" i="0" u="none" strike="noStrike" baseline="0">
                        <a:solidFill>
                          <a:srgbClr val="000000"/>
                        </a:solidFill>
                        <a:latin typeface="Arial Cyr"/>
                        <a:cs typeface="Arial Cyr"/>
                      </a:rPr>
                      <a:t>26.06%</a:t>
                    </a:r>
                  </a:p>
                </c:rich>
              </c:tx>
              <c:spPr>
                <a:noFill/>
                <a:ln w="25294">
                  <a:noFill/>
                </a:ln>
              </c:spPr>
              <c:dLblPos val="bestFit"/>
              <c:showLegendKey val="0"/>
              <c:showVal val="0"/>
              <c:showCatName val="0"/>
              <c:showSerName val="0"/>
              <c:showPercent val="0"/>
              <c:showBubbleSize val="0"/>
            </c:dLbl>
            <c:dLbl>
              <c:idx val="2"/>
              <c:layout>
                <c:manualLayout>
                  <c:x val="1.9924176144648604E-2"/>
                  <c:y val="0.1480029105272731"/>
                </c:manualLayout>
              </c:layout>
              <c:tx>
                <c:rich>
                  <a:bodyPr/>
                  <a:lstStyle/>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HF </a:t>
                    </a:r>
                  </a:p>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IIA degree</a:t>
                    </a:r>
                    <a:endParaRPr lang="en-US" sz="975" b="0" i="0" u="none" strike="noStrike" baseline="0">
                      <a:solidFill>
                        <a:srgbClr val="000000"/>
                      </a:solidFill>
                      <a:latin typeface="Arial Cyr"/>
                      <a:cs typeface="Arial Cyr"/>
                    </a:endParaRPr>
                  </a:p>
                  <a:p>
                    <a:pPr>
                      <a:defRPr sz="963" b="0" i="0" u="none" strike="noStrike" baseline="0">
                        <a:solidFill>
                          <a:srgbClr val="000000"/>
                        </a:solidFill>
                        <a:latin typeface="Arial Cyr"/>
                        <a:ea typeface="Arial Cyr"/>
                        <a:cs typeface="Arial Cyr"/>
                      </a:defRPr>
                    </a:pPr>
                    <a:r>
                      <a:rPr lang="en-US" sz="971" b="0" i="0" u="none" strike="noStrike" baseline="0">
                        <a:solidFill>
                          <a:srgbClr val="000000"/>
                        </a:solidFill>
                        <a:latin typeface="Arial Cyr"/>
                        <a:cs typeface="Arial Cyr"/>
                      </a:rPr>
                      <a:t>59.15%</a:t>
                    </a:r>
                  </a:p>
                </c:rich>
              </c:tx>
              <c:spPr>
                <a:noFill/>
                <a:ln w="25294">
                  <a:noFill/>
                </a:ln>
              </c:spPr>
              <c:dLblPos val="bestFit"/>
              <c:showLegendKey val="0"/>
              <c:showVal val="0"/>
              <c:showCatName val="0"/>
              <c:showSerName val="0"/>
              <c:showPercent val="0"/>
              <c:showBubbleSize val="0"/>
            </c:dLbl>
            <c:dLbl>
              <c:idx val="3"/>
              <c:layout>
                <c:manualLayout>
                  <c:x val="-6.1472234669853264E-2"/>
                  <c:y val="-6.8569423871521012E-2"/>
                </c:manualLayout>
              </c:layout>
              <c:tx>
                <c:rich>
                  <a:bodyPr/>
                  <a:lstStyle/>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HF</a:t>
                    </a:r>
                  </a:p>
                  <a:p>
                    <a:pPr>
                      <a:defRPr sz="963" b="0" i="0" u="none" strike="noStrike" baseline="0">
                        <a:solidFill>
                          <a:srgbClr val="000000"/>
                        </a:solidFill>
                        <a:latin typeface="Arial Cyr"/>
                        <a:ea typeface="Arial Cyr"/>
                        <a:cs typeface="Arial Cyr"/>
                      </a:defRPr>
                    </a:pPr>
                    <a:r>
                      <a:rPr lang="en-US" sz="1170" b="1" i="0" u="none" strike="noStrike" baseline="0">
                        <a:solidFill>
                          <a:srgbClr val="000000"/>
                        </a:solidFill>
                        <a:latin typeface="Arial Cyr"/>
                        <a:cs typeface="Arial Cyr"/>
                      </a:rPr>
                      <a:t> IIB degree</a:t>
                    </a:r>
                    <a:endParaRPr lang="en-US" sz="975" b="0" i="0" u="none" strike="noStrike" baseline="0">
                      <a:solidFill>
                        <a:srgbClr val="000000"/>
                      </a:solidFill>
                      <a:latin typeface="Arial Cyr"/>
                      <a:cs typeface="Arial Cyr"/>
                    </a:endParaRPr>
                  </a:p>
                  <a:p>
                    <a:pPr>
                      <a:defRPr sz="963" b="0" i="0" u="none" strike="noStrike" baseline="0">
                        <a:solidFill>
                          <a:srgbClr val="000000"/>
                        </a:solidFill>
                        <a:latin typeface="Arial Cyr"/>
                        <a:ea typeface="Arial Cyr"/>
                        <a:cs typeface="Arial Cyr"/>
                      </a:defRPr>
                    </a:pPr>
                    <a:r>
                      <a:rPr lang="en-US" sz="971" b="0" i="0" u="none" strike="noStrike" baseline="0">
                        <a:solidFill>
                          <a:srgbClr val="000000"/>
                        </a:solidFill>
                        <a:latin typeface="Arial Cyr"/>
                        <a:cs typeface="Arial Cyr"/>
                      </a:rPr>
                      <a:t>8.45%</a:t>
                    </a:r>
                  </a:p>
                </c:rich>
              </c:tx>
              <c:spPr>
                <a:noFill/>
                <a:ln w="25294">
                  <a:noFill/>
                </a:ln>
              </c:spPr>
              <c:dLblPos val="bestFit"/>
              <c:showLegendKey val="0"/>
              <c:showVal val="0"/>
              <c:showCatName val="0"/>
              <c:showSerName val="0"/>
              <c:showPercent val="0"/>
              <c:showBubbleSize val="0"/>
            </c:dLbl>
            <c:numFmt formatCode="0.00%" sourceLinked="0"/>
            <c:spPr>
              <a:noFill/>
              <a:ln w="25294">
                <a:noFill/>
              </a:ln>
            </c:spPr>
            <c:txPr>
              <a:bodyPr/>
              <a:lstStyle/>
              <a:p>
                <a:pPr>
                  <a:defRPr sz="971" b="0" i="0" u="none" strike="noStrike" baseline="0">
                    <a:solidFill>
                      <a:srgbClr val="000000"/>
                    </a:solidFill>
                    <a:latin typeface="Arial Cyr"/>
                    <a:ea typeface="Arial Cyr"/>
                    <a:cs typeface="Arial Cyr"/>
                  </a:defRPr>
                </a:pPr>
                <a:endParaRPr lang="en-US"/>
              </a:p>
            </c:txPr>
            <c:showLegendKey val="0"/>
            <c:showVal val="0"/>
            <c:showCatName val="0"/>
            <c:showSerName val="0"/>
            <c:showPercent val="1"/>
            <c:showBubbleSize val="0"/>
            <c:showLeaderLines val="1"/>
          </c:dLbls>
          <c:val>
            <c:numRef>
              <c:f>Лист2!$A$1:$A$4</c:f>
              <c:numCache>
                <c:formatCode>General</c:formatCode>
                <c:ptCount val="4"/>
                <c:pt idx="0">
                  <c:v>6.34</c:v>
                </c:pt>
                <c:pt idx="1">
                  <c:v>26.06</c:v>
                </c:pt>
                <c:pt idx="2">
                  <c:v>59.15</c:v>
                </c:pt>
                <c:pt idx="3">
                  <c:v>8.4499999999999993</c:v>
                </c:pt>
              </c:numCache>
            </c:numRef>
          </c:val>
        </c:ser>
        <c:dLbls>
          <c:showLegendKey val="0"/>
          <c:showVal val="0"/>
          <c:showCatName val="0"/>
          <c:showSerName val="0"/>
          <c:showPercent val="1"/>
          <c:showBubbleSize val="0"/>
          <c:showLeaderLines val="1"/>
        </c:dLbls>
      </c:pie3DChart>
      <c:spPr>
        <a:noFill/>
        <a:ln w="25294">
          <a:noFill/>
        </a:ln>
      </c:spPr>
    </c:plotArea>
    <c:plotVisOnly val="1"/>
    <c:dispBlanksAs val="zero"/>
    <c:showDLblsOverMax val="0"/>
  </c:chart>
  <c:spPr>
    <a:solidFill>
      <a:srgbClr val="FFFFFF"/>
    </a:solidFill>
    <a:ln w="3162">
      <a:solidFill>
        <a:srgbClr val="000000"/>
      </a:solidFill>
      <a:prstDash val="solid"/>
    </a:ln>
  </c:spPr>
  <c:txPr>
    <a:bodyPr/>
    <a:lstStyle/>
    <a:p>
      <a:pPr>
        <a:defRPr sz="971" b="0" i="0" u="none" strike="noStrike" baseline="0">
          <a:solidFill>
            <a:srgbClr val="000000"/>
          </a:solidFill>
          <a:latin typeface="Arial Cyr"/>
          <a:ea typeface="Arial Cyr"/>
          <a:cs typeface="Arial Cy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767123287671231"/>
          <c:y val="0.34499999999999997"/>
          <c:w val="0.42465753424657532"/>
          <c:h val="0.31"/>
        </c:manualLayout>
      </c:layout>
      <c:pie3DChart>
        <c:varyColors val="1"/>
        <c:ser>
          <c:idx val="0"/>
          <c:order val="0"/>
          <c:spPr>
            <a:solidFill>
              <a:srgbClr val="9999FF"/>
            </a:solidFill>
            <a:ln w="12697">
              <a:solidFill>
                <a:srgbClr val="000000"/>
              </a:solidFill>
              <a:prstDash val="solid"/>
            </a:ln>
          </c:spPr>
          <c:explosion val="25"/>
          <c:dPt>
            <c:idx val="0"/>
            <c:bubble3D val="0"/>
            <c:spPr>
              <a:pattFill prst="pct80">
                <a:fgClr>
                  <a:srgbClr val="808080"/>
                </a:fgClr>
                <a:bgClr>
                  <a:srgbClr val="FFFFFF"/>
                </a:bgClr>
              </a:pattFill>
              <a:ln w="12697">
                <a:solidFill>
                  <a:srgbClr val="000000"/>
                </a:solidFill>
                <a:prstDash val="solid"/>
              </a:ln>
            </c:spPr>
          </c:dPt>
          <c:dPt>
            <c:idx val="1"/>
            <c:bubble3D val="0"/>
            <c:spPr>
              <a:pattFill prst="wdUpDiag">
                <a:fgClr>
                  <a:srgbClr val="969696"/>
                </a:fgClr>
                <a:bgClr>
                  <a:srgbClr val="FFFFFF"/>
                </a:bgClr>
              </a:pattFill>
              <a:ln w="12697">
                <a:solidFill>
                  <a:srgbClr val="000000"/>
                </a:solidFill>
                <a:prstDash val="solid"/>
              </a:ln>
            </c:spPr>
          </c:dPt>
          <c:dPt>
            <c:idx val="2"/>
            <c:bubble3D val="0"/>
            <c:spPr>
              <a:pattFill prst="pct90">
                <a:fgClr>
                  <a:srgbClr val="333333"/>
                </a:fgClr>
                <a:bgClr>
                  <a:srgbClr val="FFFFFF"/>
                </a:bgClr>
              </a:pattFill>
              <a:ln w="12697">
                <a:solidFill>
                  <a:srgbClr val="000000"/>
                </a:solidFill>
                <a:prstDash val="solid"/>
              </a:ln>
            </c:spPr>
          </c:dPt>
          <c:dPt>
            <c:idx val="3"/>
            <c:bubble3D val="0"/>
            <c:spPr>
              <a:pattFill prst="dashVert">
                <a:fgClr>
                  <a:srgbClr val="C0C0C0"/>
                </a:fgClr>
                <a:bgClr>
                  <a:srgbClr val="FFFFFF"/>
                </a:bgClr>
              </a:pattFill>
              <a:ln w="12697">
                <a:solidFill>
                  <a:srgbClr val="000000"/>
                </a:solidFill>
                <a:prstDash val="solid"/>
              </a:ln>
            </c:spPr>
          </c:dPt>
          <c:dLbls>
            <c:dLbl>
              <c:idx val="0"/>
              <c:layout>
                <c:manualLayout>
                  <c:x val="-2.5211232157623803E-3"/>
                  <c:y val="-9.8874540682414677E-2"/>
                </c:manualLayout>
              </c:layout>
              <c:tx>
                <c:rich>
                  <a:bodyPr/>
                  <a:lstStyle/>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I FC</a:t>
                    </a:r>
                  </a:p>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 NYHA </a:t>
                    </a:r>
                  </a:p>
                  <a:p>
                    <a:pPr>
                      <a:defRPr sz="950" b="0" i="0" u="none" strike="noStrike" baseline="0">
                        <a:solidFill>
                          <a:srgbClr val="000000"/>
                        </a:solidFill>
                        <a:latin typeface="Arial Cyr"/>
                        <a:ea typeface="Arial Cyr"/>
                        <a:cs typeface="Arial Cyr"/>
                      </a:defRPr>
                    </a:pPr>
                    <a:r>
                      <a:rPr lang="en-US" sz="950" b="0" i="0" u="none" strike="noStrike" baseline="0">
                        <a:solidFill>
                          <a:srgbClr val="000000"/>
                        </a:solidFill>
                        <a:latin typeface="Arial Cyr"/>
                        <a:cs typeface="Arial Cyr"/>
                      </a:rPr>
                      <a:t>3.17%</a:t>
                    </a:r>
                  </a:p>
                </c:rich>
              </c:tx>
              <c:spPr>
                <a:noFill/>
                <a:ln w="25393">
                  <a:noFill/>
                </a:ln>
              </c:spPr>
              <c:dLblPos val="bestFit"/>
              <c:showLegendKey val="0"/>
              <c:showVal val="0"/>
              <c:showCatName val="0"/>
              <c:showSerName val="0"/>
              <c:showPercent val="0"/>
              <c:showBubbleSize val="0"/>
            </c:dLbl>
            <c:dLbl>
              <c:idx val="1"/>
              <c:layout>
                <c:manualLayout>
                  <c:x val="2.5023981591342122E-2"/>
                  <c:y val="-5.0746456692913368E-2"/>
                </c:manualLayout>
              </c:layout>
              <c:tx>
                <c:rich>
                  <a:bodyPr/>
                  <a:lstStyle/>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II FC</a:t>
                    </a:r>
                  </a:p>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NYHA </a:t>
                    </a:r>
                    <a:r>
                      <a:rPr lang="en-US" sz="950" b="0" i="0" u="none" strike="noStrike" baseline="0">
                        <a:solidFill>
                          <a:srgbClr val="000000"/>
                        </a:solidFill>
                        <a:latin typeface="Arial Cyr"/>
                        <a:cs typeface="Arial Cyr"/>
                      </a:rPr>
                      <a:t>45.42%</a:t>
                    </a:r>
                  </a:p>
                </c:rich>
              </c:tx>
              <c:spPr>
                <a:noFill/>
                <a:ln w="25393">
                  <a:noFill/>
                </a:ln>
              </c:spPr>
              <c:dLblPos val="bestFit"/>
              <c:showLegendKey val="0"/>
              <c:showVal val="0"/>
              <c:showCatName val="0"/>
              <c:showSerName val="0"/>
              <c:showPercent val="0"/>
              <c:showBubbleSize val="0"/>
            </c:dLbl>
            <c:dLbl>
              <c:idx val="2"/>
              <c:layout>
                <c:manualLayout>
                  <c:x val="-4.9549778880379688E-2"/>
                  <c:y val="1.8204199475065606E-2"/>
                </c:manualLayout>
              </c:layout>
              <c:tx>
                <c:rich>
                  <a:bodyPr/>
                  <a:lstStyle/>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III FC</a:t>
                    </a:r>
                  </a:p>
                  <a:p>
                    <a:pPr>
                      <a:defRPr sz="950" b="0" i="0" u="none" strike="noStrike" baseline="0">
                        <a:solidFill>
                          <a:srgbClr val="000000"/>
                        </a:solidFill>
                        <a:latin typeface="Arial Cyr"/>
                        <a:ea typeface="Arial Cyr"/>
                        <a:cs typeface="Arial Cyr"/>
                      </a:defRPr>
                    </a:pPr>
                    <a:r>
                      <a:rPr lang="en-US" sz="950" b="1" i="0" u="none" strike="noStrike" baseline="0">
                        <a:solidFill>
                          <a:srgbClr val="000000"/>
                        </a:solidFill>
                        <a:latin typeface="Arial Cyr"/>
                        <a:cs typeface="Arial Cyr"/>
                      </a:rPr>
                      <a:t>NYHA</a:t>
                    </a:r>
                  </a:p>
                  <a:p>
                    <a:pPr>
                      <a:defRPr sz="950" b="0" i="0" u="none" strike="noStrike" baseline="0">
                        <a:solidFill>
                          <a:srgbClr val="000000"/>
                        </a:solidFill>
                        <a:latin typeface="Arial Cyr"/>
                        <a:ea typeface="Arial Cyr"/>
                        <a:cs typeface="Arial Cyr"/>
                      </a:defRPr>
                    </a:pPr>
                    <a:r>
                      <a:rPr lang="en-US" sz="950" b="0" i="0" u="none" strike="noStrike" baseline="0">
                        <a:solidFill>
                          <a:srgbClr val="000000"/>
                        </a:solidFill>
                        <a:latin typeface="Arial Cyr"/>
                        <a:cs typeface="Arial Cyr"/>
                      </a:rPr>
                      <a:t>44.37%</a:t>
                    </a:r>
                  </a:p>
                </c:rich>
              </c:tx>
              <c:spPr>
                <a:noFill/>
                <a:ln w="25393">
                  <a:noFill/>
                </a:ln>
              </c:spPr>
              <c:dLblPos val="bestFit"/>
              <c:showLegendKey val="0"/>
              <c:showVal val="0"/>
              <c:showCatName val="0"/>
              <c:showSerName val="0"/>
              <c:showPercent val="0"/>
              <c:showBubbleSize val="0"/>
            </c:dLbl>
            <c:dLbl>
              <c:idx val="3"/>
              <c:layout>
                <c:manualLayout>
                  <c:x val="-5.8535792614964249E-2"/>
                  <c:y val="-6.5503412073490822E-2"/>
                </c:manualLayout>
              </c:layout>
              <c:tx>
                <c:rich>
                  <a:bodyPr/>
                  <a:lstStyle/>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IV FC</a:t>
                    </a:r>
                  </a:p>
                  <a:p>
                    <a:pPr>
                      <a:defRPr sz="950" b="0" i="0" u="none" strike="noStrike" baseline="0">
                        <a:solidFill>
                          <a:srgbClr val="000000"/>
                        </a:solidFill>
                        <a:latin typeface="Arial Cyr"/>
                        <a:ea typeface="Arial Cyr"/>
                        <a:cs typeface="Arial Cyr"/>
                      </a:defRPr>
                    </a:pPr>
                    <a:r>
                      <a:rPr lang="en-US" sz="1150" b="1" i="0" u="none" strike="noStrike" baseline="0">
                        <a:solidFill>
                          <a:srgbClr val="000000"/>
                        </a:solidFill>
                        <a:latin typeface="Arial Cyr"/>
                        <a:cs typeface="Arial Cyr"/>
                      </a:rPr>
                      <a:t>NYHA</a:t>
                    </a:r>
                    <a:endParaRPr lang="en-US" sz="950" b="0" i="0" u="none" strike="noStrike" baseline="0">
                      <a:solidFill>
                        <a:srgbClr val="000000"/>
                      </a:solidFill>
                      <a:latin typeface="Arial Cyr"/>
                      <a:cs typeface="Arial Cyr"/>
                    </a:endParaRPr>
                  </a:p>
                  <a:p>
                    <a:pPr>
                      <a:defRPr sz="950" b="0" i="0" u="none" strike="noStrike" baseline="0">
                        <a:solidFill>
                          <a:srgbClr val="000000"/>
                        </a:solidFill>
                        <a:latin typeface="Arial Cyr"/>
                        <a:ea typeface="Arial Cyr"/>
                        <a:cs typeface="Arial Cyr"/>
                      </a:defRPr>
                    </a:pPr>
                    <a:r>
                      <a:rPr lang="en-US" sz="950" b="0" i="0" u="none" strike="noStrike" baseline="0">
                        <a:solidFill>
                          <a:srgbClr val="000000"/>
                        </a:solidFill>
                        <a:latin typeface="Arial Cyr"/>
                        <a:cs typeface="Arial Cyr"/>
                      </a:rPr>
                      <a:t>7.04%</a:t>
                    </a:r>
                  </a:p>
                </c:rich>
              </c:tx>
              <c:spPr>
                <a:noFill/>
                <a:ln w="25393">
                  <a:noFill/>
                </a:ln>
              </c:spPr>
              <c:dLblPos val="bestFit"/>
              <c:showLegendKey val="0"/>
              <c:showVal val="0"/>
              <c:showCatName val="0"/>
              <c:showSerName val="0"/>
              <c:showPercent val="0"/>
              <c:showBubbleSize val="0"/>
            </c:dLbl>
            <c:numFmt formatCode="0.00%" sourceLinked="0"/>
            <c:spPr>
              <a:noFill/>
              <a:ln w="25393">
                <a:noFill/>
              </a:ln>
            </c:spPr>
            <c:txPr>
              <a:bodyPr/>
              <a:lstStyle/>
              <a:p>
                <a:pPr>
                  <a:defRPr sz="950" b="0" i="0" u="none" strike="noStrike" baseline="0">
                    <a:solidFill>
                      <a:srgbClr val="000000"/>
                    </a:solidFill>
                    <a:latin typeface="Arial Cyr"/>
                    <a:ea typeface="Arial Cyr"/>
                    <a:cs typeface="Arial Cyr"/>
                  </a:defRPr>
                </a:pPr>
                <a:endParaRPr lang="en-US"/>
              </a:p>
            </c:txPr>
            <c:showLegendKey val="0"/>
            <c:showVal val="0"/>
            <c:showCatName val="0"/>
            <c:showSerName val="0"/>
            <c:showPercent val="1"/>
            <c:showBubbleSize val="0"/>
            <c:showLeaderLines val="1"/>
          </c:dLbls>
          <c:val>
            <c:numRef>
              <c:f>Лист3!$A$1:$A$4</c:f>
              <c:numCache>
                <c:formatCode>General</c:formatCode>
                <c:ptCount val="4"/>
                <c:pt idx="0">
                  <c:v>3.17</c:v>
                </c:pt>
                <c:pt idx="1">
                  <c:v>45.42</c:v>
                </c:pt>
                <c:pt idx="2">
                  <c:v>44.37</c:v>
                </c:pt>
                <c:pt idx="3">
                  <c:v>7.04</c:v>
                </c:pt>
              </c:numCache>
            </c:numRef>
          </c:val>
        </c:ser>
        <c:dLbls>
          <c:showLegendKey val="0"/>
          <c:showVal val="0"/>
          <c:showCatName val="0"/>
          <c:showSerName val="0"/>
          <c:showPercent val="1"/>
          <c:showBubbleSize val="0"/>
          <c:showLeaderLines val="1"/>
        </c:dLbls>
      </c:pie3DChart>
      <c:spPr>
        <a:noFill/>
        <a:ln w="25393">
          <a:noFill/>
        </a:ln>
      </c:spPr>
    </c:plotArea>
    <c:plotVisOnly val="1"/>
    <c:dispBlanksAs val="zero"/>
    <c:showDLblsOverMax val="0"/>
  </c:chart>
  <c:spPr>
    <a:solidFill>
      <a:srgbClr val="FFFFFF"/>
    </a:solidFill>
    <a:ln w="3174">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241</TotalTime>
  <Pages>16</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RDCUSER</dc:creator>
  <cp:lastModifiedBy>RDCUSER</cp:lastModifiedBy>
  <cp:revision>13</cp:revision>
  <dcterms:created xsi:type="dcterms:W3CDTF">2014-04-07T08:38:00Z</dcterms:created>
  <dcterms:modified xsi:type="dcterms:W3CDTF">2014-04-08T08:54:00Z</dcterms:modified>
</cp:coreProperties>
</file>