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D8" w:rsidRPr="00936A70" w:rsidRDefault="005608D8" w:rsidP="00B47B10">
      <w:pPr>
        <w:spacing w:line="480" w:lineRule="auto"/>
        <w:jc w:val="both"/>
        <w:rPr>
          <w:b/>
          <w:lang w:val="uk-UA"/>
        </w:rPr>
      </w:pPr>
      <w:bookmarkStart w:id="0" w:name="_GoBack"/>
      <w:bookmarkEnd w:id="0"/>
      <w:r w:rsidRPr="00936A70">
        <w:rPr>
          <w:b/>
          <w:lang w:val="uk-UA"/>
        </w:rPr>
        <w:t>УДК</w:t>
      </w:r>
      <w:r w:rsidR="001960B4" w:rsidRPr="00936A70">
        <w:rPr>
          <w:b/>
          <w:lang w:val="uk-UA"/>
        </w:rPr>
        <w:t>:</w:t>
      </w:r>
      <w:r w:rsidRPr="00936A70">
        <w:rPr>
          <w:b/>
          <w:lang w:val="uk-UA"/>
        </w:rPr>
        <w:t xml:space="preserve"> </w:t>
      </w:r>
      <w:r w:rsidR="00AE25E8" w:rsidRPr="00936A70">
        <w:rPr>
          <w:b/>
        </w:rPr>
        <w:t>616</w:t>
      </w:r>
      <w:r w:rsidR="00AE25E8" w:rsidRPr="00936A70">
        <w:rPr>
          <w:b/>
          <w:lang w:val="uk-UA"/>
        </w:rPr>
        <w:t>.233/.24-007.17-036-07</w:t>
      </w:r>
    </w:p>
    <w:p w:rsidR="001960B4" w:rsidRPr="00936A70" w:rsidRDefault="001960B4" w:rsidP="00B47B10">
      <w:pPr>
        <w:spacing w:line="480" w:lineRule="auto"/>
        <w:jc w:val="both"/>
        <w:rPr>
          <w:b/>
          <w:lang w:val="uk-UA"/>
        </w:rPr>
      </w:pPr>
      <w:r w:rsidRPr="00936A70">
        <w:rPr>
          <w:b/>
          <w:lang w:val="uk-UA"/>
        </w:rPr>
        <w:t xml:space="preserve">Г.С. </w:t>
      </w:r>
      <w:proofErr w:type="spellStart"/>
      <w:r w:rsidRPr="00936A70">
        <w:rPr>
          <w:b/>
          <w:lang w:val="uk-UA"/>
        </w:rPr>
        <w:t>Сенаторова</w:t>
      </w:r>
      <w:proofErr w:type="spellEnd"/>
      <w:r w:rsidRPr="00936A70">
        <w:rPr>
          <w:b/>
          <w:lang w:val="uk-UA"/>
        </w:rPr>
        <w:t xml:space="preserve">, О.Л. </w:t>
      </w:r>
      <w:proofErr w:type="spellStart"/>
      <w:r w:rsidRPr="00936A70">
        <w:rPr>
          <w:b/>
          <w:lang w:val="uk-UA"/>
        </w:rPr>
        <w:t>Логвінова</w:t>
      </w:r>
      <w:proofErr w:type="spellEnd"/>
      <w:r w:rsidR="00AE25E8" w:rsidRPr="00936A70">
        <w:rPr>
          <w:b/>
          <w:lang w:val="uk-UA"/>
        </w:rPr>
        <w:t xml:space="preserve">, Н.В. </w:t>
      </w:r>
      <w:proofErr w:type="spellStart"/>
      <w:r w:rsidR="00AE25E8" w:rsidRPr="00936A70">
        <w:rPr>
          <w:b/>
          <w:lang w:val="uk-UA"/>
        </w:rPr>
        <w:t>Башкірова</w:t>
      </w:r>
      <w:proofErr w:type="spellEnd"/>
    </w:p>
    <w:p w:rsidR="003A6C7D" w:rsidRPr="00936A70" w:rsidRDefault="00482604" w:rsidP="00B47B10">
      <w:pPr>
        <w:spacing w:line="480" w:lineRule="auto"/>
        <w:jc w:val="center"/>
        <w:rPr>
          <w:b/>
          <w:lang w:val="uk-UA"/>
        </w:rPr>
      </w:pPr>
      <w:r w:rsidRPr="00936A70">
        <w:rPr>
          <w:b/>
          <w:lang w:val="uk-UA"/>
        </w:rPr>
        <w:t xml:space="preserve">Клінічні особливості перебігу </w:t>
      </w:r>
      <w:r w:rsidR="003A6C7D" w:rsidRPr="00936A70">
        <w:rPr>
          <w:b/>
          <w:lang w:val="uk-UA"/>
        </w:rPr>
        <w:t>різних форм бронхолегеневої дисплазії</w:t>
      </w:r>
    </w:p>
    <w:p w:rsidR="001960B4" w:rsidRPr="00936A70" w:rsidRDefault="001960B4" w:rsidP="00B47B10">
      <w:pPr>
        <w:spacing w:line="480" w:lineRule="auto"/>
        <w:jc w:val="center"/>
        <w:rPr>
          <w:lang w:val="uk-UA"/>
        </w:rPr>
      </w:pPr>
      <w:r w:rsidRPr="00936A70">
        <w:rPr>
          <w:lang w:val="uk-UA"/>
        </w:rPr>
        <w:t>Харківський національний медичний університет</w:t>
      </w:r>
    </w:p>
    <w:p w:rsidR="00CE7C8E" w:rsidRPr="00936A70" w:rsidRDefault="00CE7C8E" w:rsidP="00B47B10">
      <w:pPr>
        <w:spacing w:line="480" w:lineRule="auto"/>
        <w:jc w:val="both"/>
        <w:rPr>
          <w:lang w:val="uk-UA"/>
        </w:rPr>
      </w:pPr>
      <w:r w:rsidRPr="00936A70">
        <w:rPr>
          <w:b/>
          <w:lang w:val="uk-UA"/>
        </w:rPr>
        <w:t>Ключові слова</w:t>
      </w:r>
      <w:r w:rsidRPr="00936A70">
        <w:rPr>
          <w:lang w:val="uk-UA"/>
        </w:rPr>
        <w:t xml:space="preserve">: </w:t>
      </w:r>
      <w:r w:rsidR="00AE25E8" w:rsidRPr="00936A70">
        <w:rPr>
          <w:lang w:val="uk-UA"/>
        </w:rPr>
        <w:t>діти, бронхолегенева дисплазія,</w:t>
      </w:r>
      <w:r w:rsidR="00482604" w:rsidRPr="00936A70">
        <w:rPr>
          <w:lang w:val="uk-UA"/>
        </w:rPr>
        <w:t xml:space="preserve"> діагностика</w:t>
      </w:r>
    </w:p>
    <w:p w:rsidR="00996FE9" w:rsidRPr="00936A70" w:rsidRDefault="00CE7C8E" w:rsidP="00996FE9">
      <w:pPr>
        <w:tabs>
          <w:tab w:val="left" w:pos="4200"/>
        </w:tabs>
        <w:spacing w:line="480" w:lineRule="auto"/>
        <w:jc w:val="both"/>
        <w:rPr>
          <w:lang w:val="uk-UA"/>
        </w:rPr>
      </w:pPr>
      <w:r w:rsidRPr="00936A70">
        <w:rPr>
          <w:b/>
          <w:lang w:val="uk-UA"/>
        </w:rPr>
        <w:t>Резюме:</w:t>
      </w:r>
      <w:r w:rsidR="00FA6C05" w:rsidRPr="00936A70">
        <w:rPr>
          <w:lang w:val="uk-UA"/>
        </w:rPr>
        <w:t xml:space="preserve"> </w:t>
      </w:r>
      <w:r w:rsidR="000263A2" w:rsidRPr="00936A70">
        <w:rPr>
          <w:lang w:val="uk-UA"/>
        </w:rPr>
        <w:t>під спостереженням знаходилась 131 дитина (269 спостережень) віком від 1 місяця до 3 років з діагнозом бронхолегенева дисплазія.</w:t>
      </w:r>
      <w:r w:rsidR="00996FE9" w:rsidRPr="00936A70">
        <w:rPr>
          <w:lang w:val="uk-UA"/>
        </w:rPr>
        <w:t xml:space="preserve"> Для нової форми бронхолегеневої дисплазії характерно формування  гострого  </w:t>
      </w:r>
      <w:proofErr w:type="spellStart"/>
      <w:r w:rsidR="00996FE9" w:rsidRPr="00936A70">
        <w:rPr>
          <w:lang w:val="uk-UA"/>
        </w:rPr>
        <w:t>бронхіоліту</w:t>
      </w:r>
      <w:proofErr w:type="spellEnd"/>
      <w:r w:rsidR="00996FE9" w:rsidRPr="00936A70">
        <w:rPr>
          <w:lang w:val="uk-UA"/>
        </w:rPr>
        <w:t xml:space="preserve"> (р&lt;0,001) дихальною недостатністю ІІ-ІІІ ступенів (р&lt;0,001) під час загострення захворювання.  Клінічними маркерами даної форми захворювання в стадії ремісії можна вважати задишку при фізичному навантажені (р&lt;0,01), </w:t>
      </w:r>
      <w:proofErr w:type="spellStart"/>
      <w:r w:rsidR="00996FE9" w:rsidRPr="00936A70">
        <w:rPr>
          <w:lang w:val="uk-UA"/>
        </w:rPr>
        <w:t>акроціаноз</w:t>
      </w:r>
      <w:proofErr w:type="spellEnd"/>
      <w:r w:rsidR="00996FE9" w:rsidRPr="00936A70">
        <w:rPr>
          <w:lang w:val="uk-UA"/>
        </w:rPr>
        <w:t xml:space="preserve"> при занепокоєнні (р&lt;0,01), втягнення поступливих місць грудної клітки (р&lt;0,01) та розгорнення нижньої апертури (р&lt;0,001). Загострення класичної бронхолегеневої дисплазії характеризується частими обструктивними бронхітами (р&lt;0,001), </w:t>
      </w:r>
      <w:proofErr w:type="spellStart"/>
      <w:r w:rsidR="00996FE9" w:rsidRPr="00936A70">
        <w:rPr>
          <w:lang w:val="uk-UA"/>
        </w:rPr>
        <w:t>бронхіолітами</w:t>
      </w:r>
      <w:proofErr w:type="spellEnd"/>
      <w:r w:rsidR="00996FE9" w:rsidRPr="00936A70">
        <w:rPr>
          <w:lang w:val="uk-UA"/>
        </w:rPr>
        <w:t xml:space="preserve"> (р&lt;0,01), пневмоніями (р&lt;0,01)</w:t>
      </w:r>
      <w:r w:rsidR="008345CC" w:rsidRPr="00936A70">
        <w:rPr>
          <w:lang w:val="uk-UA"/>
        </w:rPr>
        <w:t>. В</w:t>
      </w:r>
      <w:r w:rsidR="00996FE9" w:rsidRPr="00936A70">
        <w:rPr>
          <w:lang w:val="uk-UA"/>
        </w:rPr>
        <w:t xml:space="preserve">иявлені маркери </w:t>
      </w:r>
      <w:proofErr w:type="spellStart"/>
      <w:r w:rsidR="00996FE9" w:rsidRPr="00936A70">
        <w:rPr>
          <w:lang w:val="uk-UA"/>
        </w:rPr>
        <w:t>обструктивно-рестриктивної</w:t>
      </w:r>
      <w:proofErr w:type="spellEnd"/>
      <w:r w:rsidR="00996FE9" w:rsidRPr="00936A70">
        <w:rPr>
          <w:lang w:val="uk-UA"/>
        </w:rPr>
        <w:t xml:space="preserve"> дихальної недостатності</w:t>
      </w:r>
      <w:r w:rsidR="008345CC" w:rsidRPr="00936A70">
        <w:rPr>
          <w:lang w:val="uk-UA"/>
        </w:rPr>
        <w:t xml:space="preserve"> при класичній бронхолегеневїй дисплазії</w:t>
      </w:r>
      <w:r w:rsidR="00996FE9" w:rsidRPr="00936A70">
        <w:rPr>
          <w:lang w:val="uk-UA"/>
        </w:rPr>
        <w:t>: задишка у спокої та при фізичному навантаженні (р&lt;0,01), бочкоподібна грудна клітка (р&lt;0,01) та втягнення поступливих місць (р&lt;0,001), розгорнута нижня апертура (р&lt;0,001), бочкоподібна грудна клітка (р&lt;0,05), притуплення, що чергується з коробковим звуком (р&lt;0,01) та жорстке дихання (р&lt;0,001) і крепітація (р&lt;0,01). Для пацієнтів з бронхолегеневою дисплазією доношених загострення проявлялося частими пневмоніями (р&lt;0,001), що корелювало з порушеннями нейро-респіраторного драйву (</w:t>
      </w:r>
      <w:r w:rsidR="00996FE9" w:rsidRPr="00936A70">
        <w:rPr>
          <w:lang w:val="en-US"/>
        </w:rPr>
        <w:t>r</w:t>
      </w:r>
      <w:r w:rsidR="00996FE9" w:rsidRPr="00936A70">
        <w:rPr>
          <w:lang w:val="uk-UA"/>
        </w:rPr>
        <w:t xml:space="preserve">=0,678; р&lt;0,05). Клінічними маркерами бронхолегеневої дисплазії доношених під час ремісії захворювання являються задишка (р&lt;0,01), недостатнє додавання у масі тіла (р&lt;0,001),  </w:t>
      </w:r>
      <w:proofErr w:type="spellStart"/>
      <w:r w:rsidR="00996FE9" w:rsidRPr="00936A70">
        <w:rPr>
          <w:lang w:val="uk-UA"/>
        </w:rPr>
        <w:t>тахіпноє</w:t>
      </w:r>
      <w:proofErr w:type="spellEnd"/>
      <w:r w:rsidR="00996FE9" w:rsidRPr="00936A70">
        <w:rPr>
          <w:lang w:val="uk-UA"/>
        </w:rPr>
        <w:t xml:space="preserve"> (р&lt;0,01), </w:t>
      </w:r>
      <w:proofErr w:type="spellStart"/>
      <w:r w:rsidR="00996FE9" w:rsidRPr="00936A70">
        <w:rPr>
          <w:lang w:val="uk-UA"/>
        </w:rPr>
        <w:t>акроціаноз</w:t>
      </w:r>
      <w:proofErr w:type="spellEnd"/>
      <w:r w:rsidR="00996FE9" w:rsidRPr="00936A70">
        <w:rPr>
          <w:lang w:val="uk-UA"/>
        </w:rPr>
        <w:t xml:space="preserve"> (р&lt;0,001), притуплення в нижніх відділах грудної клітки (р&lt;0,001), жорстке дихання (р&lt;0,001). Крепітація та ослаблене дихання не характерні для бронхолегеневої дисплазії доношених.    </w:t>
      </w:r>
    </w:p>
    <w:p w:rsidR="00531B5C" w:rsidRDefault="00B24C74" w:rsidP="00B47B10">
      <w:pPr>
        <w:spacing w:line="480" w:lineRule="auto"/>
        <w:jc w:val="both"/>
        <w:rPr>
          <w:b/>
          <w:lang w:val="uk-UA"/>
        </w:rPr>
      </w:pPr>
      <w:r w:rsidRPr="00936A70">
        <w:rPr>
          <w:b/>
          <w:lang w:val="uk-UA"/>
        </w:rPr>
        <w:t>А</w:t>
      </w:r>
      <w:r w:rsidR="006334E6" w:rsidRPr="00936A70">
        <w:rPr>
          <w:b/>
        </w:rPr>
        <w:t xml:space="preserve">.С. </w:t>
      </w:r>
      <w:proofErr w:type="spellStart"/>
      <w:r w:rsidR="006334E6" w:rsidRPr="00936A70">
        <w:rPr>
          <w:b/>
        </w:rPr>
        <w:t>Сенаторова</w:t>
      </w:r>
      <w:proofErr w:type="spellEnd"/>
      <w:r w:rsidR="006334E6" w:rsidRPr="00936A70">
        <w:rPr>
          <w:b/>
        </w:rPr>
        <w:t xml:space="preserve">, О.Л. </w:t>
      </w:r>
      <w:proofErr w:type="spellStart"/>
      <w:r w:rsidR="006334E6" w:rsidRPr="00936A70">
        <w:rPr>
          <w:b/>
        </w:rPr>
        <w:t>Логвинова</w:t>
      </w:r>
      <w:proofErr w:type="spellEnd"/>
      <w:r w:rsidR="00AE25E8" w:rsidRPr="00936A70">
        <w:rPr>
          <w:b/>
          <w:lang w:val="uk-UA"/>
        </w:rPr>
        <w:t xml:space="preserve">, </w:t>
      </w:r>
      <w:r w:rsidR="00AE25E8" w:rsidRPr="00936A70">
        <w:rPr>
          <w:b/>
        </w:rPr>
        <w:t>Н.В. Башкирова</w:t>
      </w:r>
    </w:p>
    <w:p w:rsidR="007F1EDA" w:rsidRPr="00936A70" w:rsidRDefault="006334E6" w:rsidP="00B47B10">
      <w:pPr>
        <w:spacing w:line="480" w:lineRule="auto"/>
        <w:jc w:val="both"/>
      </w:pPr>
      <w:r w:rsidRPr="00936A70">
        <w:rPr>
          <w:b/>
        </w:rPr>
        <w:lastRenderedPageBreak/>
        <w:t>Ключевые слова:</w:t>
      </w:r>
      <w:r w:rsidRPr="00936A70">
        <w:t xml:space="preserve"> </w:t>
      </w:r>
      <w:r w:rsidR="00AE25E8" w:rsidRPr="00936A70">
        <w:t>дети, бронхолегочная дисплазия, диагностика</w:t>
      </w:r>
    </w:p>
    <w:p w:rsidR="00A03D2B" w:rsidRPr="00936A70" w:rsidRDefault="00B24C74" w:rsidP="00B47B10">
      <w:pPr>
        <w:spacing w:line="480" w:lineRule="auto"/>
        <w:jc w:val="both"/>
      </w:pPr>
      <w:r w:rsidRPr="00936A70">
        <w:rPr>
          <w:b/>
        </w:rPr>
        <w:t>Резюме:</w:t>
      </w:r>
      <w:r w:rsidRPr="00936A70">
        <w:t xml:space="preserve"> </w:t>
      </w:r>
      <w:r w:rsidR="00996FE9" w:rsidRPr="00936A70">
        <w:rPr>
          <w:color w:val="333333"/>
        </w:rPr>
        <w:t xml:space="preserve">под наблюдением находился 131 ребенок (269 наблюдений) в возрасте от 1 месяца до 3 лет с диагнозом бронхолегочная дисплазия. Для новой формы бронхолегочной дисплазии характерно формирование острого </w:t>
      </w:r>
      <w:proofErr w:type="spellStart"/>
      <w:r w:rsidR="00996FE9" w:rsidRPr="00936A70">
        <w:rPr>
          <w:color w:val="333333"/>
        </w:rPr>
        <w:t>бронхиолита</w:t>
      </w:r>
      <w:proofErr w:type="spellEnd"/>
      <w:r w:rsidR="00996FE9" w:rsidRPr="00936A70">
        <w:rPr>
          <w:color w:val="333333"/>
        </w:rPr>
        <w:t xml:space="preserve"> (</w:t>
      </w:r>
      <w:proofErr w:type="gramStart"/>
      <w:r w:rsidR="00996FE9" w:rsidRPr="00936A70">
        <w:rPr>
          <w:color w:val="333333"/>
        </w:rPr>
        <w:t>р</w:t>
      </w:r>
      <w:proofErr w:type="gramEnd"/>
      <w:r w:rsidR="00996FE9" w:rsidRPr="00936A70">
        <w:rPr>
          <w:color w:val="333333"/>
        </w:rPr>
        <w:t xml:space="preserve"> &lt;0,001) с дыхательной недостаточностью II-III степени (р &lt;0,001) во время обострения заболевания. Клиническими маркерами данной формы заболевания в стадии ремиссии можно считать одышку при физической нагрузке (</w:t>
      </w:r>
      <w:proofErr w:type="gramStart"/>
      <w:r w:rsidR="00996FE9" w:rsidRPr="00936A70">
        <w:rPr>
          <w:color w:val="333333"/>
        </w:rPr>
        <w:t>р</w:t>
      </w:r>
      <w:proofErr w:type="gramEnd"/>
      <w:r w:rsidR="00996FE9" w:rsidRPr="00936A70">
        <w:rPr>
          <w:color w:val="333333"/>
        </w:rPr>
        <w:t xml:space="preserve"> &lt;0,01), </w:t>
      </w:r>
      <w:proofErr w:type="spellStart"/>
      <w:r w:rsidR="00996FE9" w:rsidRPr="00936A70">
        <w:rPr>
          <w:color w:val="333333"/>
        </w:rPr>
        <w:t>акроцианоз</w:t>
      </w:r>
      <w:proofErr w:type="spellEnd"/>
      <w:r w:rsidR="00996FE9" w:rsidRPr="00936A70">
        <w:rPr>
          <w:color w:val="333333"/>
        </w:rPr>
        <w:t xml:space="preserve"> при беспокойстве (р &lt;0,01), участие уступчивых мест грудной клетки в акте дыхания (р &lt;0,01), развернутую нижнюю апертуру  грудной клетки ( р &lt;0,001). Обострение классической бронхолегочной дисплазии характеризуется частыми </w:t>
      </w:r>
      <w:proofErr w:type="spellStart"/>
      <w:r w:rsidR="00996FE9" w:rsidRPr="00936A70">
        <w:rPr>
          <w:color w:val="333333"/>
        </w:rPr>
        <w:t>обструктивными</w:t>
      </w:r>
      <w:proofErr w:type="spellEnd"/>
      <w:r w:rsidR="00996FE9" w:rsidRPr="00936A70">
        <w:rPr>
          <w:color w:val="333333"/>
        </w:rPr>
        <w:t xml:space="preserve"> бронхитами (</w:t>
      </w:r>
      <w:proofErr w:type="gramStart"/>
      <w:r w:rsidR="00996FE9" w:rsidRPr="00936A70">
        <w:rPr>
          <w:color w:val="333333"/>
        </w:rPr>
        <w:t>р</w:t>
      </w:r>
      <w:proofErr w:type="gramEnd"/>
      <w:r w:rsidR="00996FE9" w:rsidRPr="00936A70">
        <w:rPr>
          <w:color w:val="333333"/>
        </w:rPr>
        <w:t xml:space="preserve"> &lt;0,001), </w:t>
      </w:r>
      <w:proofErr w:type="spellStart"/>
      <w:r w:rsidR="00996FE9" w:rsidRPr="00936A70">
        <w:rPr>
          <w:color w:val="333333"/>
        </w:rPr>
        <w:t>бронхиолитами</w:t>
      </w:r>
      <w:proofErr w:type="spellEnd"/>
      <w:r w:rsidR="00996FE9" w:rsidRPr="00936A70">
        <w:rPr>
          <w:color w:val="333333"/>
        </w:rPr>
        <w:t xml:space="preserve">(р &lt;0,01), пневмониями (р &lt;0,01), обнаружены маркеры </w:t>
      </w:r>
      <w:proofErr w:type="spellStart"/>
      <w:r w:rsidR="00996FE9" w:rsidRPr="00936A70">
        <w:rPr>
          <w:color w:val="333333"/>
        </w:rPr>
        <w:t>обструктивной-рестриктивной</w:t>
      </w:r>
      <w:proofErr w:type="spellEnd"/>
      <w:r w:rsidR="00996FE9" w:rsidRPr="00936A70">
        <w:rPr>
          <w:color w:val="333333"/>
        </w:rPr>
        <w:t xml:space="preserve"> дыхательной недостаточности</w:t>
      </w:r>
      <w:r w:rsidR="008345CC" w:rsidRPr="00936A70">
        <w:rPr>
          <w:color w:val="333333"/>
        </w:rPr>
        <w:t xml:space="preserve"> во время ремиссии классической бронхолегочной дисплазии</w:t>
      </w:r>
      <w:r w:rsidR="00996FE9" w:rsidRPr="00936A70">
        <w:rPr>
          <w:color w:val="333333"/>
        </w:rPr>
        <w:t>: одышка в покое и при физической нагрузке (р &lt; 0,01), бочкообразная грудная клетка (р &lt;0,01) и вовлечение уступчивых мест</w:t>
      </w:r>
      <w:r w:rsidR="008345CC" w:rsidRPr="00936A70">
        <w:rPr>
          <w:color w:val="333333"/>
        </w:rPr>
        <w:t xml:space="preserve"> грудной клетки в акт дыхания</w:t>
      </w:r>
      <w:r w:rsidR="00996FE9" w:rsidRPr="00936A70">
        <w:rPr>
          <w:color w:val="333333"/>
        </w:rPr>
        <w:t xml:space="preserve"> (р &lt;0,001), развернутая нижняя апертура (р &lt;0,001), бочкообразная грудная клетка (</w:t>
      </w:r>
      <w:proofErr w:type="gramStart"/>
      <w:r w:rsidR="00996FE9" w:rsidRPr="00936A70">
        <w:rPr>
          <w:color w:val="333333"/>
        </w:rPr>
        <w:t>р</w:t>
      </w:r>
      <w:proofErr w:type="gramEnd"/>
      <w:r w:rsidR="00996FE9" w:rsidRPr="00936A70">
        <w:rPr>
          <w:color w:val="333333"/>
        </w:rPr>
        <w:t xml:space="preserve"> &lt;0,05), притупление, </w:t>
      </w:r>
      <w:r w:rsidR="008345CC" w:rsidRPr="00936A70">
        <w:rPr>
          <w:color w:val="333333"/>
        </w:rPr>
        <w:t xml:space="preserve">перемежающееся с </w:t>
      </w:r>
      <w:r w:rsidR="00996FE9" w:rsidRPr="00936A70">
        <w:rPr>
          <w:color w:val="333333"/>
        </w:rPr>
        <w:t xml:space="preserve"> коробочным звуком (р &lt;0,01) жесткое дыхание (р &lt;0,001) и крепитация (р &lt;0,01). Для пациентов с бронхолегочной дисплазией доношенных обострение проявлялось частыми пневмониями (</w:t>
      </w:r>
      <w:proofErr w:type="gramStart"/>
      <w:r w:rsidR="00996FE9" w:rsidRPr="00936A70">
        <w:rPr>
          <w:color w:val="333333"/>
        </w:rPr>
        <w:t>р</w:t>
      </w:r>
      <w:proofErr w:type="gramEnd"/>
      <w:r w:rsidR="00996FE9" w:rsidRPr="00936A70">
        <w:rPr>
          <w:color w:val="333333"/>
        </w:rPr>
        <w:t xml:space="preserve"> &lt;0,001), что коррелировало с нарушениями </w:t>
      </w:r>
      <w:proofErr w:type="spellStart"/>
      <w:r w:rsidR="00996FE9" w:rsidRPr="00936A70">
        <w:rPr>
          <w:color w:val="333333"/>
        </w:rPr>
        <w:t>нейро</w:t>
      </w:r>
      <w:proofErr w:type="spellEnd"/>
      <w:r w:rsidR="00996FE9" w:rsidRPr="00936A70">
        <w:rPr>
          <w:color w:val="333333"/>
        </w:rPr>
        <w:t>-респираторного драйва (r = 0,678, р &lt;0,05). Клиническими маркерами бронхолегочной дисплазии доношенных во время ремиссии заболевания являются одышка (</w:t>
      </w:r>
      <w:proofErr w:type="gramStart"/>
      <w:r w:rsidR="00996FE9" w:rsidRPr="00936A70">
        <w:rPr>
          <w:color w:val="333333"/>
        </w:rPr>
        <w:t>р</w:t>
      </w:r>
      <w:proofErr w:type="gramEnd"/>
      <w:r w:rsidR="00996FE9" w:rsidRPr="00936A70">
        <w:rPr>
          <w:color w:val="333333"/>
        </w:rPr>
        <w:t xml:space="preserve"> &lt;0,01), недостаточн</w:t>
      </w:r>
      <w:r w:rsidR="008345CC" w:rsidRPr="00936A70">
        <w:rPr>
          <w:color w:val="333333"/>
        </w:rPr>
        <w:t xml:space="preserve">ая прибавка </w:t>
      </w:r>
      <w:r w:rsidR="00996FE9" w:rsidRPr="00936A70">
        <w:rPr>
          <w:color w:val="333333"/>
        </w:rPr>
        <w:t xml:space="preserve">в массе тела (р &lt;0,001), </w:t>
      </w:r>
      <w:proofErr w:type="spellStart"/>
      <w:r w:rsidR="00996FE9" w:rsidRPr="00936A70">
        <w:rPr>
          <w:color w:val="333333"/>
        </w:rPr>
        <w:t>тахипноэ</w:t>
      </w:r>
      <w:proofErr w:type="spellEnd"/>
      <w:r w:rsidR="00996FE9" w:rsidRPr="00936A70">
        <w:rPr>
          <w:color w:val="333333"/>
        </w:rPr>
        <w:t xml:space="preserve"> (р &lt;0,01), </w:t>
      </w:r>
      <w:proofErr w:type="spellStart"/>
      <w:r w:rsidR="00996FE9" w:rsidRPr="00936A70">
        <w:rPr>
          <w:color w:val="333333"/>
        </w:rPr>
        <w:t>акроцианоз</w:t>
      </w:r>
      <w:proofErr w:type="spellEnd"/>
      <w:r w:rsidR="00996FE9" w:rsidRPr="00936A70">
        <w:rPr>
          <w:color w:val="333333"/>
        </w:rPr>
        <w:t xml:space="preserve"> (р &lt;0,001), притупление в нижних отделах грудной клетки (р &lt;0,001), жесткое дыхание (р &lt;0,001). Крепитация и ослабленное дыхание не характерны для бронхолегочной дисплазии </w:t>
      </w:r>
      <w:proofErr w:type="gramStart"/>
      <w:r w:rsidR="00996FE9" w:rsidRPr="00936A70">
        <w:rPr>
          <w:color w:val="333333"/>
        </w:rPr>
        <w:t>доношенных</w:t>
      </w:r>
      <w:proofErr w:type="gramEnd"/>
      <w:r w:rsidR="00996FE9" w:rsidRPr="00936A70">
        <w:rPr>
          <w:color w:val="333333"/>
        </w:rPr>
        <w:t>.</w:t>
      </w:r>
    </w:p>
    <w:p w:rsidR="008345CC" w:rsidRPr="00936A70" w:rsidRDefault="008345CC" w:rsidP="00B47B10">
      <w:pPr>
        <w:spacing w:line="480" w:lineRule="auto"/>
        <w:rPr>
          <w:b/>
          <w:lang w:val="uk-UA"/>
        </w:rPr>
      </w:pPr>
    </w:p>
    <w:p w:rsidR="008345CC" w:rsidRPr="00936A70" w:rsidRDefault="008345CC" w:rsidP="00B47B10">
      <w:pPr>
        <w:spacing w:line="480" w:lineRule="auto"/>
        <w:rPr>
          <w:b/>
          <w:lang w:val="uk-UA"/>
        </w:rPr>
      </w:pPr>
    </w:p>
    <w:p w:rsidR="00B21C3B" w:rsidRPr="00936A70" w:rsidRDefault="00B21C3B" w:rsidP="008345CC">
      <w:pPr>
        <w:spacing w:line="480" w:lineRule="auto"/>
        <w:rPr>
          <w:lang w:val="uk-UA"/>
        </w:rPr>
      </w:pPr>
      <w:r w:rsidRPr="00936A70">
        <w:rPr>
          <w:lang w:val="en-US"/>
        </w:rPr>
        <w:t>G</w:t>
      </w:r>
      <w:r w:rsidRPr="00936A70">
        <w:rPr>
          <w:lang w:val="uk-UA"/>
        </w:rPr>
        <w:t>.</w:t>
      </w:r>
      <w:r w:rsidRPr="00936A70">
        <w:rPr>
          <w:lang w:val="en-US"/>
        </w:rPr>
        <w:t>S</w:t>
      </w:r>
      <w:r w:rsidRPr="00936A70">
        <w:rPr>
          <w:lang w:val="uk-UA"/>
        </w:rPr>
        <w:t xml:space="preserve">. </w:t>
      </w:r>
      <w:proofErr w:type="spellStart"/>
      <w:r w:rsidRPr="00936A70">
        <w:rPr>
          <w:lang w:val="en-US"/>
        </w:rPr>
        <w:t>Senatorova</w:t>
      </w:r>
      <w:proofErr w:type="spellEnd"/>
      <w:r w:rsidRPr="00936A70">
        <w:rPr>
          <w:lang w:val="uk-UA"/>
        </w:rPr>
        <w:t xml:space="preserve">, </w:t>
      </w:r>
      <w:r w:rsidRPr="00936A70">
        <w:rPr>
          <w:lang w:val="en-US"/>
        </w:rPr>
        <w:t>O</w:t>
      </w:r>
      <w:r w:rsidRPr="00936A70">
        <w:rPr>
          <w:lang w:val="uk-UA"/>
        </w:rPr>
        <w:t>.</w:t>
      </w:r>
      <w:r w:rsidRPr="00936A70">
        <w:rPr>
          <w:lang w:val="en-US"/>
        </w:rPr>
        <w:t>L</w:t>
      </w:r>
      <w:r w:rsidRPr="00936A70">
        <w:rPr>
          <w:lang w:val="uk-UA"/>
        </w:rPr>
        <w:t xml:space="preserve">. </w:t>
      </w:r>
      <w:proofErr w:type="spellStart"/>
      <w:r w:rsidRPr="00936A70">
        <w:rPr>
          <w:lang w:val="en-US"/>
        </w:rPr>
        <w:t>Logvinova</w:t>
      </w:r>
      <w:proofErr w:type="spellEnd"/>
      <w:r w:rsidR="00AE25E8" w:rsidRPr="00936A70">
        <w:rPr>
          <w:lang w:val="uk-UA"/>
        </w:rPr>
        <w:t xml:space="preserve">, </w:t>
      </w:r>
      <w:r w:rsidR="00AE25E8" w:rsidRPr="00936A70">
        <w:rPr>
          <w:lang w:val="en-US"/>
        </w:rPr>
        <w:t>N</w:t>
      </w:r>
      <w:r w:rsidR="00AE25E8" w:rsidRPr="00936A70">
        <w:rPr>
          <w:lang w:val="uk-UA"/>
        </w:rPr>
        <w:t>.</w:t>
      </w:r>
      <w:r w:rsidR="00AE25E8" w:rsidRPr="00936A70">
        <w:rPr>
          <w:lang w:val="en-US"/>
        </w:rPr>
        <w:t>V</w:t>
      </w:r>
      <w:r w:rsidR="00AE25E8" w:rsidRPr="00936A70">
        <w:rPr>
          <w:lang w:val="uk-UA"/>
        </w:rPr>
        <w:t xml:space="preserve">. </w:t>
      </w:r>
      <w:proofErr w:type="spellStart"/>
      <w:r w:rsidR="00AE25E8" w:rsidRPr="00936A70">
        <w:rPr>
          <w:lang w:val="en-US"/>
        </w:rPr>
        <w:t>Bashkirova</w:t>
      </w:r>
      <w:proofErr w:type="spellEnd"/>
      <w:r w:rsidR="00A04010" w:rsidRPr="00936A70">
        <w:rPr>
          <w:lang w:val="uk-UA"/>
        </w:rPr>
        <w:t xml:space="preserve">, </w:t>
      </w:r>
      <w:r w:rsidR="00A04010" w:rsidRPr="00936A70">
        <w:rPr>
          <w:lang w:val="en-US"/>
        </w:rPr>
        <w:t>G</w:t>
      </w:r>
      <w:r w:rsidR="00A04010" w:rsidRPr="00936A70">
        <w:rPr>
          <w:lang w:val="uk-UA"/>
        </w:rPr>
        <w:t>.</w:t>
      </w:r>
      <w:r w:rsidR="00A04010" w:rsidRPr="00936A70">
        <w:rPr>
          <w:lang w:val="en-US"/>
        </w:rPr>
        <w:t>M</w:t>
      </w:r>
      <w:r w:rsidR="00A04010" w:rsidRPr="00936A70">
        <w:rPr>
          <w:lang w:val="uk-UA"/>
        </w:rPr>
        <w:t>.</w:t>
      </w:r>
      <w:r w:rsidR="00A04010" w:rsidRPr="00936A70">
        <w:rPr>
          <w:lang w:val="en-US"/>
        </w:rPr>
        <w:t>Mur</w:t>
      </w:r>
      <w:r w:rsidR="00A04010" w:rsidRPr="00936A70">
        <w:rPr>
          <w:lang w:val="uk-UA"/>
        </w:rPr>
        <w:t>а</w:t>
      </w:r>
      <w:r w:rsidR="00A04010" w:rsidRPr="00936A70">
        <w:rPr>
          <w:lang w:val="en-US"/>
        </w:rPr>
        <w:t>tov</w:t>
      </w:r>
    </w:p>
    <w:p w:rsidR="008345CC" w:rsidRPr="00936A70" w:rsidRDefault="008345CC" w:rsidP="008345CC">
      <w:pPr>
        <w:spacing w:line="480" w:lineRule="auto"/>
        <w:jc w:val="both"/>
        <w:rPr>
          <w:lang w:val="uk-UA"/>
        </w:rPr>
      </w:pPr>
      <w:r w:rsidRPr="00936A70">
        <w:rPr>
          <w:lang w:val="en-GB"/>
        </w:rPr>
        <w:lastRenderedPageBreak/>
        <w:t>Keywords: children, bronchopulmonary dysplasia, diagnosis</w:t>
      </w:r>
    </w:p>
    <w:p w:rsidR="008345CC" w:rsidRPr="00936A70" w:rsidRDefault="008345CC" w:rsidP="008345CC">
      <w:pPr>
        <w:spacing w:line="480" w:lineRule="auto"/>
        <w:jc w:val="both"/>
        <w:rPr>
          <w:lang w:val="en-GB"/>
        </w:rPr>
      </w:pPr>
      <w:r w:rsidRPr="00936A70">
        <w:rPr>
          <w:lang w:val="en-GB"/>
        </w:rPr>
        <w:t xml:space="preserve">Summary: We observed 131 children (269 cases) in age from 1 month to 3 years with a diagnosis of bronchopulmonary dysplasia. </w:t>
      </w:r>
      <w:proofErr w:type="gramStart"/>
      <w:r w:rsidRPr="00936A70">
        <w:rPr>
          <w:lang w:val="en-GB"/>
        </w:rPr>
        <w:t>For a new form of bronchopulmonary dysplasia characterized by the formation of acute bronchiolitis (p &lt;0.001) with respiratory failure II-III degree (p &lt;0.001) during the acute illness.</w:t>
      </w:r>
      <w:proofErr w:type="gramEnd"/>
      <w:r w:rsidRPr="00936A70">
        <w:rPr>
          <w:lang w:val="en-GB"/>
        </w:rPr>
        <w:t xml:space="preserve"> Clinical markers of this form of the disease in remission can be considered as breathlessness during exercise (p &lt;0.01), </w:t>
      </w:r>
      <w:proofErr w:type="spellStart"/>
      <w:r w:rsidRPr="00936A70">
        <w:rPr>
          <w:lang w:val="en-GB"/>
        </w:rPr>
        <w:t>acrocyanosis</w:t>
      </w:r>
      <w:proofErr w:type="spellEnd"/>
      <w:r w:rsidRPr="00936A70">
        <w:rPr>
          <w:lang w:val="en-GB"/>
        </w:rPr>
        <w:t xml:space="preserve"> in anxiety (p &lt;0.01), compliant places part of the chest in breathing (p &lt;0.01), a detailed lower thoracic (p &lt;0.001). Aggravation classical bronchopulmonary dysplasia characterized by frequent obstructive bronchitis (p &lt;0.001), bronchiolitis (p &lt;0.01), pneumonia (p &lt;0.01) were found markers obstructive-restrictive respiratory failure during remission classical bronchopulmonary dysplasia: dyspnoea at rest and during exercise (p &lt;0.01), barrel chest (p &lt;0.01) and the involvement of compliant places the chest in the act of breathing (p &lt;0.001), launched the lower aperture (p &lt;0.001), barrel chest (p &lt;0.05), dullness, interspersed with box sound (p &lt;0.01), hard breathing (p &lt;0.001), and crepitus (p &lt;0.01). For patients with bronchopulmonary dysplasia term exacerbation manifested by frequent pneumonia (p &lt;0.001), which was associated with impaired neuro-respiratory drive (r = 0,678, p &lt;0.05). Clinical markers of bronchopulmonary dysplasia during term remission of the disease are breathlessness (p &lt;0.01), lack of increase in body weight (p &lt;0.001), </w:t>
      </w:r>
      <w:proofErr w:type="spellStart"/>
      <w:r w:rsidRPr="00936A70">
        <w:rPr>
          <w:lang w:val="en-GB"/>
        </w:rPr>
        <w:t>tachypnea</w:t>
      </w:r>
      <w:proofErr w:type="spellEnd"/>
      <w:r w:rsidRPr="00936A70">
        <w:rPr>
          <w:lang w:val="en-GB"/>
        </w:rPr>
        <w:t xml:space="preserve"> (p &lt;0.01), </w:t>
      </w:r>
      <w:proofErr w:type="spellStart"/>
      <w:r w:rsidRPr="00936A70">
        <w:rPr>
          <w:lang w:val="en-GB"/>
        </w:rPr>
        <w:t>acrocyanosis</w:t>
      </w:r>
      <w:proofErr w:type="spellEnd"/>
      <w:r w:rsidRPr="00936A70">
        <w:rPr>
          <w:lang w:val="en-GB"/>
        </w:rPr>
        <w:t xml:space="preserve"> (p &lt;0.001), dullness in the lower chest (p &lt;0.001), severe breathing (p &lt;0.001). Crackles and respiratory depression are not characteristic of bronchopulmonary dysplasia term.</w:t>
      </w:r>
    </w:p>
    <w:p w:rsidR="00B21C3B" w:rsidRPr="00936A70" w:rsidRDefault="00B21C3B" w:rsidP="008345CC">
      <w:pPr>
        <w:spacing w:line="480" w:lineRule="auto"/>
        <w:jc w:val="both"/>
        <w:rPr>
          <w:lang w:val="uk-UA"/>
        </w:rPr>
      </w:pPr>
    </w:p>
    <w:p w:rsidR="00926654" w:rsidRPr="00936A70" w:rsidRDefault="0025228B" w:rsidP="008345CC">
      <w:pPr>
        <w:spacing w:line="480" w:lineRule="auto"/>
        <w:jc w:val="both"/>
        <w:rPr>
          <w:lang w:val="uk-UA"/>
        </w:rPr>
      </w:pPr>
      <w:r w:rsidRPr="00936A70">
        <w:rPr>
          <w:b/>
          <w:lang w:val="uk-UA"/>
        </w:rPr>
        <w:t>Вступ:</w:t>
      </w:r>
      <w:r w:rsidRPr="00936A70">
        <w:rPr>
          <w:lang w:val="uk-UA"/>
        </w:rPr>
        <w:t xml:space="preserve"> </w:t>
      </w:r>
      <w:r w:rsidR="000443E2" w:rsidRPr="00936A70">
        <w:rPr>
          <w:lang w:val="uk-UA"/>
        </w:rPr>
        <w:t>На сь</w:t>
      </w:r>
      <w:r w:rsidR="00A04010" w:rsidRPr="00936A70">
        <w:rPr>
          <w:lang w:val="uk-UA"/>
        </w:rPr>
        <w:t>огодення</w:t>
      </w:r>
      <w:r w:rsidR="000443E2" w:rsidRPr="00936A70">
        <w:rPr>
          <w:lang w:val="uk-UA"/>
        </w:rPr>
        <w:t xml:space="preserve"> </w:t>
      </w:r>
      <w:r w:rsidR="000263A2" w:rsidRPr="00936A70">
        <w:rPr>
          <w:lang w:val="uk-UA"/>
        </w:rPr>
        <w:t xml:space="preserve">у </w:t>
      </w:r>
      <w:r w:rsidR="008C099E" w:rsidRPr="00936A70">
        <w:rPr>
          <w:lang w:val="uk-UA"/>
        </w:rPr>
        <w:t>хворих</w:t>
      </w:r>
      <w:r w:rsidR="00EF5940" w:rsidRPr="00936A70">
        <w:rPr>
          <w:lang w:val="uk-UA"/>
        </w:rPr>
        <w:t xml:space="preserve"> </w:t>
      </w:r>
      <w:r w:rsidR="000263A2" w:rsidRPr="00936A70">
        <w:rPr>
          <w:lang w:val="uk-UA"/>
        </w:rPr>
        <w:t xml:space="preserve">на бронхолегеневу дисплазію (БЛД) </w:t>
      </w:r>
      <w:r w:rsidR="00EF5940" w:rsidRPr="00936A70">
        <w:rPr>
          <w:lang w:val="uk-UA"/>
        </w:rPr>
        <w:t xml:space="preserve">тяжко визначити характерні ознаки дихальної недостатності за рахунок легкого перебігу нової форми БЛД з одного боку та наявності коморбідної патології у </w:t>
      </w:r>
      <w:r w:rsidR="008C099E" w:rsidRPr="00936A70">
        <w:rPr>
          <w:lang w:val="uk-UA"/>
        </w:rPr>
        <w:t>дітей з</w:t>
      </w:r>
      <w:r w:rsidR="00EF5940" w:rsidRPr="00936A70">
        <w:rPr>
          <w:lang w:val="uk-UA"/>
        </w:rPr>
        <w:t xml:space="preserve"> </w:t>
      </w:r>
      <w:r w:rsidR="00A04010" w:rsidRPr="00936A70">
        <w:rPr>
          <w:lang w:val="uk-UA"/>
        </w:rPr>
        <w:t>БЛД</w:t>
      </w:r>
      <w:r w:rsidR="00EF5940" w:rsidRPr="00936A70">
        <w:rPr>
          <w:lang w:val="uk-UA"/>
        </w:rPr>
        <w:t xml:space="preserve"> доношених</w:t>
      </w:r>
      <w:r w:rsidR="000443E2" w:rsidRPr="00936A70">
        <w:rPr>
          <w:lang w:val="uk-UA"/>
        </w:rPr>
        <w:t xml:space="preserve"> з іншого</w:t>
      </w:r>
      <w:r w:rsidR="00EF5940" w:rsidRPr="00936A70">
        <w:rPr>
          <w:lang w:val="uk-UA"/>
        </w:rPr>
        <w:t xml:space="preserve">. </w:t>
      </w:r>
      <w:r w:rsidR="000263A2" w:rsidRPr="00936A70">
        <w:rPr>
          <w:lang w:val="uk-UA"/>
        </w:rPr>
        <w:t>Дільничні лікарі недосконало обізнані особливостями перебігу</w:t>
      </w:r>
      <w:r w:rsidR="00A04010" w:rsidRPr="00936A70">
        <w:rPr>
          <w:lang w:val="uk-UA"/>
        </w:rPr>
        <w:t xml:space="preserve"> БЛД, особливо за умов відсутності загальноприйнятого протоколу діагностики та лікування захворювання, а дані літератури суперечливі</w:t>
      </w:r>
      <w:r w:rsidR="000263A2" w:rsidRPr="00936A70">
        <w:rPr>
          <w:lang w:val="uk-UA"/>
        </w:rPr>
        <w:t xml:space="preserve">.  У </w:t>
      </w:r>
      <w:r w:rsidR="00926654" w:rsidRPr="00936A70">
        <w:rPr>
          <w:lang w:val="uk-UA"/>
        </w:rPr>
        <w:t xml:space="preserve">Поряд з цим, хворий на БЛД має ураження нижніх відділів респіраторного </w:t>
      </w:r>
      <w:r w:rsidR="00926654" w:rsidRPr="00936A70">
        <w:rPr>
          <w:lang w:val="uk-UA"/>
        </w:rPr>
        <w:lastRenderedPageBreak/>
        <w:t xml:space="preserve">тракту, яке проявляється </w:t>
      </w:r>
      <w:r w:rsidR="00A04010" w:rsidRPr="00936A70">
        <w:rPr>
          <w:lang w:val="uk-UA"/>
        </w:rPr>
        <w:t xml:space="preserve">на тлі загострення захворювання – </w:t>
      </w:r>
      <w:r w:rsidR="00926654" w:rsidRPr="00936A70">
        <w:rPr>
          <w:lang w:val="uk-UA"/>
        </w:rPr>
        <w:t xml:space="preserve"> пневмонії або обструктивного бронхіту. </w:t>
      </w:r>
    </w:p>
    <w:p w:rsidR="00926654" w:rsidRPr="00936A70" w:rsidRDefault="00926654" w:rsidP="008345CC">
      <w:pPr>
        <w:spacing w:line="480" w:lineRule="auto"/>
        <w:ind w:firstLine="708"/>
        <w:jc w:val="both"/>
        <w:rPr>
          <w:lang w:val="uk-UA"/>
        </w:rPr>
      </w:pPr>
      <w:r w:rsidRPr="00936A70">
        <w:rPr>
          <w:lang w:val="uk-UA"/>
        </w:rPr>
        <w:t xml:space="preserve">У </w:t>
      </w:r>
      <w:r w:rsidR="00D07AC5" w:rsidRPr="00936A70">
        <w:rPr>
          <w:lang w:val="uk-UA"/>
        </w:rPr>
        <w:t xml:space="preserve">вітчизняній та </w:t>
      </w:r>
      <w:r w:rsidR="00A04010" w:rsidRPr="00936A70">
        <w:rPr>
          <w:lang w:val="uk-UA"/>
        </w:rPr>
        <w:t>зарубіжній літературі дані</w:t>
      </w:r>
      <w:r w:rsidR="00D07AC5" w:rsidRPr="00936A70">
        <w:rPr>
          <w:lang w:val="uk-UA"/>
        </w:rPr>
        <w:t xml:space="preserve"> щодо клінічних маркерів різних форм БЛД</w:t>
      </w:r>
      <w:r w:rsidR="00A04010" w:rsidRPr="00936A70">
        <w:rPr>
          <w:lang w:val="uk-UA"/>
        </w:rPr>
        <w:t>,</w:t>
      </w:r>
      <w:r w:rsidR="00D07AC5" w:rsidRPr="00936A70">
        <w:rPr>
          <w:lang w:val="uk-UA"/>
        </w:rPr>
        <w:t xml:space="preserve"> поодинокі та не систематизовані. За рекомендаціями Американського </w:t>
      </w:r>
      <w:proofErr w:type="spellStart"/>
      <w:r w:rsidR="00D07AC5" w:rsidRPr="00936A70">
        <w:rPr>
          <w:lang w:val="uk-UA"/>
        </w:rPr>
        <w:t>торакального</w:t>
      </w:r>
      <w:proofErr w:type="spellEnd"/>
      <w:r w:rsidR="00D07AC5" w:rsidRPr="00936A70">
        <w:rPr>
          <w:lang w:val="uk-UA"/>
        </w:rPr>
        <w:t xml:space="preserve"> суспільства характерними ознаками </w:t>
      </w:r>
      <w:r w:rsidR="00A04010" w:rsidRPr="00936A70">
        <w:rPr>
          <w:lang w:val="uk-UA"/>
        </w:rPr>
        <w:t xml:space="preserve">БЛД </w:t>
      </w:r>
      <w:r w:rsidR="00D07AC5" w:rsidRPr="00936A70">
        <w:rPr>
          <w:lang w:val="uk-UA"/>
        </w:rPr>
        <w:t xml:space="preserve"> вважаються  тахіпное, тахікардія, підвищена робота дихання (з </w:t>
      </w:r>
      <w:proofErr w:type="spellStart"/>
      <w:r w:rsidR="00D07AC5" w:rsidRPr="00936A70">
        <w:rPr>
          <w:lang w:val="uk-UA"/>
        </w:rPr>
        <w:t>ретракцією</w:t>
      </w:r>
      <w:proofErr w:type="spellEnd"/>
      <w:r w:rsidR="00D07AC5" w:rsidRPr="00936A70">
        <w:rPr>
          <w:lang w:val="uk-UA"/>
        </w:rPr>
        <w:t xml:space="preserve"> грудної клітки, роздуванням крил носа), епізоди десатурації та незадовільне додавання у масі тіла</w:t>
      </w:r>
      <w:r w:rsidR="002F30C4" w:rsidRPr="00936A70">
        <w:rPr>
          <w:lang w:val="uk-UA"/>
        </w:rPr>
        <w:t xml:space="preserve"> [3].</w:t>
      </w:r>
      <w:r w:rsidR="00D07AC5" w:rsidRPr="00936A70">
        <w:rPr>
          <w:lang w:val="uk-UA"/>
        </w:rPr>
        <w:t xml:space="preserve"> За даними Російського респіраторного суспільства бронхолегенев</w:t>
      </w:r>
      <w:r w:rsidRPr="00936A70">
        <w:rPr>
          <w:lang w:val="uk-UA"/>
        </w:rPr>
        <w:t>а</w:t>
      </w:r>
      <w:r w:rsidR="00D07AC5" w:rsidRPr="00936A70">
        <w:rPr>
          <w:lang w:val="uk-UA"/>
        </w:rPr>
        <w:t xml:space="preserve"> дисплазі</w:t>
      </w:r>
      <w:r w:rsidRPr="00936A70">
        <w:rPr>
          <w:lang w:val="uk-UA"/>
        </w:rPr>
        <w:t>я перебігає з</w:t>
      </w:r>
      <w:r w:rsidR="00D07AC5" w:rsidRPr="00936A70">
        <w:rPr>
          <w:lang w:val="uk-UA"/>
        </w:rPr>
        <w:t xml:space="preserve"> задишк</w:t>
      </w:r>
      <w:r w:rsidRPr="00936A70">
        <w:rPr>
          <w:lang w:val="uk-UA"/>
        </w:rPr>
        <w:t>ою</w:t>
      </w:r>
      <w:r w:rsidR="00D07AC5" w:rsidRPr="00936A70">
        <w:rPr>
          <w:lang w:val="uk-UA"/>
        </w:rPr>
        <w:t>, тахіпное, киснезалежніст</w:t>
      </w:r>
      <w:r w:rsidRPr="00936A70">
        <w:rPr>
          <w:lang w:val="uk-UA"/>
        </w:rPr>
        <w:t>ю</w:t>
      </w:r>
      <w:r w:rsidR="00D07AC5" w:rsidRPr="00936A70">
        <w:rPr>
          <w:lang w:val="uk-UA"/>
        </w:rPr>
        <w:t xml:space="preserve"> та крепітаці</w:t>
      </w:r>
      <w:r w:rsidRPr="00936A70">
        <w:rPr>
          <w:lang w:val="uk-UA"/>
        </w:rPr>
        <w:t>єю</w:t>
      </w:r>
      <w:r w:rsidR="00D07AC5" w:rsidRPr="00936A70">
        <w:rPr>
          <w:lang w:val="uk-UA"/>
        </w:rPr>
        <w:t xml:space="preserve">  у легенях</w:t>
      </w:r>
      <w:r w:rsidR="002F30C4" w:rsidRPr="00936A70">
        <w:rPr>
          <w:lang w:val="uk-UA"/>
        </w:rPr>
        <w:t xml:space="preserve"> [3].</w:t>
      </w:r>
      <w:r w:rsidR="00D07AC5" w:rsidRPr="00936A70">
        <w:rPr>
          <w:lang w:val="uk-UA"/>
        </w:rPr>
        <w:t xml:space="preserve"> </w:t>
      </w:r>
      <w:r w:rsidRPr="00936A70">
        <w:rPr>
          <w:lang w:val="uk-UA"/>
        </w:rPr>
        <w:t>При нової формі та при легкому перебігу класичної д</w:t>
      </w:r>
      <w:r w:rsidR="00D07AC5" w:rsidRPr="00936A70">
        <w:rPr>
          <w:lang w:val="uk-UA"/>
        </w:rPr>
        <w:t xml:space="preserve">ані ознаки можуть мати схований характер.  </w:t>
      </w:r>
      <w:r w:rsidRPr="00936A70">
        <w:rPr>
          <w:lang w:val="uk-UA"/>
        </w:rPr>
        <w:t>В результаті д</w:t>
      </w:r>
      <w:r w:rsidR="00D07AC5" w:rsidRPr="00936A70">
        <w:rPr>
          <w:lang w:val="uk-UA"/>
        </w:rPr>
        <w:t>итина не має н</w:t>
      </w:r>
      <w:r w:rsidRPr="00936A70">
        <w:rPr>
          <w:lang w:val="uk-UA"/>
        </w:rPr>
        <w:t>алежного диспансерного нагляду, трапляється «загублення» діагнозу на амбулаторному етапі</w:t>
      </w:r>
      <w:r w:rsidR="008C099E" w:rsidRPr="00936A70">
        <w:rPr>
          <w:lang w:val="uk-UA"/>
        </w:rPr>
        <w:t>. Г</w:t>
      </w:r>
      <w:r w:rsidRPr="00936A70">
        <w:rPr>
          <w:lang w:val="uk-UA"/>
        </w:rPr>
        <w:t>остр</w:t>
      </w:r>
      <w:r w:rsidR="008C099E" w:rsidRPr="00936A70">
        <w:rPr>
          <w:lang w:val="uk-UA"/>
        </w:rPr>
        <w:t>і</w:t>
      </w:r>
      <w:r w:rsidRPr="00936A70">
        <w:rPr>
          <w:lang w:val="uk-UA"/>
        </w:rPr>
        <w:t xml:space="preserve"> респіраторн</w:t>
      </w:r>
      <w:r w:rsidR="008C099E" w:rsidRPr="00936A70">
        <w:rPr>
          <w:lang w:val="uk-UA"/>
        </w:rPr>
        <w:t>і</w:t>
      </w:r>
      <w:r w:rsidRPr="00936A70">
        <w:rPr>
          <w:lang w:val="uk-UA"/>
        </w:rPr>
        <w:t xml:space="preserve"> захворюван</w:t>
      </w:r>
      <w:r w:rsidR="008C099E" w:rsidRPr="00936A70">
        <w:rPr>
          <w:lang w:val="uk-UA"/>
        </w:rPr>
        <w:t>ня</w:t>
      </w:r>
      <w:r w:rsidRPr="00936A70">
        <w:rPr>
          <w:lang w:val="uk-UA"/>
        </w:rPr>
        <w:t xml:space="preserve"> у цієї категорії дітей </w:t>
      </w:r>
      <w:r w:rsidR="008C099E" w:rsidRPr="00936A70">
        <w:rPr>
          <w:lang w:val="uk-UA"/>
        </w:rPr>
        <w:t xml:space="preserve">лікуються </w:t>
      </w:r>
      <w:r w:rsidRPr="00936A70">
        <w:rPr>
          <w:lang w:val="uk-UA"/>
        </w:rPr>
        <w:t xml:space="preserve">без урахування основної патології, що веде до затяжного загострення, а у деякий випадках потребує проведення штучної вентиляції легень. </w:t>
      </w:r>
    </w:p>
    <w:p w:rsidR="0075127F" w:rsidRPr="00936A70" w:rsidRDefault="00E31F47" w:rsidP="008345CC">
      <w:pPr>
        <w:spacing w:line="480" w:lineRule="auto"/>
        <w:ind w:firstLine="708"/>
        <w:jc w:val="both"/>
        <w:rPr>
          <w:lang w:val="uk-UA"/>
        </w:rPr>
      </w:pPr>
      <w:r w:rsidRPr="00936A70">
        <w:rPr>
          <w:lang w:val="uk-UA"/>
        </w:rPr>
        <w:t xml:space="preserve">Таким чином, </w:t>
      </w:r>
      <w:r w:rsidR="000E38A7" w:rsidRPr="00936A70">
        <w:rPr>
          <w:lang w:val="uk-UA"/>
        </w:rPr>
        <w:t>на сьогодення</w:t>
      </w:r>
      <w:r w:rsidR="0075127F" w:rsidRPr="00936A70">
        <w:rPr>
          <w:lang w:val="uk-UA"/>
        </w:rPr>
        <w:t>,</w:t>
      </w:r>
      <w:r w:rsidR="000E38A7" w:rsidRPr="00936A70">
        <w:rPr>
          <w:lang w:val="uk-UA"/>
        </w:rPr>
        <w:t xml:space="preserve"> </w:t>
      </w:r>
      <w:r w:rsidR="00926654" w:rsidRPr="00936A70">
        <w:rPr>
          <w:lang w:val="uk-UA"/>
        </w:rPr>
        <w:t xml:space="preserve">в зв’язку з трансформацією перебігу бронхолегеневої дисплазії </w:t>
      </w:r>
      <w:r w:rsidR="0075127F" w:rsidRPr="00936A70">
        <w:rPr>
          <w:lang w:val="uk-UA"/>
        </w:rPr>
        <w:t>загальн</w:t>
      </w:r>
      <w:r w:rsidR="00926654" w:rsidRPr="00936A70">
        <w:rPr>
          <w:lang w:val="uk-UA"/>
        </w:rPr>
        <w:t xml:space="preserve">их клінічних ознак захворювання недостатньо. Подальші дослідження </w:t>
      </w:r>
      <w:r w:rsidR="0075127F" w:rsidRPr="00936A70">
        <w:rPr>
          <w:lang w:val="uk-UA"/>
        </w:rPr>
        <w:t xml:space="preserve"> </w:t>
      </w:r>
      <w:r w:rsidR="00926654" w:rsidRPr="00936A70">
        <w:rPr>
          <w:lang w:val="uk-UA"/>
        </w:rPr>
        <w:t xml:space="preserve">повинні бути направлені на виявлення маркерів різних форм захворювання, для належної диспансеризації хворого. </w:t>
      </w:r>
    </w:p>
    <w:p w:rsidR="003C3B11" w:rsidRPr="00936A70" w:rsidRDefault="003C3B11" w:rsidP="008345CC">
      <w:pPr>
        <w:pStyle w:val="a5"/>
        <w:spacing w:before="0" w:beforeAutospacing="0" w:after="0" w:afterAutospacing="0" w:line="480" w:lineRule="auto"/>
        <w:jc w:val="both"/>
        <w:rPr>
          <w:lang w:val="uk-UA"/>
        </w:rPr>
      </w:pPr>
      <w:r w:rsidRPr="00936A70">
        <w:rPr>
          <w:b/>
          <w:lang w:val="uk-UA"/>
        </w:rPr>
        <w:t>Мета дослідження:</w:t>
      </w:r>
      <w:r w:rsidRPr="00936A70">
        <w:rPr>
          <w:lang w:val="uk-UA"/>
        </w:rPr>
        <w:t xml:space="preserve"> удосконалення діагностики </w:t>
      </w:r>
      <w:r w:rsidR="00365DE9" w:rsidRPr="00936A70">
        <w:rPr>
          <w:lang w:val="uk-UA"/>
        </w:rPr>
        <w:t xml:space="preserve">бронхолегеневої дисплазії </w:t>
      </w:r>
      <w:r w:rsidRPr="00936A70">
        <w:rPr>
          <w:lang w:val="uk-UA"/>
        </w:rPr>
        <w:t xml:space="preserve">шляхом </w:t>
      </w:r>
      <w:r w:rsidR="00365DE9" w:rsidRPr="00936A70">
        <w:rPr>
          <w:lang w:val="uk-UA"/>
        </w:rPr>
        <w:t xml:space="preserve">вивчення </w:t>
      </w:r>
      <w:r w:rsidR="00960D91" w:rsidRPr="00936A70">
        <w:rPr>
          <w:lang w:val="uk-UA"/>
        </w:rPr>
        <w:t>клінічних маркерів різних форм бронхолегеневої дисплазії у дітей.</w:t>
      </w:r>
    </w:p>
    <w:p w:rsidR="00012C30" w:rsidRPr="00936A70" w:rsidRDefault="00012C30" w:rsidP="008345CC">
      <w:pPr>
        <w:spacing w:line="480" w:lineRule="auto"/>
        <w:jc w:val="both"/>
        <w:rPr>
          <w:lang w:val="uk-UA"/>
        </w:rPr>
      </w:pPr>
      <w:r w:rsidRPr="00936A70">
        <w:rPr>
          <w:b/>
          <w:lang w:val="uk-UA"/>
        </w:rPr>
        <w:t xml:space="preserve">Матеріали та методи: </w:t>
      </w:r>
      <w:r w:rsidRPr="00936A70">
        <w:rPr>
          <w:lang w:val="uk-UA"/>
        </w:rPr>
        <w:t>дослідження проводилося  на кафедрі педіатрії №1 та неонатології  Харківського національного медичного університету (зав. кафедри - Г.С.</w:t>
      </w:r>
      <w:proofErr w:type="spellStart"/>
      <w:r w:rsidRPr="00936A70">
        <w:rPr>
          <w:lang w:val="uk-UA"/>
        </w:rPr>
        <w:t>Сенаторова</w:t>
      </w:r>
      <w:proofErr w:type="spellEnd"/>
      <w:r w:rsidRPr="00936A70">
        <w:rPr>
          <w:lang w:val="uk-UA"/>
        </w:rPr>
        <w:t xml:space="preserve">) </w:t>
      </w:r>
      <w:r w:rsidR="00A04010" w:rsidRPr="00936A70">
        <w:rPr>
          <w:lang w:val="uk-UA"/>
        </w:rPr>
        <w:t>і</w:t>
      </w:r>
      <w:r w:rsidRPr="00936A70">
        <w:rPr>
          <w:lang w:val="uk-UA"/>
        </w:rPr>
        <w:t xml:space="preserve"> Обласному центрі діагностики та лікування бронхолегеневої дисплазії у дітей </w:t>
      </w:r>
      <w:r w:rsidR="00A04010" w:rsidRPr="00936A70">
        <w:rPr>
          <w:lang w:val="uk-UA"/>
        </w:rPr>
        <w:t>КЗОЗ «Харківська обласна дитяча</w:t>
      </w:r>
      <w:r w:rsidRPr="00936A70">
        <w:rPr>
          <w:lang w:val="uk-UA"/>
        </w:rPr>
        <w:t xml:space="preserve"> л</w:t>
      </w:r>
      <w:r w:rsidR="00A04010" w:rsidRPr="00936A70">
        <w:rPr>
          <w:lang w:val="uk-UA"/>
        </w:rPr>
        <w:t>ікарня»</w:t>
      </w:r>
      <w:r w:rsidRPr="00936A70">
        <w:rPr>
          <w:lang w:val="uk-UA"/>
        </w:rPr>
        <w:t xml:space="preserve"> (головний лікар - Г.Р.Муратов).  </w:t>
      </w:r>
    </w:p>
    <w:p w:rsidR="005C4C73" w:rsidRPr="00936A70" w:rsidRDefault="00012C30" w:rsidP="008345CC">
      <w:pPr>
        <w:spacing w:line="480" w:lineRule="auto"/>
        <w:ind w:firstLine="708"/>
        <w:jc w:val="both"/>
        <w:rPr>
          <w:lang w:val="uk-UA"/>
        </w:rPr>
      </w:pPr>
      <w:r w:rsidRPr="00936A70">
        <w:rPr>
          <w:lang w:val="uk-UA"/>
        </w:rPr>
        <w:t>Під спостереженням знахо</w:t>
      </w:r>
      <w:r w:rsidR="005C4C73" w:rsidRPr="00936A70">
        <w:rPr>
          <w:lang w:val="uk-UA"/>
        </w:rPr>
        <w:t>дила</w:t>
      </w:r>
      <w:r w:rsidRPr="00936A70">
        <w:rPr>
          <w:lang w:val="uk-UA"/>
        </w:rPr>
        <w:t>сь 131 дитина</w:t>
      </w:r>
      <w:r w:rsidR="00647EB9" w:rsidRPr="00936A70">
        <w:rPr>
          <w:lang w:val="uk-UA"/>
        </w:rPr>
        <w:t xml:space="preserve"> (269 спостережень)</w:t>
      </w:r>
      <w:r w:rsidRPr="00936A70">
        <w:rPr>
          <w:lang w:val="uk-UA"/>
        </w:rPr>
        <w:t xml:space="preserve"> </w:t>
      </w:r>
      <w:r w:rsidR="00170B1C" w:rsidRPr="00936A70">
        <w:rPr>
          <w:lang w:val="uk-UA"/>
        </w:rPr>
        <w:t xml:space="preserve">віком від 1 місяця до 3 років </w:t>
      </w:r>
      <w:r w:rsidRPr="00936A70">
        <w:rPr>
          <w:lang w:val="uk-UA"/>
        </w:rPr>
        <w:t>з діа</w:t>
      </w:r>
      <w:r w:rsidR="00647EB9" w:rsidRPr="00936A70">
        <w:rPr>
          <w:lang w:val="uk-UA"/>
        </w:rPr>
        <w:t>гнозом бронхолегенева дисплазія</w:t>
      </w:r>
      <w:r w:rsidR="00365DE9" w:rsidRPr="00936A70">
        <w:rPr>
          <w:lang w:val="uk-UA"/>
        </w:rPr>
        <w:t xml:space="preserve">. Із 269 спостережених з новою формою бронхолегеневої дисплазії було </w:t>
      </w:r>
      <w:r w:rsidR="00215946" w:rsidRPr="00936A70">
        <w:rPr>
          <w:lang w:val="uk-UA"/>
        </w:rPr>
        <w:t>11</w:t>
      </w:r>
      <w:r w:rsidR="00365DE9" w:rsidRPr="00936A70">
        <w:rPr>
          <w:lang w:val="uk-UA"/>
        </w:rPr>
        <w:t>1</w:t>
      </w:r>
      <w:r w:rsidR="00215946" w:rsidRPr="00936A70">
        <w:rPr>
          <w:lang w:val="uk-UA"/>
        </w:rPr>
        <w:t xml:space="preserve"> (41,2</w:t>
      </w:r>
      <w:r w:rsidR="00170B1C" w:rsidRPr="00936A70">
        <w:rPr>
          <w:lang w:val="uk-UA"/>
        </w:rPr>
        <w:t>%)</w:t>
      </w:r>
      <w:r w:rsidR="00365DE9" w:rsidRPr="00936A70">
        <w:rPr>
          <w:lang w:val="uk-UA"/>
        </w:rPr>
        <w:t>, з класичною формою БЛД – 121</w:t>
      </w:r>
      <w:r w:rsidR="00170B1C" w:rsidRPr="00936A70">
        <w:rPr>
          <w:lang w:val="uk-UA"/>
        </w:rPr>
        <w:t xml:space="preserve"> </w:t>
      </w:r>
      <w:r w:rsidR="00215946" w:rsidRPr="00936A70">
        <w:rPr>
          <w:lang w:val="uk-UA"/>
        </w:rPr>
        <w:t>(45%)</w:t>
      </w:r>
      <w:r w:rsidR="00365DE9" w:rsidRPr="00936A70">
        <w:rPr>
          <w:lang w:val="uk-UA"/>
        </w:rPr>
        <w:t>, з БЛД</w:t>
      </w:r>
      <w:r w:rsidR="00215946" w:rsidRPr="00936A70">
        <w:rPr>
          <w:lang w:val="uk-UA"/>
        </w:rPr>
        <w:t xml:space="preserve"> </w:t>
      </w:r>
      <w:r w:rsidR="00365DE9" w:rsidRPr="00936A70">
        <w:rPr>
          <w:lang w:val="uk-UA"/>
        </w:rPr>
        <w:lastRenderedPageBreak/>
        <w:t xml:space="preserve">доношених 37 </w:t>
      </w:r>
      <w:r w:rsidR="00962F85" w:rsidRPr="00936A70">
        <w:rPr>
          <w:lang w:val="uk-UA"/>
        </w:rPr>
        <w:t xml:space="preserve">(13,8%) </w:t>
      </w:r>
      <w:r w:rsidR="00365DE9" w:rsidRPr="00936A70">
        <w:rPr>
          <w:lang w:val="uk-UA"/>
        </w:rPr>
        <w:t xml:space="preserve">спостережень. В якості групи порівняння спостерігалось </w:t>
      </w:r>
      <w:r w:rsidR="00647EB9" w:rsidRPr="00936A70">
        <w:rPr>
          <w:lang w:val="uk-UA"/>
        </w:rPr>
        <w:t xml:space="preserve">26 дітей (42 спостереження), які були народжені недоношеними, мали респіраторні розлади, але не сформували бронхолегеневу дисплазію. </w:t>
      </w:r>
      <w:r w:rsidR="005C4C73" w:rsidRPr="00936A70">
        <w:rPr>
          <w:lang w:val="uk-UA"/>
        </w:rPr>
        <w:t xml:space="preserve">Діагноз бронхолегенева дисплазія був встановлений згідно міжнародній класифікації хвороб 10 перегляду (шифр Р27.0). </w:t>
      </w:r>
    </w:p>
    <w:p w:rsidR="001127D0" w:rsidRPr="00936A70" w:rsidRDefault="00365DE9" w:rsidP="008345CC">
      <w:pPr>
        <w:spacing w:line="480" w:lineRule="auto"/>
        <w:ind w:firstLine="708"/>
        <w:jc w:val="both"/>
        <w:rPr>
          <w:lang w:val="uk-UA"/>
        </w:rPr>
      </w:pPr>
      <w:r w:rsidRPr="00936A70">
        <w:rPr>
          <w:lang w:val="uk-UA"/>
        </w:rPr>
        <w:t>Анамнестичні данні збиралися за допомогою спеціальних опитувальників</w:t>
      </w:r>
      <w:r w:rsidR="00A04010" w:rsidRPr="00936A70">
        <w:rPr>
          <w:lang w:val="uk-UA"/>
        </w:rPr>
        <w:t>,</w:t>
      </w:r>
      <w:r w:rsidRPr="00936A70">
        <w:rPr>
          <w:lang w:val="uk-UA"/>
        </w:rPr>
        <w:t xml:space="preserve"> у яких визначались наявність</w:t>
      </w:r>
      <w:r w:rsidR="00170B1C" w:rsidRPr="00936A70">
        <w:rPr>
          <w:lang w:val="uk-UA"/>
        </w:rPr>
        <w:t xml:space="preserve"> та частота на рік </w:t>
      </w:r>
      <w:r w:rsidR="005D264F" w:rsidRPr="00936A70">
        <w:rPr>
          <w:lang w:val="uk-UA"/>
        </w:rPr>
        <w:t>загострень захворювання</w:t>
      </w:r>
      <w:r w:rsidR="001127D0" w:rsidRPr="00936A70">
        <w:rPr>
          <w:lang w:val="uk-UA"/>
        </w:rPr>
        <w:t>,</w:t>
      </w:r>
      <w:r w:rsidR="00170B1C" w:rsidRPr="00936A70">
        <w:rPr>
          <w:lang w:val="uk-UA"/>
        </w:rPr>
        <w:t xml:space="preserve"> задишки та тахіпно</w:t>
      </w:r>
      <w:r w:rsidR="000443E2" w:rsidRPr="00936A70">
        <w:rPr>
          <w:lang w:val="uk-UA"/>
        </w:rPr>
        <w:t>е</w:t>
      </w:r>
      <w:r w:rsidR="00170B1C" w:rsidRPr="00936A70">
        <w:rPr>
          <w:lang w:val="uk-UA"/>
        </w:rPr>
        <w:t xml:space="preserve"> у спокої та </w:t>
      </w:r>
      <w:r w:rsidR="00960D91" w:rsidRPr="00936A70">
        <w:rPr>
          <w:lang w:val="uk-UA"/>
        </w:rPr>
        <w:t>при занепокоєні</w:t>
      </w:r>
      <w:r w:rsidR="00170B1C" w:rsidRPr="00936A70">
        <w:rPr>
          <w:lang w:val="uk-UA"/>
        </w:rPr>
        <w:t xml:space="preserve">, динаміка додавання у масі тіла, наявність апное. При огляді зверталась увага на </w:t>
      </w:r>
      <w:r w:rsidR="00A04010" w:rsidRPr="00936A70">
        <w:rPr>
          <w:lang w:val="uk-UA"/>
        </w:rPr>
        <w:t>ціаноз</w:t>
      </w:r>
      <w:r w:rsidR="00170B1C" w:rsidRPr="00936A70">
        <w:rPr>
          <w:lang w:val="uk-UA"/>
        </w:rPr>
        <w:t>, втягування грудної клітки при</w:t>
      </w:r>
      <w:r w:rsidR="00AE25E8" w:rsidRPr="00936A70">
        <w:rPr>
          <w:lang w:val="uk-UA"/>
        </w:rPr>
        <w:t xml:space="preserve"> </w:t>
      </w:r>
      <w:r w:rsidR="00170B1C" w:rsidRPr="00936A70">
        <w:rPr>
          <w:lang w:val="uk-UA"/>
        </w:rPr>
        <w:t xml:space="preserve">диханні, </w:t>
      </w:r>
      <w:r w:rsidR="00960D91" w:rsidRPr="00936A70">
        <w:rPr>
          <w:lang w:val="uk-UA"/>
        </w:rPr>
        <w:t>форму</w:t>
      </w:r>
      <w:r w:rsidR="00170B1C" w:rsidRPr="00936A70">
        <w:rPr>
          <w:lang w:val="uk-UA"/>
        </w:rPr>
        <w:t xml:space="preserve"> грудної клітки, </w:t>
      </w:r>
      <w:r w:rsidR="00960D91" w:rsidRPr="00936A70">
        <w:rPr>
          <w:lang w:val="uk-UA"/>
        </w:rPr>
        <w:t xml:space="preserve">її </w:t>
      </w:r>
      <w:r w:rsidR="00170B1C" w:rsidRPr="00936A70">
        <w:rPr>
          <w:lang w:val="uk-UA"/>
        </w:rPr>
        <w:t>ригідн</w:t>
      </w:r>
      <w:r w:rsidR="00960D91" w:rsidRPr="00936A70">
        <w:rPr>
          <w:lang w:val="uk-UA"/>
        </w:rPr>
        <w:t>ість</w:t>
      </w:r>
      <w:r w:rsidR="00170B1C" w:rsidRPr="00936A70">
        <w:rPr>
          <w:lang w:val="uk-UA"/>
        </w:rPr>
        <w:t xml:space="preserve"> при пальпації, </w:t>
      </w:r>
      <w:proofErr w:type="spellStart"/>
      <w:r w:rsidR="00170B1C" w:rsidRPr="00936A70">
        <w:rPr>
          <w:lang w:val="uk-UA"/>
        </w:rPr>
        <w:t>перкуторні</w:t>
      </w:r>
      <w:proofErr w:type="spellEnd"/>
      <w:r w:rsidR="00170B1C" w:rsidRPr="00936A70">
        <w:rPr>
          <w:lang w:val="uk-UA"/>
        </w:rPr>
        <w:t xml:space="preserve"> та </w:t>
      </w:r>
      <w:proofErr w:type="spellStart"/>
      <w:r w:rsidR="00170B1C" w:rsidRPr="00936A70">
        <w:rPr>
          <w:lang w:val="uk-UA"/>
        </w:rPr>
        <w:t>аускультативні</w:t>
      </w:r>
      <w:proofErr w:type="spellEnd"/>
      <w:r w:rsidR="00170B1C" w:rsidRPr="00936A70">
        <w:rPr>
          <w:lang w:val="uk-UA"/>
        </w:rPr>
        <w:t xml:space="preserve"> маркери. </w:t>
      </w:r>
    </w:p>
    <w:p w:rsidR="00896B2C" w:rsidRPr="00936A70" w:rsidRDefault="00170B1C" w:rsidP="008345CC">
      <w:pPr>
        <w:spacing w:line="480" w:lineRule="auto"/>
        <w:ind w:firstLine="708"/>
        <w:jc w:val="both"/>
        <w:rPr>
          <w:lang w:val="uk-UA"/>
        </w:rPr>
      </w:pPr>
      <w:r w:rsidRPr="00936A70">
        <w:rPr>
          <w:lang w:val="uk-UA"/>
        </w:rPr>
        <w:t xml:space="preserve">Показники обчислювалися методом параметричної статистики за допомогою програми «Statistica-6» </w:t>
      </w:r>
      <w:r w:rsidR="00CA3F5A" w:rsidRPr="00936A70">
        <w:rPr>
          <w:lang w:val="uk-UA"/>
        </w:rPr>
        <w:t>.</w:t>
      </w:r>
    </w:p>
    <w:p w:rsidR="005D264F" w:rsidRPr="00936A70" w:rsidRDefault="002D65B2" w:rsidP="008345CC">
      <w:pPr>
        <w:spacing w:line="480" w:lineRule="auto"/>
        <w:ind w:firstLine="708"/>
        <w:jc w:val="both"/>
        <w:rPr>
          <w:lang w:val="uk-UA"/>
        </w:rPr>
      </w:pPr>
      <w:r w:rsidRPr="00936A70">
        <w:rPr>
          <w:b/>
          <w:lang w:val="uk-UA"/>
        </w:rPr>
        <w:t>Результати дослідження та їх обговорення.</w:t>
      </w:r>
      <w:r w:rsidR="00EE71EB" w:rsidRPr="00936A70">
        <w:rPr>
          <w:b/>
          <w:lang w:val="uk-UA"/>
        </w:rPr>
        <w:t xml:space="preserve"> </w:t>
      </w:r>
      <w:r w:rsidR="005D264F" w:rsidRPr="00936A70">
        <w:rPr>
          <w:lang w:val="uk-UA"/>
        </w:rPr>
        <w:t xml:space="preserve">При опитуванні та спостереженні за дітьми нами була визначена частота загострень бронхолегеневої </w:t>
      </w:r>
      <w:r w:rsidR="00016D13" w:rsidRPr="00936A70">
        <w:rPr>
          <w:lang w:val="uk-UA"/>
        </w:rPr>
        <w:t xml:space="preserve">дисплазії на рік у пацієнтів з різними формами БЛД. Загостреннями вважалась наявність острого обструктивного бронхіту, </w:t>
      </w:r>
      <w:proofErr w:type="spellStart"/>
      <w:r w:rsidR="00016D13" w:rsidRPr="00936A70">
        <w:rPr>
          <w:lang w:val="uk-UA"/>
        </w:rPr>
        <w:t>бронхіоліту</w:t>
      </w:r>
      <w:proofErr w:type="spellEnd"/>
      <w:r w:rsidR="00016D13" w:rsidRPr="00936A70">
        <w:rPr>
          <w:lang w:val="uk-UA"/>
        </w:rPr>
        <w:t xml:space="preserve">, або пневмонії. </w:t>
      </w:r>
    </w:p>
    <w:p w:rsidR="002C7597" w:rsidRPr="00936A70" w:rsidRDefault="000443E2" w:rsidP="008345CC">
      <w:pPr>
        <w:spacing w:line="480" w:lineRule="auto"/>
        <w:ind w:firstLine="708"/>
        <w:jc w:val="both"/>
        <w:rPr>
          <w:lang w:val="uk-UA"/>
        </w:rPr>
      </w:pPr>
      <w:r w:rsidRPr="00936A70">
        <w:rPr>
          <w:lang w:val="uk-UA"/>
        </w:rPr>
        <w:t>Однаково часто зі спостереженими на «нову» форму БЛД, д</w:t>
      </w:r>
      <w:r w:rsidR="005C5EE3" w:rsidRPr="00936A70">
        <w:rPr>
          <w:lang w:val="uk-UA"/>
        </w:rPr>
        <w:t>іти</w:t>
      </w:r>
      <w:r w:rsidRPr="00936A70">
        <w:rPr>
          <w:lang w:val="uk-UA"/>
        </w:rPr>
        <w:t xml:space="preserve"> </w:t>
      </w:r>
      <w:r w:rsidR="005C5EE3" w:rsidRPr="00936A70">
        <w:rPr>
          <w:lang w:val="uk-UA"/>
        </w:rPr>
        <w:t>груп</w:t>
      </w:r>
      <w:r w:rsidRPr="00936A70">
        <w:rPr>
          <w:lang w:val="uk-UA"/>
        </w:rPr>
        <w:t>и</w:t>
      </w:r>
      <w:r w:rsidR="005C5EE3" w:rsidRPr="00936A70">
        <w:rPr>
          <w:lang w:val="uk-UA"/>
        </w:rPr>
        <w:t xml:space="preserve"> порівняння переносили пневмонії та обструктивний </w:t>
      </w:r>
      <w:r w:rsidR="00931A4D" w:rsidRPr="00936A70">
        <w:rPr>
          <w:lang w:val="uk-UA"/>
        </w:rPr>
        <w:t xml:space="preserve">бронхіт </w:t>
      </w:r>
      <w:r w:rsidR="005C5EE3" w:rsidRPr="00936A70">
        <w:rPr>
          <w:lang w:val="uk-UA"/>
        </w:rPr>
        <w:t>(р&gt;0,05)</w:t>
      </w:r>
      <w:r w:rsidR="00960D91" w:rsidRPr="00936A70">
        <w:rPr>
          <w:lang w:val="uk-UA"/>
        </w:rPr>
        <w:t xml:space="preserve"> (табл.1)</w:t>
      </w:r>
      <w:r w:rsidR="005C5EE3" w:rsidRPr="00936A70">
        <w:rPr>
          <w:lang w:val="uk-UA"/>
        </w:rPr>
        <w:t xml:space="preserve">. </w:t>
      </w:r>
    </w:p>
    <w:p w:rsidR="00A21462" w:rsidRPr="00936A70" w:rsidRDefault="002F172C" w:rsidP="00EE71EB">
      <w:pPr>
        <w:ind w:firstLine="708"/>
        <w:jc w:val="right"/>
        <w:rPr>
          <w:lang w:val="uk-UA"/>
        </w:rPr>
      </w:pPr>
      <w:r w:rsidRPr="00936A70">
        <w:rPr>
          <w:lang w:val="uk-UA"/>
        </w:rPr>
        <w:t xml:space="preserve">Таблиця 1. </w:t>
      </w:r>
      <w:r w:rsidR="00202F1A" w:rsidRPr="00936A70">
        <w:rPr>
          <w:lang w:val="uk-UA"/>
        </w:rPr>
        <w:t>Розподіл</w:t>
      </w:r>
      <w:r w:rsidR="008521BC" w:rsidRPr="00936A70">
        <w:rPr>
          <w:lang w:val="uk-UA"/>
        </w:rPr>
        <w:t xml:space="preserve"> дітей з різними формами бронхолегеневої дисплазії  </w:t>
      </w:r>
      <w:r w:rsidR="00EE71EB" w:rsidRPr="00936A70">
        <w:rPr>
          <w:lang w:val="uk-UA"/>
        </w:rPr>
        <w:t xml:space="preserve">та групи порівняння за частотою обструктивних бронхітів, </w:t>
      </w:r>
      <w:proofErr w:type="spellStart"/>
      <w:r w:rsidR="00EE71EB" w:rsidRPr="00936A70">
        <w:rPr>
          <w:lang w:val="uk-UA"/>
        </w:rPr>
        <w:t>бронхіолітів</w:t>
      </w:r>
      <w:proofErr w:type="spellEnd"/>
      <w:r w:rsidR="00EE71EB" w:rsidRPr="00936A70">
        <w:rPr>
          <w:lang w:val="uk-UA"/>
        </w:rPr>
        <w:t>, пневмоній на рік.</w:t>
      </w:r>
      <w:r w:rsidR="00202F1A" w:rsidRPr="00936A70">
        <w:rPr>
          <w:lang w:val="uk-UA"/>
        </w:rPr>
        <w:t xml:space="preserve"> </w:t>
      </w:r>
    </w:p>
    <w:tbl>
      <w:tblPr>
        <w:tblStyle w:val="ad"/>
        <w:tblW w:w="9855" w:type="dxa"/>
        <w:tblLayout w:type="fixed"/>
        <w:tblLook w:val="04A0" w:firstRow="1" w:lastRow="0" w:firstColumn="1" w:lastColumn="0" w:noHBand="0" w:noVBand="1"/>
      </w:tblPr>
      <w:tblGrid>
        <w:gridCol w:w="1668"/>
        <w:gridCol w:w="1276"/>
        <w:gridCol w:w="992"/>
        <w:gridCol w:w="1276"/>
        <w:gridCol w:w="992"/>
        <w:gridCol w:w="1559"/>
        <w:gridCol w:w="993"/>
        <w:gridCol w:w="1099"/>
      </w:tblGrid>
      <w:tr w:rsidR="00962F85" w:rsidRPr="00936A70" w:rsidTr="00016D13">
        <w:tc>
          <w:tcPr>
            <w:tcW w:w="1668" w:type="dxa"/>
            <w:vMerge w:val="restart"/>
          </w:tcPr>
          <w:p w:rsidR="00962F85" w:rsidRPr="00936A70" w:rsidRDefault="00EE71EB" w:rsidP="00EE71EB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Нозологічні форми</w:t>
            </w:r>
          </w:p>
        </w:tc>
        <w:tc>
          <w:tcPr>
            <w:tcW w:w="7088" w:type="dxa"/>
            <w:gridSpan w:val="6"/>
          </w:tcPr>
          <w:p w:rsidR="00962F85" w:rsidRPr="00936A70" w:rsidRDefault="00962F85" w:rsidP="00EE71EB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Спостережені з бронхолегеневою дисплазією</w:t>
            </w:r>
          </w:p>
          <w:p w:rsidR="00962F85" w:rsidRPr="00936A70" w:rsidRDefault="00962F85" w:rsidP="00EE71EB">
            <w:pPr>
              <w:jc w:val="center"/>
            </w:pPr>
            <w:r w:rsidRPr="00936A70">
              <w:rPr>
                <w:lang w:val="en-US"/>
              </w:rPr>
              <w:t>n</w:t>
            </w:r>
            <w:r w:rsidRPr="00936A70">
              <w:t>=269</w:t>
            </w:r>
          </w:p>
        </w:tc>
        <w:tc>
          <w:tcPr>
            <w:tcW w:w="1099" w:type="dxa"/>
            <w:vMerge w:val="restart"/>
          </w:tcPr>
          <w:p w:rsidR="00962F85" w:rsidRPr="00936A70" w:rsidRDefault="00962F85" w:rsidP="00EE71EB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Група порівняння</w:t>
            </w:r>
          </w:p>
          <w:p w:rsidR="00016D13" w:rsidRPr="00936A70" w:rsidRDefault="00016D13" w:rsidP="00EE71EB">
            <w:pPr>
              <w:jc w:val="center"/>
              <w:rPr>
                <w:lang w:val="uk-UA"/>
              </w:rPr>
            </w:pPr>
          </w:p>
          <w:p w:rsidR="00962F85" w:rsidRPr="00936A70" w:rsidRDefault="00962F85" w:rsidP="00EE71EB">
            <w:pPr>
              <w:jc w:val="center"/>
              <w:rPr>
                <w:lang w:val="uk-UA"/>
              </w:rPr>
            </w:pPr>
            <w:r w:rsidRPr="00936A70">
              <w:rPr>
                <w:lang w:val="en-US"/>
              </w:rPr>
              <w:t>n</w:t>
            </w:r>
            <w:r w:rsidRPr="00936A70">
              <w:t>=</w:t>
            </w:r>
            <w:r w:rsidRPr="00936A70">
              <w:rPr>
                <w:lang w:val="uk-UA"/>
              </w:rPr>
              <w:t>42</w:t>
            </w:r>
          </w:p>
        </w:tc>
      </w:tr>
      <w:tr w:rsidR="00A21462" w:rsidRPr="00936A70" w:rsidTr="00016D13">
        <w:tc>
          <w:tcPr>
            <w:tcW w:w="1668" w:type="dxa"/>
            <w:vMerge/>
          </w:tcPr>
          <w:p w:rsidR="00962F85" w:rsidRPr="00936A70" w:rsidRDefault="00962F85" w:rsidP="00EE71EB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62F85" w:rsidRPr="00936A70" w:rsidRDefault="00962F85" w:rsidP="00EE71EB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 xml:space="preserve">«нова» </w:t>
            </w:r>
          </w:p>
          <w:p w:rsidR="00962F85" w:rsidRPr="00936A70" w:rsidRDefault="00962F85" w:rsidP="00EE71EB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форма</w:t>
            </w:r>
          </w:p>
          <w:p w:rsidR="00962F85" w:rsidRPr="00936A70" w:rsidRDefault="00962F85" w:rsidP="00EE71EB">
            <w:pPr>
              <w:jc w:val="center"/>
              <w:rPr>
                <w:lang w:val="uk-UA"/>
              </w:rPr>
            </w:pPr>
            <w:r w:rsidRPr="00936A70">
              <w:rPr>
                <w:lang w:val="en-US"/>
              </w:rPr>
              <w:t>n</w:t>
            </w:r>
            <w:r w:rsidRPr="00936A70">
              <w:t>=</w:t>
            </w:r>
            <w:r w:rsidRPr="00936A70">
              <w:rPr>
                <w:lang w:val="uk-UA"/>
              </w:rPr>
              <w:t>111</w:t>
            </w:r>
          </w:p>
        </w:tc>
        <w:tc>
          <w:tcPr>
            <w:tcW w:w="992" w:type="dxa"/>
          </w:tcPr>
          <w:p w:rsidR="00962F85" w:rsidRPr="00936A70" w:rsidRDefault="00EE71EB" w:rsidP="00EE71EB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р*</w:t>
            </w:r>
          </w:p>
        </w:tc>
        <w:tc>
          <w:tcPr>
            <w:tcW w:w="1276" w:type="dxa"/>
          </w:tcPr>
          <w:p w:rsidR="00962F85" w:rsidRPr="00936A70" w:rsidRDefault="00962F85" w:rsidP="00EE71EB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 xml:space="preserve">класична </w:t>
            </w:r>
          </w:p>
          <w:p w:rsidR="00962F85" w:rsidRPr="00936A70" w:rsidRDefault="00962F85" w:rsidP="00EE71EB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форма</w:t>
            </w:r>
          </w:p>
          <w:p w:rsidR="00962F85" w:rsidRPr="00936A70" w:rsidRDefault="00962F85" w:rsidP="00EE71EB">
            <w:pPr>
              <w:jc w:val="center"/>
              <w:rPr>
                <w:lang w:val="uk-UA"/>
              </w:rPr>
            </w:pPr>
            <w:r w:rsidRPr="00936A70">
              <w:rPr>
                <w:lang w:val="en-US"/>
              </w:rPr>
              <w:t>n</w:t>
            </w:r>
            <w:r w:rsidRPr="00936A70">
              <w:t>=</w:t>
            </w:r>
            <w:r w:rsidRPr="00936A70">
              <w:rPr>
                <w:lang w:val="uk-UA"/>
              </w:rPr>
              <w:t>121</w:t>
            </w:r>
          </w:p>
        </w:tc>
        <w:tc>
          <w:tcPr>
            <w:tcW w:w="992" w:type="dxa"/>
          </w:tcPr>
          <w:p w:rsidR="00962F85" w:rsidRPr="00936A70" w:rsidRDefault="00EE71EB" w:rsidP="00EE71EB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р*</w:t>
            </w:r>
          </w:p>
        </w:tc>
        <w:tc>
          <w:tcPr>
            <w:tcW w:w="1559" w:type="dxa"/>
          </w:tcPr>
          <w:p w:rsidR="00962F85" w:rsidRPr="00936A70" w:rsidRDefault="00962F85" w:rsidP="00EE71EB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БЛД</w:t>
            </w:r>
          </w:p>
          <w:p w:rsidR="00962F85" w:rsidRPr="00936A70" w:rsidRDefault="00962F85" w:rsidP="00EE71EB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доношених</w:t>
            </w:r>
          </w:p>
          <w:p w:rsidR="00962F85" w:rsidRPr="00936A70" w:rsidRDefault="00962F85" w:rsidP="00EE71EB">
            <w:pPr>
              <w:jc w:val="center"/>
              <w:rPr>
                <w:lang w:val="uk-UA"/>
              </w:rPr>
            </w:pPr>
            <w:r w:rsidRPr="00936A70">
              <w:rPr>
                <w:lang w:val="en-US"/>
              </w:rPr>
              <w:t>n</w:t>
            </w:r>
            <w:r w:rsidRPr="00936A70">
              <w:t>=</w:t>
            </w:r>
            <w:r w:rsidRPr="00936A70">
              <w:rPr>
                <w:lang w:val="uk-UA"/>
              </w:rPr>
              <w:t>37</w:t>
            </w:r>
          </w:p>
        </w:tc>
        <w:tc>
          <w:tcPr>
            <w:tcW w:w="993" w:type="dxa"/>
          </w:tcPr>
          <w:p w:rsidR="00962F85" w:rsidRPr="00936A70" w:rsidRDefault="00EE71EB" w:rsidP="00EE71EB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р*</w:t>
            </w:r>
          </w:p>
        </w:tc>
        <w:tc>
          <w:tcPr>
            <w:tcW w:w="1099" w:type="dxa"/>
            <w:vMerge/>
          </w:tcPr>
          <w:p w:rsidR="00962F85" w:rsidRPr="00936A70" w:rsidRDefault="00962F85" w:rsidP="00EE71EB">
            <w:pPr>
              <w:jc w:val="center"/>
              <w:rPr>
                <w:lang w:val="uk-UA"/>
              </w:rPr>
            </w:pPr>
          </w:p>
        </w:tc>
      </w:tr>
      <w:tr w:rsidR="00962F85" w:rsidRPr="00936A70" w:rsidTr="00016D13">
        <w:tc>
          <w:tcPr>
            <w:tcW w:w="1668" w:type="dxa"/>
          </w:tcPr>
          <w:p w:rsidR="00215946" w:rsidRPr="00936A70" w:rsidRDefault="00962F85" w:rsidP="00EE71EB">
            <w:pPr>
              <w:jc w:val="both"/>
              <w:rPr>
                <w:lang w:val="uk-UA"/>
              </w:rPr>
            </w:pPr>
            <w:proofErr w:type="spellStart"/>
            <w:r w:rsidRPr="00936A70">
              <w:rPr>
                <w:lang w:val="uk-UA"/>
              </w:rPr>
              <w:t>Обструктив-ний</w:t>
            </w:r>
            <w:proofErr w:type="spellEnd"/>
            <w:r w:rsidRPr="00936A70">
              <w:rPr>
                <w:lang w:val="uk-UA"/>
              </w:rPr>
              <w:t xml:space="preserve"> </w:t>
            </w:r>
            <w:r w:rsidR="00B064FF" w:rsidRPr="00936A70">
              <w:rPr>
                <w:lang w:val="uk-UA"/>
              </w:rPr>
              <w:t>бронхіт</w:t>
            </w:r>
          </w:p>
        </w:tc>
        <w:tc>
          <w:tcPr>
            <w:tcW w:w="1276" w:type="dxa"/>
          </w:tcPr>
          <w:p w:rsidR="00215946" w:rsidRPr="00936A70" w:rsidRDefault="00962F85" w:rsidP="00EE71EB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0,73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0,12</w:t>
            </w:r>
          </w:p>
        </w:tc>
        <w:tc>
          <w:tcPr>
            <w:tcW w:w="992" w:type="dxa"/>
          </w:tcPr>
          <w:p w:rsidR="00215946" w:rsidRPr="00936A70" w:rsidRDefault="00962F85" w:rsidP="00EE71EB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0,62</w:t>
            </w:r>
          </w:p>
        </w:tc>
        <w:tc>
          <w:tcPr>
            <w:tcW w:w="1276" w:type="dxa"/>
          </w:tcPr>
          <w:p w:rsidR="00215946" w:rsidRPr="00936A70" w:rsidRDefault="00962F85" w:rsidP="00EE71EB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2,42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0,18</w:t>
            </w:r>
          </w:p>
        </w:tc>
        <w:tc>
          <w:tcPr>
            <w:tcW w:w="992" w:type="dxa"/>
          </w:tcPr>
          <w:p w:rsidR="00215946" w:rsidRPr="00936A70" w:rsidRDefault="00962F85" w:rsidP="00EE71EB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&lt;0,001</w:t>
            </w:r>
          </w:p>
        </w:tc>
        <w:tc>
          <w:tcPr>
            <w:tcW w:w="1559" w:type="dxa"/>
          </w:tcPr>
          <w:p w:rsidR="00215946" w:rsidRPr="00936A70" w:rsidRDefault="00962F85" w:rsidP="00EE71EB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2,68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0,35</w:t>
            </w:r>
          </w:p>
        </w:tc>
        <w:tc>
          <w:tcPr>
            <w:tcW w:w="993" w:type="dxa"/>
          </w:tcPr>
          <w:p w:rsidR="00215946" w:rsidRPr="00936A70" w:rsidRDefault="00962F85" w:rsidP="00EE71EB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&lt;0,001</w:t>
            </w:r>
          </w:p>
        </w:tc>
        <w:tc>
          <w:tcPr>
            <w:tcW w:w="1099" w:type="dxa"/>
          </w:tcPr>
          <w:p w:rsidR="00215946" w:rsidRPr="00936A70" w:rsidRDefault="00962F85" w:rsidP="00EE71EB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0,84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0,2</w:t>
            </w:r>
          </w:p>
        </w:tc>
      </w:tr>
      <w:tr w:rsidR="00016D13" w:rsidRPr="00936A70" w:rsidTr="00016D13">
        <w:tc>
          <w:tcPr>
            <w:tcW w:w="1668" w:type="dxa"/>
          </w:tcPr>
          <w:p w:rsidR="00016D13" w:rsidRPr="00936A70" w:rsidRDefault="00016D13" w:rsidP="00EE71EB">
            <w:pPr>
              <w:jc w:val="both"/>
              <w:rPr>
                <w:lang w:val="uk-UA"/>
              </w:rPr>
            </w:pPr>
            <w:proofErr w:type="spellStart"/>
            <w:r w:rsidRPr="00936A70">
              <w:rPr>
                <w:lang w:val="uk-UA"/>
              </w:rPr>
              <w:t>Бронхіоліт</w:t>
            </w:r>
            <w:proofErr w:type="spellEnd"/>
          </w:p>
        </w:tc>
        <w:tc>
          <w:tcPr>
            <w:tcW w:w="1276" w:type="dxa"/>
          </w:tcPr>
          <w:p w:rsidR="00016D13" w:rsidRPr="00936A70" w:rsidRDefault="00016D13" w:rsidP="00EE71EB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0,98</w:t>
            </w:r>
            <w:r w:rsidRPr="00936A70">
              <w:rPr>
                <w:u w:val="single"/>
                <w:lang w:val="uk-UA"/>
              </w:rPr>
              <w:t xml:space="preserve"> +</w:t>
            </w:r>
            <w:r w:rsidRPr="00936A70">
              <w:rPr>
                <w:lang w:val="uk-UA"/>
              </w:rPr>
              <w:t>0,13</w:t>
            </w:r>
          </w:p>
        </w:tc>
        <w:tc>
          <w:tcPr>
            <w:tcW w:w="992" w:type="dxa"/>
          </w:tcPr>
          <w:p w:rsidR="00016D13" w:rsidRPr="00936A70" w:rsidRDefault="00016D13" w:rsidP="00EE71EB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&lt;0,001</w:t>
            </w:r>
          </w:p>
        </w:tc>
        <w:tc>
          <w:tcPr>
            <w:tcW w:w="1276" w:type="dxa"/>
          </w:tcPr>
          <w:p w:rsidR="00016D13" w:rsidRPr="00936A70" w:rsidRDefault="00016D13" w:rsidP="00EE71EB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0,51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0,12</w:t>
            </w:r>
          </w:p>
        </w:tc>
        <w:tc>
          <w:tcPr>
            <w:tcW w:w="992" w:type="dxa"/>
          </w:tcPr>
          <w:p w:rsidR="00016D13" w:rsidRPr="00936A70" w:rsidRDefault="00016D13" w:rsidP="00EE71EB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&lt;0,01</w:t>
            </w:r>
          </w:p>
        </w:tc>
        <w:tc>
          <w:tcPr>
            <w:tcW w:w="1559" w:type="dxa"/>
          </w:tcPr>
          <w:p w:rsidR="00016D13" w:rsidRPr="00936A70" w:rsidRDefault="00016D13" w:rsidP="00EE71EB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0,14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0,1</w:t>
            </w:r>
          </w:p>
        </w:tc>
        <w:tc>
          <w:tcPr>
            <w:tcW w:w="993" w:type="dxa"/>
          </w:tcPr>
          <w:p w:rsidR="00016D13" w:rsidRPr="00936A70" w:rsidRDefault="00016D13" w:rsidP="00EE71EB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0,78</w:t>
            </w:r>
          </w:p>
        </w:tc>
        <w:tc>
          <w:tcPr>
            <w:tcW w:w="1099" w:type="dxa"/>
          </w:tcPr>
          <w:p w:rsidR="00016D13" w:rsidRPr="00936A70" w:rsidRDefault="00016D13" w:rsidP="00EE71EB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0,12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0,1</w:t>
            </w:r>
          </w:p>
        </w:tc>
      </w:tr>
      <w:tr w:rsidR="00016D13" w:rsidRPr="00936A70" w:rsidTr="00016D13">
        <w:tc>
          <w:tcPr>
            <w:tcW w:w="1668" w:type="dxa"/>
          </w:tcPr>
          <w:p w:rsidR="00016D13" w:rsidRPr="00936A70" w:rsidRDefault="00016D13" w:rsidP="00EE71EB">
            <w:pPr>
              <w:jc w:val="both"/>
              <w:rPr>
                <w:lang w:val="uk-UA"/>
              </w:rPr>
            </w:pPr>
            <w:r w:rsidRPr="00936A70">
              <w:rPr>
                <w:lang w:val="uk-UA"/>
              </w:rPr>
              <w:t xml:space="preserve">Пневмонія </w:t>
            </w:r>
          </w:p>
        </w:tc>
        <w:tc>
          <w:tcPr>
            <w:tcW w:w="1276" w:type="dxa"/>
          </w:tcPr>
          <w:p w:rsidR="00016D13" w:rsidRPr="00936A70" w:rsidRDefault="00016D13" w:rsidP="00EE71EB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0,85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0,12</w:t>
            </w:r>
          </w:p>
        </w:tc>
        <w:tc>
          <w:tcPr>
            <w:tcW w:w="992" w:type="dxa"/>
          </w:tcPr>
          <w:p w:rsidR="00016D13" w:rsidRPr="00936A70" w:rsidRDefault="00016D13" w:rsidP="00EE71EB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0,39</w:t>
            </w:r>
          </w:p>
        </w:tc>
        <w:tc>
          <w:tcPr>
            <w:tcW w:w="1276" w:type="dxa"/>
          </w:tcPr>
          <w:p w:rsidR="00016D13" w:rsidRPr="00936A70" w:rsidRDefault="00016D13" w:rsidP="00EE71EB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1,37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0,14</w:t>
            </w:r>
          </w:p>
        </w:tc>
        <w:tc>
          <w:tcPr>
            <w:tcW w:w="992" w:type="dxa"/>
          </w:tcPr>
          <w:p w:rsidR="00016D13" w:rsidRPr="00936A70" w:rsidRDefault="00016D13" w:rsidP="00EE71EB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&lt;0,01</w:t>
            </w:r>
          </w:p>
        </w:tc>
        <w:tc>
          <w:tcPr>
            <w:tcW w:w="1559" w:type="dxa"/>
          </w:tcPr>
          <w:p w:rsidR="00016D13" w:rsidRPr="00936A70" w:rsidRDefault="00016D13" w:rsidP="00EE71EB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2,5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0,33</w:t>
            </w:r>
          </w:p>
        </w:tc>
        <w:tc>
          <w:tcPr>
            <w:tcW w:w="993" w:type="dxa"/>
          </w:tcPr>
          <w:p w:rsidR="00016D13" w:rsidRPr="00936A70" w:rsidRDefault="00016D13" w:rsidP="00EE71EB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&lt;0,001</w:t>
            </w:r>
          </w:p>
        </w:tc>
        <w:tc>
          <w:tcPr>
            <w:tcW w:w="1099" w:type="dxa"/>
          </w:tcPr>
          <w:p w:rsidR="00016D13" w:rsidRPr="00936A70" w:rsidRDefault="00016D13" w:rsidP="00EE71EB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0,7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0,13</w:t>
            </w:r>
          </w:p>
        </w:tc>
      </w:tr>
    </w:tbl>
    <w:p w:rsidR="00BE5152" w:rsidRPr="00936A70" w:rsidRDefault="00EE71EB" w:rsidP="00EE71EB">
      <w:pPr>
        <w:jc w:val="right"/>
        <w:rPr>
          <w:lang w:val="uk-UA"/>
        </w:rPr>
      </w:pPr>
      <w:r w:rsidRPr="00936A70">
        <w:rPr>
          <w:lang w:val="uk-UA"/>
        </w:rPr>
        <w:t>р*</w:t>
      </w:r>
      <w:r w:rsidR="00215946" w:rsidRPr="00936A70">
        <w:rPr>
          <w:lang w:val="uk-UA"/>
        </w:rPr>
        <w:t xml:space="preserve">- відношення частоти </w:t>
      </w:r>
      <w:r w:rsidR="00931A4D" w:rsidRPr="00936A70">
        <w:rPr>
          <w:lang w:val="uk-UA"/>
        </w:rPr>
        <w:t>гострої респіраторної патології</w:t>
      </w:r>
      <w:r w:rsidR="00215946" w:rsidRPr="00936A70">
        <w:rPr>
          <w:lang w:val="uk-UA"/>
        </w:rPr>
        <w:t xml:space="preserve"> у дітей з </w:t>
      </w:r>
      <w:r w:rsidRPr="00936A70">
        <w:rPr>
          <w:lang w:val="uk-UA"/>
        </w:rPr>
        <w:t xml:space="preserve">різними </w:t>
      </w:r>
      <w:r w:rsidR="00215946" w:rsidRPr="00936A70">
        <w:rPr>
          <w:lang w:val="uk-UA"/>
        </w:rPr>
        <w:t>форм</w:t>
      </w:r>
      <w:r w:rsidRPr="00936A70">
        <w:rPr>
          <w:lang w:val="uk-UA"/>
        </w:rPr>
        <w:t>ами</w:t>
      </w:r>
      <w:r w:rsidR="00215946" w:rsidRPr="00936A70">
        <w:rPr>
          <w:lang w:val="uk-UA"/>
        </w:rPr>
        <w:t xml:space="preserve"> бронхолегеневої  дисплазії до </w:t>
      </w:r>
      <w:r w:rsidRPr="00936A70">
        <w:rPr>
          <w:lang w:val="uk-UA"/>
        </w:rPr>
        <w:t>частоти даних захворювань у дітей групи порівняння</w:t>
      </w:r>
    </w:p>
    <w:p w:rsidR="00EE71EB" w:rsidRPr="00936A70" w:rsidRDefault="00EE71EB" w:rsidP="00B47B10">
      <w:pPr>
        <w:spacing w:line="480" w:lineRule="auto"/>
        <w:ind w:firstLine="708"/>
        <w:jc w:val="both"/>
        <w:rPr>
          <w:lang w:val="uk-UA"/>
        </w:rPr>
      </w:pPr>
    </w:p>
    <w:p w:rsidR="008C099E" w:rsidRPr="00936A70" w:rsidRDefault="008C099E" w:rsidP="008C099E">
      <w:pPr>
        <w:spacing w:line="480" w:lineRule="auto"/>
        <w:ind w:firstLine="708"/>
        <w:jc w:val="both"/>
        <w:rPr>
          <w:lang w:val="uk-UA"/>
        </w:rPr>
      </w:pPr>
      <w:r w:rsidRPr="00936A70">
        <w:rPr>
          <w:lang w:val="uk-UA"/>
        </w:rPr>
        <w:t xml:space="preserve">Звертала увагу достовірно більша частота </w:t>
      </w:r>
      <w:proofErr w:type="spellStart"/>
      <w:r w:rsidRPr="00936A70">
        <w:rPr>
          <w:lang w:val="uk-UA"/>
        </w:rPr>
        <w:t>бронхіоліту</w:t>
      </w:r>
      <w:proofErr w:type="spellEnd"/>
      <w:r w:rsidRPr="00936A70">
        <w:rPr>
          <w:lang w:val="uk-UA"/>
        </w:rPr>
        <w:t xml:space="preserve"> у дітей з новою (р&lt;0,001) та класичною (р&lt;0,01) формами бронхолегеневої дисплазії. Пацієнти  з </w:t>
      </w:r>
      <w:proofErr w:type="spellStart"/>
      <w:r w:rsidRPr="00936A70">
        <w:rPr>
          <w:lang w:val="uk-UA"/>
        </w:rPr>
        <w:t>бронхіолітом</w:t>
      </w:r>
      <w:proofErr w:type="spellEnd"/>
      <w:r w:rsidRPr="00936A70">
        <w:rPr>
          <w:lang w:val="uk-UA"/>
        </w:rPr>
        <w:t xml:space="preserve"> на тлі </w:t>
      </w:r>
      <w:r w:rsidRPr="00936A70">
        <w:rPr>
          <w:lang w:val="uk-UA"/>
        </w:rPr>
        <w:lastRenderedPageBreak/>
        <w:t xml:space="preserve">нової БЛД частіше мали дихальну недостатність ІІ-ІІІ ступенів з необхідністю респіраторної підтримки, ніж хворі групи порівняння  (р&lt;0,001). Нами відмічена особливість перебігу пневмонії у дітей з новою БЛД: достовірно частіше ніж у групі порівняння пневмонія перебігала з синдромом бронхіальної обструкції (р&lt;0,01), наявністю клінічних і інструментальних ознак перевантаження малого кола кровообігу (р&lt;0,001).  </w:t>
      </w:r>
    </w:p>
    <w:p w:rsidR="008C099E" w:rsidRPr="00936A70" w:rsidRDefault="00E71863" w:rsidP="00E71863">
      <w:pPr>
        <w:spacing w:line="480" w:lineRule="auto"/>
        <w:ind w:firstLine="708"/>
        <w:jc w:val="both"/>
        <w:rPr>
          <w:lang w:val="uk-UA"/>
        </w:rPr>
      </w:pPr>
      <w:r w:rsidRPr="00936A70">
        <w:rPr>
          <w:lang w:val="uk-UA"/>
        </w:rPr>
        <w:t>У обстежених з класичною формою БЛД частіше спостерігався обструктивний бронхіт ніж пневмонія (р&lt;0,001). Для класичної та нової бронхолегеневої дисплазії характерн</w:t>
      </w:r>
      <w:r w:rsidR="008C099E" w:rsidRPr="00936A70">
        <w:rPr>
          <w:lang w:val="uk-UA"/>
        </w:rPr>
        <w:t>им</w:t>
      </w:r>
      <w:r w:rsidRPr="00936A70">
        <w:rPr>
          <w:lang w:val="uk-UA"/>
        </w:rPr>
        <w:t xml:space="preserve"> </w:t>
      </w:r>
      <w:r w:rsidR="008C099E" w:rsidRPr="00936A70">
        <w:rPr>
          <w:lang w:val="uk-UA"/>
        </w:rPr>
        <w:t xml:space="preserve">було </w:t>
      </w:r>
      <w:r w:rsidRPr="00936A70">
        <w:rPr>
          <w:lang w:val="uk-UA"/>
        </w:rPr>
        <w:t>обструктивне ураження дрібних бронхів та бронхіол, та значна дихальна недостатність при загостренні захворювання. Таким чином,  при цих формах  переважала бронхіальна обструкція</w:t>
      </w:r>
      <w:r w:rsidR="008C099E" w:rsidRPr="00936A70">
        <w:rPr>
          <w:lang w:val="uk-UA"/>
        </w:rPr>
        <w:t xml:space="preserve">. Саме на високу ймовірність обструктивного синдрому у дітей із класичною та новою формами БЛД </w:t>
      </w:r>
      <w:r w:rsidRPr="00936A70">
        <w:rPr>
          <w:lang w:val="uk-UA"/>
        </w:rPr>
        <w:t xml:space="preserve">необхідно звертати увагу при призначені профілактичних заходів у період ремісії захворювання. </w:t>
      </w:r>
    </w:p>
    <w:p w:rsidR="00E71863" w:rsidRPr="00936A70" w:rsidRDefault="00E71863" w:rsidP="00E71863">
      <w:pPr>
        <w:spacing w:line="480" w:lineRule="auto"/>
        <w:ind w:firstLine="708"/>
        <w:jc w:val="both"/>
        <w:rPr>
          <w:lang w:val="uk-UA"/>
        </w:rPr>
      </w:pPr>
      <w:r w:rsidRPr="00936A70">
        <w:rPr>
          <w:lang w:val="uk-UA"/>
        </w:rPr>
        <w:t>Клінічні спостереження проведенні у Харківському обласному центрі діагностики та лікування бронхолегеневої дисплазії доводять про необхідність профілактики тяжких обструктивних порушень у хворих на класичну та нову форму БЛД при наявності одного та більше епізодів синдрому бронхіальної обструкції у квартал (р&lt;0,05).</w:t>
      </w:r>
    </w:p>
    <w:p w:rsidR="009C791A" w:rsidRPr="00936A70" w:rsidRDefault="00E71863" w:rsidP="00B47B10">
      <w:pPr>
        <w:spacing w:line="480" w:lineRule="auto"/>
        <w:ind w:firstLine="708"/>
        <w:jc w:val="both"/>
        <w:rPr>
          <w:lang w:val="uk-UA"/>
        </w:rPr>
      </w:pPr>
      <w:r w:rsidRPr="00936A70">
        <w:rPr>
          <w:lang w:val="uk-UA"/>
        </w:rPr>
        <w:t>Для пацієнтів з бронхолегеневою дисплазією доношених характерними були достовірно більш часті пневмонії ніж у інших групах (р&lt;0,001) та така ж висока частота  обструктивного синдрому як і у хворих на класичну БЛД (р&gt;0,05). Виявлена кореляція наявності порушень нейро-респіраторного драйву та частотою пневмонії (</w:t>
      </w:r>
      <w:r w:rsidRPr="00936A70">
        <w:rPr>
          <w:lang w:val="en-US"/>
        </w:rPr>
        <w:t>r</w:t>
      </w:r>
      <w:r w:rsidRPr="00936A70">
        <w:rPr>
          <w:lang w:val="uk-UA"/>
        </w:rPr>
        <w:t xml:space="preserve">=0,678; р&lt;0,05) у хворих на БЛД доношених. </w:t>
      </w:r>
      <w:r w:rsidR="009C791A" w:rsidRPr="00936A70">
        <w:rPr>
          <w:lang w:val="uk-UA"/>
        </w:rPr>
        <w:t xml:space="preserve">На нашу думку, терапія гострих респіраторних захворювань повинна бути направлена на профілактику бактеріальних ускладнень, забезпечення адекватної вентиляційної та дренажної функції легень у цієї категорії дітей. </w:t>
      </w:r>
    </w:p>
    <w:p w:rsidR="000C53F7" w:rsidRPr="00936A70" w:rsidRDefault="00E71863" w:rsidP="000C53F7">
      <w:pPr>
        <w:spacing w:line="480" w:lineRule="auto"/>
        <w:ind w:firstLine="708"/>
        <w:jc w:val="both"/>
        <w:rPr>
          <w:lang w:val="uk-UA"/>
        </w:rPr>
      </w:pPr>
      <w:r w:rsidRPr="00936A70">
        <w:rPr>
          <w:lang w:val="uk-UA"/>
        </w:rPr>
        <w:t>Можна відмітити</w:t>
      </w:r>
      <w:r w:rsidR="00A04010" w:rsidRPr="00936A70">
        <w:rPr>
          <w:lang w:val="uk-UA"/>
        </w:rPr>
        <w:t>,</w:t>
      </w:r>
      <w:r w:rsidRPr="00936A70">
        <w:rPr>
          <w:lang w:val="uk-UA"/>
        </w:rPr>
        <w:t xml:space="preserve"> що респіраторні захворювання нижніх дихальних шляхів більш характері для дітей з бронхолегеневою дисплазією ніж для пацієнтів групи порівняння.</w:t>
      </w:r>
    </w:p>
    <w:p w:rsidR="00E87950" w:rsidRPr="00936A70" w:rsidRDefault="00C65912" w:rsidP="003D1004">
      <w:pPr>
        <w:spacing w:line="480" w:lineRule="auto"/>
        <w:ind w:firstLine="708"/>
        <w:jc w:val="both"/>
        <w:rPr>
          <w:lang w:val="uk-UA"/>
        </w:rPr>
      </w:pPr>
      <w:r w:rsidRPr="00936A70">
        <w:rPr>
          <w:lang w:val="uk-UA"/>
        </w:rPr>
        <w:lastRenderedPageBreak/>
        <w:t xml:space="preserve">Нами проаналізовані результати огляду пацієнтів. </w:t>
      </w:r>
      <w:r w:rsidR="00346B79" w:rsidRPr="00936A70">
        <w:rPr>
          <w:lang w:val="uk-UA"/>
        </w:rPr>
        <w:t>М</w:t>
      </w:r>
      <w:r w:rsidR="000C53F7" w:rsidRPr="00936A70">
        <w:rPr>
          <w:lang w:val="uk-UA"/>
        </w:rPr>
        <w:t xml:space="preserve">аркерами нової форми бронхолегеневої дисплазії </w:t>
      </w:r>
      <w:r w:rsidR="00346B79" w:rsidRPr="00936A70">
        <w:rPr>
          <w:lang w:val="uk-UA"/>
        </w:rPr>
        <w:t xml:space="preserve">була </w:t>
      </w:r>
      <w:r w:rsidR="000C53F7" w:rsidRPr="00936A70">
        <w:rPr>
          <w:lang w:val="uk-UA"/>
        </w:rPr>
        <w:t xml:space="preserve">задишка при фізичному навантажені (р&lt;0,01), еквівалентом якого у грудних дітей являється </w:t>
      </w:r>
      <w:r w:rsidR="003D1004" w:rsidRPr="00936A70">
        <w:rPr>
          <w:lang w:val="uk-UA"/>
        </w:rPr>
        <w:t xml:space="preserve">годування або занепокоєння; наявність </w:t>
      </w:r>
      <w:proofErr w:type="spellStart"/>
      <w:r w:rsidR="003D1004" w:rsidRPr="00936A70">
        <w:rPr>
          <w:lang w:val="uk-UA"/>
        </w:rPr>
        <w:t>акроціанозу</w:t>
      </w:r>
      <w:proofErr w:type="spellEnd"/>
      <w:r w:rsidR="0014686B" w:rsidRPr="00936A70">
        <w:rPr>
          <w:lang w:val="uk-UA"/>
        </w:rPr>
        <w:t xml:space="preserve"> при занепокоєнні</w:t>
      </w:r>
      <w:r w:rsidR="003D1004" w:rsidRPr="00936A70">
        <w:rPr>
          <w:lang w:val="uk-UA"/>
        </w:rPr>
        <w:t xml:space="preserve"> (р&lt;0,01), втягнення поступливих місць грудної клітки (р&lt;0,01) та розгорнута нижня апертура (р&lt;0,001)</w:t>
      </w:r>
      <w:r w:rsidR="00346B79" w:rsidRPr="00936A70">
        <w:rPr>
          <w:lang w:val="uk-UA"/>
        </w:rPr>
        <w:t xml:space="preserve"> (табл.2). </w:t>
      </w:r>
      <w:r w:rsidR="00C07D18" w:rsidRPr="00936A70">
        <w:rPr>
          <w:lang w:val="uk-UA"/>
        </w:rPr>
        <w:t xml:space="preserve">Таким чином, при огляді дитини з новою формою бронхолегеневої дисплазії за для контролю </w:t>
      </w:r>
      <w:r w:rsidR="00A92B3F" w:rsidRPr="00936A70">
        <w:rPr>
          <w:lang w:val="uk-UA"/>
        </w:rPr>
        <w:t xml:space="preserve">стану пацієнта </w:t>
      </w:r>
      <w:r w:rsidR="00C07D18" w:rsidRPr="00936A70">
        <w:rPr>
          <w:lang w:val="uk-UA"/>
        </w:rPr>
        <w:t xml:space="preserve">необхідно </w:t>
      </w:r>
      <w:r w:rsidR="008C099E" w:rsidRPr="00936A70">
        <w:rPr>
          <w:lang w:val="uk-UA"/>
        </w:rPr>
        <w:t xml:space="preserve">більшу увагу потрібно приділяти виявленню </w:t>
      </w:r>
      <w:proofErr w:type="spellStart"/>
      <w:r w:rsidR="008C099E" w:rsidRPr="00936A70">
        <w:rPr>
          <w:lang w:val="uk-UA"/>
        </w:rPr>
        <w:t>рестриктивного</w:t>
      </w:r>
      <w:proofErr w:type="spellEnd"/>
      <w:r w:rsidR="008C099E" w:rsidRPr="00936A70">
        <w:rPr>
          <w:lang w:val="uk-UA"/>
        </w:rPr>
        <w:t xml:space="preserve"> типу дихальної недостатності: характер задишки</w:t>
      </w:r>
      <w:r w:rsidR="00A92B3F" w:rsidRPr="00936A70">
        <w:rPr>
          <w:lang w:val="uk-UA"/>
        </w:rPr>
        <w:t>, колір шкіри при фізичному навантаженні та форму грудної клітки</w:t>
      </w:r>
      <w:r w:rsidR="00356EAA" w:rsidRPr="00936A70">
        <w:rPr>
          <w:lang w:val="uk-UA"/>
        </w:rPr>
        <w:t xml:space="preserve">. </w:t>
      </w:r>
      <w:r w:rsidR="00A92B3F" w:rsidRPr="00936A70">
        <w:rPr>
          <w:lang w:val="uk-UA"/>
        </w:rPr>
        <w:t xml:space="preserve"> </w:t>
      </w:r>
    </w:p>
    <w:p w:rsidR="00346B79" w:rsidRPr="00936A70" w:rsidRDefault="00A13094" w:rsidP="00100BA4">
      <w:pPr>
        <w:spacing w:line="480" w:lineRule="auto"/>
        <w:ind w:firstLine="708"/>
        <w:jc w:val="both"/>
        <w:rPr>
          <w:lang w:val="uk-UA"/>
        </w:rPr>
      </w:pPr>
      <w:r w:rsidRPr="00936A70">
        <w:rPr>
          <w:lang w:val="uk-UA"/>
        </w:rPr>
        <w:t xml:space="preserve">У хворих на класичну БЛД мала місце клініка </w:t>
      </w:r>
      <w:proofErr w:type="spellStart"/>
      <w:r w:rsidRPr="00936A70">
        <w:rPr>
          <w:lang w:val="uk-UA"/>
        </w:rPr>
        <w:t>обструктивно-рестриктивних</w:t>
      </w:r>
      <w:proofErr w:type="spellEnd"/>
      <w:r w:rsidRPr="00936A70">
        <w:rPr>
          <w:lang w:val="uk-UA"/>
        </w:rPr>
        <w:t xml:space="preserve"> порушень у дихальної недостатності: задишка у спокої та при фізичному навантаженні</w:t>
      </w:r>
      <w:r w:rsidR="00100BA4" w:rsidRPr="00936A70">
        <w:rPr>
          <w:lang w:val="uk-UA"/>
        </w:rPr>
        <w:t xml:space="preserve"> (р&lt;0,01),</w:t>
      </w:r>
      <w:r w:rsidRPr="00936A70">
        <w:rPr>
          <w:lang w:val="uk-UA"/>
        </w:rPr>
        <w:t xml:space="preserve"> </w:t>
      </w:r>
      <w:r w:rsidR="008C099E" w:rsidRPr="00936A70">
        <w:rPr>
          <w:lang w:val="uk-UA"/>
        </w:rPr>
        <w:t xml:space="preserve">бочкоподібна грудна клітка (р&lt;0,01) та </w:t>
      </w:r>
      <w:r w:rsidRPr="00936A70">
        <w:rPr>
          <w:lang w:val="uk-UA"/>
        </w:rPr>
        <w:t xml:space="preserve">втягнення </w:t>
      </w:r>
      <w:r w:rsidR="00100BA4" w:rsidRPr="00936A70">
        <w:rPr>
          <w:lang w:val="uk-UA"/>
        </w:rPr>
        <w:t>поступливих місць (р&lt;0,001), розгорнута нижня апертура (р&lt;0,001), притуплення, що чергується з коробковим звуком (р&lt;0,01) та жорстке дихання (р&lt;0,001) і крепітація (р&lt;0,01).</w:t>
      </w:r>
    </w:p>
    <w:p w:rsidR="001127D0" w:rsidRPr="00936A70" w:rsidRDefault="001127D0" w:rsidP="001127D0">
      <w:pPr>
        <w:ind w:firstLine="708"/>
        <w:jc w:val="right"/>
        <w:rPr>
          <w:lang w:val="uk-UA"/>
        </w:rPr>
      </w:pPr>
      <w:r w:rsidRPr="00936A70">
        <w:rPr>
          <w:lang w:val="uk-UA"/>
        </w:rPr>
        <w:t xml:space="preserve">Таблиця 2. Розподіл дітей з різними формами бронхолегеневої дисплазії  </w:t>
      </w:r>
      <w:r w:rsidR="008C099E" w:rsidRPr="00936A70">
        <w:rPr>
          <w:lang w:val="uk-UA"/>
        </w:rPr>
        <w:t>і</w:t>
      </w:r>
      <w:r w:rsidRPr="00936A70">
        <w:rPr>
          <w:lang w:val="uk-UA"/>
        </w:rPr>
        <w:t xml:space="preserve"> групи порівняння за даними огляду та </w:t>
      </w:r>
      <w:proofErr w:type="spellStart"/>
      <w:r w:rsidRPr="00936A70">
        <w:rPr>
          <w:lang w:val="uk-UA"/>
        </w:rPr>
        <w:t>фізікальними</w:t>
      </w:r>
      <w:proofErr w:type="spellEnd"/>
      <w:r w:rsidRPr="00936A70">
        <w:rPr>
          <w:lang w:val="uk-UA"/>
        </w:rPr>
        <w:t xml:space="preserve"> параметрами (% обстежених). </w:t>
      </w:r>
    </w:p>
    <w:tbl>
      <w:tblPr>
        <w:tblStyle w:val="ad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993"/>
        <w:gridCol w:w="1275"/>
        <w:gridCol w:w="993"/>
        <w:gridCol w:w="1134"/>
        <w:gridCol w:w="992"/>
        <w:gridCol w:w="1134"/>
      </w:tblGrid>
      <w:tr w:rsidR="00202F1A" w:rsidRPr="00936A70" w:rsidTr="00D72DA9">
        <w:tc>
          <w:tcPr>
            <w:tcW w:w="2235" w:type="dxa"/>
            <w:vMerge w:val="restart"/>
          </w:tcPr>
          <w:p w:rsidR="00202F1A" w:rsidRPr="00936A70" w:rsidRDefault="001127D0" w:rsidP="001127D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 xml:space="preserve">Дані огляду та </w:t>
            </w:r>
            <w:proofErr w:type="spellStart"/>
            <w:r w:rsidRPr="00936A70">
              <w:rPr>
                <w:lang w:val="uk-UA"/>
              </w:rPr>
              <w:t>фізікальні</w:t>
            </w:r>
            <w:proofErr w:type="spellEnd"/>
            <w:r w:rsidRPr="00936A70">
              <w:rPr>
                <w:lang w:val="uk-UA"/>
              </w:rPr>
              <w:t xml:space="preserve"> параметри</w:t>
            </w:r>
          </w:p>
          <w:p w:rsidR="001127D0" w:rsidRPr="00936A70" w:rsidRDefault="001127D0" w:rsidP="001127D0">
            <w:pPr>
              <w:jc w:val="center"/>
              <w:rPr>
                <w:lang w:val="uk-UA"/>
              </w:rPr>
            </w:pPr>
          </w:p>
        </w:tc>
        <w:tc>
          <w:tcPr>
            <w:tcW w:w="6662" w:type="dxa"/>
            <w:gridSpan w:val="6"/>
          </w:tcPr>
          <w:p w:rsidR="00202F1A" w:rsidRPr="00936A70" w:rsidRDefault="00202F1A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Спостережені з бронхолегеневою дисплазією</w:t>
            </w:r>
            <w:r w:rsidR="001127D0" w:rsidRPr="00936A70">
              <w:rPr>
                <w:lang w:val="uk-UA"/>
              </w:rPr>
              <w:t xml:space="preserve"> </w:t>
            </w:r>
          </w:p>
          <w:p w:rsidR="00202F1A" w:rsidRPr="00936A70" w:rsidRDefault="00202F1A" w:rsidP="00B47B10">
            <w:pPr>
              <w:jc w:val="center"/>
            </w:pPr>
            <w:r w:rsidRPr="00936A70">
              <w:rPr>
                <w:lang w:val="en-US"/>
              </w:rPr>
              <w:t>n</w:t>
            </w:r>
            <w:r w:rsidRPr="00936A70">
              <w:t>=269</w:t>
            </w:r>
          </w:p>
        </w:tc>
        <w:tc>
          <w:tcPr>
            <w:tcW w:w="1134" w:type="dxa"/>
            <w:vMerge w:val="restart"/>
          </w:tcPr>
          <w:p w:rsidR="00202F1A" w:rsidRPr="00936A70" w:rsidRDefault="00202F1A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Група порівняння</w:t>
            </w:r>
          </w:p>
          <w:p w:rsidR="00202F1A" w:rsidRPr="00936A70" w:rsidRDefault="00202F1A" w:rsidP="00B47B10">
            <w:pPr>
              <w:jc w:val="center"/>
              <w:rPr>
                <w:lang w:val="uk-UA"/>
              </w:rPr>
            </w:pPr>
            <w:r w:rsidRPr="00936A70">
              <w:rPr>
                <w:lang w:val="en-US"/>
              </w:rPr>
              <w:t>n</w:t>
            </w:r>
            <w:r w:rsidRPr="00936A70">
              <w:t>=</w:t>
            </w:r>
            <w:r w:rsidRPr="00936A70">
              <w:rPr>
                <w:lang w:val="uk-UA"/>
              </w:rPr>
              <w:t>42</w:t>
            </w:r>
          </w:p>
        </w:tc>
      </w:tr>
      <w:tr w:rsidR="00F002D2" w:rsidRPr="00936A70" w:rsidTr="00D72DA9">
        <w:tc>
          <w:tcPr>
            <w:tcW w:w="2235" w:type="dxa"/>
            <w:vMerge/>
          </w:tcPr>
          <w:p w:rsidR="00202F1A" w:rsidRPr="00936A70" w:rsidRDefault="00202F1A" w:rsidP="00B47B10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202F1A" w:rsidRPr="00936A70" w:rsidRDefault="00202F1A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 xml:space="preserve">«нова» </w:t>
            </w:r>
          </w:p>
          <w:p w:rsidR="00202F1A" w:rsidRPr="00936A70" w:rsidRDefault="00202F1A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форма</w:t>
            </w:r>
          </w:p>
          <w:p w:rsidR="00202F1A" w:rsidRPr="00936A70" w:rsidRDefault="00202F1A" w:rsidP="00B47B10">
            <w:pPr>
              <w:jc w:val="center"/>
              <w:rPr>
                <w:lang w:val="uk-UA"/>
              </w:rPr>
            </w:pPr>
          </w:p>
          <w:p w:rsidR="00202F1A" w:rsidRPr="00936A70" w:rsidRDefault="00202F1A" w:rsidP="00B47B10">
            <w:pPr>
              <w:jc w:val="center"/>
              <w:rPr>
                <w:lang w:val="uk-UA"/>
              </w:rPr>
            </w:pPr>
            <w:r w:rsidRPr="00936A70">
              <w:rPr>
                <w:lang w:val="en-US"/>
              </w:rPr>
              <w:t>n</w:t>
            </w:r>
            <w:r w:rsidRPr="00936A70">
              <w:t>=</w:t>
            </w:r>
            <w:r w:rsidRPr="00936A70">
              <w:rPr>
                <w:lang w:val="uk-UA"/>
              </w:rPr>
              <w:t>111</w:t>
            </w:r>
          </w:p>
        </w:tc>
        <w:tc>
          <w:tcPr>
            <w:tcW w:w="993" w:type="dxa"/>
          </w:tcPr>
          <w:p w:rsidR="00202F1A" w:rsidRPr="00936A70" w:rsidRDefault="00E71863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р*</w:t>
            </w:r>
          </w:p>
        </w:tc>
        <w:tc>
          <w:tcPr>
            <w:tcW w:w="1275" w:type="dxa"/>
          </w:tcPr>
          <w:p w:rsidR="00202F1A" w:rsidRPr="00936A70" w:rsidRDefault="00202F1A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 xml:space="preserve">класична </w:t>
            </w:r>
          </w:p>
          <w:p w:rsidR="00202F1A" w:rsidRPr="00936A70" w:rsidRDefault="00202F1A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форма</w:t>
            </w:r>
          </w:p>
          <w:p w:rsidR="00202F1A" w:rsidRPr="00936A70" w:rsidRDefault="00202F1A" w:rsidP="00B47B10">
            <w:pPr>
              <w:jc w:val="center"/>
              <w:rPr>
                <w:lang w:val="uk-UA"/>
              </w:rPr>
            </w:pPr>
          </w:p>
          <w:p w:rsidR="00202F1A" w:rsidRPr="00936A70" w:rsidRDefault="00202F1A" w:rsidP="00B47B10">
            <w:pPr>
              <w:jc w:val="center"/>
              <w:rPr>
                <w:lang w:val="uk-UA"/>
              </w:rPr>
            </w:pPr>
            <w:r w:rsidRPr="00936A70">
              <w:rPr>
                <w:lang w:val="en-US"/>
              </w:rPr>
              <w:t>n</w:t>
            </w:r>
            <w:r w:rsidRPr="00936A70">
              <w:t>=</w:t>
            </w:r>
            <w:r w:rsidRPr="00936A70">
              <w:rPr>
                <w:lang w:val="uk-UA"/>
              </w:rPr>
              <w:t>121</w:t>
            </w:r>
          </w:p>
        </w:tc>
        <w:tc>
          <w:tcPr>
            <w:tcW w:w="993" w:type="dxa"/>
          </w:tcPr>
          <w:p w:rsidR="00202F1A" w:rsidRPr="00936A70" w:rsidRDefault="00E71863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р*</w:t>
            </w:r>
          </w:p>
        </w:tc>
        <w:tc>
          <w:tcPr>
            <w:tcW w:w="1134" w:type="dxa"/>
          </w:tcPr>
          <w:p w:rsidR="00202F1A" w:rsidRPr="00936A70" w:rsidRDefault="00202F1A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БЛД</w:t>
            </w:r>
          </w:p>
          <w:p w:rsidR="00202F1A" w:rsidRPr="00936A70" w:rsidRDefault="00202F1A" w:rsidP="00B47B10">
            <w:pPr>
              <w:jc w:val="center"/>
              <w:rPr>
                <w:lang w:val="uk-UA"/>
              </w:rPr>
            </w:pPr>
            <w:proofErr w:type="spellStart"/>
            <w:r w:rsidRPr="00936A70">
              <w:rPr>
                <w:lang w:val="uk-UA"/>
              </w:rPr>
              <w:t>доно-шених</w:t>
            </w:r>
            <w:proofErr w:type="spellEnd"/>
          </w:p>
          <w:p w:rsidR="00202F1A" w:rsidRPr="00936A70" w:rsidRDefault="00202F1A" w:rsidP="00B47B10">
            <w:pPr>
              <w:jc w:val="center"/>
              <w:rPr>
                <w:lang w:val="uk-UA"/>
              </w:rPr>
            </w:pPr>
            <w:r w:rsidRPr="00936A70">
              <w:rPr>
                <w:lang w:val="en-US"/>
              </w:rPr>
              <w:t>n</w:t>
            </w:r>
            <w:r w:rsidRPr="00936A70">
              <w:t>=</w:t>
            </w:r>
            <w:r w:rsidRPr="00936A70">
              <w:rPr>
                <w:lang w:val="uk-UA"/>
              </w:rPr>
              <w:t>37</w:t>
            </w:r>
          </w:p>
        </w:tc>
        <w:tc>
          <w:tcPr>
            <w:tcW w:w="992" w:type="dxa"/>
          </w:tcPr>
          <w:p w:rsidR="00202F1A" w:rsidRPr="00936A70" w:rsidRDefault="00E71863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р*</w:t>
            </w:r>
          </w:p>
        </w:tc>
        <w:tc>
          <w:tcPr>
            <w:tcW w:w="1134" w:type="dxa"/>
            <w:vMerge/>
          </w:tcPr>
          <w:p w:rsidR="00202F1A" w:rsidRPr="00936A70" w:rsidRDefault="00202F1A" w:rsidP="00B47B10">
            <w:pPr>
              <w:jc w:val="center"/>
              <w:rPr>
                <w:lang w:val="uk-UA"/>
              </w:rPr>
            </w:pPr>
          </w:p>
        </w:tc>
      </w:tr>
      <w:tr w:rsidR="00F002D2" w:rsidRPr="00936A70" w:rsidTr="00D72DA9">
        <w:tc>
          <w:tcPr>
            <w:tcW w:w="2235" w:type="dxa"/>
          </w:tcPr>
          <w:p w:rsidR="00202F1A" w:rsidRPr="00936A70" w:rsidRDefault="00202F1A" w:rsidP="001127D0">
            <w:pPr>
              <w:rPr>
                <w:lang w:val="uk-UA"/>
              </w:rPr>
            </w:pPr>
            <w:r w:rsidRPr="00936A70">
              <w:rPr>
                <w:lang w:val="uk-UA"/>
              </w:rPr>
              <w:t>Задишка у спокої</w:t>
            </w:r>
            <w:r w:rsidR="001127D0" w:rsidRPr="00936A70">
              <w:rPr>
                <w:lang w:val="uk-UA"/>
              </w:rPr>
              <w:t xml:space="preserve"> </w:t>
            </w:r>
          </w:p>
        </w:tc>
        <w:tc>
          <w:tcPr>
            <w:tcW w:w="1275" w:type="dxa"/>
          </w:tcPr>
          <w:p w:rsidR="00202F1A" w:rsidRPr="00936A70" w:rsidRDefault="001127D0" w:rsidP="001127D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37</w:t>
            </w:r>
            <w:r w:rsidR="00202F1A"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5,9</w:t>
            </w:r>
          </w:p>
        </w:tc>
        <w:tc>
          <w:tcPr>
            <w:tcW w:w="993" w:type="dxa"/>
          </w:tcPr>
          <w:p w:rsidR="00202F1A" w:rsidRPr="00936A70" w:rsidRDefault="00202F1A" w:rsidP="001127D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0,</w:t>
            </w:r>
            <w:r w:rsidR="001127D0" w:rsidRPr="00936A70">
              <w:rPr>
                <w:lang w:val="uk-UA"/>
              </w:rPr>
              <w:t>06</w:t>
            </w:r>
          </w:p>
        </w:tc>
        <w:tc>
          <w:tcPr>
            <w:tcW w:w="1275" w:type="dxa"/>
          </w:tcPr>
          <w:p w:rsidR="00202F1A" w:rsidRPr="00936A70" w:rsidRDefault="001127D0" w:rsidP="001127D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39,8</w:t>
            </w:r>
            <w:r w:rsidR="00202F1A"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5</w:t>
            </w:r>
            <w:r w:rsidR="00202F1A" w:rsidRPr="00936A70">
              <w:rPr>
                <w:lang w:val="uk-UA"/>
              </w:rPr>
              <w:t>,</w:t>
            </w:r>
            <w:r w:rsidRPr="00936A70">
              <w:rPr>
                <w:lang w:val="uk-UA"/>
              </w:rPr>
              <w:t>2</w:t>
            </w:r>
          </w:p>
        </w:tc>
        <w:tc>
          <w:tcPr>
            <w:tcW w:w="993" w:type="dxa"/>
          </w:tcPr>
          <w:p w:rsidR="00202F1A" w:rsidRPr="00936A70" w:rsidRDefault="00202F1A" w:rsidP="001127D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&lt;0,0</w:t>
            </w:r>
            <w:r w:rsidR="001127D0" w:rsidRPr="00936A70">
              <w:rPr>
                <w:lang w:val="uk-UA"/>
              </w:rPr>
              <w:t>5</w:t>
            </w:r>
          </w:p>
        </w:tc>
        <w:tc>
          <w:tcPr>
            <w:tcW w:w="1134" w:type="dxa"/>
          </w:tcPr>
          <w:p w:rsidR="00202F1A" w:rsidRPr="00936A70" w:rsidRDefault="001127D0" w:rsidP="001127D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74,3</w:t>
            </w:r>
            <w:r w:rsidR="00202F1A"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8,7</w:t>
            </w:r>
          </w:p>
        </w:tc>
        <w:tc>
          <w:tcPr>
            <w:tcW w:w="992" w:type="dxa"/>
          </w:tcPr>
          <w:p w:rsidR="00202F1A" w:rsidRPr="00936A70" w:rsidRDefault="00202F1A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&lt;0,001</w:t>
            </w:r>
          </w:p>
        </w:tc>
        <w:tc>
          <w:tcPr>
            <w:tcW w:w="1134" w:type="dxa"/>
          </w:tcPr>
          <w:p w:rsidR="00202F1A" w:rsidRPr="00936A70" w:rsidRDefault="001127D0" w:rsidP="001127D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20</w:t>
            </w:r>
            <w:r w:rsidR="00202F1A"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6,4</w:t>
            </w:r>
          </w:p>
        </w:tc>
      </w:tr>
      <w:tr w:rsidR="00F002D2" w:rsidRPr="00936A70" w:rsidTr="00D72DA9">
        <w:tc>
          <w:tcPr>
            <w:tcW w:w="2235" w:type="dxa"/>
          </w:tcPr>
          <w:p w:rsidR="00202F1A" w:rsidRPr="00936A70" w:rsidRDefault="00E87950" w:rsidP="006A3EE8">
            <w:pPr>
              <w:rPr>
                <w:lang w:val="uk-UA"/>
              </w:rPr>
            </w:pPr>
            <w:r w:rsidRPr="00936A70">
              <w:rPr>
                <w:vertAlign w:val="superscript"/>
                <w:lang w:val="uk-UA"/>
              </w:rPr>
              <w:t>1</w:t>
            </w:r>
            <w:r w:rsidR="00202F1A" w:rsidRPr="00936A70">
              <w:rPr>
                <w:lang w:val="uk-UA"/>
              </w:rPr>
              <w:t>Задишка при фізичному навантаженні</w:t>
            </w:r>
          </w:p>
        </w:tc>
        <w:tc>
          <w:tcPr>
            <w:tcW w:w="1275" w:type="dxa"/>
          </w:tcPr>
          <w:p w:rsidR="00202F1A" w:rsidRPr="00936A70" w:rsidRDefault="001127D0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89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3,6</w:t>
            </w:r>
          </w:p>
        </w:tc>
        <w:tc>
          <w:tcPr>
            <w:tcW w:w="993" w:type="dxa"/>
          </w:tcPr>
          <w:p w:rsidR="00202F1A" w:rsidRPr="00936A70" w:rsidRDefault="000C53F7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&lt;0,01</w:t>
            </w:r>
          </w:p>
        </w:tc>
        <w:tc>
          <w:tcPr>
            <w:tcW w:w="1275" w:type="dxa"/>
          </w:tcPr>
          <w:p w:rsidR="00202F1A" w:rsidRPr="00936A70" w:rsidRDefault="006A3EE8" w:rsidP="006A3EE8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95,9</w:t>
            </w:r>
            <w:r w:rsidR="00202F1A"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1,7</w:t>
            </w:r>
          </w:p>
        </w:tc>
        <w:tc>
          <w:tcPr>
            <w:tcW w:w="993" w:type="dxa"/>
          </w:tcPr>
          <w:p w:rsidR="00202F1A" w:rsidRPr="00936A70" w:rsidRDefault="00202F1A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&lt;0,01</w:t>
            </w:r>
          </w:p>
        </w:tc>
        <w:tc>
          <w:tcPr>
            <w:tcW w:w="1134" w:type="dxa"/>
          </w:tcPr>
          <w:p w:rsidR="00202F1A" w:rsidRPr="00936A70" w:rsidRDefault="006A3EE8" w:rsidP="006A3EE8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95</w:t>
            </w:r>
            <w:r w:rsidR="00202F1A"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3</w:t>
            </w:r>
            <w:r w:rsidR="00E71863" w:rsidRPr="00936A70">
              <w:rPr>
                <w:lang w:val="uk-UA"/>
              </w:rPr>
              <w:t>,</w:t>
            </w:r>
            <w:r w:rsidRPr="00936A70">
              <w:rPr>
                <w:lang w:val="uk-UA"/>
              </w:rPr>
              <w:t>4</w:t>
            </w:r>
          </w:p>
        </w:tc>
        <w:tc>
          <w:tcPr>
            <w:tcW w:w="992" w:type="dxa"/>
          </w:tcPr>
          <w:p w:rsidR="00202F1A" w:rsidRPr="00936A70" w:rsidRDefault="00202F1A" w:rsidP="006A3EE8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&lt;0,01</w:t>
            </w:r>
          </w:p>
        </w:tc>
        <w:tc>
          <w:tcPr>
            <w:tcW w:w="1134" w:type="dxa"/>
          </w:tcPr>
          <w:p w:rsidR="00202F1A" w:rsidRPr="00936A70" w:rsidRDefault="006A3EE8" w:rsidP="006A3EE8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75</w:t>
            </w:r>
            <w:r w:rsidR="00202F1A"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6,9</w:t>
            </w:r>
          </w:p>
        </w:tc>
      </w:tr>
      <w:tr w:rsidR="00D72DA9" w:rsidRPr="00936A70" w:rsidTr="00D72DA9">
        <w:tc>
          <w:tcPr>
            <w:tcW w:w="2235" w:type="dxa"/>
          </w:tcPr>
          <w:p w:rsidR="00D72DA9" w:rsidRPr="00936A70" w:rsidRDefault="00D72DA9" w:rsidP="006A3EE8">
            <w:pPr>
              <w:rPr>
                <w:lang w:val="uk-UA"/>
              </w:rPr>
            </w:pPr>
            <w:r w:rsidRPr="00936A70">
              <w:rPr>
                <w:lang w:val="uk-UA"/>
              </w:rPr>
              <w:t>Недостатнє додавання у масі тіла</w:t>
            </w:r>
          </w:p>
        </w:tc>
        <w:tc>
          <w:tcPr>
            <w:tcW w:w="1275" w:type="dxa"/>
          </w:tcPr>
          <w:p w:rsidR="00D72DA9" w:rsidRPr="00936A70" w:rsidRDefault="00D72DA9" w:rsidP="008E284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11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2,0</w:t>
            </w:r>
          </w:p>
        </w:tc>
        <w:tc>
          <w:tcPr>
            <w:tcW w:w="993" w:type="dxa"/>
          </w:tcPr>
          <w:p w:rsidR="00D72DA9" w:rsidRPr="00936A70" w:rsidRDefault="00D72DA9" w:rsidP="008E284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0,24</w:t>
            </w:r>
          </w:p>
        </w:tc>
        <w:tc>
          <w:tcPr>
            <w:tcW w:w="1275" w:type="dxa"/>
          </w:tcPr>
          <w:p w:rsidR="00D72DA9" w:rsidRPr="00936A70" w:rsidRDefault="00D72DA9" w:rsidP="00D72DA9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47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3,9</w:t>
            </w:r>
          </w:p>
        </w:tc>
        <w:tc>
          <w:tcPr>
            <w:tcW w:w="993" w:type="dxa"/>
          </w:tcPr>
          <w:p w:rsidR="00D72DA9" w:rsidRPr="00936A70" w:rsidRDefault="00D72DA9" w:rsidP="008E284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&lt;0,05</w:t>
            </w:r>
          </w:p>
        </w:tc>
        <w:tc>
          <w:tcPr>
            <w:tcW w:w="1134" w:type="dxa"/>
          </w:tcPr>
          <w:p w:rsidR="00D72DA9" w:rsidRPr="00936A70" w:rsidRDefault="00D72DA9" w:rsidP="00D72DA9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78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8,8</w:t>
            </w:r>
          </w:p>
        </w:tc>
        <w:tc>
          <w:tcPr>
            <w:tcW w:w="992" w:type="dxa"/>
          </w:tcPr>
          <w:p w:rsidR="00D72DA9" w:rsidRPr="00936A70" w:rsidRDefault="00D72DA9" w:rsidP="008E284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&lt;0,001</w:t>
            </w:r>
          </w:p>
        </w:tc>
        <w:tc>
          <w:tcPr>
            <w:tcW w:w="1134" w:type="dxa"/>
          </w:tcPr>
          <w:p w:rsidR="00D72DA9" w:rsidRPr="00936A70" w:rsidRDefault="00D72DA9" w:rsidP="00D72DA9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9,4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2,4</w:t>
            </w:r>
          </w:p>
        </w:tc>
      </w:tr>
      <w:tr w:rsidR="00D72DA9" w:rsidRPr="00936A70" w:rsidTr="00D72DA9">
        <w:tc>
          <w:tcPr>
            <w:tcW w:w="2235" w:type="dxa"/>
          </w:tcPr>
          <w:p w:rsidR="00D72DA9" w:rsidRPr="00936A70" w:rsidRDefault="00D72DA9" w:rsidP="00E71863">
            <w:pPr>
              <w:rPr>
                <w:lang w:val="uk-UA"/>
              </w:rPr>
            </w:pPr>
            <w:proofErr w:type="spellStart"/>
            <w:r w:rsidRPr="00936A70">
              <w:rPr>
                <w:lang w:val="uk-UA"/>
              </w:rPr>
              <w:t>Тахіпное</w:t>
            </w:r>
            <w:proofErr w:type="spellEnd"/>
          </w:p>
        </w:tc>
        <w:tc>
          <w:tcPr>
            <w:tcW w:w="1275" w:type="dxa"/>
          </w:tcPr>
          <w:p w:rsidR="00D72DA9" w:rsidRPr="00936A70" w:rsidRDefault="00D72DA9" w:rsidP="00E71863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45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5,8</w:t>
            </w:r>
          </w:p>
        </w:tc>
        <w:tc>
          <w:tcPr>
            <w:tcW w:w="993" w:type="dxa"/>
          </w:tcPr>
          <w:p w:rsidR="00D72DA9" w:rsidRPr="00936A70" w:rsidRDefault="00D72DA9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0,76</w:t>
            </w:r>
          </w:p>
        </w:tc>
        <w:tc>
          <w:tcPr>
            <w:tcW w:w="1275" w:type="dxa"/>
          </w:tcPr>
          <w:p w:rsidR="00D72DA9" w:rsidRPr="00936A70" w:rsidRDefault="00D72DA9" w:rsidP="00E71863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44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4,4</w:t>
            </w:r>
          </w:p>
        </w:tc>
        <w:tc>
          <w:tcPr>
            <w:tcW w:w="993" w:type="dxa"/>
          </w:tcPr>
          <w:p w:rsidR="00D72DA9" w:rsidRPr="00936A70" w:rsidRDefault="00D72DA9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0,84</w:t>
            </w:r>
          </w:p>
        </w:tc>
        <w:tc>
          <w:tcPr>
            <w:tcW w:w="1134" w:type="dxa"/>
          </w:tcPr>
          <w:p w:rsidR="00D72DA9" w:rsidRPr="00936A70" w:rsidRDefault="00D72DA9" w:rsidP="00E71863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77</w:t>
            </w:r>
            <w:r w:rsidRPr="00936A70">
              <w:rPr>
                <w:u w:val="single"/>
                <w:lang w:val="uk-UA"/>
              </w:rPr>
              <w:t>+6</w:t>
            </w:r>
            <w:r w:rsidRPr="00936A70">
              <w:rPr>
                <w:lang w:val="uk-UA"/>
              </w:rPr>
              <w:t>,6</w:t>
            </w:r>
          </w:p>
        </w:tc>
        <w:tc>
          <w:tcPr>
            <w:tcW w:w="992" w:type="dxa"/>
          </w:tcPr>
          <w:p w:rsidR="00D72DA9" w:rsidRPr="00936A70" w:rsidRDefault="00D72DA9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&lt;0,01</w:t>
            </w:r>
          </w:p>
        </w:tc>
        <w:tc>
          <w:tcPr>
            <w:tcW w:w="1134" w:type="dxa"/>
          </w:tcPr>
          <w:p w:rsidR="00D72DA9" w:rsidRPr="00936A70" w:rsidRDefault="00D72DA9" w:rsidP="00E71863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42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8,1</w:t>
            </w:r>
          </w:p>
        </w:tc>
      </w:tr>
      <w:tr w:rsidR="00D72DA9" w:rsidRPr="00936A70" w:rsidTr="00D72DA9">
        <w:tc>
          <w:tcPr>
            <w:tcW w:w="2235" w:type="dxa"/>
          </w:tcPr>
          <w:p w:rsidR="00D72DA9" w:rsidRPr="00936A70" w:rsidRDefault="00D72DA9" w:rsidP="00B47B10">
            <w:pPr>
              <w:rPr>
                <w:lang w:val="uk-UA"/>
              </w:rPr>
            </w:pPr>
            <w:r w:rsidRPr="00936A70">
              <w:rPr>
                <w:lang w:val="uk-UA"/>
              </w:rPr>
              <w:t xml:space="preserve">Апное </w:t>
            </w:r>
          </w:p>
        </w:tc>
        <w:tc>
          <w:tcPr>
            <w:tcW w:w="1275" w:type="dxa"/>
          </w:tcPr>
          <w:p w:rsidR="00D72DA9" w:rsidRPr="00936A70" w:rsidRDefault="00D72DA9" w:rsidP="00E8795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4,9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0,2</w:t>
            </w:r>
          </w:p>
        </w:tc>
        <w:tc>
          <w:tcPr>
            <w:tcW w:w="993" w:type="dxa"/>
          </w:tcPr>
          <w:p w:rsidR="00D72DA9" w:rsidRPr="00936A70" w:rsidRDefault="00D72DA9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0,18</w:t>
            </w:r>
          </w:p>
        </w:tc>
        <w:tc>
          <w:tcPr>
            <w:tcW w:w="1275" w:type="dxa"/>
          </w:tcPr>
          <w:p w:rsidR="00D72DA9" w:rsidRPr="00936A70" w:rsidRDefault="00D72DA9" w:rsidP="00E8795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2,5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0,4</w:t>
            </w:r>
          </w:p>
        </w:tc>
        <w:tc>
          <w:tcPr>
            <w:tcW w:w="993" w:type="dxa"/>
          </w:tcPr>
          <w:p w:rsidR="00D72DA9" w:rsidRPr="00936A70" w:rsidRDefault="00D72DA9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&lt;0,001</w:t>
            </w:r>
          </w:p>
        </w:tc>
        <w:tc>
          <w:tcPr>
            <w:tcW w:w="1134" w:type="dxa"/>
          </w:tcPr>
          <w:p w:rsidR="00D72DA9" w:rsidRPr="00936A70" w:rsidRDefault="00D72DA9" w:rsidP="00E8795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7,25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0,4</w:t>
            </w:r>
          </w:p>
        </w:tc>
        <w:tc>
          <w:tcPr>
            <w:tcW w:w="992" w:type="dxa"/>
          </w:tcPr>
          <w:p w:rsidR="00D72DA9" w:rsidRPr="00936A70" w:rsidRDefault="00D72DA9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&lt;0,001</w:t>
            </w:r>
          </w:p>
        </w:tc>
        <w:tc>
          <w:tcPr>
            <w:tcW w:w="1134" w:type="dxa"/>
          </w:tcPr>
          <w:p w:rsidR="00D72DA9" w:rsidRPr="00936A70" w:rsidRDefault="00D72DA9" w:rsidP="00E8795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-</w:t>
            </w:r>
          </w:p>
        </w:tc>
      </w:tr>
      <w:tr w:rsidR="00D72DA9" w:rsidRPr="00936A70" w:rsidTr="00D72DA9">
        <w:tc>
          <w:tcPr>
            <w:tcW w:w="2235" w:type="dxa"/>
          </w:tcPr>
          <w:p w:rsidR="00D72DA9" w:rsidRPr="00936A70" w:rsidRDefault="00D72DA9" w:rsidP="00B47B10">
            <w:pPr>
              <w:rPr>
                <w:lang w:val="uk-UA"/>
              </w:rPr>
            </w:pPr>
            <w:proofErr w:type="spellStart"/>
            <w:r w:rsidRPr="00936A70">
              <w:rPr>
                <w:lang w:val="uk-UA"/>
              </w:rPr>
              <w:t>Акроціаноз</w:t>
            </w:r>
            <w:proofErr w:type="spellEnd"/>
          </w:p>
        </w:tc>
        <w:tc>
          <w:tcPr>
            <w:tcW w:w="1275" w:type="dxa"/>
          </w:tcPr>
          <w:p w:rsidR="00D72DA9" w:rsidRPr="00936A70" w:rsidRDefault="00D72DA9" w:rsidP="008E284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4,4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0,3</w:t>
            </w:r>
          </w:p>
        </w:tc>
        <w:tc>
          <w:tcPr>
            <w:tcW w:w="993" w:type="dxa"/>
          </w:tcPr>
          <w:p w:rsidR="00D72DA9" w:rsidRPr="00936A70" w:rsidRDefault="00D72DA9" w:rsidP="008E284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&lt;0,01</w:t>
            </w:r>
          </w:p>
        </w:tc>
        <w:tc>
          <w:tcPr>
            <w:tcW w:w="1275" w:type="dxa"/>
          </w:tcPr>
          <w:p w:rsidR="00D72DA9" w:rsidRPr="00936A70" w:rsidRDefault="00D72DA9" w:rsidP="008E284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3,6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0,6</w:t>
            </w:r>
          </w:p>
        </w:tc>
        <w:tc>
          <w:tcPr>
            <w:tcW w:w="993" w:type="dxa"/>
          </w:tcPr>
          <w:p w:rsidR="00D72DA9" w:rsidRPr="00936A70" w:rsidRDefault="00D72DA9" w:rsidP="008E284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0,211</w:t>
            </w:r>
          </w:p>
        </w:tc>
        <w:tc>
          <w:tcPr>
            <w:tcW w:w="1134" w:type="dxa"/>
          </w:tcPr>
          <w:p w:rsidR="00D72DA9" w:rsidRPr="00936A70" w:rsidRDefault="00D72DA9" w:rsidP="008E284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3,3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0,2</w:t>
            </w:r>
          </w:p>
        </w:tc>
        <w:tc>
          <w:tcPr>
            <w:tcW w:w="992" w:type="dxa"/>
          </w:tcPr>
          <w:p w:rsidR="00D72DA9" w:rsidRPr="00936A70" w:rsidRDefault="00D72DA9" w:rsidP="008E284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&lt;0,001</w:t>
            </w:r>
          </w:p>
        </w:tc>
        <w:tc>
          <w:tcPr>
            <w:tcW w:w="1134" w:type="dxa"/>
          </w:tcPr>
          <w:p w:rsidR="00D72DA9" w:rsidRPr="00936A70" w:rsidRDefault="00D72DA9" w:rsidP="00E8795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2,9</w:t>
            </w:r>
            <w:r w:rsidRPr="00936A70">
              <w:rPr>
                <w:u w:val="single"/>
                <w:lang w:val="uk-UA"/>
              </w:rPr>
              <w:t xml:space="preserve"> +</w:t>
            </w:r>
            <w:r w:rsidRPr="00936A70">
              <w:rPr>
                <w:lang w:val="uk-UA"/>
              </w:rPr>
              <w:t>1,4</w:t>
            </w:r>
          </w:p>
        </w:tc>
      </w:tr>
      <w:tr w:rsidR="00D72DA9" w:rsidRPr="00936A70" w:rsidTr="00D72DA9">
        <w:tc>
          <w:tcPr>
            <w:tcW w:w="2235" w:type="dxa"/>
          </w:tcPr>
          <w:p w:rsidR="00D72DA9" w:rsidRPr="00936A70" w:rsidRDefault="003D1004" w:rsidP="00B47B10">
            <w:pPr>
              <w:rPr>
                <w:lang w:val="uk-UA"/>
              </w:rPr>
            </w:pPr>
            <w:r w:rsidRPr="00936A70">
              <w:rPr>
                <w:lang w:val="uk-UA"/>
              </w:rPr>
              <w:t xml:space="preserve">Втягнення поступливих </w:t>
            </w:r>
            <w:r w:rsidR="00D72DA9" w:rsidRPr="00936A70">
              <w:rPr>
                <w:lang w:val="uk-UA"/>
              </w:rPr>
              <w:t>місць грудної клітки</w:t>
            </w:r>
          </w:p>
        </w:tc>
        <w:tc>
          <w:tcPr>
            <w:tcW w:w="1275" w:type="dxa"/>
          </w:tcPr>
          <w:p w:rsidR="00D72DA9" w:rsidRPr="00936A70" w:rsidRDefault="00D72DA9" w:rsidP="00E8795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85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4,4</w:t>
            </w:r>
          </w:p>
        </w:tc>
        <w:tc>
          <w:tcPr>
            <w:tcW w:w="993" w:type="dxa"/>
          </w:tcPr>
          <w:p w:rsidR="00D72DA9" w:rsidRPr="00936A70" w:rsidRDefault="00D72DA9" w:rsidP="008E284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&lt;0,001</w:t>
            </w:r>
          </w:p>
        </w:tc>
        <w:tc>
          <w:tcPr>
            <w:tcW w:w="1275" w:type="dxa"/>
          </w:tcPr>
          <w:p w:rsidR="00D72DA9" w:rsidRPr="00936A70" w:rsidRDefault="00D72DA9" w:rsidP="00E8795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82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3,7</w:t>
            </w:r>
          </w:p>
        </w:tc>
        <w:tc>
          <w:tcPr>
            <w:tcW w:w="993" w:type="dxa"/>
          </w:tcPr>
          <w:p w:rsidR="00D72DA9" w:rsidRPr="00936A70" w:rsidRDefault="00D72DA9" w:rsidP="008E284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&lt;0,001</w:t>
            </w:r>
          </w:p>
        </w:tc>
        <w:tc>
          <w:tcPr>
            <w:tcW w:w="1134" w:type="dxa"/>
          </w:tcPr>
          <w:p w:rsidR="00D72DA9" w:rsidRPr="00936A70" w:rsidRDefault="00D72DA9" w:rsidP="008E284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80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6,4</w:t>
            </w:r>
          </w:p>
        </w:tc>
        <w:tc>
          <w:tcPr>
            <w:tcW w:w="992" w:type="dxa"/>
          </w:tcPr>
          <w:p w:rsidR="00D72DA9" w:rsidRPr="00936A70" w:rsidRDefault="00D72DA9" w:rsidP="008E284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&lt;0,05</w:t>
            </w:r>
          </w:p>
        </w:tc>
        <w:tc>
          <w:tcPr>
            <w:tcW w:w="1134" w:type="dxa"/>
          </w:tcPr>
          <w:p w:rsidR="00D72DA9" w:rsidRPr="00936A70" w:rsidRDefault="00D72DA9" w:rsidP="008E284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57,8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8,1</w:t>
            </w:r>
          </w:p>
        </w:tc>
      </w:tr>
      <w:tr w:rsidR="00D72DA9" w:rsidRPr="00936A70" w:rsidTr="00D72DA9">
        <w:tc>
          <w:tcPr>
            <w:tcW w:w="2235" w:type="dxa"/>
          </w:tcPr>
          <w:p w:rsidR="00D72DA9" w:rsidRPr="00936A70" w:rsidRDefault="00D72DA9" w:rsidP="00B47B10">
            <w:pPr>
              <w:rPr>
                <w:lang w:val="uk-UA"/>
              </w:rPr>
            </w:pPr>
            <w:r w:rsidRPr="00936A70">
              <w:rPr>
                <w:lang w:val="uk-UA"/>
              </w:rPr>
              <w:t>Бочкоподібна грудної клітки</w:t>
            </w:r>
          </w:p>
        </w:tc>
        <w:tc>
          <w:tcPr>
            <w:tcW w:w="1275" w:type="dxa"/>
          </w:tcPr>
          <w:p w:rsidR="00D72DA9" w:rsidRPr="00936A70" w:rsidRDefault="00D72DA9" w:rsidP="00E8795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29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2,1</w:t>
            </w:r>
          </w:p>
        </w:tc>
        <w:tc>
          <w:tcPr>
            <w:tcW w:w="993" w:type="dxa"/>
          </w:tcPr>
          <w:p w:rsidR="00D72DA9" w:rsidRPr="00936A70" w:rsidRDefault="00D72DA9" w:rsidP="00E8795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0,24</w:t>
            </w:r>
          </w:p>
        </w:tc>
        <w:tc>
          <w:tcPr>
            <w:tcW w:w="1275" w:type="dxa"/>
          </w:tcPr>
          <w:p w:rsidR="00D72DA9" w:rsidRPr="00936A70" w:rsidRDefault="00D72DA9" w:rsidP="00F002D2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97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2,9</w:t>
            </w:r>
          </w:p>
        </w:tc>
        <w:tc>
          <w:tcPr>
            <w:tcW w:w="993" w:type="dxa"/>
          </w:tcPr>
          <w:p w:rsidR="00D72DA9" w:rsidRPr="00936A70" w:rsidRDefault="00D72DA9" w:rsidP="008E284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&lt;0,05</w:t>
            </w:r>
          </w:p>
        </w:tc>
        <w:tc>
          <w:tcPr>
            <w:tcW w:w="1134" w:type="dxa"/>
          </w:tcPr>
          <w:p w:rsidR="00D72DA9" w:rsidRPr="00936A70" w:rsidRDefault="00D72DA9" w:rsidP="00F002D2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31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7,6</w:t>
            </w:r>
          </w:p>
        </w:tc>
        <w:tc>
          <w:tcPr>
            <w:tcW w:w="992" w:type="dxa"/>
          </w:tcPr>
          <w:p w:rsidR="00D72DA9" w:rsidRPr="00936A70" w:rsidRDefault="00946F41" w:rsidP="00946F41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0,078</w:t>
            </w:r>
          </w:p>
        </w:tc>
        <w:tc>
          <w:tcPr>
            <w:tcW w:w="1134" w:type="dxa"/>
          </w:tcPr>
          <w:p w:rsidR="00D72DA9" w:rsidRPr="00936A70" w:rsidRDefault="00D72DA9" w:rsidP="008E284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-</w:t>
            </w:r>
          </w:p>
        </w:tc>
      </w:tr>
      <w:tr w:rsidR="00D72DA9" w:rsidRPr="00936A70" w:rsidTr="00D72DA9">
        <w:tc>
          <w:tcPr>
            <w:tcW w:w="2235" w:type="dxa"/>
          </w:tcPr>
          <w:p w:rsidR="00D72DA9" w:rsidRPr="00936A70" w:rsidRDefault="00D72DA9" w:rsidP="00B47B10">
            <w:pPr>
              <w:rPr>
                <w:lang w:val="uk-UA"/>
              </w:rPr>
            </w:pPr>
            <w:r w:rsidRPr="00936A70">
              <w:rPr>
                <w:lang w:val="uk-UA"/>
              </w:rPr>
              <w:t>Розгорнута нижня апертура</w:t>
            </w:r>
          </w:p>
        </w:tc>
        <w:tc>
          <w:tcPr>
            <w:tcW w:w="1275" w:type="dxa"/>
          </w:tcPr>
          <w:p w:rsidR="00D72DA9" w:rsidRPr="00936A70" w:rsidRDefault="00D72DA9" w:rsidP="00D72DA9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88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4,1</w:t>
            </w:r>
          </w:p>
        </w:tc>
        <w:tc>
          <w:tcPr>
            <w:tcW w:w="993" w:type="dxa"/>
          </w:tcPr>
          <w:p w:rsidR="00D72DA9" w:rsidRPr="00936A70" w:rsidRDefault="00D72DA9" w:rsidP="008E284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&lt;0,001</w:t>
            </w:r>
          </w:p>
        </w:tc>
        <w:tc>
          <w:tcPr>
            <w:tcW w:w="1275" w:type="dxa"/>
          </w:tcPr>
          <w:p w:rsidR="00D72DA9" w:rsidRPr="00936A70" w:rsidRDefault="00D72DA9" w:rsidP="008E284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92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3,5</w:t>
            </w:r>
          </w:p>
        </w:tc>
        <w:tc>
          <w:tcPr>
            <w:tcW w:w="993" w:type="dxa"/>
          </w:tcPr>
          <w:p w:rsidR="00D72DA9" w:rsidRPr="00936A70" w:rsidRDefault="00D72DA9" w:rsidP="008E284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&lt;0,001</w:t>
            </w:r>
          </w:p>
        </w:tc>
        <w:tc>
          <w:tcPr>
            <w:tcW w:w="1134" w:type="dxa"/>
          </w:tcPr>
          <w:p w:rsidR="00D72DA9" w:rsidRPr="00936A70" w:rsidRDefault="00D72DA9" w:rsidP="00D72DA9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78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5,9</w:t>
            </w:r>
          </w:p>
        </w:tc>
        <w:tc>
          <w:tcPr>
            <w:tcW w:w="992" w:type="dxa"/>
          </w:tcPr>
          <w:p w:rsidR="00D72DA9" w:rsidRPr="00936A70" w:rsidRDefault="00D72DA9" w:rsidP="008E284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&lt;0,05</w:t>
            </w:r>
          </w:p>
        </w:tc>
        <w:tc>
          <w:tcPr>
            <w:tcW w:w="1134" w:type="dxa"/>
          </w:tcPr>
          <w:p w:rsidR="00D72DA9" w:rsidRPr="00936A70" w:rsidRDefault="00D72DA9" w:rsidP="00D72DA9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17,4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6,2</w:t>
            </w:r>
          </w:p>
        </w:tc>
      </w:tr>
      <w:tr w:rsidR="00D72DA9" w:rsidRPr="00936A70" w:rsidTr="00D72DA9">
        <w:tc>
          <w:tcPr>
            <w:tcW w:w="2235" w:type="dxa"/>
          </w:tcPr>
          <w:p w:rsidR="00D72DA9" w:rsidRPr="00936A70" w:rsidRDefault="00D72DA9" w:rsidP="00B47B10">
            <w:pPr>
              <w:rPr>
                <w:lang w:val="uk-UA"/>
              </w:rPr>
            </w:pPr>
            <w:r w:rsidRPr="00936A70">
              <w:rPr>
                <w:lang w:val="uk-UA"/>
              </w:rPr>
              <w:t>Коробковий звук</w:t>
            </w:r>
          </w:p>
        </w:tc>
        <w:tc>
          <w:tcPr>
            <w:tcW w:w="1275" w:type="dxa"/>
          </w:tcPr>
          <w:p w:rsidR="00D72DA9" w:rsidRPr="00936A70" w:rsidRDefault="00B24953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34,8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5,9</w:t>
            </w:r>
          </w:p>
        </w:tc>
        <w:tc>
          <w:tcPr>
            <w:tcW w:w="993" w:type="dxa"/>
          </w:tcPr>
          <w:p w:rsidR="00D72DA9" w:rsidRPr="00936A70" w:rsidRDefault="00B24953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0,63</w:t>
            </w:r>
          </w:p>
        </w:tc>
        <w:tc>
          <w:tcPr>
            <w:tcW w:w="1275" w:type="dxa"/>
          </w:tcPr>
          <w:p w:rsidR="00D72DA9" w:rsidRPr="00936A70" w:rsidRDefault="00B24953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61,3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4,8</w:t>
            </w:r>
          </w:p>
        </w:tc>
        <w:tc>
          <w:tcPr>
            <w:tcW w:w="993" w:type="dxa"/>
          </w:tcPr>
          <w:p w:rsidR="00D72DA9" w:rsidRPr="00936A70" w:rsidRDefault="00B24953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&lt;0,001</w:t>
            </w:r>
          </w:p>
        </w:tc>
        <w:tc>
          <w:tcPr>
            <w:tcW w:w="1134" w:type="dxa"/>
          </w:tcPr>
          <w:p w:rsidR="00D72DA9" w:rsidRPr="00936A70" w:rsidRDefault="00B24953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54,1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8,3</w:t>
            </w:r>
          </w:p>
        </w:tc>
        <w:tc>
          <w:tcPr>
            <w:tcW w:w="992" w:type="dxa"/>
          </w:tcPr>
          <w:p w:rsidR="00D72DA9" w:rsidRPr="00936A70" w:rsidRDefault="00B24953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&lt;0,05</w:t>
            </w:r>
          </w:p>
        </w:tc>
        <w:tc>
          <w:tcPr>
            <w:tcW w:w="1134" w:type="dxa"/>
          </w:tcPr>
          <w:p w:rsidR="00D72DA9" w:rsidRPr="00936A70" w:rsidRDefault="00B24953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30,4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6,9</w:t>
            </w:r>
          </w:p>
        </w:tc>
      </w:tr>
      <w:tr w:rsidR="00B24953" w:rsidRPr="00936A70" w:rsidTr="00D72DA9">
        <w:tc>
          <w:tcPr>
            <w:tcW w:w="2235" w:type="dxa"/>
          </w:tcPr>
          <w:p w:rsidR="00B24953" w:rsidRPr="00936A70" w:rsidRDefault="00B24953" w:rsidP="00B47B10">
            <w:pPr>
              <w:rPr>
                <w:lang w:val="uk-UA"/>
              </w:rPr>
            </w:pPr>
            <w:r w:rsidRPr="00936A70">
              <w:rPr>
                <w:lang w:val="uk-UA"/>
              </w:rPr>
              <w:t>Притуплення у нижніх відділах</w:t>
            </w:r>
          </w:p>
        </w:tc>
        <w:tc>
          <w:tcPr>
            <w:tcW w:w="1275" w:type="dxa"/>
          </w:tcPr>
          <w:p w:rsidR="00B24953" w:rsidRPr="00936A70" w:rsidRDefault="00B24953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15,2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4,4</w:t>
            </w:r>
          </w:p>
        </w:tc>
        <w:tc>
          <w:tcPr>
            <w:tcW w:w="993" w:type="dxa"/>
          </w:tcPr>
          <w:p w:rsidR="00B24953" w:rsidRPr="00936A70" w:rsidRDefault="00B24953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0,07</w:t>
            </w:r>
          </w:p>
        </w:tc>
        <w:tc>
          <w:tcPr>
            <w:tcW w:w="1275" w:type="dxa"/>
          </w:tcPr>
          <w:p w:rsidR="00B24953" w:rsidRPr="00936A70" w:rsidRDefault="00B24953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28,7+4,5</w:t>
            </w:r>
          </w:p>
        </w:tc>
        <w:tc>
          <w:tcPr>
            <w:tcW w:w="993" w:type="dxa"/>
          </w:tcPr>
          <w:p w:rsidR="00B24953" w:rsidRPr="00936A70" w:rsidRDefault="00B24953" w:rsidP="008E284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&lt;0,001</w:t>
            </w:r>
          </w:p>
        </w:tc>
        <w:tc>
          <w:tcPr>
            <w:tcW w:w="1134" w:type="dxa"/>
          </w:tcPr>
          <w:p w:rsidR="00B24953" w:rsidRPr="00936A70" w:rsidRDefault="00B24953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67,6+7,8</w:t>
            </w:r>
          </w:p>
        </w:tc>
        <w:tc>
          <w:tcPr>
            <w:tcW w:w="992" w:type="dxa"/>
          </w:tcPr>
          <w:p w:rsidR="00B24953" w:rsidRPr="00936A70" w:rsidRDefault="00B24953" w:rsidP="008E284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&lt;0,001</w:t>
            </w:r>
          </w:p>
        </w:tc>
        <w:tc>
          <w:tcPr>
            <w:tcW w:w="1134" w:type="dxa"/>
          </w:tcPr>
          <w:p w:rsidR="00B24953" w:rsidRPr="00936A70" w:rsidRDefault="00B24953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4,3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3,0</w:t>
            </w:r>
          </w:p>
        </w:tc>
      </w:tr>
      <w:tr w:rsidR="00B24953" w:rsidRPr="00936A70" w:rsidTr="00D72DA9">
        <w:tc>
          <w:tcPr>
            <w:tcW w:w="2235" w:type="dxa"/>
          </w:tcPr>
          <w:p w:rsidR="00B24953" w:rsidRPr="00936A70" w:rsidRDefault="00B24953" w:rsidP="00B47B10">
            <w:pPr>
              <w:rPr>
                <w:lang w:val="uk-UA"/>
              </w:rPr>
            </w:pPr>
            <w:r w:rsidRPr="00936A70">
              <w:rPr>
                <w:lang w:val="uk-UA"/>
              </w:rPr>
              <w:lastRenderedPageBreak/>
              <w:t xml:space="preserve">Ослаблене дихання </w:t>
            </w:r>
          </w:p>
        </w:tc>
        <w:tc>
          <w:tcPr>
            <w:tcW w:w="1275" w:type="dxa"/>
          </w:tcPr>
          <w:p w:rsidR="00B24953" w:rsidRPr="00936A70" w:rsidRDefault="00B24953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27,3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5,5</w:t>
            </w:r>
          </w:p>
        </w:tc>
        <w:tc>
          <w:tcPr>
            <w:tcW w:w="993" w:type="dxa"/>
          </w:tcPr>
          <w:p w:rsidR="00B24953" w:rsidRPr="00936A70" w:rsidRDefault="00B24953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0,4</w:t>
            </w:r>
          </w:p>
        </w:tc>
        <w:tc>
          <w:tcPr>
            <w:tcW w:w="1275" w:type="dxa"/>
          </w:tcPr>
          <w:p w:rsidR="00B24953" w:rsidRPr="00936A70" w:rsidRDefault="00B24953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30,6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4,6</w:t>
            </w:r>
          </w:p>
        </w:tc>
        <w:tc>
          <w:tcPr>
            <w:tcW w:w="993" w:type="dxa"/>
          </w:tcPr>
          <w:p w:rsidR="00B24953" w:rsidRPr="00936A70" w:rsidRDefault="00B24953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0,624</w:t>
            </w:r>
          </w:p>
        </w:tc>
        <w:tc>
          <w:tcPr>
            <w:tcW w:w="1134" w:type="dxa"/>
          </w:tcPr>
          <w:p w:rsidR="00B24953" w:rsidRPr="00936A70" w:rsidRDefault="00B24953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45,9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8,3</w:t>
            </w:r>
          </w:p>
        </w:tc>
        <w:tc>
          <w:tcPr>
            <w:tcW w:w="992" w:type="dxa"/>
          </w:tcPr>
          <w:p w:rsidR="00B24953" w:rsidRPr="00936A70" w:rsidRDefault="00B24953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0,307</w:t>
            </w:r>
          </w:p>
        </w:tc>
        <w:tc>
          <w:tcPr>
            <w:tcW w:w="1134" w:type="dxa"/>
          </w:tcPr>
          <w:p w:rsidR="00B24953" w:rsidRPr="00936A70" w:rsidRDefault="00B24953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34,7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7,1</w:t>
            </w:r>
          </w:p>
        </w:tc>
      </w:tr>
      <w:tr w:rsidR="00B24953" w:rsidRPr="00936A70" w:rsidTr="00D72DA9">
        <w:tc>
          <w:tcPr>
            <w:tcW w:w="2235" w:type="dxa"/>
          </w:tcPr>
          <w:p w:rsidR="00B24953" w:rsidRPr="00936A70" w:rsidRDefault="00B24953" w:rsidP="00B47B10">
            <w:pPr>
              <w:rPr>
                <w:lang w:val="uk-UA"/>
              </w:rPr>
            </w:pPr>
            <w:r w:rsidRPr="00936A70">
              <w:rPr>
                <w:lang w:val="uk-UA"/>
              </w:rPr>
              <w:t>Жорстке дихання</w:t>
            </w:r>
          </w:p>
        </w:tc>
        <w:tc>
          <w:tcPr>
            <w:tcW w:w="1275" w:type="dxa"/>
          </w:tcPr>
          <w:p w:rsidR="00B24953" w:rsidRPr="00936A70" w:rsidRDefault="00B24953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56,9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6,1</w:t>
            </w:r>
          </w:p>
        </w:tc>
        <w:tc>
          <w:tcPr>
            <w:tcW w:w="993" w:type="dxa"/>
          </w:tcPr>
          <w:p w:rsidR="00B24953" w:rsidRPr="00936A70" w:rsidRDefault="00B24953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&lt;0,05</w:t>
            </w:r>
          </w:p>
        </w:tc>
        <w:tc>
          <w:tcPr>
            <w:tcW w:w="1275" w:type="dxa"/>
          </w:tcPr>
          <w:p w:rsidR="00B24953" w:rsidRPr="00936A70" w:rsidRDefault="00B24953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72,5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4,4</w:t>
            </w:r>
          </w:p>
        </w:tc>
        <w:tc>
          <w:tcPr>
            <w:tcW w:w="993" w:type="dxa"/>
          </w:tcPr>
          <w:p w:rsidR="00B24953" w:rsidRPr="00936A70" w:rsidRDefault="00B24953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&lt;0,001</w:t>
            </w:r>
          </w:p>
        </w:tc>
        <w:tc>
          <w:tcPr>
            <w:tcW w:w="1134" w:type="dxa"/>
          </w:tcPr>
          <w:p w:rsidR="00B24953" w:rsidRPr="00936A70" w:rsidRDefault="00B24953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72,9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7,1</w:t>
            </w:r>
          </w:p>
        </w:tc>
        <w:tc>
          <w:tcPr>
            <w:tcW w:w="992" w:type="dxa"/>
          </w:tcPr>
          <w:p w:rsidR="00B24953" w:rsidRPr="00936A70" w:rsidRDefault="00B24953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&lt;0,001</w:t>
            </w:r>
          </w:p>
        </w:tc>
        <w:tc>
          <w:tcPr>
            <w:tcW w:w="1134" w:type="dxa"/>
          </w:tcPr>
          <w:p w:rsidR="00B24953" w:rsidRPr="00936A70" w:rsidRDefault="00B24953" w:rsidP="008E284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34,7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7,1</w:t>
            </w:r>
          </w:p>
        </w:tc>
      </w:tr>
      <w:tr w:rsidR="00B24953" w:rsidRPr="00936A70" w:rsidTr="00D72DA9">
        <w:tc>
          <w:tcPr>
            <w:tcW w:w="2235" w:type="dxa"/>
          </w:tcPr>
          <w:p w:rsidR="00B24953" w:rsidRPr="00936A70" w:rsidRDefault="00B24953" w:rsidP="00B47B10">
            <w:pPr>
              <w:rPr>
                <w:lang w:val="uk-UA"/>
              </w:rPr>
            </w:pPr>
            <w:r w:rsidRPr="00936A70">
              <w:rPr>
                <w:lang w:val="uk-UA"/>
              </w:rPr>
              <w:t xml:space="preserve">Крепітація </w:t>
            </w:r>
          </w:p>
        </w:tc>
        <w:tc>
          <w:tcPr>
            <w:tcW w:w="1275" w:type="dxa"/>
          </w:tcPr>
          <w:p w:rsidR="00B24953" w:rsidRPr="00936A70" w:rsidRDefault="00B24953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36,4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5,9</w:t>
            </w:r>
          </w:p>
        </w:tc>
        <w:tc>
          <w:tcPr>
            <w:tcW w:w="993" w:type="dxa"/>
          </w:tcPr>
          <w:p w:rsidR="00B24953" w:rsidRPr="00936A70" w:rsidRDefault="00B24953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0,1</w:t>
            </w:r>
          </w:p>
        </w:tc>
        <w:tc>
          <w:tcPr>
            <w:tcW w:w="1275" w:type="dxa"/>
          </w:tcPr>
          <w:p w:rsidR="00B24953" w:rsidRPr="00936A70" w:rsidRDefault="00B24953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51,9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4,9</w:t>
            </w:r>
          </w:p>
        </w:tc>
        <w:tc>
          <w:tcPr>
            <w:tcW w:w="993" w:type="dxa"/>
          </w:tcPr>
          <w:p w:rsidR="00B24953" w:rsidRPr="00936A70" w:rsidRDefault="00DB0A96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&lt;0,01</w:t>
            </w:r>
          </w:p>
        </w:tc>
        <w:tc>
          <w:tcPr>
            <w:tcW w:w="1134" w:type="dxa"/>
          </w:tcPr>
          <w:p w:rsidR="00B24953" w:rsidRPr="00936A70" w:rsidRDefault="00B24953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35,1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7,9</w:t>
            </w:r>
          </w:p>
        </w:tc>
        <w:tc>
          <w:tcPr>
            <w:tcW w:w="992" w:type="dxa"/>
          </w:tcPr>
          <w:p w:rsidR="00B24953" w:rsidRPr="00936A70" w:rsidRDefault="00B24953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0,179</w:t>
            </w:r>
          </w:p>
        </w:tc>
        <w:tc>
          <w:tcPr>
            <w:tcW w:w="1134" w:type="dxa"/>
          </w:tcPr>
          <w:p w:rsidR="00B24953" w:rsidRPr="00936A70" w:rsidRDefault="00B24953" w:rsidP="00B47B10">
            <w:pPr>
              <w:jc w:val="center"/>
              <w:rPr>
                <w:lang w:val="uk-UA"/>
              </w:rPr>
            </w:pPr>
            <w:r w:rsidRPr="00936A70">
              <w:rPr>
                <w:lang w:val="uk-UA"/>
              </w:rPr>
              <w:t>21,7</w:t>
            </w:r>
            <w:r w:rsidRPr="00936A70">
              <w:rPr>
                <w:u w:val="single"/>
                <w:lang w:val="uk-UA"/>
              </w:rPr>
              <w:t>+</w:t>
            </w:r>
            <w:r w:rsidRPr="00936A70">
              <w:rPr>
                <w:lang w:val="uk-UA"/>
              </w:rPr>
              <w:t>6,1</w:t>
            </w:r>
          </w:p>
        </w:tc>
      </w:tr>
    </w:tbl>
    <w:p w:rsidR="00BE5152" w:rsidRPr="00936A70" w:rsidRDefault="00E87950" w:rsidP="006A3EE8">
      <w:pPr>
        <w:jc w:val="both"/>
        <w:rPr>
          <w:lang w:val="uk-UA"/>
        </w:rPr>
      </w:pPr>
      <w:r w:rsidRPr="00936A70">
        <w:rPr>
          <w:vertAlign w:val="superscript"/>
          <w:lang w:val="uk-UA"/>
        </w:rPr>
        <w:t>1</w:t>
      </w:r>
      <w:r w:rsidR="006A3EE8" w:rsidRPr="00936A70">
        <w:rPr>
          <w:lang w:val="uk-UA"/>
        </w:rPr>
        <w:t>Еквівалент фізичного навантаження у дітей першого року  життя  - годування, занепокоєння.</w:t>
      </w:r>
    </w:p>
    <w:p w:rsidR="00E71863" w:rsidRPr="00936A70" w:rsidRDefault="00E71863" w:rsidP="00E71863">
      <w:pPr>
        <w:rPr>
          <w:lang w:val="uk-UA"/>
        </w:rPr>
      </w:pPr>
      <w:r w:rsidRPr="00936A70">
        <w:rPr>
          <w:lang w:val="uk-UA"/>
        </w:rPr>
        <w:t xml:space="preserve">р*- відношення </w:t>
      </w:r>
      <w:r w:rsidR="00F002D2" w:rsidRPr="00936A70">
        <w:rPr>
          <w:lang w:val="uk-UA"/>
        </w:rPr>
        <w:t xml:space="preserve">відсоткової кількості симптомів за даними огляду та </w:t>
      </w:r>
      <w:proofErr w:type="spellStart"/>
      <w:r w:rsidR="00F002D2" w:rsidRPr="00936A70">
        <w:rPr>
          <w:lang w:val="uk-UA"/>
        </w:rPr>
        <w:t>фізікального</w:t>
      </w:r>
      <w:proofErr w:type="spellEnd"/>
      <w:r w:rsidR="00F002D2" w:rsidRPr="00936A70">
        <w:rPr>
          <w:lang w:val="uk-UA"/>
        </w:rPr>
        <w:t xml:space="preserve"> дослідження </w:t>
      </w:r>
      <w:r w:rsidRPr="00936A70">
        <w:rPr>
          <w:lang w:val="uk-UA"/>
        </w:rPr>
        <w:t xml:space="preserve">у дітей з різними формами </w:t>
      </w:r>
      <w:r w:rsidR="00F002D2" w:rsidRPr="00936A70">
        <w:rPr>
          <w:lang w:val="uk-UA"/>
        </w:rPr>
        <w:t>б</w:t>
      </w:r>
      <w:r w:rsidRPr="00936A70">
        <w:rPr>
          <w:lang w:val="uk-UA"/>
        </w:rPr>
        <w:t>ронхолегеневої  дисплазії до</w:t>
      </w:r>
      <w:r w:rsidR="00100BA4" w:rsidRPr="00936A70">
        <w:rPr>
          <w:lang w:val="uk-UA"/>
        </w:rPr>
        <w:t xml:space="preserve"> </w:t>
      </w:r>
      <w:r w:rsidR="00F002D2" w:rsidRPr="00936A70">
        <w:rPr>
          <w:lang w:val="uk-UA"/>
        </w:rPr>
        <w:t xml:space="preserve">даних  симптомів в </w:t>
      </w:r>
      <w:r w:rsidRPr="00936A70">
        <w:rPr>
          <w:lang w:val="uk-UA"/>
        </w:rPr>
        <w:t xml:space="preserve"> груп</w:t>
      </w:r>
      <w:r w:rsidR="00F002D2" w:rsidRPr="00936A70">
        <w:rPr>
          <w:lang w:val="uk-UA"/>
        </w:rPr>
        <w:t>і</w:t>
      </w:r>
      <w:r w:rsidRPr="00936A70">
        <w:rPr>
          <w:lang w:val="uk-UA"/>
        </w:rPr>
        <w:t xml:space="preserve"> порівняння</w:t>
      </w:r>
    </w:p>
    <w:p w:rsidR="00E71863" w:rsidRPr="00936A70" w:rsidRDefault="00E71863" w:rsidP="00E71863">
      <w:pPr>
        <w:spacing w:line="480" w:lineRule="auto"/>
        <w:ind w:firstLine="708"/>
        <w:jc w:val="both"/>
        <w:rPr>
          <w:lang w:val="uk-UA"/>
        </w:rPr>
      </w:pPr>
    </w:p>
    <w:p w:rsidR="00C65912" w:rsidRPr="00936A70" w:rsidRDefault="00364F18" w:rsidP="00E71863">
      <w:pPr>
        <w:spacing w:line="480" w:lineRule="auto"/>
        <w:ind w:firstLine="708"/>
        <w:jc w:val="both"/>
        <w:rPr>
          <w:lang w:val="uk-UA"/>
        </w:rPr>
      </w:pPr>
      <w:r w:rsidRPr="00936A70">
        <w:rPr>
          <w:lang w:val="uk-UA"/>
        </w:rPr>
        <w:t xml:space="preserve">Найбільша частка клінічних ознак дихальної недостатності </w:t>
      </w:r>
      <w:r w:rsidR="00C65912" w:rsidRPr="00936A70">
        <w:rPr>
          <w:lang w:val="uk-UA"/>
        </w:rPr>
        <w:t xml:space="preserve">як </w:t>
      </w:r>
      <w:proofErr w:type="spellStart"/>
      <w:r w:rsidR="00C65912" w:rsidRPr="00936A70">
        <w:rPr>
          <w:lang w:val="uk-UA"/>
        </w:rPr>
        <w:t>рестриктивного</w:t>
      </w:r>
      <w:proofErr w:type="spellEnd"/>
      <w:r w:rsidR="00C65912" w:rsidRPr="00936A70">
        <w:rPr>
          <w:lang w:val="uk-UA"/>
        </w:rPr>
        <w:t xml:space="preserve"> так і обструктивного типу бул</w:t>
      </w:r>
      <w:r w:rsidR="00F05CFD" w:rsidRPr="00936A70">
        <w:rPr>
          <w:lang w:val="uk-UA"/>
        </w:rPr>
        <w:t>а</w:t>
      </w:r>
      <w:r w:rsidR="00C65912" w:rsidRPr="00936A70">
        <w:rPr>
          <w:lang w:val="uk-UA"/>
        </w:rPr>
        <w:t xml:space="preserve"> </w:t>
      </w:r>
      <w:r w:rsidRPr="00936A70">
        <w:rPr>
          <w:lang w:val="uk-UA"/>
        </w:rPr>
        <w:t>у дітей з БЛД доношених</w:t>
      </w:r>
      <w:r w:rsidR="004A6F33" w:rsidRPr="00936A70">
        <w:rPr>
          <w:lang w:val="uk-UA"/>
        </w:rPr>
        <w:t>. Нарівні з тим ослаблене дихання та крепітація для хворих на дану фо</w:t>
      </w:r>
      <w:r w:rsidR="00C65912" w:rsidRPr="00936A70">
        <w:rPr>
          <w:lang w:val="uk-UA"/>
        </w:rPr>
        <w:t xml:space="preserve">рму захворювання не характерні, що розцінено як переважання вентиляційних над дифузійними та </w:t>
      </w:r>
      <w:proofErr w:type="spellStart"/>
      <w:r w:rsidR="00C65912" w:rsidRPr="00936A70">
        <w:rPr>
          <w:lang w:val="uk-UA"/>
        </w:rPr>
        <w:t>перфузійними</w:t>
      </w:r>
      <w:proofErr w:type="spellEnd"/>
      <w:r w:rsidR="00C65912" w:rsidRPr="00936A70">
        <w:rPr>
          <w:lang w:val="uk-UA"/>
        </w:rPr>
        <w:t xml:space="preserve"> порушеннями у даних дітей. Клінічні ознаки рестрикції при БЛД доношених залежали від наявності дифузного пневмофіброзу (</w:t>
      </w:r>
      <w:r w:rsidR="00C65912" w:rsidRPr="00936A70">
        <w:rPr>
          <w:lang w:val="en-US"/>
        </w:rPr>
        <w:t>r</w:t>
      </w:r>
      <w:r w:rsidR="00C65912" w:rsidRPr="00936A70">
        <w:rPr>
          <w:lang w:val="uk-UA"/>
        </w:rPr>
        <w:t xml:space="preserve">=0,898; р&lt;0,01). </w:t>
      </w:r>
    </w:p>
    <w:p w:rsidR="00C90290" w:rsidRPr="00936A70" w:rsidRDefault="00C90290" w:rsidP="00B47B10">
      <w:pPr>
        <w:spacing w:line="480" w:lineRule="auto"/>
        <w:jc w:val="both"/>
        <w:rPr>
          <w:b/>
          <w:lang w:val="uk-UA"/>
        </w:rPr>
      </w:pPr>
      <w:r w:rsidRPr="00936A70">
        <w:rPr>
          <w:b/>
          <w:lang w:val="uk-UA"/>
        </w:rPr>
        <w:t>Висновки:</w:t>
      </w:r>
    </w:p>
    <w:p w:rsidR="00760A96" w:rsidRPr="00936A70" w:rsidRDefault="00E412DA" w:rsidP="00996FE9">
      <w:pPr>
        <w:pStyle w:val="ac"/>
        <w:numPr>
          <w:ilvl w:val="0"/>
          <w:numId w:val="5"/>
        </w:numPr>
        <w:tabs>
          <w:tab w:val="left" w:pos="4200"/>
        </w:tabs>
        <w:spacing w:line="480" w:lineRule="auto"/>
        <w:jc w:val="both"/>
        <w:rPr>
          <w:lang w:val="uk-UA"/>
        </w:rPr>
      </w:pPr>
      <w:r w:rsidRPr="00936A70">
        <w:rPr>
          <w:lang w:val="uk-UA"/>
        </w:rPr>
        <w:t xml:space="preserve">Для нової форми бронхолегеневої дисплазії характерно </w:t>
      </w:r>
      <w:r w:rsidR="00A04010" w:rsidRPr="00936A70">
        <w:rPr>
          <w:lang w:val="uk-UA"/>
        </w:rPr>
        <w:t>прояви</w:t>
      </w:r>
      <w:r w:rsidR="00B9124E" w:rsidRPr="00936A70">
        <w:rPr>
          <w:lang w:val="uk-UA"/>
        </w:rPr>
        <w:t xml:space="preserve"> </w:t>
      </w:r>
      <w:r w:rsidR="000263A2" w:rsidRPr="00936A70">
        <w:rPr>
          <w:lang w:val="uk-UA"/>
        </w:rPr>
        <w:t xml:space="preserve"> </w:t>
      </w:r>
      <w:r w:rsidR="00B9124E" w:rsidRPr="00936A70">
        <w:rPr>
          <w:lang w:val="uk-UA"/>
        </w:rPr>
        <w:t xml:space="preserve">гострого </w:t>
      </w:r>
      <w:r w:rsidR="000263A2" w:rsidRPr="00936A70">
        <w:rPr>
          <w:lang w:val="uk-UA"/>
        </w:rPr>
        <w:t xml:space="preserve"> </w:t>
      </w:r>
      <w:proofErr w:type="spellStart"/>
      <w:r w:rsidR="000263A2" w:rsidRPr="00936A70">
        <w:rPr>
          <w:lang w:val="uk-UA"/>
        </w:rPr>
        <w:t>бронхіоліту</w:t>
      </w:r>
      <w:proofErr w:type="spellEnd"/>
      <w:r w:rsidR="000263A2" w:rsidRPr="00936A70">
        <w:rPr>
          <w:lang w:val="uk-UA"/>
        </w:rPr>
        <w:t xml:space="preserve"> (р&lt;0,001)</w:t>
      </w:r>
      <w:r w:rsidR="00B9124E" w:rsidRPr="00936A70">
        <w:rPr>
          <w:lang w:val="uk-UA"/>
        </w:rPr>
        <w:t xml:space="preserve"> </w:t>
      </w:r>
      <w:r w:rsidR="00F06314" w:rsidRPr="00936A70">
        <w:rPr>
          <w:lang w:val="uk-UA"/>
        </w:rPr>
        <w:t xml:space="preserve">дихальною недостатністю ІІ-ІІІ ступенів (р&lt;0,001) </w:t>
      </w:r>
      <w:r w:rsidRPr="00936A70">
        <w:rPr>
          <w:lang w:val="uk-UA"/>
        </w:rPr>
        <w:t xml:space="preserve">під час загострення захворювання. </w:t>
      </w:r>
      <w:r w:rsidR="00B9124E" w:rsidRPr="00936A70">
        <w:rPr>
          <w:lang w:val="uk-UA"/>
        </w:rPr>
        <w:t xml:space="preserve"> </w:t>
      </w:r>
      <w:r w:rsidRPr="00936A70">
        <w:rPr>
          <w:lang w:val="uk-UA"/>
        </w:rPr>
        <w:t xml:space="preserve">Клінічними маркерами даної форми захворювання </w:t>
      </w:r>
      <w:r w:rsidR="00F06314" w:rsidRPr="00936A70">
        <w:rPr>
          <w:lang w:val="uk-UA"/>
        </w:rPr>
        <w:t xml:space="preserve">в стадії ремісії можна вважати задишку при фізичному навантажені (р&lt;0,01), </w:t>
      </w:r>
      <w:proofErr w:type="spellStart"/>
      <w:r w:rsidR="00F06314" w:rsidRPr="00936A70">
        <w:rPr>
          <w:lang w:val="uk-UA"/>
        </w:rPr>
        <w:t>акроціаноз</w:t>
      </w:r>
      <w:proofErr w:type="spellEnd"/>
      <w:r w:rsidR="00F06314" w:rsidRPr="00936A70">
        <w:rPr>
          <w:lang w:val="uk-UA"/>
        </w:rPr>
        <w:t xml:space="preserve"> при занепокоєнні (р&lt;0,01), втягнення поступливих місць грудної клітки (р&lt;0,01) та </w:t>
      </w:r>
      <w:r w:rsidR="00760A96" w:rsidRPr="00936A70">
        <w:rPr>
          <w:lang w:val="uk-UA"/>
        </w:rPr>
        <w:t>розгорнення</w:t>
      </w:r>
      <w:r w:rsidR="00F06314" w:rsidRPr="00936A70">
        <w:rPr>
          <w:lang w:val="uk-UA"/>
        </w:rPr>
        <w:t xml:space="preserve"> нижньої апертури (р&lt;0,001).</w:t>
      </w:r>
    </w:p>
    <w:p w:rsidR="00F05CFD" w:rsidRPr="00936A70" w:rsidRDefault="00760A96" w:rsidP="00996FE9">
      <w:pPr>
        <w:pStyle w:val="ac"/>
        <w:numPr>
          <w:ilvl w:val="0"/>
          <w:numId w:val="5"/>
        </w:numPr>
        <w:tabs>
          <w:tab w:val="left" w:pos="4200"/>
        </w:tabs>
        <w:spacing w:line="480" w:lineRule="auto"/>
        <w:jc w:val="both"/>
        <w:rPr>
          <w:lang w:val="uk-UA"/>
        </w:rPr>
      </w:pPr>
      <w:r w:rsidRPr="00936A70">
        <w:rPr>
          <w:lang w:val="uk-UA"/>
        </w:rPr>
        <w:t xml:space="preserve">Загострення класичної бронхолегеневої дисплазії характеризується частими обструктивними бронхітами (р&lt;0,001), </w:t>
      </w:r>
      <w:proofErr w:type="spellStart"/>
      <w:r w:rsidRPr="00936A70">
        <w:rPr>
          <w:lang w:val="uk-UA"/>
        </w:rPr>
        <w:t>бронхіолітами</w:t>
      </w:r>
      <w:proofErr w:type="spellEnd"/>
      <w:r w:rsidRPr="00936A70">
        <w:rPr>
          <w:lang w:val="uk-UA"/>
        </w:rPr>
        <w:t xml:space="preserve"> (р&lt;0,01), пневмоніями (р&lt;0,01). При обстежені хворих на класичну БЛД </w:t>
      </w:r>
      <w:r w:rsidR="00946F41" w:rsidRPr="00936A70">
        <w:rPr>
          <w:lang w:val="uk-UA"/>
        </w:rPr>
        <w:t>виявлені маркери</w:t>
      </w:r>
      <w:r w:rsidRPr="00936A70">
        <w:rPr>
          <w:lang w:val="uk-UA"/>
        </w:rPr>
        <w:t xml:space="preserve"> </w:t>
      </w:r>
      <w:proofErr w:type="spellStart"/>
      <w:r w:rsidRPr="00936A70">
        <w:rPr>
          <w:lang w:val="uk-UA"/>
        </w:rPr>
        <w:t>обструктивно-рестриктивн</w:t>
      </w:r>
      <w:r w:rsidR="001323F1" w:rsidRPr="00936A70">
        <w:rPr>
          <w:lang w:val="uk-UA"/>
        </w:rPr>
        <w:t>ої</w:t>
      </w:r>
      <w:proofErr w:type="spellEnd"/>
      <w:r w:rsidRPr="00936A70">
        <w:rPr>
          <w:lang w:val="uk-UA"/>
        </w:rPr>
        <w:t xml:space="preserve"> дихальної недостатності: задишка у спокої та при фізичному навантаженні (р&lt;0,01), бочкоподібна грудна клітка (р&lt;0,01) та втягнення поступливих місць (р&lt;0,001), розгорнута нижня апертура (р&lt;0,001), </w:t>
      </w:r>
      <w:r w:rsidR="00946F41" w:rsidRPr="00936A70">
        <w:rPr>
          <w:lang w:val="uk-UA"/>
        </w:rPr>
        <w:t xml:space="preserve">бочкоподібна грудна клітка (р&lt;0,05), </w:t>
      </w:r>
      <w:r w:rsidRPr="00936A70">
        <w:rPr>
          <w:lang w:val="uk-UA"/>
        </w:rPr>
        <w:t>притуплення, що чергується з коробковим звуком (р&lt;0,01) та жорстке дихання (р&lt;0,001) і крепітація (р&lt;0,01).</w:t>
      </w:r>
    </w:p>
    <w:p w:rsidR="00946F41" w:rsidRPr="00936A70" w:rsidRDefault="000263A2" w:rsidP="00996FE9">
      <w:pPr>
        <w:pStyle w:val="ac"/>
        <w:numPr>
          <w:ilvl w:val="0"/>
          <w:numId w:val="5"/>
        </w:numPr>
        <w:tabs>
          <w:tab w:val="left" w:pos="4200"/>
        </w:tabs>
        <w:spacing w:line="480" w:lineRule="auto"/>
        <w:jc w:val="both"/>
        <w:rPr>
          <w:lang w:val="uk-UA"/>
        </w:rPr>
      </w:pPr>
      <w:r w:rsidRPr="00936A70">
        <w:rPr>
          <w:lang w:val="uk-UA"/>
        </w:rPr>
        <w:lastRenderedPageBreak/>
        <w:t xml:space="preserve">Для пацієнтів з бронхолегеневою дисплазією доношених </w:t>
      </w:r>
      <w:r w:rsidR="001323F1" w:rsidRPr="00936A70">
        <w:rPr>
          <w:lang w:val="uk-UA"/>
        </w:rPr>
        <w:t xml:space="preserve">загострення </w:t>
      </w:r>
      <w:r w:rsidR="00F05CFD" w:rsidRPr="00936A70">
        <w:rPr>
          <w:lang w:val="uk-UA"/>
        </w:rPr>
        <w:t xml:space="preserve">проявлялося частими </w:t>
      </w:r>
      <w:r w:rsidRPr="00936A70">
        <w:rPr>
          <w:lang w:val="uk-UA"/>
        </w:rPr>
        <w:t>пневмоні</w:t>
      </w:r>
      <w:r w:rsidR="00F05CFD" w:rsidRPr="00936A70">
        <w:rPr>
          <w:lang w:val="uk-UA"/>
        </w:rPr>
        <w:t>ями</w:t>
      </w:r>
      <w:r w:rsidRPr="00936A70">
        <w:rPr>
          <w:lang w:val="uk-UA"/>
        </w:rPr>
        <w:t xml:space="preserve"> (р&lt;0,001)</w:t>
      </w:r>
      <w:r w:rsidR="00F05CFD" w:rsidRPr="00936A70">
        <w:rPr>
          <w:lang w:val="uk-UA"/>
        </w:rPr>
        <w:t>, що корелювало</w:t>
      </w:r>
      <w:r w:rsidRPr="00936A70">
        <w:rPr>
          <w:lang w:val="uk-UA"/>
        </w:rPr>
        <w:t xml:space="preserve"> </w:t>
      </w:r>
      <w:r w:rsidR="00F05CFD" w:rsidRPr="00936A70">
        <w:rPr>
          <w:lang w:val="uk-UA"/>
        </w:rPr>
        <w:t xml:space="preserve">з </w:t>
      </w:r>
      <w:r w:rsidRPr="00936A70">
        <w:rPr>
          <w:lang w:val="uk-UA"/>
        </w:rPr>
        <w:t>порушен</w:t>
      </w:r>
      <w:r w:rsidR="00F05CFD" w:rsidRPr="00936A70">
        <w:rPr>
          <w:lang w:val="uk-UA"/>
        </w:rPr>
        <w:t>нями</w:t>
      </w:r>
      <w:r w:rsidRPr="00936A70">
        <w:rPr>
          <w:lang w:val="uk-UA"/>
        </w:rPr>
        <w:t xml:space="preserve"> нейро-респіраторного драйву (</w:t>
      </w:r>
      <w:r w:rsidRPr="00936A70">
        <w:rPr>
          <w:lang w:val="en-US"/>
        </w:rPr>
        <w:t>r</w:t>
      </w:r>
      <w:r w:rsidRPr="00936A70">
        <w:rPr>
          <w:lang w:val="uk-UA"/>
        </w:rPr>
        <w:t>=0,678; р&lt;0,05)</w:t>
      </w:r>
      <w:r w:rsidR="00F05CFD" w:rsidRPr="00936A70">
        <w:rPr>
          <w:lang w:val="uk-UA"/>
        </w:rPr>
        <w:t>. Клінічними маркерами БЛД доношених під час ремісії захворювання являються задишка</w:t>
      </w:r>
      <w:r w:rsidR="00946F41" w:rsidRPr="00936A70">
        <w:rPr>
          <w:lang w:val="uk-UA"/>
        </w:rPr>
        <w:t xml:space="preserve"> (р&lt;0,01), недостатнє додавання у масі тіла (р&lt;0,001), </w:t>
      </w:r>
      <w:r w:rsidR="00F05CFD" w:rsidRPr="00936A70">
        <w:rPr>
          <w:lang w:val="uk-UA"/>
        </w:rPr>
        <w:t xml:space="preserve"> </w:t>
      </w:r>
      <w:proofErr w:type="spellStart"/>
      <w:r w:rsidR="00946F41" w:rsidRPr="00936A70">
        <w:rPr>
          <w:lang w:val="uk-UA"/>
        </w:rPr>
        <w:t>тахіпноє</w:t>
      </w:r>
      <w:proofErr w:type="spellEnd"/>
      <w:r w:rsidR="00946F41" w:rsidRPr="00936A70">
        <w:rPr>
          <w:lang w:val="uk-UA"/>
        </w:rPr>
        <w:t xml:space="preserve"> (р&lt;0,01), </w:t>
      </w:r>
      <w:proofErr w:type="spellStart"/>
      <w:r w:rsidR="00946F41" w:rsidRPr="00936A70">
        <w:rPr>
          <w:lang w:val="uk-UA"/>
        </w:rPr>
        <w:t>акроціаноз</w:t>
      </w:r>
      <w:proofErr w:type="spellEnd"/>
      <w:r w:rsidR="00946F41" w:rsidRPr="00936A70">
        <w:rPr>
          <w:lang w:val="uk-UA"/>
        </w:rPr>
        <w:t xml:space="preserve"> (р&lt;0,001), притуплення в нижніх відділах грудної клітки (р&lt;0,001), жорстке дихання (р&lt;0,001). </w:t>
      </w:r>
      <w:r w:rsidR="00C867AF" w:rsidRPr="00936A70">
        <w:rPr>
          <w:lang w:val="uk-UA"/>
        </w:rPr>
        <w:t>К</w:t>
      </w:r>
      <w:r w:rsidR="00946F41" w:rsidRPr="00936A70">
        <w:rPr>
          <w:lang w:val="uk-UA"/>
        </w:rPr>
        <w:t xml:space="preserve">репітація та ослаблене дихання не характерні для бронхолегеневої дисплазії доношених.    </w:t>
      </w:r>
    </w:p>
    <w:p w:rsidR="00F05CFD" w:rsidRPr="00936A70" w:rsidRDefault="008345CC" w:rsidP="002F30C4">
      <w:pPr>
        <w:spacing w:line="480" w:lineRule="auto"/>
        <w:ind w:firstLine="360"/>
        <w:jc w:val="both"/>
        <w:rPr>
          <w:lang w:val="uk-UA"/>
        </w:rPr>
      </w:pPr>
      <w:r w:rsidRPr="00936A70">
        <w:rPr>
          <w:b/>
          <w:lang w:val="uk-UA"/>
        </w:rPr>
        <w:t xml:space="preserve">Перспективи подальших досліджень: </w:t>
      </w:r>
      <w:r w:rsidR="002F30C4" w:rsidRPr="00936A70">
        <w:rPr>
          <w:lang w:val="uk-UA"/>
        </w:rPr>
        <w:t xml:space="preserve">отримані дані розкривають перспективу систематизації </w:t>
      </w:r>
      <w:r w:rsidRPr="00936A70">
        <w:rPr>
          <w:lang w:val="uk-UA"/>
        </w:rPr>
        <w:t xml:space="preserve">клінічних ознак, виявлення лабораторних та інструментальних маркерів </w:t>
      </w:r>
      <w:r w:rsidR="002F30C4" w:rsidRPr="00936A70">
        <w:rPr>
          <w:lang w:val="uk-UA"/>
        </w:rPr>
        <w:t xml:space="preserve">індивідуалізацію базисної терапії з урахуванням форми бронхолегеневої дисплазії </w:t>
      </w:r>
      <w:r w:rsidRPr="00936A70">
        <w:rPr>
          <w:lang w:val="uk-UA"/>
        </w:rPr>
        <w:t xml:space="preserve">щодо поліпшення прогнозу даного захворювання </w:t>
      </w:r>
      <w:r w:rsidR="002F30C4" w:rsidRPr="00936A70">
        <w:rPr>
          <w:lang w:val="uk-UA"/>
        </w:rPr>
        <w:t xml:space="preserve">у дітей. </w:t>
      </w:r>
    </w:p>
    <w:p w:rsidR="00F05CFD" w:rsidRPr="00936A70" w:rsidRDefault="00F05CFD" w:rsidP="00F05CFD">
      <w:pPr>
        <w:spacing w:line="480" w:lineRule="auto"/>
        <w:jc w:val="both"/>
        <w:rPr>
          <w:b/>
          <w:lang w:val="uk-UA"/>
        </w:rPr>
      </w:pPr>
    </w:p>
    <w:p w:rsidR="009A2077" w:rsidRPr="00936A70" w:rsidRDefault="00070DC5" w:rsidP="007B3AF9">
      <w:pPr>
        <w:spacing w:line="480" w:lineRule="auto"/>
        <w:jc w:val="both"/>
        <w:rPr>
          <w:lang w:val="uk-UA"/>
        </w:rPr>
      </w:pPr>
      <w:r w:rsidRPr="00936A70">
        <w:rPr>
          <w:b/>
          <w:lang w:val="uk-UA"/>
        </w:rPr>
        <w:t xml:space="preserve">Література  </w:t>
      </w:r>
    </w:p>
    <w:p w:rsidR="007B3AF9" w:rsidRPr="00936A70" w:rsidRDefault="007B3AF9" w:rsidP="007B3AF9">
      <w:pPr>
        <w:pStyle w:val="ac"/>
        <w:numPr>
          <w:ilvl w:val="0"/>
          <w:numId w:val="7"/>
        </w:numPr>
        <w:spacing w:line="480" w:lineRule="auto"/>
        <w:rPr>
          <w:lang w:val="en-US"/>
        </w:rPr>
      </w:pPr>
      <w:r w:rsidRPr="00936A70">
        <w:rPr>
          <w:lang w:val="en-US"/>
        </w:rPr>
        <w:t xml:space="preserve">Kathleen M </w:t>
      </w:r>
      <w:proofErr w:type="spellStart"/>
      <w:r w:rsidRPr="00936A70">
        <w:rPr>
          <w:lang w:val="en-US"/>
        </w:rPr>
        <w:t>Deakins</w:t>
      </w:r>
      <w:proofErr w:type="spellEnd"/>
      <w:r w:rsidRPr="00936A70">
        <w:rPr>
          <w:lang w:val="en-US"/>
        </w:rPr>
        <w:t xml:space="preserve"> Bronchopulmonary Dysplasia</w:t>
      </w:r>
      <w:r w:rsidRPr="00936A70">
        <w:rPr>
          <w:lang w:val="uk-UA"/>
        </w:rPr>
        <w:t xml:space="preserve"> /</w:t>
      </w:r>
      <w:proofErr w:type="gramStart"/>
      <w:r w:rsidRPr="00936A70">
        <w:rPr>
          <w:lang w:val="uk-UA"/>
        </w:rPr>
        <w:t xml:space="preserve">/  </w:t>
      </w:r>
      <w:r w:rsidRPr="00936A70">
        <w:rPr>
          <w:lang w:val="en-US"/>
        </w:rPr>
        <w:t>Respiratory</w:t>
      </w:r>
      <w:proofErr w:type="gramEnd"/>
      <w:r w:rsidRPr="00936A70">
        <w:rPr>
          <w:lang w:val="en-US"/>
        </w:rPr>
        <w:t xml:space="preserve"> care</w:t>
      </w:r>
      <w:r w:rsidRPr="00936A70">
        <w:rPr>
          <w:lang w:val="uk-UA"/>
        </w:rPr>
        <w:t>.</w:t>
      </w:r>
      <w:r w:rsidRPr="00936A70">
        <w:rPr>
          <w:lang w:val="en-US"/>
        </w:rPr>
        <w:t xml:space="preserve"> – 200</w:t>
      </w:r>
      <w:r w:rsidRPr="00936A70">
        <w:rPr>
          <w:lang w:val="uk-UA"/>
        </w:rPr>
        <w:t>9</w:t>
      </w:r>
      <w:r w:rsidRPr="00936A70">
        <w:rPr>
          <w:lang w:val="en-US"/>
        </w:rPr>
        <w:t>. – V.</w:t>
      </w:r>
      <w:r w:rsidRPr="00936A70">
        <w:rPr>
          <w:lang w:val="uk-UA"/>
        </w:rPr>
        <w:t>54</w:t>
      </w:r>
      <w:r w:rsidRPr="00936A70">
        <w:rPr>
          <w:lang w:val="en-US"/>
        </w:rPr>
        <w:t>, №</w:t>
      </w:r>
      <w:r w:rsidRPr="00936A70">
        <w:rPr>
          <w:lang w:val="uk-UA"/>
        </w:rPr>
        <w:t>9</w:t>
      </w:r>
      <w:r w:rsidRPr="00936A70">
        <w:rPr>
          <w:lang w:val="en-US"/>
        </w:rPr>
        <w:t xml:space="preserve">. </w:t>
      </w:r>
    </w:p>
    <w:p w:rsidR="007B3AF9" w:rsidRPr="00936A70" w:rsidRDefault="007B3AF9" w:rsidP="007B3AF9">
      <w:pPr>
        <w:pStyle w:val="a5"/>
        <w:numPr>
          <w:ilvl w:val="0"/>
          <w:numId w:val="7"/>
        </w:numPr>
        <w:spacing w:before="0" w:beforeAutospacing="0" w:after="0" w:afterAutospacing="0" w:line="480" w:lineRule="auto"/>
        <w:jc w:val="both"/>
        <w:rPr>
          <w:lang w:val="uk-UA"/>
        </w:rPr>
      </w:pPr>
      <w:proofErr w:type="spellStart"/>
      <w:r w:rsidRPr="00936A70">
        <w:rPr>
          <w:lang w:val="en-GB"/>
        </w:rPr>
        <w:t>Kyoulood</w:t>
      </w:r>
      <w:proofErr w:type="spellEnd"/>
      <w:r w:rsidRPr="00936A70">
        <w:rPr>
          <w:lang w:val="uk-UA"/>
        </w:rPr>
        <w:t xml:space="preserve"> </w:t>
      </w:r>
      <w:r w:rsidRPr="00936A70">
        <w:rPr>
          <w:lang w:val="en-GB"/>
        </w:rPr>
        <w:t>F</w:t>
      </w:r>
      <w:r w:rsidRPr="00936A70">
        <w:rPr>
          <w:lang w:val="uk-UA"/>
        </w:rPr>
        <w:t xml:space="preserve">. </w:t>
      </w:r>
      <w:proofErr w:type="spellStart"/>
      <w:r w:rsidRPr="00936A70">
        <w:rPr>
          <w:lang w:val="en-GB"/>
        </w:rPr>
        <w:t>Fakhoury</w:t>
      </w:r>
      <w:proofErr w:type="spellEnd"/>
      <w:r w:rsidRPr="00936A70">
        <w:rPr>
          <w:lang w:val="uk-UA"/>
        </w:rPr>
        <w:t xml:space="preserve">, </w:t>
      </w:r>
      <w:r w:rsidRPr="00936A70">
        <w:rPr>
          <w:lang w:val="en-GB"/>
        </w:rPr>
        <w:t>MBBS</w:t>
      </w:r>
      <w:r w:rsidRPr="00936A70">
        <w:rPr>
          <w:lang w:val="uk-UA"/>
        </w:rPr>
        <w:t xml:space="preserve">, </w:t>
      </w:r>
      <w:r w:rsidRPr="00936A70">
        <w:rPr>
          <w:lang w:val="en-GB"/>
        </w:rPr>
        <w:t>Charles</w:t>
      </w:r>
      <w:r w:rsidRPr="00936A70">
        <w:rPr>
          <w:lang w:val="uk-UA"/>
        </w:rPr>
        <w:t xml:space="preserve"> </w:t>
      </w:r>
      <w:r w:rsidRPr="00936A70">
        <w:rPr>
          <w:lang w:val="en-GB"/>
        </w:rPr>
        <w:t>Sellers</w:t>
      </w:r>
      <w:r w:rsidRPr="00936A70">
        <w:rPr>
          <w:lang w:val="uk-UA"/>
        </w:rPr>
        <w:t xml:space="preserve">. </w:t>
      </w:r>
      <w:r w:rsidRPr="00936A70">
        <w:rPr>
          <w:lang w:val="en-GB"/>
        </w:rPr>
        <w:t>BBA</w:t>
      </w:r>
      <w:r w:rsidRPr="00936A70">
        <w:rPr>
          <w:lang w:val="uk-UA"/>
        </w:rPr>
        <w:t xml:space="preserve">, </w:t>
      </w:r>
      <w:r w:rsidRPr="00936A70">
        <w:rPr>
          <w:lang w:val="en-GB"/>
        </w:rPr>
        <w:t>O</w:t>
      </w:r>
      <w:r w:rsidRPr="00936A70">
        <w:rPr>
          <w:lang w:val="uk-UA"/>
        </w:rPr>
        <w:t xml:space="preserve"> </w:t>
      </w:r>
      <w:r w:rsidRPr="00936A70">
        <w:rPr>
          <w:lang w:val="en-GB"/>
        </w:rPr>
        <w:t>Brain</w:t>
      </w:r>
      <w:r w:rsidRPr="00936A70">
        <w:rPr>
          <w:lang w:val="uk-UA"/>
        </w:rPr>
        <w:t xml:space="preserve"> </w:t>
      </w:r>
      <w:r w:rsidRPr="00936A70">
        <w:rPr>
          <w:lang w:val="en-GB"/>
        </w:rPr>
        <w:t>Smith</w:t>
      </w:r>
      <w:proofErr w:type="gramStart"/>
      <w:r w:rsidRPr="00936A70">
        <w:rPr>
          <w:lang w:val="uk-UA"/>
        </w:rPr>
        <w:t>./</w:t>
      </w:r>
      <w:proofErr w:type="gramEnd"/>
      <w:r w:rsidRPr="00936A70">
        <w:rPr>
          <w:lang w:val="uk-UA"/>
        </w:rPr>
        <w:t xml:space="preserve"> </w:t>
      </w:r>
      <w:r w:rsidRPr="00936A70">
        <w:rPr>
          <w:lang w:val="en-GB"/>
        </w:rPr>
        <w:t>Serial</w:t>
      </w:r>
      <w:r w:rsidRPr="00936A70">
        <w:rPr>
          <w:lang w:val="uk-UA"/>
        </w:rPr>
        <w:t xml:space="preserve"> </w:t>
      </w:r>
      <w:r w:rsidRPr="00936A70">
        <w:rPr>
          <w:lang w:val="en-GB"/>
        </w:rPr>
        <w:t>Measurements</w:t>
      </w:r>
      <w:r w:rsidRPr="00936A70">
        <w:rPr>
          <w:lang w:val="uk-UA"/>
        </w:rPr>
        <w:t xml:space="preserve"> </w:t>
      </w:r>
      <w:r w:rsidRPr="00936A70">
        <w:rPr>
          <w:lang w:val="en-GB"/>
        </w:rPr>
        <w:t>of</w:t>
      </w:r>
      <w:r w:rsidRPr="00936A70">
        <w:rPr>
          <w:lang w:val="uk-UA"/>
        </w:rPr>
        <w:t xml:space="preserve"> </w:t>
      </w:r>
      <w:r w:rsidRPr="00936A70">
        <w:rPr>
          <w:lang w:val="en-GB"/>
        </w:rPr>
        <w:t>lung</w:t>
      </w:r>
      <w:r w:rsidRPr="00936A70">
        <w:rPr>
          <w:lang w:val="uk-UA"/>
        </w:rPr>
        <w:t xml:space="preserve"> </w:t>
      </w:r>
      <w:r w:rsidRPr="00936A70">
        <w:rPr>
          <w:lang w:val="en-GB"/>
        </w:rPr>
        <w:t>Function</w:t>
      </w:r>
      <w:r w:rsidRPr="00936A70">
        <w:rPr>
          <w:lang w:val="uk-UA"/>
        </w:rPr>
        <w:t xml:space="preserve"> </w:t>
      </w:r>
      <w:r w:rsidRPr="00936A70">
        <w:rPr>
          <w:lang w:val="en-GB"/>
        </w:rPr>
        <w:t xml:space="preserve">in a Cohort of Young Children With Bronchopulmonary Dysplasia// </w:t>
      </w:r>
      <w:proofErr w:type="spellStart"/>
      <w:r w:rsidRPr="00936A70">
        <w:rPr>
          <w:lang w:val="en-GB"/>
        </w:rPr>
        <w:t>Pediatrics</w:t>
      </w:r>
      <w:proofErr w:type="spellEnd"/>
      <w:r w:rsidRPr="00936A70">
        <w:rPr>
          <w:lang w:val="en-GB"/>
        </w:rPr>
        <w:t xml:space="preserve">. – 2010. – Vol. </w:t>
      </w:r>
      <w:proofErr w:type="gramStart"/>
      <w:r w:rsidRPr="00936A70">
        <w:rPr>
          <w:lang w:val="en-GB"/>
        </w:rPr>
        <w:t>125.,</w:t>
      </w:r>
      <w:proofErr w:type="gramEnd"/>
      <w:r w:rsidRPr="00936A70">
        <w:rPr>
          <w:lang w:val="uk-UA"/>
        </w:rPr>
        <w:t xml:space="preserve"> </w:t>
      </w:r>
      <w:r w:rsidRPr="00936A70">
        <w:rPr>
          <w:lang w:val="en-GB"/>
        </w:rPr>
        <w:t>№6. – P. 1276.</w:t>
      </w:r>
    </w:p>
    <w:p w:rsidR="00BE5152" w:rsidRPr="00936A70" w:rsidRDefault="002F30C4" w:rsidP="007B3AF9">
      <w:pPr>
        <w:pStyle w:val="a5"/>
        <w:numPr>
          <w:ilvl w:val="0"/>
          <w:numId w:val="7"/>
        </w:numPr>
        <w:spacing w:before="0" w:beforeAutospacing="0" w:after="0" w:afterAutospacing="0" w:line="480" w:lineRule="auto"/>
        <w:jc w:val="both"/>
        <w:rPr>
          <w:lang w:val="uk-UA"/>
        </w:rPr>
      </w:pPr>
      <w:r w:rsidRPr="00936A70">
        <w:rPr>
          <w:lang w:val="uk-UA"/>
        </w:rPr>
        <w:t xml:space="preserve">Бережной В.В. Актуальні питання педіатрії. – Київ: Червона </w:t>
      </w:r>
      <w:proofErr w:type="spellStart"/>
      <w:r w:rsidRPr="00936A70">
        <w:rPr>
          <w:lang w:val="uk-UA"/>
        </w:rPr>
        <w:t>Рута-Турс</w:t>
      </w:r>
      <w:proofErr w:type="spellEnd"/>
      <w:r w:rsidRPr="00936A70">
        <w:rPr>
          <w:lang w:val="uk-UA"/>
        </w:rPr>
        <w:t>. – 2006.- 430с.</w:t>
      </w:r>
    </w:p>
    <w:p w:rsidR="007B3AF9" w:rsidRPr="00936A70" w:rsidRDefault="007B3AF9" w:rsidP="007B3AF9">
      <w:pPr>
        <w:pStyle w:val="a5"/>
        <w:numPr>
          <w:ilvl w:val="0"/>
          <w:numId w:val="7"/>
        </w:numPr>
        <w:spacing w:before="0" w:beforeAutospacing="0" w:after="0" w:afterAutospacing="0" w:line="480" w:lineRule="auto"/>
        <w:jc w:val="both"/>
        <w:rPr>
          <w:lang w:val="uk-UA"/>
        </w:rPr>
      </w:pPr>
      <w:r w:rsidRPr="00936A70">
        <w:rPr>
          <w:lang w:val="uk-UA"/>
        </w:rPr>
        <w:t xml:space="preserve">Давидова І.В. </w:t>
      </w:r>
      <w:r w:rsidRPr="00936A70">
        <w:t>Формирование течение и исходы бронхолегочной дисплазии у детей:</w:t>
      </w:r>
      <w:r w:rsidRPr="00936A70">
        <w:rPr>
          <w:lang w:val="uk-UA"/>
        </w:rPr>
        <w:t>Автореф. дис. …</w:t>
      </w:r>
      <w:r w:rsidRPr="00936A70">
        <w:t xml:space="preserve"> </w:t>
      </w:r>
      <w:r w:rsidRPr="00936A70">
        <w:rPr>
          <w:lang w:val="uk-UA"/>
        </w:rPr>
        <w:t>д-ра мед. наук. – М., 2010. – 47с.</w:t>
      </w:r>
    </w:p>
    <w:p w:rsidR="007B3AF9" w:rsidRPr="00936A70" w:rsidRDefault="007B3AF9" w:rsidP="007B3AF9">
      <w:pPr>
        <w:pStyle w:val="a5"/>
        <w:numPr>
          <w:ilvl w:val="0"/>
          <w:numId w:val="7"/>
        </w:numPr>
        <w:spacing w:before="0" w:beforeAutospacing="0" w:after="0" w:afterAutospacing="0" w:line="480" w:lineRule="auto"/>
        <w:jc w:val="both"/>
        <w:rPr>
          <w:lang w:val="uk-UA"/>
        </w:rPr>
      </w:pPr>
      <w:r w:rsidRPr="00936A70">
        <w:t xml:space="preserve">Мухина Н.А. Интерстициальные болезни легких. М.: </w:t>
      </w:r>
      <w:proofErr w:type="spellStart"/>
      <w:r w:rsidRPr="00936A70">
        <w:t>Литтерра</w:t>
      </w:r>
      <w:proofErr w:type="spellEnd"/>
      <w:r w:rsidRPr="00936A70">
        <w:t>, 2007. – 416с.</w:t>
      </w:r>
    </w:p>
    <w:p w:rsidR="007B3AF9" w:rsidRPr="00936A70" w:rsidRDefault="007B3AF9" w:rsidP="007B3AF9">
      <w:pPr>
        <w:pStyle w:val="ac"/>
        <w:numPr>
          <w:ilvl w:val="0"/>
          <w:numId w:val="7"/>
        </w:numPr>
        <w:spacing w:line="480" w:lineRule="auto"/>
      </w:pPr>
      <w:r w:rsidRPr="00936A70">
        <w:t>Овсянников Д.Ю. Система оказания медицинской помощи детям, страдающим бронхолегочной дисплазией. – М.:МДВ. 2010. – 151с.</w:t>
      </w:r>
    </w:p>
    <w:sectPr w:rsidR="007B3AF9" w:rsidRPr="00936A70" w:rsidSect="00B47B10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EB4" w:rsidRDefault="00152EB4" w:rsidP="002D6A00">
      <w:r>
        <w:separator/>
      </w:r>
    </w:p>
  </w:endnote>
  <w:endnote w:type="continuationSeparator" w:id="0">
    <w:p w:rsidR="00152EB4" w:rsidRDefault="00152EB4" w:rsidP="002D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8722505"/>
      <w:docPartObj>
        <w:docPartGallery w:val="Page Numbers (Bottom of Page)"/>
        <w:docPartUnique/>
      </w:docPartObj>
    </w:sdtPr>
    <w:sdtContent>
      <w:p w:rsidR="002D6A00" w:rsidRDefault="002E6A08">
        <w:pPr>
          <w:pStyle w:val="a8"/>
          <w:jc w:val="right"/>
        </w:pPr>
        <w:r>
          <w:fldChar w:fldCharType="begin"/>
        </w:r>
        <w:r w:rsidR="002D6A00">
          <w:instrText>PAGE   \* MERGEFORMAT</w:instrText>
        </w:r>
        <w:r>
          <w:fldChar w:fldCharType="separate"/>
        </w:r>
        <w:r w:rsidR="002C5E00">
          <w:rPr>
            <w:noProof/>
          </w:rPr>
          <w:t>8</w:t>
        </w:r>
        <w:r>
          <w:fldChar w:fldCharType="end"/>
        </w:r>
      </w:p>
    </w:sdtContent>
  </w:sdt>
  <w:p w:rsidR="002D6A00" w:rsidRDefault="002D6A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EB4" w:rsidRDefault="00152EB4" w:rsidP="002D6A00">
      <w:r>
        <w:separator/>
      </w:r>
    </w:p>
  </w:footnote>
  <w:footnote w:type="continuationSeparator" w:id="0">
    <w:p w:rsidR="00152EB4" w:rsidRDefault="00152EB4" w:rsidP="002D6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4727"/>
    <w:multiLevelType w:val="hybridMultilevel"/>
    <w:tmpl w:val="BD0CEF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B2FD7"/>
    <w:multiLevelType w:val="hybridMultilevel"/>
    <w:tmpl w:val="F2E6E09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011BB"/>
    <w:multiLevelType w:val="hybridMultilevel"/>
    <w:tmpl w:val="A7E6AC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E64A23"/>
    <w:multiLevelType w:val="hybridMultilevel"/>
    <w:tmpl w:val="78B8A5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5D7011"/>
    <w:multiLevelType w:val="hybridMultilevel"/>
    <w:tmpl w:val="78B8A5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2D1A87"/>
    <w:multiLevelType w:val="hybridMultilevel"/>
    <w:tmpl w:val="D9AAEE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2D4994"/>
    <w:multiLevelType w:val="hybridMultilevel"/>
    <w:tmpl w:val="50FE76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B1A"/>
    <w:rsid w:val="00004C42"/>
    <w:rsid w:val="00012C30"/>
    <w:rsid w:val="00016D13"/>
    <w:rsid w:val="000260FD"/>
    <w:rsid w:val="000263A2"/>
    <w:rsid w:val="000443E2"/>
    <w:rsid w:val="000470BB"/>
    <w:rsid w:val="000569B1"/>
    <w:rsid w:val="00062C5B"/>
    <w:rsid w:val="000630D1"/>
    <w:rsid w:val="00070DC5"/>
    <w:rsid w:val="00074DCD"/>
    <w:rsid w:val="0008321A"/>
    <w:rsid w:val="000C2660"/>
    <w:rsid w:val="000C53F7"/>
    <w:rsid w:val="000D67CC"/>
    <w:rsid w:val="000E38A7"/>
    <w:rsid w:val="00100BA4"/>
    <w:rsid w:val="001127D0"/>
    <w:rsid w:val="001323F1"/>
    <w:rsid w:val="0014686B"/>
    <w:rsid w:val="00152EB4"/>
    <w:rsid w:val="00170B1C"/>
    <w:rsid w:val="00177535"/>
    <w:rsid w:val="001960B4"/>
    <w:rsid w:val="001C2DF8"/>
    <w:rsid w:val="001C4E7F"/>
    <w:rsid w:val="00202F1A"/>
    <w:rsid w:val="002076F4"/>
    <w:rsid w:val="00215946"/>
    <w:rsid w:val="0023328A"/>
    <w:rsid w:val="0025228B"/>
    <w:rsid w:val="0029014F"/>
    <w:rsid w:val="002A11C7"/>
    <w:rsid w:val="002C5E00"/>
    <w:rsid w:val="002C7597"/>
    <w:rsid w:val="002D65B2"/>
    <w:rsid w:val="002D6A00"/>
    <w:rsid w:val="002E6A08"/>
    <w:rsid w:val="002F172C"/>
    <w:rsid w:val="002F30C4"/>
    <w:rsid w:val="00306655"/>
    <w:rsid w:val="00317259"/>
    <w:rsid w:val="00332D58"/>
    <w:rsid w:val="00346B79"/>
    <w:rsid w:val="003511DC"/>
    <w:rsid w:val="00353AD9"/>
    <w:rsid w:val="00356EAA"/>
    <w:rsid w:val="00364F18"/>
    <w:rsid w:val="00365DE9"/>
    <w:rsid w:val="00371A08"/>
    <w:rsid w:val="00397600"/>
    <w:rsid w:val="003A529D"/>
    <w:rsid w:val="003A6C7D"/>
    <w:rsid w:val="003C3B11"/>
    <w:rsid w:val="003D1004"/>
    <w:rsid w:val="00403B0F"/>
    <w:rsid w:val="00410293"/>
    <w:rsid w:val="00425DDD"/>
    <w:rsid w:val="00456A72"/>
    <w:rsid w:val="00474B96"/>
    <w:rsid w:val="00482604"/>
    <w:rsid w:val="004A6F33"/>
    <w:rsid w:val="004F6D5F"/>
    <w:rsid w:val="00511757"/>
    <w:rsid w:val="00531B5C"/>
    <w:rsid w:val="005335F8"/>
    <w:rsid w:val="0054259B"/>
    <w:rsid w:val="005608D8"/>
    <w:rsid w:val="005C4C73"/>
    <w:rsid w:val="005C5EE3"/>
    <w:rsid w:val="005C7FD2"/>
    <w:rsid w:val="005D264F"/>
    <w:rsid w:val="005F4D08"/>
    <w:rsid w:val="006334E6"/>
    <w:rsid w:val="006418FF"/>
    <w:rsid w:val="00642FBA"/>
    <w:rsid w:val="00647EB9"/>
    <w:rsid w:val="00655674"/>
    <w:rsid w:val="006A3CDA"/>
    <w:rsid w:val="006A3EE8"/>
    <w:rsid w:val="006B045A"/>
    <w:rsid w:val="006B0DFA"/>
    <w:rsid w:val="006C7759"/>
    <w:rsid w:val="006E21F2"/>
    <w:rsid w:val="00713F5B"/>
    <w:rsid w:val="007203C0"/>
    <w:rsid w:val="00732C41"/>
    <w:rsid w:val="0075127F"/>
    <w:rsid w:val="00760A96"/>
    <w:rsid w:val="00770D51"/>
    <w:rsid w:val="00791DEC"/>
    <w:rsid w:val="007950E0"/>
    <w:rsid w:val="007B3AF9"/>
    <w:rsid w:val="007D4B4D"/>
    <w:rsid w:val="007D7FC2"/>
    <w:rsid w:val="007F1EDA"/>
    <w:rsid w:val="007F3A66"/>
    <w:rsid w:val="00802B1E"/>
    <w:rsid w:val="008345CC"/>
    <w:rsid w:val="00841F57"/>
    <w:rsid w:val="00842E7C"/>
    <w:rsid w:val="008437D0"/>
    <w:rsid w:val="008466A9"/>
    <w:rsid w:val="008521BC"/>
    <w:rsid w:val="008521CF"/>
    <w:rsid w:val="008677CC"/>
    <w:rsid w:val="0087761E"/>
    <w:rsid w:val="00896B2C"/>
    <w:rsid w:val="008B487F"/>
    <w:rsid w:val="008C099E"/>
    <w:rsid w:val="008E2840"/>
    <w:rsid w:val="008E4B77"/>
    <w:rsid w:val="00906994"/>
    <w:rsid w:val="00926654"/>
    <w:rsid w:val="00931A4D"/>
    <w:rsid w:val="00936A70"/>
    <w:rsid w:val="00946F41"/>
    <w:rsid w:val="00960D91"/>
    <w:rsid w:val="00962F85"/>
    <w:rsid w:val="009879DA"/>
    <w:rsid w:val="00990F65"/>
    <w:rsid w:val="00996FE9"/>
    <w:rsid w:val="009A2077"/>
    <w:rsid w:val="009C791A"/>
    <w:rsid w:val="009D183E"/>
    <w:rsid w:val="009D21E8"/>
    <w:rsid w:val="009D6B3A"/>
    <w:rsid w:val="009E02D7"/>
    <w:rsid w:val="00A03D2B"/>
    <w:rsid w:val="00A04010"/>
    <w:rsid w:val="00A12617"/>
    <w:rsid w:val="00A13094"/>
    <w:rsid w:val="00A14A1D"/>
    <w:rsid w:val="00A156DB"/>
    <w:rsid w:val="00A21462"/>
    <w:rsid w:val="00A4132B"/>
    <w:rsid w:val="00A44514"/>
    <w:rsid w:val="00A62346"/>
    <w:rsid w:val="00A70736"/>
    <w:rsid w:val="00A71D78"/>
    <w:rsid w:val="00A727B1"/>
    <w:rsid w:val="00A776B1"/>
    <w:rsid w:val="00A92B3F"/>
    <w:rsid w:val="00A95974"/>
    <w:rsid w:val="00AD1DA1"/>
    <w:rsid w:val="00AE25E8"/>
    <w:rsid w:val="00AE3B05"/>
    <w:rsid w:val="00AF117E"/>
    <w:rsid w:val="00B064FF"/>
    <w:rsid w:val="00B21C3B"/>
    <w:rsid w:val="00B24953"/>
    <w:rsid w:val="00B24C74"/>
    <w:rsid w:val="00B42CC0"/>
    <w:rsid w:val="00B440AF"/>
    <w:rsid w:val="00B47B10"/>
    <w:rsid w:val="00B9124E"/>
    <w:rsid w:val="00BA237A"/>
    <w:rsid w:val="00BA426B"/>
    <w:rsid w:val="00BB00FA"/>
    <w:rsid w:val="00BB0150"/>
    <w:rsid w:val="00BB1947"/>
    <w:rsid w:val="00BC508B"/>
    <w:rsid w:val="00BE5152"/>
    <w:rsid w:val="00C02604"/>
    <w:rsid w:val="00C07D18"/>
    <w:rsid w:val="00C1600C"/>
    <w:rsid w:val="00C164E7"/>
    <w:rsid w:val="00C21F17"/>
    <w:rsid w:val="00C22C89"/>
    <w:rsid w:val="00C43F2D"/>
    <w:rsid w:val="00C451D1"/>
    <w:rsid w:val="00C47832"/>
    <w:rsid w:val="00C65912"/>
    <w:rsid w:val="00C867AF"/>
    <w:rsid w:val="00C87798"/>
    <w:rsid w:val="00C90290"/>
    <w:rsid w:val="00CA3F5A"/>
    <w:rsid w:val="00CC0B06"/>
    <w:rsid w:val="00CE7C8E"/>
    <w:rsid w:val="00CF2267"/>
    <w:rsid w:val="00D07AC5"/>
    <w:rsid w:val="00D21342"/>
    <w:rsid w:val="00D72DA9"/>
    <w:rsid w:val="00D9017C"/>
    <w:rsid w:val="00D93B1A"/>
    <w:rsid w:val="00DB0A96"/>
    <w:rsid w:val="00DB3D44"/>
    <w:rsid w:val="00DB4036"/>
    <w:rsid w:val="00DC352B"/>
    <w:rsid w:val="00DD4A9C"/>
    <w:rsid w:val="00DD6051"/>
    <w:rsid w:val="00DE4F20"/>
    <w:rsid w:val="00E31F47"/>
    <w:rsid w:val="00E412DA"/>
    <w:rsid w:val="00E420FF"/>
    <w:rsid w:val="00E71863"/>
    <w:rsid w:val="00E72A91"/>
    <w:rsid w:val="00E87950"/>
    <w:rsid w:val="00EA648E"/>
    <w:rsid w:val="00EB52C6"/>
    <w:rsid w:val="00EC204F"/>
    <w:rsid w:val="00ED4B0D"/>
    <w:rsid w:val="00EE71EB"/>
    <w:rsid w:val="00EF0E95"/>
    <w:rsid w:val="00EF54C5"/>
    <w:rsid w:val="00EF5940"/>
    <w:rsid w:val="00F002D2"/>
    <w:rsid w:val="00F05CFD"/>
    <w:rsid w:val="00F06314"/>
    <w:rsid w:val="00F40D3F"/>
    <w:rsid w:val="00F46DD9"/>
    <w:rsid w:val="00F63786"/>
    <w:rsid w:val="00F8609A"/>
    <w:rsid w:val="00FA6C05"/>
    <w:rsid w:val="00FB4476"/>
    <w:rsid w:val="00FC1058"/>
    <w:rsid w:val="00FD5C7E"/>
    <w:rsid w:val="00FD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608D8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5608D8"/>
  </w:style>
  <w:style w:type="paragraph" w:styleId="a5">
    <w:name w:val="Normal (Web)"/>
    <w:basedOn w:val="a"/>
    <w:uiPriority w:val="99"/>
    <w:unhideWhenUsed/>
    <w:rsid w:val="006B0DFA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2D6A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6A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D6A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6A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A6C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6C0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FD703D"/>
    <w:pPr>
      <w:ind w:left="720"/>
      <w:contextualSpacing/>
    </w:pPr>
  </w:style>
  <w:style w:type="character" w:customStyle="1" w:styleId="hps">
    <w:name w:val="hps"/>
    <w:basedOn w:val="a0"/>
    <w:rsid w:val="00B24C74"/>
  </w:style>
  <w:style w:type="character" w:customStyle="1" w:styleId="atn">
    <w:name w:val="atn"/>
    <w:basedOn w:val="a0"/>
    <w:rsid w:val="00B24C74"/>
  </w:style>
  <w:style w:type="table" w:styleId="ad">
    <w:name w:val="Table Grid"/>
    <w:basedOn w:val="a1"/>
    <w:uiPriority w:val="59"/>
    <w:rsid w:val="00215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34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69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56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706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129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3187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589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6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97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8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8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3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661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90209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4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94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88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18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45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1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356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75789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464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2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22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25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42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87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99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91743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51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9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7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93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02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34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3313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088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2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7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13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3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1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12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45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34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702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57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21135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051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33ED6-B5ED-473A-8140-99C3B3650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2701</Words>
  <Characters>15401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cp:lastPrinted>2013-02-17T23:31:00Z</cp:lastPrinted>
  <dcterms:created xsi:type="dcterms:W3CDTF">2013-03-11T12:33:00Z</dcterms:created>
  <dcterms:modified xsi:type="dcterms:W3CDTF">2014-10-31T07:36:00Z</dcterms:modified>
</cp:coreProperties>
</file>