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22" w:rsidRPr="001B70CF" w:rsidRDefault="000A4A1D" w:rsidP="007E7C53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The Hemodynamic of </w:t>
      </w:r>
      <w:proofErr w:type="spellStart"/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B</w:t>
      </w:r>
      <w:r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ichorionic</w:t>
      </w:r>
      <w:proofErr w:type="spellEnd"/>
      <w:r w:rsidRPr="001B70CF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B</w:t>
      </w:r>
      <w:r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iamniotic</w:t>
      </w:r>
      <w:proofErr w:type="spellEnd"/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T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wins in Early Neonatal Period </w:t>
      </w:r>
    </w:p>
    <w:p w:rsidR="00D43322" w:rsidRPr="001B70CF" w:rsidRDefault="007103FE" w:rsidP="007E7C53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O.</w:t>
      </w:r>
      <w:r w:rsidR="00436CF4"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Riga,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 </w:t>
      </w:r>
      <w:r w:rsidR="00406E57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M.Gonchar, </w:t>
      </w:r>
      <w:r w:rsidR="002769F8"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A.Senatorova</w:t>
      </w:r>
      <w:r w:rsidR="002769F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, </w:t>
      </w:r>
      <w:r w:rsidR="000A4A1D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 xml:space="preserve">A.Boychenko, </w:t>
      </w:r>
      <w:r w:rsidR="00BB0218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I.Vasilyeva</w:t>
      </w:r>
    </w:p>
    <w:p w:rsidR="00C71922" w:rsidRPr="001B70CF" w:rsidRDefault="00C71922" w:rsidP="007E7C53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1B70CF">
        <w:rPr>
          <w:rFonts w:ascii="Times New Roman" w:hAnsi="Times New Roman" w:cs="Times New Roman"/>
          <w:color w:val="000000"/>
          <w:spacing w:val="-4"/>
          <w:sz w:val="28"/>
          <w:szCs w:val="28"/>
          <w:lang w:val="it-IT"/>
        </w:rPr>
        <w:t>Kharkiv National Medical University, Ukraine</w:t>
      </w:r>
    </w:p>
    <w:p w:rsidR="00C71922" w:rsidRPr="001B70CF" w:rsidRDefault="00C71922" w:rsidP="00436CF4">
      <w:pPr>
        <w:spacing w:line="360" w:lineRule="auto"/>
        <w:contextualSpacing/>
        <w:jc w:val="both"/>
        <w:rPr>
          <w:rFonts w:cs="Times New Roman"/>
          <w:spacing w:val="-4"/>
          <w:sz w:val="28"/>
          <w:szCs w:val="28"/>
          <w:lang w:val="en-US"/>
        </w:rPr>
      </w:pPr>
      <w:proofErr w:type="gramStart"/>
      <w:r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Background</w:t>
      </w:r>
      <w:r w:rsidR="00D43322"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  <w:proofErr w:type="gramEnd"/>
      <w:r w:rsidR="00D43322"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The</w:t>
      </w:r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43322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m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ultiple pregnancies are associated with placental dysfunction</w:t>
      </w:r>
      <w:r w:rsidR="001B70CF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and pathology of early neonatal period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. The </w:t>
      </w:r>
      <w:r w:rsidR="000A4A1D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objectives</w:t>
      </w:r>
      <w:r w:rsidR="008E577F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of 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study was to </w:t>
      </w:r>
      <w:r w:rsidR="008E577F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investigat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e </w:t>
      </w:r>
      <w:r w:rsidR="000A4A1D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central and cerebral hemodynamic in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early neonatal </w:t>
      </w:r>
      <w:r w:rsidR="000A4A1D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period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in </w:t>
      </w:r>
      <w:proofErr w:type="spellStart"/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bichorionic</w:t>
      </w:r>
      <w:proofErr w:type="spellEnd"/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proofErr w:type="spellStart"/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biamniotic</w:t>
      </w:r>
      <w:proofErr w:type="spellEnd"/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twins. </w:t>
      </w:r>
      <w:proofErr w:type="spellStart"/>
      <w:proofErr w:type="gramStart"/>
      <w:r w:rsidR="000A4A1D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Matherial</w:t>
      </w:r>
      <w:proofErr w:type="spellEnd"/>
      <w:r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.</w:t>
      </w:r>
      <w:proofErr w:type="gramEnd"/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Prospective case-control investigation of </w:t>
      </w:r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central and cerebral hemodynamic </w:t>
      </w:r>
      <w:r w:rsidR="00DF778A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was </w:t>
      </w:r>
      <w:r w:rsidR="00191B00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performed</w:t>
      </w:r>
      <w:r w:rsidR="00DF778A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 </w:t>
      </w:r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62 </w:t>
      </w:r>
      <w:r w:rsidR="00DF778A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twins </w:t>
      </w:r>
      <w:r w:rsidR="00CC398C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(37 without intrauterine growth retardation (IGR) </w:t>
      </w:r>
      <w:r w:rsidR="00DF778A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and 2</w:t>
      </w:r>
      <w:r w:rsidR="00CC398C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5 with IGR), and 48</w:t>
      </w:r>
      <w:r w:rsidR="00DF778A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singletons</w:t>
      </w:r>
      <w:r w:rsidR="00CC398C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(25 without IGR and 23 with IGR).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The routine </w:t>
      </w:r>
      <w:r w:rsidRP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sings of </w:t>
      </w:r>
      <w:r w:rsidR="0012527A" w:rsidRP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>hemodynamic</w:t>
      </w:r>
      <w:r w:rsidRP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were </w:t>
      </w:r>
      <w:r w:rsidR="00CC398C" w:rsidRP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investigated </w:t>
      </w:r>
      <w:r w:rsid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>(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en-US"/>
        </w:rPr>
        <w:t>Philips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en-US"/>
        </w:rPr>
        <w:t>HD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uk-UA"/>
        </w:rPr>
        <w:t xml:space="preserve">7 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en-US"/>
        </w:rPr>
        <w:t>XE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en-US"/>
        </w:rPr>
        <w:t>unit</w:t>
      </w:r>
      <w:r w:rsidR="0012527A">
        <w:rPr>
          <w:rFonts w:ascii="Times New Roman" w:hAnsi="Times New Roman"/>
          <w:spacing w:val="-4"/>
          <w:sz w:val="28"/>
          <w:szCs w:val="28"/>
          <w:lang w:val="en-US"/>
        </w:rPr>
        <w:t xml:space="preserve">, </w:t>
      </w:r>
      <w:bookmarkStart w:id="0" w:name="_GoBack"/>
      <w:bookmarkEnd w:id="0"/>
      <w:r w:rsidR="0012527A" w:rsidRPr="0012527A">
        <w:rPr>
          <w:rFonts w:ascii="Times New Roman" w:hAnsi="Times New Roman"/>
          <w:spacing w:val="-4"/>
          <w:sz w:val="28"/>
          <w:szCs w:val="28"/>
          <w:lang w:val="en-US"/>
        </w:rPr>
        <w:t>the Netherlands</w:t>
      </w:r>
      <w:r w:rsidR="00484975" w:rsidRPr="0012527A">
        <w:rPr>
          <w:rFonts w:ascii="Times New Roman" w:hAnsi="Times New Roman"/>
          <w:spacing w:val="-4"/>
          <w:sz w:val="28"/>
          <w:szCs w:val="28"/>
          <w:lang w:val="uk-UA"/>
        </w:rPr>
        <w:t>).</w:t>
      </w:r>
      <w:r w:rsidR="00484975" w:rsidRPr="001B70CF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For </w:t>
      </w:r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comparison of multiple groups, </w:t>
      </w:r>
      <w:proofErr w:type="spellStart"/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>Kruskal</w:t>
      </w:r>
      <w:proofErr w:type="spellEnd"/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-Wallis 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="00CC398C">
        <w:rPr>
          <w:rFonts w:ascii="Times New Roman" w:hAnsi="Times New Roman" w:cs="Times New Roman"/>
          <w:spacing w:val="-4"/>
          <w:sz w:val="28"/>
          <w:szCs w:val="28"/>
          <w:lang w:val="en-US"/>
        </w:rPr>
        <w:t>NOVA on p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rogram STATISTICA 7</w:t>
      </w:r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Results.</w:t>
      </w:r>
      <w:proofErr w:type="gramEnd"/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The pregnancy course in women with</w:t>
      </w:r>
      <w:r w:rsidR="00484975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twins and singletons </w:t>
      </w:r>
      <w:r w:rsidR="00DF273F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was not difference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except increase</w:t>
      </w:r>
      <w:r w:rsidR="004672DD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="00933AAC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rate of in vitro fertilization (p=0.0006)</w:t>
      </w:r>
      <w:r w:rsidR="00407720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,</w:t>
      </w:r>
      <w:r w:rsidR="00933AAC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and cesarean section (p=0.001)</w:t>
      </w:r>
      <w:r w:rsidR="000F35A8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multiple pregnancy</w:t>
      </w:r>
      <w:r w:rsidR="00933AAC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.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D90C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The third twins ware “near term infants”.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There </w:t>
      </w:r>
      <w:r w:rsidR="005F0326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were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significant difference</w:t>
      </w:r>
      <w:r w:rsidR="00CE04ED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in </w:t>
      </w:r>
      <w:r w:rsidR="00D90C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decreasing of </w:t>
      </w:r>
      <w:proofErr w:type="spellStart"/>
      <w:r w:rsidR="00D90CC6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5F0326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min</w:t>
      </w:r>
      <w:proofErr w:type="spellEnd"/>
      <w:r w:rsidR="005F0326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430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(11 cm/s) 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at</w:t>
      </w:r>
      <w:r w:rsidR="005F0326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D90CC6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third day of life in </w:t>
      </w:r>
      <w:r w:rsidR="0036349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twins with IGR </w:t>
      </w:r>
      <w:r w:rsidR="005F0326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comparing singletons</w:t>
      </w:r>
      <w:r w:rsidR="001E19CA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36349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and twins without IGR in medium cerebral artery. 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At this time </w:t>
      </w:r>
      <w:r w:rsidR="0036349D">
        <w:rPr>
          <w:rFonts w:ascii="Times New Roman" w:hAnsi="Times New Roman" w:cs="Times New Roman"/>
          <w:spacing w:val="-4"/>
          <w:sz w:val="28"/>
          <w:szCs w:val="28"/>
          <w:lang w:val="en-US"/>
        </w:rPr>
        <w:t>registration of decreasing cardiac output (</w:t>
      </w:r>
      <w:r w:rsidR="0012527A">
        <w:rPr>
          <w:rFonts w:ascii="Times New Roman" w:hAnsi="Times New Roman" w:cs="Times New Roman"/>
          <w:spacing w:val="-4"/>
          <w:sz w:val="28"/>
          <w:szCs w:val="28"/>
          <w:lang w:val="en-US"/>
        </w:rPr>
        <w:t>60±</w:t>
      </w:r>
      <w:proofErr w:type="gramStart"/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>2.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7%</w:t>
      </w:r>
      <w:proofErr w:type="gramEnd"/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) was present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with correlation on </w:t>
      </w:r>
      <w:proofErr w:type="spellStart"/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="006D74C1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min</w:t>
      </w:r>
      <w:proofErr w:type="spellEnd"/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(r=0.68,</w:t>
      </w:r>
      <w:r w:rsidR="006D74C1" w:rsidRP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6D74C1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p&lt;0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="006D74C1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05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)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The twins and singletons had no difference in central hemodynamic regimen: 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53.2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% twins and 56.2% </w:t>
      </w:r>
      <w:proofErr w:type="spellStart"/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>normo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kinetic</w:t>
      </w:r>
      <w:proofErr w:type="spellEnd"/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>, p=0.75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47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; </w:t>
      </w:r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>35.4</w:t>
      </w:r>
      <w:r w:rsidR="000F35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% twins and </w:t>
      </w:r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41.6% singletons hyperkinetic, p=0.5208; and 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11</w:t>
      </w:r>
      <w:r w:rsidR="00081ABD">
        <w:rPr>
          <w:rFonts w:ascii="Times New Roman" w:hAnsi="Times New Roman" w:cs="Times New Roman"/>
          <w:spacing w:val="-4"/>
          <w:sz w:val="28"/>
          <w:szCs w:val="28"/>
          <w:lang w:val="en-US"/>
        </w:rPr>
        <w:t>.4%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and 2.2% </w:t>
      </w:r>
      <w:proofErr w:type="spellStart"/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hypokinetic</w:t>
      </w:r>
      <w:proofErr w:type="spellEnd"/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6D74C1" w:rsidRP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respectively</w:t>
      </w:r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p=0.0706. </w:t>
      </w:r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There was correlation between </w:t>
      </w:r>
      <w:r w:rsidR="006D74C1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resistance index in </w:t>
      </w:r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anterior cerebral artery and </w:t>
      </w:r>
      <w:proofErr w:type="spellStart"/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ductus</w:t>
      </w:r>
      <w:proofErr w:type="spellEnd"/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arteriosus</w:t>
      </w:r>
      <w:proofErr w:type="spellEnd"/>
      <w:r w:rsidR="00436CF4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diameter </w:t>
      </w:r>
      <w:r w:rsidR="00BB0218">
        <w:rPr>
          <w:rFonts w:ascii="Times New Roman" w:hAnsi="Times New Roman" w:cs="Times New Roman"/>
          <w:spacing w:val="-4"/>
          <w:sz w:val="28"/>
          <w:szCs w:val="28"/>
          <w:lang w:val="en-US"/>
        </w:rPr>
        <w:t>(r=0.</w:t>
      </w:r>
      <w:r w:rsidR="00436CF4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5, p&lt;0</w:t>
      </w:r>
      <w:r w:rsidR="00BB0218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="00436CF4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05)</w:t>
      </w:r>
      <w:proofErr w:type="gramStart"/>
      <w:r w:rsidR="006D74C1">
        <w:rPr>
          <w:rFonts w:ascii="Times New Roman" w:hAnsi="Times New Roman" w:cs="Times New Roman"/>
          <w:spacing w:val="-4"/>
          <w:sz w:val="28"/>
          <w:szCs w:val="28"/>
          <w:lang w:val="en-US"/>
        </w:rPr>
        <w:t>;</w:t>
      </w:r>
      <w:proofErr w:type="gramEnd"/>
      <w:r w:rsidR="00BE336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B9382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systolic index </w:t>
      </w:r>
      <w:r w:rsidR="00B9382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and </w:t>
      </w:r>
      <w:proofErr w:type="spellStart"/>
      <w:r w:rsidR="00B9382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ductus</w:t>
      </w:r>
      <w:proofErr w:type="spellEnd"/>
      <w:r w:rsidR="00B9382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="00B9382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arteriosus</w:t>
      </w:r>
      <w:proofErr w:type="spellEnd"/>
      <w:r w:rsidR="00B9382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diameter</w:t>
      </w:r>
      <w:r w:rsidR="00430AD5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(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r=-0.45</w:t>
      </w:r>
      <w:r w:rsidR="00314237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, p&lt;0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="00314237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05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), and </w:t>
      </w:r>
      <w:proofErr w:type="spellStart"/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ductus</w:t>
      </w:r>
      <w:proofErr w:type="spellEnd"/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</w:t>
      </w:r>
      <w:proofErr w:type="spellStart"/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arteriosus</w:t>
      </w:r>
      <w:proofErr w:type="spellEnd"/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functional </w:t>
      </w:r>
      <w:r w:rsidR="00420169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period in days</w:t>
      </w:r>
      <w:r w:rsidR="00314237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 xml:space="preserve"> (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r=-0.48</w:t>
      </w:r>
      <w:r w:rsidR="00314237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, p&lt;0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  <w:r w:rsidR="00314237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05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).</w:t>
      </w:r>
      <w:r w:rsidR="00436CF4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BB0218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Conclusions.</w:t>
      </w:r>
      <w:proofErr w:type="gramEnd"/>
      <w:r w:rsidR="00A71803"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We </w:t>
      </w:r>
      <w:r w:rsidR="00430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speculate about risk of brain ischemia in </w:t>
      </w:r>
      <w:proofErr w:type="spellStart"/>
      <w:r w:rsidR="00430AD5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bichorionic</w:t>
      </w:r>
      <w:proofErr w:type="spellEnd"/>
      <w:r w:rsidR="00430AD5" w:rsidRPr="001B70CF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="00430AD5" w:rsidRPr="001B70CF"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biamniotic</w:t>
      </w:r>
      <w:proofErr w:type="spellEnd"/>
      <w:r w:rsidR="00430AD5" w:rsidRPr="001B70CF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</w:t>
      </w:r>
      <w:r w:rsidR="00430AD5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twins with IGR on third day of life due to 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decrease </w:t>
      </w:r>
      <w:r w:rsidRPr="001B70CF">
        <w:rPr>
          <w:rFonts w:ascii="Times New Roman" w:hAnsi="Times New Roman" w:cs="Times New Roman"/>
          <w:spacing w:val="-4"/>
          <w:sz w:val="28"/>
          <w:szCs w:val="28"/>
          <w:lang w:val="en-US"/>
        </w:rPr>
        <w:t>o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f cardiac output (</w:t>
      </w:r>
      <w:proofErr w:type="spellStart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hypokinetic</w:t>
      </w:r>
      <w:proofErr w:type="spellEnd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hemodynamic regimen) on </w:t>
      </w:r>
      <w:proofErr w:type="gramStart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decrease catecholamine labor stress</w:t>
      </w:r>
      <w:proofErr w:type="gramEnd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in “near term” infants with premature brain </w:t>
      </w:r>
      <w:proofErr w:type="spellStart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autoregulation</w:t>
      </w:r>
      <w:proofErr w:type="spellEnd"/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The regimen of </w:t>
      </w:r>
      <w:r w:rsidR="0042016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central </w:t>
      </w:r>
      <w:r w:rsidR="00314237">
        <w:rPr>
          <w:rFonts w:ascii="Times New Roman" w:hAnsi="Times New Roman" w:cs="Times New Roman"/>
          <w:spacing w:val="-4"/>
          <w:sz w:val="28"/>
          <w:szCs w:val="28"/>
          <w:lang w:val="en-US"/>
        </w:rPr>
        <w:t>he</w:t>
      </w:r>
      <w:r w:rsidR="00420169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modynamic depends on the diameter and its functional period. </w:t>
      </w:r>
    </w:p>
    <w:sectPr w:rsidR="00C71922" w:rsidRPr="001B70CF" w:rsidSect="00240C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DC" w:rsidRDefault="001513DC" w:rsidP="00DF6A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13DC" w:rsidRDefault="001513DC" w:rsidP="00DF6A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22" w:rsidRDefault="0047003B">
    <w:pPr>
      <w:pStyle w:val="a9"/>
      <w:jc w:val="right"/>
      <w:rPr>
        <w:rFonts w:cs="Times New Roman"/>
      </w:rPr>
    </w:pPr>
    <w:r>
      <w:fldChar w:fldCharType="begin"/>
    </w:r>
    <w:r w:rsidR="00A73268">
      <w:instrText>PAGE   \* MERGEFORMAT</w:instrText>
    </w:r>
    <w:r>
      <w:fldChar w:fldCharType="separate"/>
    </w:r>
    <w:r w:rsidR="002769F8">
      <w:rPr>
        <w:noProof/>
      </w:rPr>
      <w:t>1</w:t>
    </w:r>
    <w:r>
      <w:rPr>
        <w:noProof/>
      </w:rPr>
      <w:fldChar w:fldCharType="end"/>
    </w:r>
  </w:p>
  <w:p w:rsidR="00C71922" w:rsidRDefault="00C71922">
    <w:pPr>
      <w:pStyle w:val="a9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DC" w:rsidRDefault="001513DC" w:rsidP="00DF6A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13DC" w:rsidRDefault="001513DC" w:rsidP="00DF6A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7C3"/>
    <w:multiLevelType w:val="hybridMultilevel"/>
    <w:tmpl w:val="4EDA7CA8"/>
    <w:lvl w:ilvl="0" w:tplc="B41C0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A08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5C4AA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CF63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62BE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367A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B6E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ECCD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14265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7A707E6"/>
    <w:multiLevelType w:val="hybridMultilevel"/>
    <w:tmpl w:val="6F4A013C"/>
    <w:lvl w:ilvl="0" w:tplc="C5DAE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D6B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D8A9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6E91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84DE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68B9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6A79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6380B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9232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8DA170E"/>
    <w:multiLevelType w:val="hybridMultilevel"/>
    <w:tmpl w:val="749C0772"/>
    <w:lvl w:ilvl="0" w:tplc="E3140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4E4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54ED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D846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C893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B707B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B253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BB69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30C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DE14F18"/>
    <w:multiLevelType w:val="hybridMultilevel"/>
    <w:tmpl w:val="02C0EF02"/>
    <w:lvl w:ilvl="0" w:tplc="CE7E4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B28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E58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3C252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A38F1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5E3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8A7F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BCC4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B2CBFA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5582C60"/>
    <w:multiLevelType w:val="hybridMultilevel"/>
    <w:tmpl w:val="2416ADA0"/>
    <w:lvl w:ilvl="0" w:tplc="45B4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6C4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0A88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30F7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AC4A9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D2E80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942CF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FF282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E2429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0523"/>
    <w:rsid w:val="00081ABD"/>
    <w:rsid w:val="000A4A1D"/>
    <w:rsid w:val="000A77F9"/>
    <w:rsid w:val="000E63AD"/>
    <w:rsid w:val="000F35A8"/>
    <w:rsid w:val="0012527A"/>
    <w:rsid w:val="001513DC"/>
    <w:rsid w:val="00191B00"/>
    <w:rsid w:val="001B70CF"/>
    <w:rsid w:val="001E19CA"/>
    <w:rsid w:val="00212480"/>
    <w:rsid w:val="00240C6E"/>
    <w:rsid w:val="002769F8"/>
    <w:rsid w:val="00314237"/>
    <w:rsid w:val="00332EDC"/>
    <w:rsid w:val="0036349D"/>
    <w:rsid w:val="00406E57"/>
    <w:rsid w:val="00407720"/>
    <w:rsid w:val="00420169"/>
    <w:rsid w:val="00430AD5"/>
    <w:rsid w:val="00436CF4"/>
    <w:rsid w:val="00445190"/>
    <w:rsid w:val="004672DD"/>
    <w:rsid w:val="0047003B"/>
    <w:rsid w:val="00484975"/>
    <w:rsid w:val="00497F26"/>
    <w:rsid w:val="004E7D3B"/>
    <w:rsid w:val="0051017B"/>
    <w:rsid w:val="005170B2"/>
    <w:rsid w:val="005F0326"/>
    <w:rsid w:val="006136CB"/>
    <w:rsid w:val="006808BC"/>
    <w:rsid w:val="006B62EA"/>
    <w:rsid w:val="006D74C1"/>
    <w:rsid w:val="007103FE"/>
    <w:rsid w:val="00720523"/>
    <w:rsid w:val="007430EC"/>
    <w:rsid w:val="0077514D"/>
    <w:rsid w:val="007C46FF"/>
    <w:rsid w:val="007E7C53"/>
    <w:rsid w:val="0081645E"/>
    <w:rsid w:val="008E577F"/>
    <w:rsid w:val="00921073"/>
    <w:rsid w:val="00933AAC"/>
    <w:rsid w:val="0098213D"/>
    <w:rsid w:val="00A71803"/>
    <w:rsid w:val="00A73268"/>
    <w:rsid w:val="00B9382F"/>
    <w:rsid w:val="00BB0218"/>
    <w:rsid w:val="00BE336B"/>
    <w:rsid w:val="00C24B4C"/>
    <w:rsid w:val="00C71922"/>
    <w:rsid w:val="00CC398C"/>
    <w:rsid w:val="00CE04ED"/>
    <w:rsid w:val="00D43322"/>
    <w:rsid w:val="00D90CC6"/>
    <w:rsid w:val="00DF273F"/>
    <w:rsid w:val="00DF6AE2"/>
    <w:rsid w:val="00DF778A"/>
    <w:rsid w:val="00F051B5"/>
    <w:rsid w:val="00F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6E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08B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808B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808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08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F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F6AE2"/>
  </w:style>
  <w:style w:type="character" w:customStyle="1" w:styleId="aa">
    <w:name w:val="Нижний колонтитул Знак"/>
    <w:basedOn w:val="a0"/>
    <w:link w:val="a9"/>
    <w:uiPriority w:val="99"/>
    <w:locked/>
    <w:rsid w:val="00DF6AE2"/>
  </w:style>
  <w:style w:type="paragraph" w:styleId="ab">
    <w:name w:val="Revision"/>
    <w:hidden/>
    <w:uiPriority w:val="99"/>
    <w:semiHidden/>
    <w:rsid w:val="001B70CF"/>
    <w:pPr>
      <w:spacing w:after="0" w:line="240" w:lineRule="auto"/>
    </w:pPr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04D6-DBE5-45CA-8BD2-020943EA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FETAL HAEMODINAMIC AND NEONATAL CEREBRAL CIRCULATION IN MATERNAL THREATENED PRETERM LABORG</vt:lpstr>
    </vt:vector>
  </TitlesOfParts>
  <Company>Krokoz™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FETAL HAEMODINAMIC AND NEONATAL CEREBRAL CIRCULATION IN MATERNAL THREATENED PRETERM LABORG</dc:title>
  <dc:creator>Kafedra1</dc:creator>
  <cp:lastModifiedBy>user</cp:lastModifiedBy>
  <cp:revision>10</cp:revision>
  <dcterms:created xsi:type="dcterms:W3CDTF">2014-01-30T08:44:00Z</dcterms:created>
  <dcterms:modified xsi:type="dcterms:W3CDTF">2014-01-31T09:30:00Z</dcterms:modified>
</cp:coreProperties>
</file>