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62B" w:rsidRPr="001A617F" w:rsidRDefault="00A7595B" w:rsidP="00A7595B">
      <w:pPr>
        <w:jc w:val="right"/>
        <w:rPr>
          <w:rFonts w:ascii="Impact" w:hAnsi="Impact"/>
        </w:rPr>
      </w:pPr>
      <w:bookmarkStart w:id="0" w:name="_GoBack"/>
      <w:bookmarkEnd w:id="0"/>
      <w:r>
        <w:rPr>
          <w:rFonts w:ascii="Impact" w:hAnsi="Impact"/>
        </w:rPr>
        <w:t>УДК 615.</w:t>
      </w:r>
      <w:r w:rsidR="002102D2" w:rsidRPr="001A617F">
        <w:rPr>
          <w:rFonts w:ascii="Impact" w:hAnsi="Impact"/>
        </w:rPr>
        <w:t>32.454.12</w:t>
      </w:r>
    </w:p>
    <w:p w:rsidR="00A7595B" w:rsidRDefault="00C04D3D" w:rsidP="00A7595B">
      <w:pPr>
        <w:pStyle w:val="a3"/>
        <w:spacing w:line="240" w:lineRule="auto"/>
      </w:pPr>
      <w:r w:rsidRPr="001A617F">
        <w:t>ИЗУЧЕНИЕ ВЛИЯНИЯ</w:t>
      </w:r>
      <w:r w:rsidR="00A7595B" w:rsidRPr="001A617F">
        <w:t xml:space="preserve"> КОМБИНАЦИИ БУФЕРНОГО КОМПЛЕКСА С РАСТИТЕЛЬНЫМ ЭКСТРАКТОМ НА ОБМЕН </w:t>
      </w:r>
      <w:r w:rsidR="001A617F" w:rsidRPr="001A617F">
        <w:t xml:space="preserve">КАЛЬЦИЯ И ФОСФОРА </w:t>
      </w:r>
      <w:r w:rsidR="00A7595B" w:rsidRPr="001A617F">
        <w:t>У НЕПОЛОВОЗРЕЛЫХ КРЫС</w:t>
      </w:r>
      <w:r w:rsidR="001A617F" w:rsidRPr="001A617F">
        <w:t xml:space="preserve"> В</w:t>
      </w:r>
      <w:r w:rsidR="001A617F">
        <w:t xml:space="preserve"> ЭКСПЕРИМЕНТЕ</w:t>
      </w:r>
    </w:p>
    <w:p w:rsidR="00A7595B" w:rsidRDefault="00A7595B" w:rsidP="00A7595B">
      <w:pPr>
        <w:spacing w:line="240" w:lineRule="auto"/>
        <w:jc w:val="center"/>
        <w:rPr>
          <w:rFonts w:ascii="Impact" w:hAnsi="Impact"/>
        </w:rPr>
      </w:pPr>
      <w:r>
        <w:rPr>
          <w:rFonts w:ascii="Impact" w:hAnsi="Impact"/>
        </w:rPr>
        <w:t>Т.И. Ермоленко</w:t>
      </w:r>
    </w:p>
    <w:p w:rsidR="00E97FFC" w:rsidRPr="00C04D3D" w:rsidRDefault="00E97FFC" w:rsidP="00E97FFC">
      <w:pPr>
        <w:spacing w:after="0" w:line="240" w:lineRule="auto"/>
        <w:ind w:firstLine="709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В эксперименте на неполовозрелых крысах линии </w:t>
      </w:r>
      <w:proofErr w:type="spellStart"/>
      <w:r w:rsidRPr="00E97FFC">
        <w:rPr>
          <w:rFonts w:ascii="Georgia" w:hAnsi="Georgia"/>
          <w:lang w:val="en-US"/>
        </w:rPr>
        <w:t>Vistar</w:t>
      </w:r>
      <w:proofErr w:type="spellEnd"/>
      <w:r w:rsidR="00FF64EF">
        <w:rPr>
          <w:rFonts w:ascii="Georgia" w:hAnsi="Georgia"/>
        </w:rPr>
        <w:t xml:space="preserve"> массой 40</w:t>
      </w:r>
      <w:r w:rsidRPr="00E97FFC">
        <w:rPr>
          <w:rFonts w:ascii="Georgia" w:hAnsi="Georgia"/>
        </w:rPr>
        <w:t xml:space="preserve">–50 г изучено влияние </w:t>
      </w:r>
      <w:proofErr w:type="spellStart"/>
      <w:r w:rsidRPr="00E97FFC">
        <w:rPr>
          <w:rFonts w:ascii="Georgia" w:hAnsi="Georgia"/>
        </w:rPr>
        <w:t>Фларосукцина</w:t>
      </w:r>
      <w:proofErr w:type="spellEnd"/>
      <w:r w:rsidRPr="00E97FFC">
        <w:rPr>
          <w:rFonts w:ascii="Georgia" w:hAnsi="Georgia"/>
        </w:rPr>
        <w:t xml:space="preserve"> на кальциево-фосфорный гомеостаз при экспериментальной острой почечной недостаточности. </w:t>
      </w:r>
      <w:proofErr w:type="spellStart"/>
      <w:r w:rsidRPr="00E97FFC">
        <w:rPr>
          <w:rFonts w:ascii="Georgia" w:hAnsi="Georgia"/>
        </w:rPr>
        <w:t>Фларосукцин</w:t>
      </w:r>
      <w:proofErr w:type="spellEnd"/>
      <w:r w:rsidRPr="00E97FFC">
        <w:rPr>
          <w:rFonts w:ascii="Georgia" w:hAnsi="Georgia"/>
        </w:rPr>
        <w:t xml:space="preserve"> вводили в двух дозах: 2 ,0 мл/кг – эффективная </w:t>
      </w:r>
      <w:proofErr w:type="gramStart"/>
      <w:r w:rsidRPr="00E97FFC">
        <w:rPr>
          <w:rFonts w:ascii="Georgia" w:hAnsi="Georgia"/>
        </w:rPr>
        <w:t>доза</w:t>
      </w:r>
      <w:proofErr w:type="gramEnd"/>
      <w:r w:rsidRPr="00E97FFC">
        <w:rPr>
          <w:rFonts w:ascii="Georgia" w:hAnsi="Georgia"/>
        </w:rPr>
        <w:t xml:space="preserve"> установленная в предыдущих исследованиях на половозрелых крысах; 3,2 мл/кг – доза с учетом </w:t>
      </w:r>
      <w:proofErr w:type="spellStart"/>
      <w:r w:rsidRPr="00E97FFC">
        <w:rPr>
          <w:rFonts w:ascii="Georgia" w:hAnsi="Georgia"/>
        </w:rPr>
        <w:t>дозис</w:t>
      </w:r>
      <w:proofErr w:type="spellEnd"/>
      <w:r w:rsidRPr="00E97FFC">
        <w:rPr>
          <w:rFonts w:ascii="Georgia" w:hAnsi="Georgia"/>
        </w:rPr>
        <w:t>-фактора, соответствующего возрасту ребенка. Доказано, что действие препарата направлено на восстановление выведения кальция и фосфора мочой. При этом</w:t>
      </w:r>
      <w:proofErr w:type="gramStart"/>
      <w:r w:rsidRPr="00E97FFC">
        <w:rPr>
          <w:rFonts w:ascii="Georgia" w:hAnsi="Georgia"/>
        </w:rPr>
        <w:t>,</w:t>
      </w:r>
      <w:proofErr w:type="gramEnd"/>
      <w:r w:rsidRPr="00E97FFC">
        <w:rPr>
          <w:rFonts w:ascii="Georgia" w:hAnsi="Georgia"/>
        </w:rPr>
        <w:t xml:space="preserve"> более эффективно </w:t>
      </w:r>
      <w:proofErr w:type="spellStart"/>
      <w:r w:rsidRPr="00E97FFC">
        <w:rPr>
          <w:rFonts w:ascii="Georgia" w:hAnsi="Georgia"/>
        </w:rPr>
        <w:t>Фларосукцин</w:t>
      </w:r>
      <w:proofErr w:type="spellEnd"/>
      <w:r w:rsidRPr="00E97FFC">
        <w:rPr>
          <w:rFonts w:ascii="Georgia" w:hAnsi="Georgia"/>
        </w:rPr>
        <w:t xml:space="preserve"> проявлял свои фармакологические свойства в дозе 2,0 мл/кг и имел значительные достоверные преимущества перед препаратом сравнения </w:t>
      </w:r>
      <w:proofErr w:type="spellStart"/>
      <w:r w:rsidRPr="00E97FFC">
        <w:rPr>
          <w:rFonts w:ascii="Georgia" w:hAnsi="Georgia"/>
        </w:rPr>
        <w:t>Канефрон</w:t>
      </w:r>
      <w:proofErr w:type="spellEnd"/>
      <w:r w:rsidRPr="00E97FFC">
        <w:rPr>
          <w:rFonts w:ascii="Georgia" w:hAnsi="Georgia"/>
        </w:rPr>
        <w:t xml:space="preserve"> Н.</w:t>
      </w:r>
    </w:p>
    <w:p w:rsidR="00E97FFC" w:rsidRPr="00C04D3D" w:rsidRDefault="00E97FFC" w:rsidP="00E97FFC">
      <w:pPr>
        <w:spacing w:after="0" w:line="240" w:lineRule="auto"/>
        <w:ind w:firstLine="708"/>
        <w:jc w:val="both"/>
        <w:rPr>
          <w:rFonts w:ascii="Georgia" w:hAnsi="Georgia"/>
        </w:rPr>
      </w:pPr>
    </w:p>
    <w:p w:rsidR="00E97FFC" w:rsidRDefault="00E97FFC" w:rsidP="00E97FFC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Ключевые слова: </w:t>
      </w:r>
      <w:proofErr w:type="spellStart"/>
      <w:r w:rsidRPr="00E97FFC">
        <w:rPr>
          <w:rFonts w:ascii="Georgia" w:hAnsi="Georgia"/>
        </w:rPr>
        <w:t>Фларосукцин</w:t>
      </w:r>
      <w:proofErr w:type="spellEnd"/>
      <w:r w:rsidRPr="00E97FFC">
        <w:rPr>
          <w:rFonts w:ascii="Georgia" w:hAnsi="Georgia"/>
        </w:rPr>
        <w:t xml:space="preserve">, кальциево-фосфорный гомеостаз, </w:t>
      </w:r>
      <w:proofErr w:type="spellStart"/>
      <w:r w:rsidRPr="00E97FFC">
        <w:rPr>
          <w:rFonts w:ascii="Georgia" w:hAnsi="Georgia"/>
        </w:rPr>
        <w:t>уролитиаз</w:t>
      </w:r>
      <w:proofErr w:type="spellEnd"/>
      <w:r w:rsidRPr="00E97FFC">
        <w:rPr>
          <w:rFonts w:ascii="Georgia" w:hAnsi="Georgia"/>
        </w:rPr>
        <w:t xml:space="preserve">, экспериментальная почечная недостаточность, </w:t>
      </w:r>
      <w:proofErr w:type="gramStart"/>
      <w:r w:rsidRPr="00E97FFC">
        <w:rPr>
          <w:rFonts w:ascii="Georgia" w:hAnsi="Georgia"/>
        </w:rPr>
        <w:t>препарат-сравнения</w:t>
      </w:r>
      <w:proofErr w:type="gramEnd"/>
      <w:r w:rsidRPr="00E97FFC">
        <w:rPr>
          <w:rFonts w:ascii="Georgia" w:hAnsi="Georgia"/>
        </w:rPr>
        <w:t xml:space="preserve"> </w:t>
      </w:r>
      <w:proofErr w:type="spellStart"/>
      <w:r w:rsidRPr="00E97FFC">
        <w:rPr>
          <w:rFonts w:ascii="Georgia" w:hAnsi="Georgia"/>
        </w:rPr>
        <w:t>Канефрон</w:t>
      </w:r>
      <w:proofErr w:type="spellEnd"/>
      <w:r w:rsidRPr="00E97FFC">
        <w:rPr>
          <w:rFonts w:ascii="Georgia" w:hAnsi="Georgia"/>
        </w:rPr>
        <w:t xml:space="preserve"> Н</w:t>
      </w:r>
    </w:p>
    <w:p w:rsidR="00E97FFC" w:rsidRDefault="00E97FFC" w:rsidP="00E97FFC">
      <w:pPr>
        <w:spacing w:after="0" w:line="240" w:lineRule="auto"/>
        <w:ind w:firstLine="708"/>
        <w:jc w:val="both"/>
        <w:rPr>
          <w:rFonts w:ascii="Georgia" w:hAnsi="Georgia"/>
        </w:rPr>
      </w:pPr>
    </w:p>
    <w:p w:rsidR="00E97FFC" w:rsidRPr="00E97FFC" w:rsidRDefault="00E97FFC" w:rsidP="00E97FFC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</w:r>
      <w:r w:rsidRPr="00E97FFC">
        <w:rPr>
          <w:rFonts w:ascii="Georgia" w:hAnsi="Georgia"/>
          <w:b/>
        </w:rPr>
        <w:t>Введение.</w:t>
      </w:r>
      <w:r>
        <w:rPr>
          <w:rFonts w:ascii="Georgia" w:hAnsi="Georgia"/>
          <w:b/>
        </w:rPr>
        <w:t xml:space="preserve"> </w:t>
      </w:r>
      <w:proofErr w:type="gramStart"/>
      <w:r w:rsidRPr="00E97FFC">
        <w:rPr>
          <w:rFonts w:ascii="Georgia" w:hAnsi="Georgia"/>
        </w:rPr>
        <w:t>Во многих странах, в том числе и в Украине наблюдается тенденция роста заболеваемости мочекаменной болезнью, которая по прогнозам ученых будет иметь дальнейшую тенденцию к росту в связи произошедшими изменениями характера и качества питания людей (употребление в пищу стабилизаторов, консервантов, красителей, преобладание продуктов содержащих белок, повышенное потребление поваренной соли, низкое суточное</w:t>
      </w:r>
      <w:r w:rsidR="00616272">
        <w:rPr>
          <w:rFonts w:ascii="Georgia" w:hAnsi="Georgia"/>
        </w:rPr>
        <w:t xml:space="preserve"> потребление жидкости и т. д.)</w:t>
      </w:r>
      <w:r w:rsidR="00616272" w:rsidRPr="00616272">
        <w:rPr>
          <w:rFonts w:ascii="Georgia" w:hAnsi="Georgia"/>
        </w:rPr>
        <w:t>.</w:t>
      </w:r>
      <w:proofErr w:type="gramEnd"/>
      <w:r w:rsidR="00616272" w:rsidRPr="00616272">
        <w:rPr>
          <w:rFonts w:ascii="Georgia" w:hAnsi="Georgia"/>
        </w:rPr>
        <w:t xml:space="preserve"> </w:t>
      </w:r>
      <w:r w:rsidR="00616272">
        <w:rPr>
          <w:rFonts w:ascii="Georgia" w:hAnsi="Georgia"/>
        </w:rPr>
        <w:t>У</w:t>
      </w:r>
      <w:r w:rsidRPr="00E97FFC">
        <w:rPr>
          <w:rFonts w:ascii="Georgia" w:hAnsi="Georgia"/>
        </w:rPr>
        <w:t>величени</w:t>
      </w:r>
      <w:r w:rsidR="00616272">
        <w:rPr>
          <w:rFonts w:ascii="Georgia" w:hAnsi="Georgia"/>
        </w:rPr>
        <w:t>е</w:t>
      </w:r>
      <w:r w:rsidRPr="00E97FFC">
        <w:rPr>
          <w:rFonts w:ascii="Georgia" w:hAnsi="Georgia"/>
        </w:rPr>
        <w:t xml:space="preserve"> числа экологических и социальных факторов, оказывающих как прямое, так и косвенное влияние на орга</w:t>
      </w:r>
      <w:r w:rsidR="00616272">
        <w:rPr>
          <w:rFonts w:ascii="Georgia" w:hAnsi="Georgia"/>
        </w:rPr>
        <w:t xml:space="preserve">низм человека также способствует </w:t>
      </w:r>
      <w:r w:rsidR="00284C9A">
        <w:rPr>
          <w:rFonts w:ascii="Georgia" w:hAnsi="Georgia"/>
        </w:rPr>
        <w:t>значительной распространенности данной патологии.</w:t>
      </w:r>
      <w:r w:rsidR="00616272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 xml:space="preserve"> </w:t>
      </w:r>
    </w:p>
    <w:p w:rsidR="00E97FFC" w:rsidRPr="00E97FFC" w:rsidRDefault="00E97FFC" w:rsidP="00E97FFC">
      <w:pPr>
        <w:spacing w:after="0" w:line="240" w:lineRule="auto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Актуальность проблемы </w:t>
      </w:r>
      <w:proofErr w:type="spellStart"/>
      <w:r w:rsidRPr="00E97FFC">
        <w:rPr>
          <w:rFonts w:ascii="Georgia" w:hAnsi="Georgia"/>
        </w:rPr>
        <w:t>уролитиаза</w:t>
      </w:r>
      <w:proofErr w:type="spellEnd"/>
      <w:r w:rsidR="00733EEA">
        <w:rPr>
          <w:rFonts w:ascii="Georgia" w:hAnsi="Georgia"/>
        </w:rPr>
        <w:t xml:space="preserve"> обусловлена тем, что в среднем</w:t>
      </w:r>
      <w:r w:rsidR="00453D2C">
        <w:rPr>
          <w:rFonts w:ascii="Georgia" w:hAnsi="Georgia"/>
        </w:rPr>
        <w:t xml:space="preserve"> </w:t>
      </w:r>
      <w:r w:rsidR="00453D2C" w:rsidRPr="00E97FFC">
        <w:rPr>
          <w:rFonts w:ascii="Georgia" w:hAnsi="Georgia"/>
        </w:rPr>
        <w:t>–</w:t>
      </w:r>
      <w:r w:rsidR="00453D2C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>60</w:t>
      </w:r>
      <w:r w:rsidR="00453D2C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>% случаев болезнь диагностируется у лиц наиболее трудоспособного возраста 20</w:t>
      </w:r>
      <w:r w:rsidR="00453D2C" w:rsidRPr="00E97FFC">
        <w:rPr>
          <w:rFonts w:ascii="Georgia" w:hAnsi="Georgia"/>
        </w:rPr>
        <w:t>–</w:t>
      </w:r>
      <w:r w:rsidRPr="00E97FFC">
        <w:rPr>
          <w:rFonts w:ascii="Georgia" w:hAnsi="Georgia"/>
        </w:rPr>
        <w:t xml:space="preserve">55 лет. Важно отметить, что за последнее время отмечается прогрессивный рост заболеваемости мочекаменной болезнью среди детей. Проведенные исследования (Черепанова Е. В., 2008) позволили выделить факторы риска развития мочекаменной болезни в детской возрастной группе: </w:t>
      </w:r>
    </w:p>
    <w:p w:rsidR="00E97FFC" w:rsidRPr="00E97FFC" w:rsidRDefault="00E97FFC" w:rsidP="00E97FFC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● наличие в анамнезе у ближайших родственников факторов риска развития </w:t>
      </w:r>
      <w:proofErr w:type="spellStart"/>
      <w:r w:rsidRPr="00E97FFC">
        <w:rPr>
          <w:rFonts w:ascii="Georgia" w:hAnsi="Georgia"/>
        </w:rPr>
        <w:t>уролитиаза</w:t>
      </w:r>
      <w:proofErr w:type="spellEnd"/>
      <w:r w:rsidRPr="00E97FFC">
        <w:rPr>
          <w:rFonts w:ascii="Georgia" w:hAnsi="Georgia"/>
        </w:rPr>
        <w:t xml:space="preserve">, урологических заболеваний, особенно мочекаменной болезни, сопровождающихся метаболическими нарушениями </w:t>
      </w:r>
      <w:proofErr w:type="spellStart"/>
      <w:r w:rsidRPr="00E97FFC">
        <w:rPr>
          <w:rFonts w:ascii="Georgia" w:hAnsi="Georgia"/>
        </w:rPr>
        <w:t>камнеобразующих</w:t>
      </w:r>
      <w:proofErr w:type="spellEnd"/>
      <w:r w:rsidRPr="00E97FFC">
        <w:rPr>
          <w:rFonts w:ascii="Georgia" w:hAnsi="Georgia"/>
        </w:rPr>
        <w:t xml:space="preserve"> веществ – 68,5% наблюдений;</w:t>
      </w:r>
    </w:p>
    <w:p w:rsidR="00E97FFC" w:rsidRPr="00E97FFC" w:rsidRDefault="00E97FFC" w:rsidP="00E97FFC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>● наличие аномалий моче</w:t>
      </w:r>
      <w:r w:rsidR="00FF64EF">
        <w:rPr>
          <w:rFonts w:ascii="Georgia" w:hAnsi="Georgia"/>
        </w:rPr>
        <w:t>выделительной сис</w:t>
      </w:r>
      <w:r w:rsidR="00453D2C">
        <w:rPr>
          <w:rFonts w:ascii="Georgia" w:hAnsi="Georgia"/>
        </w:rPr>
        <w:t xml:space="preserve">темы у ребенка </w:t>
      </w:r>
      <w:r w:rsidRPr="00E97FFC">
        <w:rPr>
          <w:rFonts w:ascii="Georgia" w:hAnsi="Georgia"/>
        </w:rPr>
        <w:t>–</w:t>
      </w:r>
      <w:r w:rsidR="00453D2C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>21,2</w:t>
      </w:r>
      <w:r w:rsidR="00453D2C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>% наблюдений;</w:t>
      </w:r>
    </w:p>
    <w:p w:rsidR="00E97FFC" w:rsidRPr="00E97FFC" w:rsidRDefault="00E97FFC" w:rsidP="00E97FFC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>● проживание семьи в экологически неблагоприятных условиях – 88,5</w:t>
      </w:r>
      <w:r w:rsidR="00453D2C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>% наблюдений;</w:t>
      </w:r>
    </w:p>
    <w:p w:rsidR="00E97FFC" w:rsidRPr="00E97FFC" w:rsidRDefault="00E97FFC" w:rsidP="00E97FFC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>● наличие у родителей вредных привычек (курение, потребление алкоголя) – 16,6</w:t>
      </w:r>
      <w:r w:rsidR="00453D2C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>% наблюдений;</w:t>
      </w:r>
    </w:p>
    <w:p w:rsidR="00E97FFC" w:rsidRPr="00E97FFC" w:rsidRDefault="00E97FFC" w:rsidP="00E97FFC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>● особенности течения беременности у матери – отягощенная беременность – на фоне токсикоза (82,7</w:t>
      </w:r>
      <w:r w:rsidR="00453D2C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>% наблюдений), прием противовирусных и антибактериальных препаратов (16,6</w:t>
      </w:r>
      <w:r w:rsidR="00453D2C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>% наблюдений)</w:t>
      </w:r>
      <w:r w:rsidR="00453D2C" w:rsidRPr="002102D2">
        <w:rPr>
          <w:rFonts w:ascii="Georgia" w:hAnsi="Georgia"/>
        </w:rPr>
        <w:t xml:space="preserve"> [11]</w:t>
      </w:r>
      <w:r w:rsidRPr="00E97FFC">
        <w:rPr>
          <w:rFonts w:ascii="Georgia" w:hAnsi="Georgia"/>
        </w:rPr>
        <w:t xml:space="preserve">.  </w:t>
      </w:r>
    </w:p>
    <w:p w:rsidR="00E97FFC" w:rsidRPr="00E97FFC" w:rsidRDefault="00E97FFC" w:rsidP="00FF64EF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Повышенное выделение почками продуктов нарушенного обмена в виде кристаллов или конгломератов приводит к повреждению внутриклеточных структур эпителиальных клеток почечных канальцев, что ведет к нарушению их функции – </w:t>
      </w:r>
      <w:proofErr w:type="spellStart"/>
      <w:r w:rsidRPr="00E97FFC">
        <w:rPr>
          <w:rFonts w:ascii="Georgia" w:hAnsi="Georgia"/>
        </w:rPr>
        <w:t>реабсорбции</w:t>
      </w:r>
      <w:proofErr w:type="spellEnd"/>
      <w:r w:rsidRPr="00E97FFC">
        <w:rPr>
          <w:rFonts w:ascii="Georgia" w:hAnsi="Georgia"/>
        </w:rPr>
        <w:t xml:space="preserve"> и секреции. </w:t>
      </w:r>
      <w:proofErr w:type="gramStart"/>
      <w:r w:rsidRPr="00E97FFC">
        <w:rPr>
          <w:rFonts w:ascii="Georgia" w:hAnsi="Georgia"/>
        </w:rPr>
        <w:t>Выражен</w:t>
      </w:r>
      <w:r w:rsidR="00A63A6B">
        <w:rPr>
          <w:rFonts w:ascii="Georgia" w:hAnsi="Georgia"/>
        </w:rPr>
        <w:t>н</w:t>
      </w:r>
      <w:r w:rsidRPr="00E97FFC">
        <w:rPr>
          <w:rFonts w:ascii="Georgia" w:hAnsi="Georgia"/>
        </w:rPr>
        <w:t>ая</w:t>
      </w:r>
      <w:proofErr w:type="gramEnd"/>
      <w:r w:rsidRPr="00E97FFC">
        <w:rPr>
          <w:rFonts w:ascii="Georgia" w:hAnsi="Georgia"/>
        </w:rPr>
        <w:t xml:space="preserve"> </w:t>
      </w:r>
      <w:proofErr w:type="spellStart"/>
      <w:r w:rsidRPr="00E97FFC">
        <w:rPr>
          <w:rFonts w:ascii="Georgia" w:hAnsi="Georgia"/>
        </w:rPr>
        <w:t>кристаллурия</w:t>
      </w:r>
      <w:proofErr w:type="spellEnd"/>
      <w:r w:rsidRPr="00E97FFC">
        <w:rPr>
          <w:rFonts w:ascii="Georgia" w:hAnsi="Georgia"/>
        </w:rPr>
        <w:t xml:space="preserve"> часто приводит к образованию конкрементов. </w:t>
      </w:r>
    </w:p>
    <w:p w:rsidR="00E97FFC" w:rsidRPr="00E97FFC" w:rsidRDefault="00E97FFC" w:rsidP="00E97FFC">
      <w:pPr>
        <w:spacing w:after="0" w:line="240" w:lineRule="auto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Подобные наблюдения могут быть связаны с наличием в моче веществ – </w:t>
      </w:r>
      <w:proofErr w:type="spellStart"/>
      <w:r w:rsidRPr="00E97FFC">
        <w:rPr>
          <w:rFonts w:ascii="Georgia" w:hAnsi="Georgia"/>
        </w:rPr>
        <w:t>гликопртеидов</w:t>
      </w:r>
      <w:proofErr w:type="spellEnd"/>
      <w:r w:rsidRPr="00E97FFC">
        <w:rPr>
          <w:rFonts w:ascii="Georgia" w:hAnsi="Georgia"/>
        </w:rPr>
        <w:t xml:space="preserve">, обладающих способностью модулировать процесс образования конкрементов. Эти вещества </w:t>
      </w:r>
      <w:proofErr w:type="spellStart"/>
      <w:r w:rsidRPr="00E97FFC">
        <w:rPr>
          <w:rFonts w:ascii="Georgia" w:hAnsi="Georgia"/>
        </w:rPr>
        <w:t>экскретируються</w:t>
      </w:r>
      <w:proofErr w:type="spellEnd"/>
      <w:r w:rsidRPr="00E97FFC">
        <w:rPr>
          <w:rFonts w:ascii="Georgia" w:hAnsi="Georgia"/>
        </w:rPr>
        <w:t xml:space="preserve"> в мочу клетками тубулярного эпителия </w:t>
      </w:r>
      <w:r w:rsidRPr="00E97FFC">
        <w:rPr>
          <w:rFonts w:ascii="Georgia" w:hAnsi="Georgia"/>
        </w:rPr>
        <w:lastRenderedPageBreak/>
        <w:t xml:space="preserve">и способны ускорять или ингибировать процессы </w:t>
      </w:r>
      <w:proofErr w:type="spellStart"/>
      <w:r w:rsidRPr="00E97FFC">
        <w:rPr>
          <w:rFonts w:ascii="Georgia" w:hAnsi="Georgia"/>
        </w:rPr>
        <w:t>нуклеаци</w:t>
      </w:r>
      <w:r w:rsidR="003C59C5">
        <w:rPr>
          <w:rFonts w:ascii="Georgia" w:hAnsi="Georgia"/>
        </w:rPr>
        <w:t>и</w:t>
      </w:r>
      <w:proofErr w:type="spellEnd"/>
      <w:r w:rsidR="003C59C5">
        <w:rPr>
          <w:rFonts w:ascii="Georgia" w:hAnsi="Georgia"/>
        </w:rPr>
        <w:t>, роста и агрегации кристаллов</w:t>
      </w:r>
      <w:r w:rsidRPr="00E97FFC">
        <w:rPr>
          <w:rFonts w:ascii="Georgia" w:hAnsi="Georgia"/>
        </w:rPr>
        <w:t>.</w:t>
      </w:r>
      <w:r w:rsidR="0075553B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 xml:space="preserve">Влияние макромолекул на процесс камнеобразования довольно сложный и в настоящее время активно изучается.  </w:t>
      </w:r>
    </w:p>
    <w:p w:rsidR="00E97FFC" w:rsidRPr="00E97FFC" w:rsidRDefault="00E97FFC" w:rsidP="0075553B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Консервативная терапия </w:t>
      </w:r>
      <w:proofErr w:type="spellStart"/>
      <w:r w:rsidRPr="00E97FFC">
        <w:rPr>
          <w:rFonts w:ascii="Georgia" w:hAnsi="Georgia"/>
        </w:rPr>
        <w:t>уролитиаза</w:t>
      </w:r>
      <w:proofErr w:type="spellEnd"/>
      <w:r w:rsidRPr="00E97FFC">
        <w:rPr>
          <w:rFonts w:ascii="Georgia" w:hAnsi="Georgia"/>
        </w:rPr>
        <w:t xml:space="preserve">, </w:t>
      </w:r>
      <w:proofErr w:type="spellStart"/>
      <w:r w:rsidRPr="00E97FFC">
        <w:rPr>
          <w:rFonts w:ascii="Georgia" w:hAnsi="Georgia"/>
        </w:rPr>
        <w:t>дисметаболических</w:t>
      </w:r>
      <w:proofErr w:type="spellEnd"/>
      <w:r w:rsidRPr="00E97FFC">
        <w:rPr>
          <w:rFonts w:ascii="Georgia" w:hAnsi="Georgia"/>
        </w:rPr>
        <w:t xml:space="preserve"> нефропатий должна быть направлена на устранение этиологических факторов и явлений обструкции тока мочи.</w:t>
      </w:r>
      <w:r w:rsidR="0075553B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 xml:space="preserve">В комплекс лечебных мероприятий включают </w:t>
      </w:r>
      <w:proofErr w:type="gramStart"/>
      <w:r w:rsidRPr="00E97FFC">
        <w:rPr>
          <w:rFonts w:ascii="Georgia" w:hAnsi="Georgia"/>
        </w:rPr>
        <w:t>препараты</w:t>
      </w:r>
      <w:proofErr w:type="gramEnd"/>
      <w:r w:rsidRPr="00E97FFC">
        <w:rPr>
          <w:rFonts w:ascii="Georgia" w:hAnsi="Georgia"/>
        </w:rPr>
        <w:t xml:space="preserve"> относящиеся к разным фармакотерапевтическим группам. Так консервативная терапия </w:t>
      </w:r>
      <w:proofErr w:type="spellStart"/>
      <w:r w:rsidRPr="00E97FFC">
        <w:rPr>
          <w:rFonts w:ascii="Georgia" w:hAnsi="Georgia"/>
        </w:rPr>
        <w:t>уролитиаза</w:t>
      </w:r>
      <w:proofErr w:type="spellEnd"/>
      <w:r w:rsidRPr="00E97FFC">
        <w:rPr>
          <w:rFonts w:ascii="Georgia" w:hAnsi="Georgia"/>
        </w:rPr>
        <w:t xml:space="preserve"> включает использование препаратов способствующих нормализации рН мочи, растворению к</w:t>
      </w:r>
      <w:r w:rsidR="00BC3FC2">
        <w:rPr>
          <w:rFonts w:ascii="Georgia" w:hAnsi="Georgia"/>
        </w:rPr>
        <w:t>онкрементов</w:t>
      </w:r>
      <w:r w:rsidRPr="00E97FFC">
        <w:rPr>
          <w:rFonts w:ascii="Georgia" w:hAnsi="Georgia"/>
        </w:rPr>
        <w:t xml:space="preserve">, противовоспалительные, антимикробные и обезболивающие лекарственные препараты. При этом </w:t>
      </w:r>
      <w:r w:rsidR="00BC3FC2">
        <w:rPr>
          <w:rFonts w:ascii="Georgia" w:hAnsi="Georgia"/>
        </w:rPr>
        <w:t xml:space="preserve">широко </w:t>
      </w:r>
      <w:r w:rsidRPr="00E97FFC">
        <w:rPr>
          <w:rFonts w:ascii="Georgia" w:hAnsi="Georgia"/>
        </w:rPr>
        <w:t xml:space="preserve">используются </w:t>
      </w:r>
      <w:proofErr w:type="spellStart"/>
      <w:r w:rsidR="003C59C5">
        <w:rPr>
          <w:rFonts w:ascii="Georgia" w:hAnsi="Georgia"/>
        </w:rPr>
        <w:t>фитопрепараты</w:t>
      </w:r>
      <w:proofErr w:type="spellEnd"/>
      <w:r w:rsidR="00453D2C">
        <w:rPr>
          <w:rFonts w:ascii="Georgia" w:hAnsi="Georgia"/>
          <w:lang w:val="en-US"/>
        </w:rPr>
        <w:t xml:space="preserve"> [9]</w:t>
      </w:r>
      <w:r w:rsidRPr="00E97FFC">
        <w:rPr>
          <w:rFonts w:ascii="Georgia" w:hAnsi="Georgia"/>
        </w:rPr>
        <w:t xml:space="preserve">. </w:t>
      </w:r>
    </w:p>
    <w:p w:rsidR="00E97FFC" w:rsidRPr="00E97FFC" w:rsidRDefault="00E97FFC" w:rsidP="0075553B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>Ле</w:t>
      </w:r>
      <w:r w:rsidR="00FF64EF">
        <w:rPr>
          <w:rFonts w:ascii="Georgia" w:hAnsi="Georgia"/>
        </w:rPr>
        <w:t xml:space="preserve">карственные растения </w:t>
      </w:r>
      <w:r w:rsidRPr="00E97FFC">
        <w:rPr>
          <w:rFonts w:ascii="Georgia" w:hAnsi="Georgia"/>
        </w:rPr>
        <w:t xml:space="preserve">содержат большое количество биологически активных веществ. Спектр биологической активности лекарственных растений определяется наличием достаточного числа веществ разных химических классов и групп, которые в том или ином количестве присутствуют практически в каждом лекарственном растении (эфирные масла, </w:t>
      </w:r>
      <w:proofErr w:type="spellStart"/>
      <w:r w:rsidRPr="00E97FFC">
        <w:rPr>
          <w:rFonts w:ascii="Georgia" w:hAnsi="Georgia"/>
        </w:rPr>
        <w:t>флавоноиды</w:t>
      </w:r>
      <w:proofErr w:type="spellEnd"/>
      <w:r w:rsidRPr="00E97FFC">
        <w:rPr>
          <w:rFonts w:ascii="Georgia" w:hAnsi="Georgia"/>
        </w:rPr>
        <w:t>, полифенолы, полисахариды и пр.)</w:t>
      </w:r>
      <w:r w:rsidR="00453D2C" w:rsidRPr="002102D2">
        <w:rPr>
          <w:rFonts w:ascii="Georgia" w:hAnsi="Georgia"/>
        </w:rPr>
        <w:t xml:space="preserve"> </w:t>
      </w:r>
      <w:r w:rsidR="00453D2C">
        <w:rPr>
          <w:rFonts w:ascii="Georgia" w:hAnsi="Georgia"/>
          <w:lang w:val="en-US"/>
        </w:rPr>
        <w:t>[10]</w:t>
      </w:r>
      <w:r w:rsidRPr="00E97FFC">
        <w:rPr>
          <w:rFonts w:ascii="Georgia" w:hAnsi="Georgia"/>
        </w:rPr>
        <w:t>.</w:t>
      </w:r>
    </w:p>
    <w:p w:rsidR="00E97FFC" w:rsidRPr="00E97FFC" w:rsidRDefault="00E97FFC" w:rsidP="00A63A6B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Биологически активные вещества лекарственных растений обладают диуретическим, спазмолитическим, антимикробным, </w:t>
      </w:r>
      <w:proofErr w:type="spellStart"/>
      <w:r w:rsidRPr="00E97FFC">
        <w:rPr>
          <w:rFonts w:ascii="Georgia" w:hAnsi="Georgia"/>
        </w:rPr>
        <w:t>мембраностабилизирующим</w:t>
      </w:r>
      <w:proofErr w:type="spellEnd"/>
      <w:r w:rsidRPr="00E97FFC">
        <w:rPr>
          <w:rFonts w:ascii="Georgia" w:hAnsi="Georgia"/>
        </w:rPr>
        <w:t xml:space="preserve">, </w:t>
      </w:r>
      <w:proofErr w:type="spellStart"/>
      <w:r w:rsidRPr="00E97FFC">
        <w:rPr>
          <w:rFonts w:ascii="Georgia" w:hAnsi="Georgia"/>
        </w:rPr>
        <w:t>нефропротекторным</w:t>
      </w:r>
      <w:proofErr w:type="spellEnd"/>
      <w:r w:rsidRPr="00E97FFC">
        <w:rPr>
          <w:rFonts w:ascii="Georgia" w:hAnsi="Georgia"/>
        </w:rPr>
        <w:t xml:space="preserve"> и другими видами действия. Так, в комплексной терапии заболеваний почек и мочевыводящих путей у детей широко применяются препараты </w:t>
      </w:r>
      <w:proofErr w:type="spellStart"/>
      <w:r w:rsidRPr="00E97FFC">
        <w:rPr>
          <w:rFonts w:ascii="Georgia" w:hAnsi="Georgia"/>
        </w:rPr>
        <w:t>Канефрон</w:t>
      </w:r>
      <w:proofErr w:type="spellEnd"/>
      <w:r w:rsidRPr="00E97FFC">
        <w:rPr>
          <w:rFonts w:ascii="Georgia" w:hAnsi="Georgia"/>
        </w:rPr>
        <w:t xml:space="preserve"> Н, </w:t>
      </w:r>
      <w:proofErr w:type="spellStart"/>
      <w:r w:rsidRPr="00E97FFC">
        <w:rPr>
          <w:rFonts w:ascii="Georgia" w:hAnsi="Georgia"/>
        </w:rPr>
        <w:t>Хофитол</w:t>
      </w:r>
      <w:proofErr w:type="spellEnd"/>
      <w:r w:rsidRPr="00E97FFC">
        <w:rPr>
          <w:rFonts w:ascii="Georgia" w:hAnsi="Georgia"/>
        </w:rPr>
        <w:t xml:space="preserve">, </w:t>
      </w:r>
      <w:proofErr w:type="spellStart"/>
      <w:r w:rsidRPr="00E97FFC">
        <w:rPr>
          <w:rFonts w:ascii="Georgia" w:hAnsi="Georgia"/>
        </w:rPr>
        <w:t>Леспенефрил</w:t>
      </w:r>
      <w:proofErr w:type="spellEnd"/>
      <w:r w:rsidRPr="00E97FFC">
        <w:rPr>
          <w:rFonts w:ascii="Georgia" w:hAnsi="Georgia"/>
        </w:rPr>
        <w:t xml:space="preserve"> и др.</w:t>
      </w:r>
    </w:p>
    <w:p w:rsidR="00E97FFC" w:rsidRPr="00E97FFC" w:rsidRDefault="00E97FFC" w:rsidP="00A63A6B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Кроме того, биологически активные вещества лекарственных растений способствуют снижению протеинурии, нормализуют азотистый обмен. При этом, зачастую, несмотря на диуретический эффект растительных препаратов, они обладают способностью </w:t>
      </w:r>
      <w:proofErr w:type="spellStart"/>
      <w:r w:rsidRPr="00E97FFC">
        <w:rPr>
          <w:rFonts w:ascii="Georgia" w:hAnsi="Georgia"/>
        </w:rPr>
        <w:t>восстановл</w:t>
      </w:r>
      <w:r w:rsidR="00ED15E3">
        <w:rPr>
          <w:rFonts w:ascii="Georgia" w:hAnsi="Georgia"/>
        </w:rPr>
        <w:t>ивать</w:t>
      </w:r>
      <w:proofErr w:type="spellEnd"/>
      <w:r w:rsidRPr="00E97FFC">
        <w:rPr>
          <w:rFonts w:ascii="Georgia" w:hAnsi="Georgia"/>
        </w:rPr>
        <w:t xml:space="preserve"> ионн</w:t>
      </w:r>
      <w:r w:rsidR="00ED15E3">
        <w:rPr>
          <w:rFonts w:ascii="Georgia" w:hAnsi="Georgia"/>
        </w:rPr>
        <w:t>ый</w:t>
      </w:r>
      <w:r w:rsidRPr="00E97FFC">
        <w:rPr>
          <w:rFonts w:ascii="Georgia" w:hAnsi="Georgia"/>
        </w:rPr>
        <w:t xml:space="preserve"> баланс.</w:t>
      </w:r>
    </w:p>
    <w:p w:rsidR="00E97FFC" w:rsidRPr="00E97FFC" w:rsidRDefault="00E97FFC" w:rsidP="000053B0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>Таким образом, препараты для лечения заболеваний почек и мочевыводящих путей у детей должны обладать следующими видами действия: нормализовать белковый, азотистый и электролитный обмен, поддерживать рН мочи в пределах физиологических значений</w:t>
      </w:r>
      <w:r w:rsidR="00BC3FC2">
        <w:rPr>
          <w:rFonts w:ascii="Georgia" w:hAnsi="Georgia"/>
        </w:rPr>
        <w:t xml:space="preserve">, </w:t>
      </w:r>
      <w:r w:rsidRPr="00E97FFC">
        <w:rPr>
          <w:rFonts w:ascii="Georgia" w:hAnsi="Georgia"/>
        </w:rPr>
        <w:t xml:space="preserve">восстанавливать клубочковую фильтрацию и </w:t>
      </w:r>
      <w:proofErr w:type="spellStart"/>
      <w:r w:rsidRPr="00E97FFC">
        <w:rPr>
          <w:rFonts w:ascii="Georgia" w:hAnsi="Georgia"/>
        </w:rPr>
        <w:t>канальцевую</w:t>
      </w:r>
      <w:proofErr w:type="spellEnd"/>
      <w:r w:rsidRPr="00E97FFC">
        <w:rPr>
          <w:rFonts w:ascii="Georgia" w:hAnsi="Georgia"/>
        </w:rPr>
        <w:t xml:space="preserve"> </w:t>
      </w:r>
      <w:proofErr w:type="spellStart"/>
      <w:r w:rsidRPr="00E97FFC">
        <w:rPr>
          <w:rFonts w:ascii="Georgia" w:hAnsi="Georgia"/>
        </w:rPr>
        <w:t>реабсорбцию</w:t>
      </w:r>
      <w:proofErr w:type="spellEnd"/>
      <w:r w:rsidRPr="00E97FFC">
        <w:rPr>
          <w:rFonts w:ascii="Georgia" w:hAnsi="Georgia"/>
        </w:rPr>
        <w:t>, а так же проявлять спазмолитическую и диуретическую активности</w:t>
      </w:r>
      <w:r w:rsidR="00BC3FC2">
        <w:rPr>
          <w:rFonts w:ascii="Georgia" w:hAnsi="Georgia"/>
        </w:rPr>
        <w:t>.</w:t>
      </w:r>
      <w:r w:rsidRPr="00E97FFC">
        <w:rPr>
          <w:rFonts w:ascii="Georgia" w:hAnsi="Georgia"/>
        </w:rPr>
        <w:t xml:space="preserve"> </w:t>
      </w:r>
      <w:r w:rsidR="00BC3FC2">
        <w:rPr>
          <w:rFonts w:ascii="Georgia" w:hAnsi="Georgia"/>
        </w:rPr>
        <w:t>У</w:t>
      </w:r>
      <w:r w:rsidRPr="00E97FFC">
        <w:rPr>
          <w:rFonts w:ascii="Georgia" w:hAnsi="Georgia"/>
        </w:rPr>
        <w:t xml:space="preserve">меньшая </w:t>
      </w:r>
      <w:r w:rsidR="00BC3FC2">
        <w:rPr>
          <w:rFonts w:ascii="Georgia" w:hAnsi="Georgia"/>
        </w:rPr>
        <w:t xml:space="preserve">при этом </w:t>
      </w:r>
      <w:r w:rsidRPr="00E97FFC">
        <w:rPr>
          <w:rFonts w:ascii="Georgia" w:hAnsi="Georgia"/>
        </w:rPr>
        <w:t>обструкцию мочевых путей и способствуя выведению из организма продуктов распада</w:t>
      </w:r>
      <w:r w:rsidR="00453D2C" w:rsidRPr="002102D2">
        <w:rPr>
          <w:rFonts w:ascii="Georgia" w:hAnsi="Georgia"/>
        </w:rPr>
        <w:t xml:space="preserve"> [4, 5]</w:t>
      </w:r>
      <w:r w:rsidRPr="00E97FFC">
        <w:rPr>
          <w:rFonts w:ascii="Georgia" w:hAnsi="Georgia"/>
        </w:rPr>
        <w:t>.</w:t>
      </w:r>
    </w:p>
    <w:p w:rsidR="00E97FFC" w:rsidRPr="00E97FFC" w:rsidRDefault="00E97FFC" w:rsidP="00E97FFC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  <w:b/>
        </w:rPr>
        <w:t>Цель работы.</w:t>
      </w:r>
      <w:r>
        <w:rPr>
          <w:rFonts w:ascii="Georgia" w:hAnsi="Georgia"/>
        </w:rPr>
        <w:t xml:space="preserve"> И</w:t>
      </w:r>
      <w:r w:rsidRPr="00E97FFC">
        <w:rPr>
          <w:rFonts w:ascii="Georgia" w:hAnsi="Georgia"/>
        </w:rPr>
        <w:t>зучи</w:t>
      </w:r>
      <w:r>
        <w:rPr>
          <w:rFonts w:ascii="Georgia" w:hAnsi="Georgia"/>
        </w:rPr>
        <w:t>ть</w:t>
      </w:r>
      <w:r w:rsidRPr="00E97FFC">
        <w:rPr>
          <w:rFonts w:ascii="Georgia" w:hAnsi="Georgia"/>
        </w:rPr>
        <w:t xml:space="preserve"> влияни</w:t>
      </w:r>
      <w:r>
        <w:rPr>
          <w:rFonts w:ascii="Georgia" w:hAnsi="Georgia"/>
        </w:rPr>
        <w:t>е</w:t>
      </w:r>
      <w:r w:rsidRPr="00E97FFC">
        <w:rPr>
          <w:rFonts w:ascii="Georgia" w:hAnsi="Georgia"/>
        </w:rPr>
        <w:t xml:space="preserve"> нового оригинального препарата </w:t>
      </w:r>
      <w:proofErr w:type="spellStart"/>
      <w:r w:rsidRPr="00E97FFC">
        <w:rPr>
          <w:rFonts w:ascii="Georgia" w:hAnsi="Georgia"/>
        </w:rPr>
        <w:t>Фларосукцин</w:t>
      </w:r>
      <w:proofErr w:type="spellEnd"/>
      <w:r w:rsidRPr="00E97FFC">
        <w:rPr>
          <w:rFonts w:ascii="Georgia" w:hAnsi="Georgia"/>
        </w:rPr>
        <w:t xml:space="preserve"> </w:t>
      </w:r>
      <w:r w:rsidR="00284C9A">
        <w:rPr>
          <w:rFonts w:ascii="Georgia" w:hAnsi="Georgia"/>
        </w:rPr>
        <w:t>(«</w:t>
      </w:r>
      <w:proofErr w:type="spellStart"/>
      <w:r w:rsidR="00284C9A">
        <w:rPr>
          <w:rFonts w:ascii="Georgia" w:hAnsi="Georgia"/>
        </w:rPr>
        <w:t>Борщаговский</w:t>
      </w:r>
      <w:proofErr w:type="spellEnd"/>
      <w:r w:rsidR="00284C9A">
        <w:rPr>
          <w:rFonts w:ascii="Georgia" w:hAnsi="Georgia"/>
        </w:rPr>
        <w:t xml:space="preserve"> ХФЗ», Киев</w:t>
      </w:r>
      <w:r w:rsidRPr="00E97FFC">
        <w:rPr>
          <w:rFonts w:ascii="Georgia" w:hAnsi="Georgia"/>
        </w:rPr>
        <w:t>)</w:t>
      </w:r>
      <w:r w:rsidR="00284C9A">
        <w:rPr>
          <w:rFonts w:ascii="Georgia" w:hAnsi="Georgia"/>
        </w:rPr>
        <w:t xml:space="preserve">, содержащий в своем составе </w:t>
      </w:r>
      <w:proofErr w:type="spellStart"/>
      <w:r w:rsidR="00284C9A">
        <w:rPr>
          <w:rFonts w:ascii="Georgia" w:hAnsi="Georgia"/>
        </w:rPr>
        <w:t>сукцинатный</w:t>
      </w:r>
      <w:proofErr w:type="spellEnd"/>
      <w:r w:rsidR="00284C9A">
        <w:rPr>
          <w:rFonts w:ascii="Georgia" w:hAnsi="Georgia"/>
        </w:rPr>
        <w:t xml:space="preserve"> буферный комплекс и суммарный растительный экстракт</w:t>
      </w:r>
      <w:r w:rsidRPr="00E97FFC">
        <w:rPr>
          <w:rFonts w:ascii="Georgia" w:hAnsi="Georgia"/>
        </w:rPr>
        <w:t xml:space="preserve"> на электролитный обмен у неполовозрелых животных при экспериментальной почечной недостаточности.</w:t>
      </w:r>
    </w:p>
    <w:p w:rsidR="00E97FFC" w:rsidRPr="000053B0" w:rsidRDefault="00E97FFC" w:rsidP="000053B0">
      <w:pPr>
        <w:spacing w:after="0" w:line="240" w:lineRule="auto"/>
        <w:ind w:firstLine="708"/>
        <w:jc w:val="both"/>
        <w:rPr>
          <w:rFonts w:ascii="Georgia" w:hAnsi="Georgia"/>
          <w:b/>
        </w:rPr>
      </w:pPr>
      <w:r w:rsidRPr="00E97FFC">
        <w:rPr>
          <w:rFonts w:ascii="Georgia" w:hAnsi="Georgia"/>
          <w:b/>
        </w:rPr>
        <w:t>Материалы и методы исследования.</w:t>
      </w:r>
      <w:r w:rsidR="000053B0">
        <w:rPr>
          <w:rFonts w:ascii="Georgia" w:hAnsi="Georgia"/>
          <w:b/>
        </w:rPr>
        <w:t xml:space="preserve"> </w:t>
      </w:r>
      <w:r w:rsidRPr="00E97FFC">
        <w:rPr>
          <w:rFonts w:ascii="Georgia" w:hAnsi="Georgia"/>
        </w:rPr>
        <w:t xml:space="preserve">Ранее нами было изучено и установлено, что </w:t>
      </w:r>
      <w:proofErr w:type="spellStart"/>
      <w:r w:rsidRPr="00E97FFC">
        <w:rPr>
          <w:rFonts w:ascii="Georgia" w:hAnsi="Georgia"/>
        </w:rPr>
        <w:t>Фларосукцин</w:t>
      </w:r>
      <w:proofErr w:type="spellEnd"/>
      <w:r w:rsidRPr="00E97FFC">
        <w:rPr>
          <w:rFonts w:ascii="Georgia" w:hAnsi="Georgia"/>
        </w:rPr>
        <w:t xml:space="preserve"> проявлял выраженное действие, нормализовал функциональное состояние почек в эксперименте на половозрелых крысах. Представляло интерес так же исследовать его влияние на течение экспериментальной почечной недостаточности у неполовозрелых животных</w:t>
      </w:r>
      <w:r w:rsidR="00A63A6B">
        <w:rPr>
          <w:rFonts w:ascii="Georgia" w:hAnsi="Georgia"/>
        </w:rPr>
        <w:t xml:space="preserve"> </w:t>
      </w:r>
      <w:r w:rsidR="00A63A6B" w:rsidRPr="002102D2">
        <w:rPr>
          <w:rFonts w:ascii="Georgia" w:hAnsi="Georgia"/>
        </w:rPr>
        <w:t>[2, 3]</w:t>
      </w:r>
      <w:r w:rsidRPr="00E97FFC">
        <w:rPr>
          <w:rFonts w:ascii="Georgia" w:hAnsi="Georgia"/>
        </w:rPr>
        <w:t>.</w:t>
      </w:r>
    </w:p>
    <w:p w:rsidR="00E97FFC" w:rsidRPr="00E97FFC" w:rsidRDefault="00E97FFC" w:rsidP="00E97FFC">
      <w:pPr>
        <w:spacing w:after="0" w:line="240" w:lineRule="auto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В качестве препарата сравнения использовали препарат </w:t>
      </w:r>
      <w:proofErr w:type="spellStart"/>
      <w:r w:rsidRPr="00E97FFC">
        <w:rPr>
          <w:rFonts w:ascii="Georgia" w:hAnsi="Georgia"/>
        </w:rPr>
        <w:t>Канефрон</w:t>
      </w:r>
      <w:proofErr w:type="spellEnd"/>
      <w:r w:rsidRPr="00E97FFC">
        <w:rPr>
          <w:rFonts w:ascii="Georgia" w:hAnsi="Georgia"/>
        </w:rPr>
        <w:t xml:space="preserve"> Н в форме раствора (</w:t>
      </w:r>
      <w:proofErr w:type="spellStart"/>
      <w:r w:rsidRPr="00E97FFC">
        <w:rPr>
          <w:rFonts w:ascii="Georgia" w:hAnsi="Georgia"/>
          <w:lang w:val="en-US"/>
        </w:rPr>
        <w:t>Bionorica</w:t>
      </w:r>
      <w:proofErr w:type="spellEnd"/>
      <w:r w:rsidR="00453D2C">
        <w:rPr>
          <w:rFonts w:ascii="Georgia" w:hAnsi="Georgia"/>
        </w:rPr>
        <w:t>, Германия</w:t>
      </w:r>
      <w:r w:rsidRPr="00E97FFC">
        <w:rPr>
          <w:rFonts w:ascii="Georgia" w:hAnsi="Georgia"/>
        </w:rPr>
        <w:t>) широко применяемый в детской нефрологии.</w:t>
      </w:r>
    </w:p>
    <w:p w:rsidR="00E97FFC" w:rsidRPr="00453D2C" w:rsidRDefault="00E97FFC" w:rsidP="0075553B">
      <w:pPr>
        <w:spacing w:after="0" w:line="240" w:lineRule="auto"/>
        <w:jc w:val="both"/>
        <w:rPr>
          <w:rFonts w:ascii="Georgia" w:hAnsi="Georgia"/>
        </w:rPr>
      </w:pPr>
      <w:r w:rsidRPr="00453D2C">
        <w:rPr>
          <w:rFonts w:ascii="Georgia" w:hAnsi="Georgia"/>
        </w:rPr>
        <w:t>Использование животных в научно-исследовательских целях предусматривает гуманное отношение к животным (Закон Украины «О защите животных от жестокого обращения», 2006 г.; Европейская конвенция о защите позвоночных животных, которые используются в исследовательских и других научных целях, Страсбург, 1986 г.)</w:t>
      </w:r>
      <w:r w:rsidR="00453D2C" w:rsidRPr="00453D2C">
        <w:rPr>
          <w:rFonts w:ascii="Georgia" w:hAnsi="Georgia"/>
        </w:rPr>
        <w:t xml:space="preserve"> [1].</w:t>
      </w:r>
      <w:r w:rsidR="0075553B" w:rsidRPr="00453D2C">
        <w:rPr>
          <w:rFonts w:ascii="Georgia" w:hAnsi="Georgia"/>
        </w:rPr>
        <w:t xml:space="preserve"> </w:t>
      </w:r>
      <w:r w:rsidRPr="00453D2C">
        <w:rPr>
          <w:rFonts w:ascii="Georgia" w:hAnsi="Georgia"/>
        </w:rPr>
        <w:t xml:space="preserve">Все исследования проводились в соответствии с современными научными стандартами, где были предусмотрены все этические аспекты по гуманному отношению к животным в научных исследованиях (протокол Комитета по Биоэтике Национального фармацевтического университета №11 от 16.11.2011 г.). </w:t>
      </w:r>
    </w:p>
    <w:p w:rsidR="00E97FFC" w:rsidRPr="00E97FFC" w:rsidRDefault="00E97FFC" w:rsidP="0075553B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Экспериментальные исследования проводились на неполовозрелых белых крысах линии </w:t>
      </w:r>
      <w:proofErr w:type="spellStart"/>
      <w:r w:rsidRPr="00E97FFC">
        <w:rPr>
          <w:rFonts w:ascii="Georgia" w:hAnsi="Georgia"/>
          <w:lang w:val="en-US"/>
        </w:rPr>
        <w:t>Vistar</w:t>
      </w:r>
      <w:proofErr w:type="spellEnd"/>
      <w:r w:rsidRPr="00E97FFC">
        <w:rPr>
          <w:rFonts w:ascii="Georgia" w:hAnsi="Georgia"/>
        </w:rPr>
        <w:t>, обоего пола, возрастом от 0,5 до 1 месяца, что соответствует возрасту детей</w:t>
      </w:r>
      <w:r w:rsidR="00A63A6B">
        <w:rPr>
          <w:rFonts w:ascii="Georgia" w:hAnsi="Georgia"/>
        </w:rPr>
        <w:t xml:space="preserve"> 2</w:t>
      </w:r>
      <w:r w:rsidRPr="00E97FFC">
        <w:rPr>
          <w:rFonts w:ascii="Georgia" w:hAnsi="Georgia"/>
        </w:rPr>
        <w:t>–</w:t>
      </w:r>
      <w:r w:rsidR="00A63A6B">
        <w:rPr>
          <w:rFonts w:ascii="Georgia" w:hAnsi="Georgia"/>
        </w:rPr>
        <w:t>7 лет, массой 40</w:t>
      </w:r>
      <w:r w:rsidRPr="00E97FFC">
        <w:rPr>
          <w:rFonts w:ascii="Georgia" w:hAnsi="Georgia"/>
        </w:rPr>
        <w:t>–50 г. Животные имели свободный доступ к воде и находились на стандартном рационе.</w:t>
      </w:r>
    </w:p>
    <w:p w:rsidR="00E97FFC" w:rsidRPr="00E97FFC" w:rsidRDefault="00E97FFC" w:rsidP="0075553B">
      <w:pPr>
        <w:spacing w:after="0" w:line="240" w:lineRule="auto"/>
        <w:ind w:firstLine="708"/>
        <w:jc w:val="both"/>
        <w:rPr>
          <w:rFonts w:ascii="Georgia" w:hAnsi="Georgia"/>
        </w:rPr>
      </w:pPr>
      <w:r w:rsidRPr="00E97FFC">
        <w:rPr>
          <w:rFonts w:ascii="Georgia" w:hAnsi="Georgia"/>
        </w:rPr>
        <w:t>Экспериментальную почечную недостаточность моделировали путем однократного внутримышечного введения 50</w:t>
      </w:r>
      <w:r w:rsidR="00A63A6B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>% раствора глицерина в дозе 10 мл/кг («</w:t>
      </w:r>
      <w:proofErr w:type="spellStart"/>
      <w:r w:rsidRPr="00E97FFC">
        <w:rPr>
          <w:rFonts w:ascii="Georgia" w:hAnsi="Georgia"/>
        </w:rPr>
        <w:t>глицероловая</w:t>
      </w:r>
      <w:proofErr w:type="spellEnd"/>
      <w:r w:rsidRPr="00E97FFC">
        <w:rPr>
          <w:rFonts w:ascii="Georgia" w:hAnsi="Georgia"/>
        </w:rPr>
        <w:t xml:space="preserve">» модель острой почечной недостаточности). Данные литературы свидетельствуют, что однократное внутримышечное введение животным глицерина в </w:t>
      </w:r>
      <w:r w:rsidRPr="00E97FFC">
        <w:rPr>
          <w:rFonts w:ascii="Georgia" w:hAnsi="Georgia"/>
        </w:rPr>
        <w:lastRenderedPageBreak/>
        <w:t xml:space="preserve">указанной дозе вызывает </w:t>
      </w:r>
      <w:proofErr w:type="spellStart"/>
      <w:r w:rsidRPr="00E97FFC">
        <w:rPr>
          <w:rFonts w:ascii="Georgia" w:hAnsi="Georgia"/>
        </w:rPr>
        <w:t>олигоурию</w:t>
      </w:r>
      <w:proofErr w:type="spellEnd"/>
      <w:r w:rsidRPr="00E97FFC">
        <w:rPr>
          <w:rFonts w:ascii="Georgia" w:hAnsi="Georgia"/>
        </w:rPr>
        <w:t xml:space="preserve">, снижение скорости клубочковой фильтрации и </w:t>
      </w:r>
      <w:proofErr w:type="spellStart"/>
      <w:r w:rsidRPr="00E97FFC">
        <w:rPr>
          <w:rFonts w:ascii="Georgia" w:hAnsi="Georgia"/>
        </w:rPr>
        <w:t>канальцевой</w:t>
      </w:r>
      <w:proofErr w:type="spellEnd"/>
      <w:r w:rsidRPr="00E97FFC">
        <w:rPr>
          <w:rFonts w:ascii="Georgia" w:hAnsi="Georgia"/>
        </w:rPr>
        <w:t xml:space="preserve"> </w:t>
      </w:r>
      <w:proofErr w:type="spellStart"/>
      <w:r w:rsidRPr="00E97FFC">
        <w:rPr>
          <w:rFonts w:ascii="Georgia" w:hAnsi="Georgia"/>
        </w:rPr>
        <w:t>реабсорбции</w:t>
      </w:r>
      <w:proofErr w:type="spellEnd"/>
      <w:r w:rsidRPr="00E97FFC">
        <w:rPr>
          <w:rFonts w:ascii="Georgia" w:hAnsi="Georgia"/>
        </w:rPr>
        <w:t>, развитие азотемии. Эти нарушения связаны с развитием ишемии коркового слоя почек, набуханием эпителия извитых канальцев, нарушением из функции</w:t>
      </w:r>
      <w:r w:rsidR="00A63A6B" w:rsidRPr="002102D2">
        <w:rPr>
          <w:rFonts w:ascii="Georgia" w:hAnsi="Georgia"/>
        </w:rPr>
        <w:t xml:space="preserve"> [6, 7]</w:t>
      </w:r>
      <w:r w:rsidRPr="00E97FFC">
        <w:rPr>
          <w:rFonts w:ascii="Georgia" w:hAnsi="Georgia"/>
        </w:rPr>
        <w:t>.</w:t>
      </w:r>
    </w:p>
    <w:p w:rsidR="00E97FFC" w:rsidRPr="00E97FFC" w:rsidRDefault="00E97FFC" w:rsidP="00E97FFC">
      <w:pPr>
        <w:spacing w:after="0" w:line="240" w:lineRule="auto"/>
        <w:jc w:val="both"/>
        <w:rPr>
          <w:rFonts w:ascii="Georgia" w:hAnsi="Georgia"/>
        </w:rPr>
      </w:pPr>
      <w:proofErr w:type="spellStart"/>
      <w:r w:rsidRPr="00E97FFC">
        <w:rPr>
          <w:rFonts w:ascii="Georgia" w:hAnsi="Georgia"/>
        </w:rPr>
        <w:t>Фларосукцин</w:t>
      </w:r>
      <w:proofErr w:type="spellEnd"/>
      <w:r w:rsidRPr="00E97FFC">
        <w:rPr>
          <w:rFonts w:ascii="Georgia" w:hAnsi="Georgia"/>
        </w:rPr>
        <w:t xml:space="preserve"> вводили неполовозрелым животным в двух дозировках: 2,0 мл/кг – эффективная </w:t>
      </w:r>
      <w:proofErr w:type="gramStart"/>
      <w:r w:rsidRPr="00E97FFC">
        <w:rPr>
          <w:rFonts w:ascii="Georgia" w:hAnsi="Georgia"/>
        </w:rPr>
        <w:t>доза</w:t>
      </w:r>
      <w:proofErr w:type="gramEnd"/>
      <w:r w:rsidRPr="00E97FFC">
        <w:rPr>
          <w:rFonts w:ascii="Georgia" w:hAnsi="Georgia"/>
        </w:rPr>
        <w:t xml:space="preserve"> установленная в предыдущих исследованиях на половозрелых крысах; 3,2 мл/кг – доза с учетом </w:t>
      </w:r>
      <w:proofErr w:type="spellStart"/>
      <w:r w:rsidRPr="00E97FFC">
        <w:rPr>
          <w:rFonts w:ascii="Georgia" w:hAnsi="Georgia"/>
        </w:rPr>
        <w:t>дозис</w:t>
      </w:r>
      <w:proofErr w:type="spellEnd"/>
      <w:r w:rsidRPr="00E97FFC">
        <w:rPr>
          <w:rFonts w:ascii="Georgia" w:hAnsi="Georgia"/>
        </w:rPr>
        <w:t>-фактора, соответствующего возрасту ребенка.</w:t>
      </w:r>
    </w:p>
    <w:p w:rsidR="00E97FFC" w:rsidRPr="00E97FFC" w:rsidRDefault="00E97FFC" w:rsidP="00E97FFC">
      <w:pPr>
        <w:spacing w:after="0" w:line="240" w:lineRule="auto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Препарат сравнения </w:t>
      </w:r>
      <w:proofErr w:type="spellStart"/>
      <w:r w:rsidRPr="00E97FFC">
        <w:rPr>
          <w:rFonts w:ascii="Georgia" w:hAnsi="Georgia"/>
        </w:rPr>
        <w:t>Канефрон</w:t>
      </w:r>
      <w:proofErr w:type="spellEnd"/>
      <w:r w:rsidRPr="00E97FFC">
        <w:rPr>
          <w:rFonts w:ascii="Georgia" w:hAnsi="Georgia"/>
        </w:rPr>
        <w:t xml:space="preserve"> Н вводили животным в дозе 1,0 мл/кг. Доза препарата сравнения определена согласно инструкции для его медицинского применения с учетом коэффициента видовой чувствительности по Ю. Р. Рыболовлеву</w:t>
      </w:r>
      <w:r w:rsidR="00A63A6B" w:rsidRPr="002102D2">
        <w:rPr>
          <w:rFonts w:ascii="Georgia" w:hAnsi="Georgia"/>
        </w:rPr>
        <w:t xml:space="preserve"> [8]</w:t>
      </w:r>
      <w:r w:rsidRPr="00E97FFC">
        <w:rPr>
          <w:rFonts w:ascii="Georgia" w:hAnsi="Georgia"/>
        </w:rPr>
        <w:t xml:space="preserve">. </w:t>
      </w:r>
    </w:p>
    <w:p w:rsidR="00E97FFC" w:rsidRPr="00E97FFC" w:rsidRDefault="00E97FFC" w:rsidP="00E97FFC">
      <w:pPr>
        <w:spacing w:after="0" w:line="240" w:lineRule="auto"/>
        <w:jc w:val="both"/>
        <w:rPr>
          <w:rFonts w:ascii="Georgia" w:hAnsi="Georgia"/>
        </w:rPr>
      </w:pPr>
      <w:r w:rsidRPr="00E97FFC">
        <w:rPr>
          <w:rFonts w:ascii="Georgia" w:hAnsi="Georgia"/>
        </w:rPr>
        <w:t xml:space="preserve"> Животные были распределены на 5 групп (</w:t>
      </w:r>
      <w:r w:rsidRPr="00E97FFC">
        <w:rPr>
          <w:rFonts w:ascii="Georgia" w:hAnsi="Georgia"/>
          <w:lang w:val="en-US"/>
        </w:rPr>
        <w:t>n</w:t>
      </w:r>
      <w:r w:rsidRPr="00E97FFC">
        <w:rPr>
          <w:rFonts w:ascii="Georgia" w:hAnsi="Georgia"/>
        </w:rPr>
        <w:t xml:space="preserve">=8): 1 – </w:t>
      </w:r>
      <w:proofErr w:type="spellStart"/>
      <w:r w:rsidRPr="00E97FFC">
        <w:rPr>
          <w:rFonts w:ascii="Georgia" w:hAnsi="Georgia"/>
        </w:rPr>
        <w:t>интактные</w:t>
      </w:r>
      <w:proofErr w:type="spellEnd"/>
      <w:r w:rsidRPr="00E97FFC">
        <w:rPr>
          <w:rFonts w:ascii="Georgia" w:hAnsi="Georgia"/>
        </w:rPr>
        <w:t xml:space="preserve"> животные; 2 – контроль патологии (внутримышечное введение 50</w:t>
      </w:r>
      <w:r w:rsidR="009B7712">
        <w:rPr>
          <w:rFonts w:ascii="Georgia" w:hAnsi="Georgia"/>
        </w:rPr>
        <w:t xml:space="preserve"> </w:t>
      </w:r>
      <w:r w:rsidRPr="00E97FFC">
        <w:rPr>
          <w:rFonts w:ascii="Georgia" w:hAnsi="Georgia"/>
        </w:rPr>
        <w:t xml:space="preserve">% раствора глицерина); 3 – патология + </w:t>
      </w:r>
      <w:proofErr w:type="spellStart"/>
      <w:r w:rsidRPr="00E97FFC">
        <w:rPr>
          <w:rFonts w:ascii="Georgia" w:hAnsi="Georgia"/>
        </w:rPr>
        <w:t>Фларосукцин</w:t>
      </w:r>
      <w:proofErr w:type="spellEnd"/>
      <w:r w:rsidRPr="00E97FFC">
        <w:rPr>
          <w:rFonts w:ascii="Georgia" w:hAnsi="Georgia"/>
        </w:rPr>
        <w:t xml:space="preserve"> в дозе 2,0 мл/кг; 4 – патология + </w:t>
      </w:r>
      <w:proofErr w:type="spellStart"/>
      <w:r w:rsidRPr="00E97FFC">
        <w:rPr>
          <w:rFonts w:ascii="Georgia" w:hAnsi="Georgia"/>
        </w:rPr>
        <w:t>Фларосукцин</w:t>
      </w:r>
      <w:proofErr w:type="spellEnd"/>
      <w:r w:rsidRPr="00E97FFC">
        <w:rPr>
          <w:rFonts w:ascii="Georgia" w:hAnsi="Georgia"/>
        </w:rPr>
        <w:t xml:space="preserve"> в дозе 3,2 мл/кг; 5 – патология + </w:t>
      </w:r>
      <w:proofErr w:type="spellStart"/>
      <w:r w:rsidRPr="00E97FFC">
        <w:rPr>
          <w:rFonts w:ascii="Georgia" w:hAnsi="Georgia"/>
        </w:rPr>
        <w:t>Канефрон</w:t>
      </w:r>
      <w:proofErr w:type="spellEnd"/>
      <w:r w:rsidRPr="00E97FFC">
        <w:rPr>
          <w:rFonts w:ascii="Georgia" w:hAnsi="Georgia"/>
        </w:rPr>
        <w:t xml:space="preserve"> Н в дозе 1,0 мл/кг.</w:t>
      </w:r>
    </w:p>
    <w:p w:rsidR="00E97FFC" w:rsidRPr="00E97FFC" w:rsidRDefault="00E97FFC" w:rsidP="00E97FFC">
      <w:pPr>
        <w:spacing w:after="0" w:line="240" w:lineRule="auto"/>
        <w:jc w:val="both"/>
        <w:rPr>
          <w:rFonts w:ascii="Georgia" w:hAnsi="Georgia"/>
        </w:rPr>
      </w:pPr>
      <w:r w:rsidRPr="00E97FFC">
        <w:rPr>
          <w:rFonts w:ascii="Georgia" w:hAnsi="Georgia"/>
        </w:rPr>
        <w:t>Влияние изучаемого препарата на кальциево-фосфорный гомеостаз исследовали по содержанию в крови и суточной моче кальция и фосфора, с помощью стандартных наборов «</w:t>
      </w:r>
      <w:proofErr w:type="spellStart"/>
      <w:r w:rsidRPr="00E97FFC">
        <w:rPr>
          <w:rFonts w:ascii="Georgia" w:hAnsi="Georgia"/>
        </w:rPr>
        <w:t>Фелисит</w:t>
      </w:r>
      <w:proofErr w:type="spellEnd"/>
      <w:r w:rsidRPr="00E97FFC">
        <w:rPr>
          <w:rFonts w:ascii="Georgia" w:hAnsi="Georgia"/>
        </w:rPr>
        <w:t>-Диагностика» (Украина).</w:t>
      </w:r>
    </w:p>
    <w:p w:rsidR="00E97FFC" w:rsidRDefault="00E97FFC" w:rsidP="00E97FFC">
      <w:pPr>
        <w:spacing w:after="0" w:line="240" w:lineRule="auto"/>
        <w:jc w:val="both"/>
        <w:rPr>
          <w:rFonts w:ascii="Georgia" w:hAnsi="Georgia"/>
        </w:rPr>
      </w:pPr>
      <w:r w:rsidRPr="00E97FFC">
        <w:rPr>
          <w:rFonts w:ascii="Georgia" w:hAnsi="Georgia"/>
        </w:rPr>
        <w:t>Статистическую обработку результатов проводили с помощью пакета прикладных статистических программ</w:t>
      </w:r>
      <w:r w:rsidR="000053B0">
        <w:rPr>
          <w:rFonts w:ascii="Georgia" w:hAnsi="Georgia"/>
        </w:rPr>
        <w:t>.</w:t>
      </w:r>
      <w:r w:rsidRPr="00E97FFC">
        <w:rPr>
          <w:rFonts w:ascii="Georgia" w:hAnsi="Georgia"/>
        </w:rPr>
        <w:t xml:space="preserve"> Статистическую значимость межгрупповых различий оценивали с помощью </w:t>
      </w:r>
      <w:r w:rsidRPr="00E97FFC">
        <w:rPr>
          <w:rFonts w:ascii="Georgia" w:hAnsi="Georgia"/>
          <w:lang w:val="en-US"/>
        </w:rPr>
        <w:t>t</w:t>
      </w:r>
      <w:r w:rsidRPr="00E97FFC">
        <w:rPr>
          <w:rFonts w:ascii="Georgia" w:hAnsi="Georgia"/>
        </w:rPr>
        <w:t xml:space="preserve">-критерия Стьюдента. Изменения считали достоверными  при </w:t>
      </w:r>
      <w:proofErr w:type="gramStart"/>
      <w:r w:rsidRPr="00E97FFC">
        <w:rPr>
          <w:rFonts w:ascii="Georgia" w:hAnsi="Georgia"/>
        </w:rPr>
        <w:t>р</w:t>
      </w:r>
      <w:proofErr w:type="gramEnd"/>
      <w:r w:rsidRPr="00E97FFC">
        <w:rPr>
          <w:rFonts w:ascii="Georgia" w:hAnsi="Georgia"/>
        </w:rPr>
        <w:t xml:space="preserve"> ≤ 0,05.</w:t>
      </w:r>
    </w:p>
    <w:p w:rsidR="000D1EA1" w:rsidRPr="000D1EA1" w:rsidRDefault="00E97FFC" w:rsidP="00955D92">
      <w:pPr>
        <w:spacing w:after="0" w:line="240" w:lineRule="auto"/>
        <w:ind w:firstLine="708"/>
        <w:jc w:val="both"/>
        <w:rPr>
          <w:rFonts w:ascii="Georgia" w:hAnsi="Georgia"/>
          <w:noProof/>
          <w:lang w:eastAsia="ru-RU"/>
        </w:rPr>
      </w:pPr>
      <w:r w:rsidRPr="000D1EA1">
        <w:rPr>
          <w:rFonts w:ascii="Georgia" w:hAnsi="Georgia"/>
          <w:b/>
        </w:rPr>
        <w:t>Результаты исследования и обсуждение.</w:t>
      </w:r>
      <w:r w:rsidR="000D1EA1" w:rsidRPr="000D1EA1">
        <w:rPr>
          <w:rFonts w:ascii="Georgia" w:hAnsi="Georgia"/>
          <w:noProof/>
          <w:lang w:eastAsia="ru-RU"/>
        </w:rPr>
        <w:t xml:space="preserve"> Известно, что почки играют ключевую роль в метаболизме кальция. Почечная недостаточность характеризуется понижением скорости гломерулярной фильтрации и объема фильтруемой жидкости, в связи с этим нарушается экскреция кальция почками</w:t>
      </w:r>
    </w:p>
    <w:p w:rsidR="00926525" w:rsidRPr="000D1EA1" w:rsidRDefault="00926525" w:rsidP="00110D78">
      <w:pPr>
        <w:spacing w:after="0" w:line="240" w:lineRule="auto"/>
        <w:ind w:firstLine="708"/>
        <w:jc w:val="both"/>
        <w:rPr>
          <w:rFonts w:ascii="Georgia" w:hAnsi="Georgia"/>
        </w:rPr>
      </w:pPr>
      <w:r w:rsidRPr="000D1EA1">
        <w:rPr>
          <w:rFonts w:ascii="Georgia" w:hAnsi="Georgia"/>
        </w:rPr>
        <w:t xml:space="preserve">Обмен кальция и фосфора </w:t>
      </w:r>
      <w:proofErr w:type="gramStart"/>
      <w:r w:rsidRPr="000D1EA1">
        <w:rPr>
          <w:rFonts w:ascii="Georgia" w:hAnsi="Georgia"/>
        </w:rPr>
        <w:t>взаимосвязаны</w:t>
      </w:r>
      <w:proofErr w:type="gramEnd"/>
      <w:r w:rsidRPr="000D1EA1">
        <w:rPr>
          <w:rFonts w:ascii="Georgia" w:hAnsi="Georgia"/>
        </w:rPr>
        <w:t xml:space="preserve">. Повышенное поступление кальция с пищей сопровождается снижением экскреции фосфора с мочой. Повышение концентрации фосфора в крови, по видимому, связано с эффектом </w:t>
      </w:r>
      <w:proofErr w:type="spellStart"/>
      <w:r w:rsidRPr="000D1EA1">
        <w:rPr>
          <w:rFonts w:ascii="Georgia" w:hAnsi="Georgia"/>
        </w:rPr>
        <w:t>гиперкальцемии</w:t>
      </w:r>
      <w:proofErr w:type="spellEnd"/>
      <w:r w:rsidRPr="000D1EA1">
        <w:rPr>
          <w:rFonts w:ascii="Georgia" w:hAnsi="Georgia"/>
        </w:rPr>
        <w:t xml:space="preserve">, способствующей высвобождению внутриклеточного фосфора в кровоток. В то же время, </w:t>
      </w:r>
      <w:proofErr w:type="spellStart"/>
      <w:r w:rsidRPr="000D1EA1">
        <w:rPr>
          <w:rFonts w:ascii="Georgia" w:hAnsi="Georgia"/>
        </w:rPr>
        <w:t>гиперкальцемия</w:t>
      </w:r>
      <w:proofErr w:type="spellEnd"/>
      <w:r w:rsidRPr="000D1EA1">
        <w:rPr>
          <w:rFonts w:ascii="Georgia" w:hAnsi="Georgia"/>
        </w:rPr>
        <w:t xml:space="preserve"> может оказывать непосредственный эффект на почки, усиливая тубулярную </w:t>
      </w:r>
      <w:proofErr w:type="spellStart"/>
      <w:r w:rsidRPr="000D1EA1">
        <w:rPr>
          <w:rFonts w:ascii="Georgia" w:hAnsi="Georgia"/>
        </w:rPr>
        <w:t>реабсорбцию</w:t>
      </w:r>
      <w:proofErr w:type="spellEnd"/>
      <w:r w:rsidRPr="000D1EA1">
        <w:rPr>
          <w:rFonts w:ascii="Georgia" w:hAnsi="Georgia"/>
        </w:rPr>
        <w:t xml:space="preserve"> фосфора независимо от </w:t>
      </w:r>
      <w:proofErr w:type="spellStart"/>
      <w:r w:rsidRPr="000D1EA1">
        <w:rPr>
          <w:rFonts w:ascii="Georgia" w:hAnsi="Georgia"/>
        </w:rPr>
        <w:t>паратгормона</w:t>
      </w:r>
      <w:proofErr w:type="spellEnd"/>
      <w:r w:rsidRPr="000D1EA1">
        <w:rPr>
          <w:rFonts w:ascii="Georgia" w:hAnsi="Georgia"/>
        </w:rPr>
        <w:t xml:space="preserve">. Восстановление физиологического уровня кальция в крови больных с </w:t>
      </w:r>
      <w:proofErr w:type="spellStart"/>
      <w:r w:rsidRPr="000D1EA1">
        <w:rPr>
          <w:rFonts w:ascii="Georgia" w:hAnsi="Georgia"/>
        </w:rPr>
        <w:t>гипопаратиреоидизмом</w:t>
      </w:r>
      <w:proofErr w:type="spellEnd"/>
      <w:r w:rsidRPr="000D1EA1">
        <w:rPr>
          <w:rFonts w:ascii="Georgia" w:hAnsi="Georgia"/>
        </w:rPr>
        <w:t xml:space="preserve"> ведет к увеличению экскреции фосфора с мочой. В эксперименте значительное поступление фосфо</w:t>
      </w:r>
      <w:r>
        <w:rPr>
          <w:rFonts w:ascii="Georgia" w:hAnsi="Georgia"/>
        </w:rPr>
        <w:t xml:space="preserve">ра у животных после </w:t>
      </w:r>
      <w:proofErr w:type="spellStart"/>
      <w:r>
        <w:rPr>
          <w:rFonts w:ascii="Georgia" w:hAnsi="Georgia"/>
        </w:rPr>
        <w:t>паратиреоидэ</w:t>
      </w:r>
      <w:r w:rsidRPr="000D1EA1">
        <w:rPr>
          <w:rFonts w:ascii="Georgia" w:hAnsi="Georgia"/>
        </w:rPr>
        <w:t>ктомии</w:t>
      </w:r>
      <w:proofErr w:type="spellEnd"/>
      <w:r w:rsidRPr="000D1EA1">
        <w:rPr>
          <w:rFonts w:ascii="Georgia" w:hAnsi="Georgia"/>
        </w:rPr>
        <w:t xml:space="preserve"> индуцирует снижение тубулярной </w:t>
      </w:r>
      <w:proofErr w:type="spellStart"/>
      <w:r w:rsidRPr="000D1EA1">
        <w:rPr>
          <w:rFonts w:ascii="Georgia" w:hAnsi="Georgia"/>
        </w:rPr>
        <w:t>реабсорбции</w:t>
      </w:r>
      <w:proofErr w:type="spellEnd"/>
      <w:r w:rsidRPr="000D1EA1">
        <w:rPr>
          <w:rFonts w:ascii="Georgia" w:hAnsi="Georgia"/>
        </w:rPr>
        <w:t xml:space="preserve"> фосфора, что связано с сопутствующим снижением концентрации кальция в крови. Поэтому поддержание постоянного уровня кальция может скомпенсировать нарушения </w:t>
      </w:r>
      <w:proofErr w:type="spellStart"/>
      <w:r w:rsidRPr="000D1EA1">
        <w:rPr>
          <w:rFonts w:ascii="Georgia" w:hAnsi="Georgia"/>
        </w:rPr>
        <w:t>реабсорбции</w:t>
      </w:r>
      <w:proofErr w:type="spellEnd"/>
      <w:r w:rsidRPr="000D1EA1">
        <w:rPr>
          <w:rFonts w:ascii="Georgia" w:hAnsi="Georgia"/>
        </w:rPr>
        <w:t xml:space="preserve"> фосфора. Повышенный катаболизм с усилением деструкции тканей и метаболический ацидоз ассоциируются с </w:t>
      </w:r>
      <w:proofErr w:type="spellStart"/>
      <w:r w:rsidRPr="000D1EA1">
        <w:rPr>
          <w:rFonts w:ascii="Georgia" w:hAnsi="Georgia"/>
        </w:rPr>
        <w:t>гипофосфатурией</w:t>
      </w:r>
      <w:proofErr w:type="spellEnd"/>
      <w:r w:rsidRPr="000D1EA1">
        <w:rPr>
          <w:rFonts w:ascii="Georgia" w:hAnsi="Georgia"/>
        </w:rPr>
        <w:t>, что характерно для почечной недостаточности.</w:t>
      </w:r>
    </w:p>
    <w:p w:rsidR="00926525" w:rsidRPr="000D1EA1" w:rsidRDefault="00926525" w:rsidP="00926525">
      <w:pPr>
        <w:spacing w:after="0" w:line="240" w:lineRule="auto"/>
        <w:jc w:val="both"/>
        <w:rPr>
          <w:rFonts w:ascii="Georgia" w:hAnsi="Georgia"/>
        </w:rPr>
      </w:pPr>
      <w:r w:rsidRPr="000D1EA1">
        <w:rPr>
          <w:rFonts w:ascii="Georgia" w:hAnsi="Georgia"/>
        </w:rPr>
        <w:t xml:space="preserve">Таким образом, развитие почечной недостаточности характеризуется изменениями содержания в крови и моче, как кальция, так и фосфора. Поэтому представляло интерес изучить влияние препарата </w:t>
      </w:r>
      <w:proofErr w:type="spellStart"/>
      <w:r w:rsidRPr="000D1EA1">
        <w:rPr>
          <w:rFonts w:ascii="Georgia" w:hAnsi="Georgia"/>
        </w:rPr>
        <w:t>Фларосукцин</w:t>
      </w:r>
      <w:proofErr w:type="spellEnd"/>
      <w:r w:rsidRPr="000D1EA1">
        <w:rPr>
          <w:rFonts w:ascii="Georgia" w:hAnsi="Georgia"/>
        </w:rPr>
        <w:t xml:space="preserve"> на баланс </w:t>
      </w:r>
      <w:r>
        <w:rPr>
          <w:rFonts w:ascii="Georgia" w:hAnsi="Georgia"/>
        </w:rPr>
        <w:t xml:space="preserve">кальция и </w:t>
      </w:r>
      <w:r w:rsidRPr="000D1EA1">
        <w:rPr>
          <w:rFonts w:ascii="Georgia" w:hAnsi="Georgia"/>
        </w:rPr>
        <w:t xml:space="preserve">фосфора при экспериментальной почечной недостаточности у неполовозрелых животных.  </w:t>
      </w:r>
    </w:p>
    <w:p w:rsidR="00110D78" w:rsidRDefault="000D1EA1" w:rsidP="008C72C7">
      <w:pPr>
        <w:spacing w:after="0" w:line="240" w:lineRule="auto"/>
        <w:ind w:firstLine="708"/>
        <w:jc w:val="both"/>
        <w:rPr>
          <w:rFonts w:ascii="Georgia" w:hAnsi="Georgia"/>
        </w:rPr>
      </w:pPr>
      <w:r w:rsidRPr="000D1EA1">
        <w:rPr>
          <w:rFonts w:ascii="Georgia" w:hAnsi="Georgia"/>
        </w:rPr>
        <w:t>В ходе проведенного исследования было установлено (</w:t>
      </w:r>
      <w:r w:rsidR="006A0E6E">
        <w:rPr>
          <w:rFonts w:ascii="Georgia" w:hAnsi="Georgia"/>
        </w:rPr>
        <w:t>р</w:t>
      </w:r>
      <w:r>
        <w:rPr>
          <w:rFonts w:ascii="Georgia" w:hAnsi="Georgia"/>
        </w:rPr>
        <w:t>ис. 1</w:t>
      </w:r>
      <w:r w:rsidRPr="000D1EA1">
        <w:rPr>
          <w:rFonts w:ascii="Georgia" w:hAnsi="Georgia"/>
        </w:rPr>
        <w:t>), что однократное внутримышечное введение 50</w:t>
      </w:r>
      <w:r w:rsidR="00A63A6B">
        <w:rPr>
          <w:rFonts w:ascii="Georgia" w:hAnsi="Georgia"/>
        </w:rPr>
        <w:t xml:space="preserve"> </w:t>
      </w:r>
      <w:r w:rsidRPr="000D1EA1">
        <w:rPr>
          <w:rFonts w:ascii="Georgia" w:hAnsi="Georgia"/>
        </w:rPr>
        <w:t xml:space="preserve">% раствора глицерина приводило к </w:t>
      </w:r>
      <w:r w:rsidR="00110D78">
        <w:rPr>
          <w:rFonts w:ascii="Georgia" w:hAnsi="Georgia"/>
        </w:rPr>
        <w:t xml:space="preserve">недостоверному </w:t>
      </w:r>
      <w:r w:rsidRPr="000D1EA1">
        <w:rPr>
          <w:rFonts w:ascii="Georgia" w:hAnsi="Georgia"/>
        </w:rPr>
        <w:t>снижению кальция в крови на 14,5</w:t>
      </w:r>
      <w:r w:rsidR="00A63A6B">
        <w:rPr>
          <w:rFonts w:ascii="Georgia" w:hAnsi="Georgia"/>
        </w:rPr>
        <w:t xml:space="preserve"> </w:t>
      </w:r>
      <w:r w:rsidRPr="000D1EA1">
        <w:rPr>
          <w:rFonts w:ascii="Georgia" w:hAnsi="Georgia"/>
        </w:rPr>
        <w:t xml:space="preserve">% </w:t>
      </w:r>
      <w:r w:rsidR="00110D78">
        <w:rPr>
          <w:rFonts w:ascii="Georgia" w:hAnsi="Georgia"/>
        </w:rPr>
        <w:t xml:space="preserve">и повышению фосфора на 4,8 % </w:t>
      </w:r>
      <w:r w:rsidRPr="000D1EA1">
        <w:rPr>
          <w:rFonts w:ascii="Georgia" w:hAnsi="Georgia"/>
        </w:rPr>
        <w:t xml:space="preserve">в группе контроля патологии, </w:t>
      </w:r>
      <w:r w:rsidR="00110D78">
        <w:rPr>
          <w:rFonts w:ascii="Georgia" w:hAnsi="Georgia"/>
        </w:rPr>
        <w:t xml:space="preserve">относительно </w:t>
      </w:r>
      <w:proofErr w:type="spellStart"/>
      <w:r w:rsidR="00110D78">
        <w:rPr>
          <w:rFonts w:ascii="Georgia" w:hAnsi="Georgia"/>
        </w:rPr>
        <w:t>интактных</w:t>
      </w:r>
      <w:proofErr w:type="spellEnd"/>
      <w:r w:rsidR="00110D78">
        <w:rPr>
          <w:rFonts w:ascii="Georgia" w:hAnsi="Georgia"/>
        </w:rPr>
        <w:t xml:space="preserve"> животных</w:t>
      </w:r>
      <w:r w:rsidRPr="000D1EA1">
        <w:rPr>
          <w:rFonts w:ascii="Georgia" w:hAnsi="Georgia"/>
        </w:rPr>
        <w:t xml:space="preserve">. </w:t>
      </w:r>
      <w:r w:rsidR="00496DC3" w:rsidRPr="000D1EA1">
        <w:rPr>
          <w:rFonts w:ascii="Georgia" w:hAnsi="Georgia"/>
        </w:rPr>
        <w:t xml:space="preserve">Введение </w:t>
      </w:r>
      <w:proofErr w:type="spellStart"/>
      <w:r w:rsidR="00496DC3" w:rsidRPr="000D1EA1">
        <w:rPr>
          <w:rFonts w:ascii="Georgia" w:hAnsi="Georgia"/>
        </w:rPr>
        <w:t>Фларосукцина</w:t>
      </w:r>
      <w:proofErr w:type="spellEnd"/>
      <w:r w:rsidR="00496DC3" w:rsidRPr="000D1EA1">
        <w:rPr>
          <w:rFonts w:ascii="Georgia" w:hAnsi="Georgia"/>
        </w:rPr>
        <w:t xml:space="preserve"> в дозе 2,0мл/кг на фоне развития патологии способствовало поддержанию концентрации кальция </w:t>
      </w:r>
      <w:r w:rsidR="00110D78">
        <w:rPr>
          <w:rFonts w:ascii="Georgia" w:hAnsi="Georgia"/>
        </w:rPr>
        <w:t xml:space="preserve">и фосфора </w:t>
      </w:r>
      <w:r w:rsidR="00496DC3" w:rsidRPr="000D1EA1">
        <w:rPr>
          <w:rFonts w:ascii="Georgia" w:hAnsi="Georgia"/>
        </w:rPr>
        <w:t xml:space="preserve">в крови на уровне значений </w:t>
      </w:r>
      <w:proofErr w:type="spellStart"/>
      <w:r w:rsidR="00496DC3" w:rsidRPr="000D1EA1">
        <w:rPr>
          <w:rFonts w:ascii="Georgia" w:hAnsi="Georgia"/>
        </w:rPr>
        <w:t>интактной</w:t>
      </w:r>
      <w:proofErr w:type="spellEnd"/>
      <w:r w:rsidR="00496DC3" w:rsidRPr="000D1EA1">
        <w:rPr>
          <w:rFonts w:ascii="Georgia" w:hAnsi="Georgia"/>
        </w:rPr>
        <w:t xml:space="preserve"> группы</w:t>
      </w:r>
      <w:r w:rsidR="00496DC3">
        <w:rPr>
          <w:rFonts w:ascii="Georgia" w:hAnsi="Georgia"/>
        </w:rPr>
        <w:t>, а</w:t>
      </w:r>
      <w:r w:rsidRPr="000D1EA1">
        <w:rPr>
          <w:rFonts w:ascii="Georgia" w:hAnsi="Georgia"/>
        </w:rPr>
        <w:t xml:space="preserve"> </w:t>
      </w:r>
      <w:r w:rsidR="00496DC3">
        <w:rPr>
          <w:rFonts w:ascii="Georgia" w:hAnsi="Georgia"/>
        </w:rPr>
        <w:t>в</w:t>
      </w:r>
      <w:r w:rsidR="00496DC3" w:rsidRPr="000D1EA1">
        <w:rPr>
          <w:rFonts w:ascii="Georgia" w:hAnsi="Georgia"/>
        </w:rPr>
        <w:t xml:space="preserve">ведение </w:t>
      </w:r>
      <w:proofErr w:type="spellStart"/>
      <w:r w:rsidR="00496DC3" w:rsidRPr="000D1EA1">
        <w:rPr>
          <w:rFonts w:ascii="Georgia" w:hAnsi="Georgia"/>
        </w:rPr>
        <w:t>Фларосукцина</w:t>
      </w:r>
      <w:proofErr w:type="spellEnd"/>
      <w:r w:rsidR="00496DC3" w:rsidRPr="000D1EA1">
        <w:rPr>
          <w:rFonts w:ascii="Georgia" w:hAnsi="Georgia"/>
        </w:rPr>
        <w:t xml:space="preserve"> в дозе 3,2 мг/кг </w:t>
      </w:r>
      <w:r w:rsidR="00110D78">
        <w:rPr>
          <w:rFonts w:ascii="Georgia" w:hAnsi="Georgia"/>
        </w:rPr>
        <w:t xml:space="preserve">и препарата сравнения </w:t>
      </w:r>
      <w:r w:rsidR="00496DC3" w:rsidRPr="000D1EA1">
        <w:rPr>
          <w:rFonts w:ascii="Georgia" w:hAnsi="Georgia"/>
        </w:rPr>
        <w:t xml:space="preserve">так же поддерживало содержание кальция в </w:t>
      </w:r>
      <w:proofErr w:type="gramStart"/>
      <w:r w:rsidR="00496DC3" w:rsidRPr="000D1EA1">
        <w:rPr>
          <w:rFonts w:ascii="Georgia" w:hAnsi="Georgia"/>
        </w:rPr>
        <w:t>крови</w:t>
      </w:r>
      <w:proofErr w:type="gramEnd"/>
      <w:r w:rsidR="00496DC3" w:rsidRPr="000D1EA1">
        <w:rPr>
          <w:rFonts w:ascii="Georgia" w:hAnsi="Georgia"/>
        </w:rPr>
        <w:t xml:space="preserve"> </w:t>
      </w:r>
      <w:r w:rsidR="00110D78">
        <w:rPr>
          <w:rFonts w:ascii="Georgia" w:hAnsi="Georgia"/>
        </w:rPr>
        <w:t>но на 7,4 %</w:t>
      </w:r>
      <w:r w:rsidR="00496DC3" w:rsidRPr="000D1EA1">
        <w:rPr>
          <w:rFonts w:ascii="Georgia" w:hAnsi="Georgia"/>
        </w:rPr>
        <w:t xml:space="preserve"> </w:t>
      </w:r>
      <w:r w:rsidR="00110D78">
        <w:rPr>
          <w:rFonts w:ascii="Georgia" w:hAnsi="Georgia"/>
        </w:rPr>
        <w:t xml:space="preserve">ниже, чем у </w:t>
      </w:r>
      <w:proofErr w:type="spellStart"/>
      <w:r w:rsidR="00496DC3" w:rsidRPr="000D1EA1">
        <w:rPr>
          <w:rFonts w:ascii="Georgia" w:hAnsi="Georgia"/>
        </w:rPr>
        <w:t>интактных</w:t>
      </w:r>
      <w:proofErr w:type="spellEnd"/>
      <w:r w:rsidR="00496DC3" w:rsidRPr="000D1EA1">
        <w:rPr>
          <w:rFonts w:ascii="Georgia" w:hAnsi="Georgia"/>
        </w:rPr>
        <w:t xml:space="preserve"> животных</w:t>
      </w:r>
      <w:r w:rsidR="00110D78">
        <w:rPr>
          <w:rFonts w:ascii="Georgia" w:hAnsi="Georgia"/>
        </w:rPr>
        <w:t>.</w:t>
      </w:r>
      <w:r w:rsidR="00496DC3">
        <w:rPr>
          <w:rFonts w:ascii="Georgia" w:hAnsi="Georgia"/>
        </w:rPr>
        <w:t xml:space="preserve"> </w:t>
      </w:r>
      <w:r w:rsidRPr="000D1EA1">
        <w:rPr>
          <w:rFonts w:ascii="Georgia" w:hAnsi="Georgia"/>
        </w:rPr>
        <w:t xml:space="preserve">В то же время </w:t>
      </w:r>
      <w:r w:rsidR="00110D78">
        <w:rPr>
          <w:rFonts w:ascii="Georgia" w:hAnsi="Georgia"/>
        </w:rPr>
        <w:t xml:space="preserve">концентрация фосфора отмечалась на уровне </w:t>
      </w:r>
      <w:proofErr w:type="spellStart"/>
      <w:r w:rsidR="00110D78">
        <w:rPr>
          <w:rFonts w:ascii="Georgia" w:hAnsi="Georgia"/>
        </w:rPr>
        <w:t>интактных</w:t>
      </w:r>
      <w:proofErr w:type="spellEnd"/>
      <w:r w:rsidR="00110D78">
        <w:rPr>
          <w:rFonts w:ascii="Georgia" w:hAnsi="Georgia"/>
        </w:rPr>
        <w:t xml:space="preserve"> значений. </w:t>
      </w:r>
    </w:p>
    <w:p w:rsidR="00110D78" w:rsidRDefault="004F2496" w:rsidP="00110D78">
      <w:pPr>
        <w:spacing w:after="0" w:line="240" w:lineRule="auto"/>
        <w:ind w:firstLine="708"/>
        <w:jc w:val="center"/>
        <w:rPr>
          <w:rFonts w:ascii="Georgia" w:hAnsi="Georgi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31790" cy="285940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0D78" w:rsidRDefault="00110D78" w:rsidP="00110D78">
      <w:pPr>
        <w:tabs>
          <w:tab w:val="left" w:pos="2040"/>
        </w:tabs>
        <w:jc w:val="center"/>
        <w:rPr>
          <w:rFonts w:ascii="Georgia" w:hAnsi="Georgia"/>
        </w:rPr>
      </w:pPr>
      <w:r w:rsidRPr="009B4694">
        <w:rPr>
          <w:rFonts w:ascii="Georgia" w:hAnsi="Georgia"/>
        </w:rPr>
        <w:t>Рис. 1. Содержание кальция и фосфора в кр</w:t>
      </w:r>
      <w:r>
        <w:rPr>
          <w:rFonts w:ascii="Georgia" w:hAnsi="Georgia"/>
        </w:rPr>
        <w:t>ови неполовозрелых крыс при ЭПН</w:t>
      </w:r>
    </w:p>
    <w:p w:rsidR="000D1EA1" w:rsidRPr="000D1EA1" w:rsidRDefault="00110D78" w:rsidP="008C72C7">
      <w:pPr>
        <w:spacing w:after="0" w:line="240" w:lineRule="auto"/>
        <w:ind w:firstLine="708"/>
        <w:jc w:val="both"/>
        <w:rPr>
          <w:rFonts w:ascii="Georgia" w:hAnsi="Georgia"/>
        </w:rPr>
      </w:pPr>
      <w:r>
        <w:rPr>
          <w:rFonts w:ascii="Georgia" w:hAnsi="Georgia"/>
        </w:rPr>
        <w:t xml:space="preserve">Данные представленные на рис. 2 свидетельствуют о снижении суточной экскреции кальция и фосфора </w:t>
      </w:r>
      <w:r w:rsidR="003B7130">
        <w:rPr>
          <w:rFonts w:ascii="Georgia" w:hAnsi="Georgia"/>
        </w:rPr>
        <w:t xml:space="preserve">в группе патологии. </w:t>
      </w:r>
      <w:r w:rsidR="000D1EA1" w:rsidRPr="000D1EA1">
        <w:rPr>
          <w:rFonts w:ascii="Georgia" w:hAnsi="Georgia"/>
        </w:rPr>
        <w:t>Содержание кальция в моче неполовозрелых крыс в данной группе снижалось в сравнении с</w:t>
      </w:r>
      <w:r w:rsidR="003B7130">
        <w:rPr>
          <w:rFonts w:ascii="Georgia" w:hAnsi="Georgia"/>
        </w:rPr>
        <w:t xml:space="preserve"> </w:t>
      </w:r>
      <w:proofErr w:type="spellStart"/>
      <w:r w:rsidR="003B7130">
        <w:rPr>
          <w:rFonts w:ascii="Georgia" w:hAnsi="Georgia"/>
        </w:rPr>
        <w:t>интактным</w:t>
      </w:r>
      <w:proofErr w:type="spellEnd"/>
      <w:r w:rsidR="003B7130">
        <w:rPr>
          <w:rFonts w:ascii="Georgia" w:hAnsi="Georgia"/>
        </w:rPr>
        <w:t xml:space="preserve"> контролем в 1,8 </w:t>
      </w:r>
      <w:proofErr w:type="gramStart"/>
      <w:r w:rsidR="003B7130">
        <w:rPr>
          <w:rFonts w:ascii="Georgia" w:hAnsi="Georgia"/>
        </w:rPr>
        <w:t>раза</w:t>
      </w:r>
      <w:proofErr w:type="gramEnd"/>
      <w:r w:rsidR="003B7130">
        <w:rPr>
          <w:rFonts w:ascii="Georgia" w:hAnsi="Georgia"/>
        </w:rPr>
        <w:t xml:space="preserve"> а фосфора в 2,2 раза,</w:t>
      </w:r>
      <w:r w:rsidR="003B7130" w:rsidRPr="003B7130">
        <w:rPr>
          <w:rFonts w:ascii="Georgia" w:hAnsi="Georgia"/>
        </w:rPr>
        <w:t xml:space="preserve"> </w:t>
      </w:r>
      <w:r w:rsidR="003B7130" w:rsidRPr="000D1EA1">
        <w:rPr>
          <w:rFonts w:ascii="Georgia" w:hAnsi="Georgia"/>
        </w:rPr>
        <w:t xml:space="preserve">т. е. развитие экспериментальной почечной недостаточности сопровождалось </w:t>
      </w:r>
      <w:proofErr w:type="spellStart"/>
      <w:r w:rsidR="003B7130">
        <w:rPr>
          <w:rFonts w:ascii="Georgia" w:hAnsi="Georgia"/>
        </w:rPr>
        <w:t>гипокальцурией</w:t>
      </w:r>
      <w:proofErr w:type="spellEnd"/>
      <w:r w:rsidR="003B7130">
        <w:rPr>
          <w:rFonts w:ascii="Georgia" w:hAnsi="Georgia"/>
        </w:rPr>
        <w:t xml:space="preserve"> и </w:t>
      </w:r>
      <w:proofErr w:type="spellStart"/>
      <w:r w:rsidR="003B7130" w:rsidRPr="000D1EA1">
        <w:rPr>
          <w:rFonts w:ascii="Georgia" w:hAnsi="Georgia"/>
        </w:rPr>
        <w:t>гипофосфатурией</w:t>
      </w:r>
      <w:proofErr w:type="spellEnd"/>
      <w:r w:rsidR="003B7130">
        <w:rPr>
          <w:rFonts w:ascii="Georgia" w:hAnsi="Georgia"/>
        </w:rPr>
        <w:t>. Изучаемый п</w:t>
      </w:r>
      <w:r w:rsidR="003B7130" w:rsidRPr="000D1EA1">
        <w:rPr>
          <w:rFonts w:ascii="Georgia" w:hAnsi="Georgia"/>
        </w:rPr>
        <w:t xml:space="preserve">репарат </w:t>
      </w:r>
      <w:proofErr w:type="spellStart"/>
      <w:r w:rsidR="003B7130" w:rsidRPr="000D1EA1">
        <w:rPr>
          <w:rFonts w:ascii="Georgia" w:hAnsi="Georgia"/>
        </w:rPr>
        <w:t>Фларосукцин</w:t>
      </w:r>
      <w:proofErr w:type="spellEnd"/>
      <w:r w:rsidR="003B7130" w:rsidRPr="000D1EA1">
        <w:rPr>
          <w:rFonts w:ascii="Georgia" w:hAnsi="Georgia"/>
        </w:rPr>
        <w:t xml:space="preserve"> в дозе 2,0 мл/кг на фоне развития патологии</w:t>
      </w:r>
      <w:r w:rsidR="003B7130">
        <w:rPr>
          <w:rFonts w:ascii="Georgia" w:hAnsi="Georgia"/>
        </w:rPr>
        <w:t xml:space="preserve"> достоверно нормал</w:t>
      </w:r>
      <w:r w:rsidR="00FB521F">
        <w:rPr>
          <w:rFonts w:ascii="Georgia" w:hAnsi="Georgia"/>
        </w:rPr>
        <w:t>изовал</w:t>
      </w:r>
      <w:r w:rsidR="003B7130">
        <w:rPr>
          <w:rFonts w:ascii="Georgia" w:hAnsi="Georgia"/>
        </w:rPr>
        <w:t xml:space="preserve"> экскрецию кальция и фосфора до уровня </w:t>
      </w:r>
      <w:proofErr w:type="spellStart"/>
      <w:r w:rsidR="003B7130">
        <w:rPr>
          <w:rFonts w:ascii="Georgia" w:hAnsi="Georgia"/>
        </w:rPr>
        <w:t>интактных</w:t>
      </w:r>
      <w:proofErr w:type="spellEnd"/>
      <w:r w:rsidR="003B7130">
        <w:rPr>
          <w:rFonts w:ascii="Georgia" w:hAnsi="Georgia"/>
        </w:rPr>
        <w:t xml:space="preserve"> животных.</w:t>
      </w:r>
    </w:p>
    <w:p w:rsidR="000D1EA1" w:rsidRPr="000D1EA1" w:rsidRDefault="00740064" w:rsidP="000D1EA1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Введение исследуемого препарата в дозе 3,2 мл/кг </w:t>
      </w:r>
      <w:r w:rsidR="00FB521F">
        <w:rPr>
          <w:rFonts w:ascii="Georgia" w:hAnsi="Georgia"/>
        </w:rPr>
        <w:t xml:space="preserve">приводило к </w:t>
      </w:r>
      <w:r>
        <w:rPr>
          <w:rFonts w:ascii="Georgia" w:hAnsi="Georgia"/>
        </w:rPr>
        <w:t>более интенсивно</w:t>
      </w:r>
      <w:r w:rsidR="00FB521F">
        <w:rPr>
          <w:rFonts w:ascii="Georgia" w:hAnsi="Georgia"/>
        </w:rPr>
        <w:t>му</w:t>
      </w:r>
      <w:r>
        <w:rPr>
          <w:rFonts w:ascii="Georgia" w:hAnsi="Georgia"/>
        </w:rPr>
        <w:t xml:space="preserve"> выв</w:t>
      </w:r>
      <w:r w:rsidR="00FB521F">
        <w:rPr>
          <w:rFonts w:ascii="Georgia" w:hAnsi="Georgia"/>
        </w:rPr>
        <w:t>едению</w:t>
      </w:r>
      <w:r>
        <w:rPr>
          <w:rFonts w:ascii="Georgia" w:hAnsi="Georgia"/>
        </w:rPr>
        <w:t xml:space="preserve"> кальци</w:t>
      </w:r>
      <w:r w:rsidR="00FB521F">
        <w:rPr>
          <w:rFonts w:ascii="Georgia" w:hAnsi="Georgia"/>
        </w:rPr>
        <w:t>я</w:t>
      </w:r>
      <w:r>
        <w:rPr>
          <w:rFonts w:ascii="Georgia" w:hAnsi="Georgia"/>
        </w:rPr>
        <w:t xml:space="preserve"> и фосфор</w:t>
      </w:r>
      <w:r w:rsidR="00FB521F">
        <w:rPr>
          <w:rFonts w:ascii="Georgia" w:hAnsi="Georgia"/>
        </w:rPr>
        <w:t>а</w:t>
      </w:r>
      <w:r>
        <w:rPr>
          <w:rFonts w:ascii="Georgia" w:hAnsi="Georgia"/>
        </w:rPr>
        <w:t xml:space="preserve"> с мочой (на 22% и 24 % соответственно) выше, чем в группе </w:t>
      </w:r>
      <w:proofErr w:type="spellStart"/>
      <w:r>
        <w:rPr>
          <w:rFonts w:ascii="Georgia" w:hAnsi="Georgia"/>
        </w:rPr>
        <w:t>интактного</w:t>
      </w:r>
      <w:proofErr w:type="spellEnd"/>
      <w:r>
        <w:rPr>
          <w:rFonts w:ascii="Georgia" w:hAnsi="Georgia"/>
        </w:rPr>
        <w:t xml:space="preserve"> контроля. </w:t>
      </w:r>
      <w:r w:rsidR="000D1EA1" w:rsidRPr="000D1EA1">
        <w:rPr>
          <w:rFonts w:ascii="Georgia" w:hAnsi="Georgia"/>
        </w:rPr>
        <w:t xml:space="preserve">Препарат сравнения </w:t>
      </w:r>
      <w:proofErr w:type="spellStart"/>
      <w:r w:rsidR="000D1EA1" w:rsidRPr="000D1EA1">
        <w:rPr>
          <w:rFonts w:ascii="Georgia" w:hAnsi="Georgia"/>
        </w:rPr>
        <w:t>Канефрон</w:t>
      </w:r>
      <w:proofErr w:type="spellEnd"/>
      <w:r w:rsidR="000D1EA1" w:rsidRPr="000D1EA1">
        <w:rPr>
          <w:rFonts w:ascii="Georgia" w:hAnsi="Georgia"/>
        </w:rPr>
        <w:t xml:space="preserve"> Н, в отличие от </w:t>
      </w:r>
      <w:proofErr w:type="spellStart"/>
      <w:r w:rsidR="000D1EA1" w:rsidRPr="000D1EA1">
        <w:rPr>
          <w:rFonts w:ascii="Georgia" w:hAnsi="Georgia"/>
        </w:rPr>
        <w:t>Фларосукцина</w:t>
      </w:r>
      <w:proofErr w:type="spellEnd"/>
      <w:r w:rsidR="000D1EA1" w:rsidRPr="000D1EA1">
        <w:rPr>
          <w:rFonts w:ascii="Georgia" w:hAnsi="Georgia"/>
        </w:rPr>
        <w:t xml:space="preserve">, </w:t>
      </w:r>
      <w:r>
        <w:rPr>
          <w:rFonts w:ascii="Georgia" w:hAnsi="Georgia"/>
        </w:rPr>
        <w:t xml:space="preserve">достоверно </w:t>
      </w:r>
      <w:r w:rsidR="000D1EA1" w:rsidRPr="000D1EA1">
        <w:rPr>
          <w:rFonts w:ascii="Georgia" w:hAnsi="Georgia"/>
        </w:rPr>
        <w:t xml:space="preserve">не повышал экскрецию кальция </w:t>
      </w:r>
      <w:r>
        <w:rPr>
          <w:rFonts w:ascii="Georgia" w:hAnsi="Georgia"/>
        </w:rPr>
        <w:t xml:space="preserve">и фосфора </w:t>
      </w:r>
      <w:r w:rsidR="000D1EA1" w:rsidRPr="000D1EA1">
        <w:rPr>
          <w:rFonts w:ascii="Georgia" w:hAnsi="Georgia"/>
        </w:rPr>
        <w:t xml:space="preserve">с мочой на фоне развития экспериментальной почечной недостаточности. И к 14 суткам эксперимента уровень кальция в моче данной группы в 1,8 раза, </w:t>
      </w:r>
      <w:r>
        <w:rPr>
          <w:rFonts w:ascii="Georgia" w:hAnsi="Georgia"/>
        </w:rPr>
        <w:t xml:space="preserve">а фосфора в 2,4 раза </w:t>
      </w:r>
      <w:r w:rsidR="00FB521F">
        <w:rPr>
          <w:rFonts w:ascii="Georgia" w:hAnsi="Georgia"/>
        </w:rPr>
        <w:t xml:space="preserve">был </w:t>
      </w:r>
      <w:proofErr w:type="gramStart"/>
      <w:r>
        <w:rPr>
          <w:rFonts w:ascii="Georgia" w:hAnsi="Georgia"/>
        </w:rPr>
        <w:t>ниже</w:t>
      </w:r>
      <w:proofErr w:type="gramEnd"/>
      <w:r>
        <w:rPr>
          <w:rFonts w:ascii="Georgia" w:hAnsi="Georgia"/>
        </w:rPr>
        <w:t xml:space="preserve"> </w:t>
      </w:r>
      <w:r w:rsidR="000D1EA1" w:rsidRPr="000D1EA1">
        <w:rPr>
          <w:rFonts w:ascii="Georgia" w:hAnsi="Georgia"/>
        </w:rPr>
        <w:t xml:space="preserve">чем у </w:t>
      </w:r>
      <w:proofErr w:type="spellStart"/>
      <w:r w:rsidR="000D1EA1" w:rsidRPr="000D1EA1">
        <w:rPr>
          <w:rFonts w:ascii="Georgia" w:hAnsi="Georgia"/>
        </w:rPr>
        <w:t>интактного</w:t>
      </w:r>
      <w:proofErr w:type="spellEnd"/>
      <w:r w:rsidR="000D1EA1" w:rsidRPr="000D1EA1">
        <w:rPr>
          <w:rFonts w:ascii="Georgia" w:hAnsi="Georgia"/>
        </w:rPr>
        <w:t xml:space="preserve"> контроля.</w:t>
      </w:r>
    </w:p>
    <w:p w:rsidR="000D1EA1" w:rsidRDefault="004F2496" w:rsidP="00356E50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281930" cy="307086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56E50" w:rsidRPr="00846FAF" w:rsidRDefault="00356E50" w:rsidP="00356E50">
      <w:pPr>
        <w:tabs>
          <w:tab w:val="left" w:pos="1275"/>
        </w:tabs>
        <w:jc w:val="center"/>
        <w:rPr>
          <w:rFonts w:ascii="Georgia" w:hAnsi="Georgia"/>
        </w:rPr>
      </w:pPr>
      <w:r>
        <w:rPr>
          <w:rFonts w:ascii="Georgia" w:hAnsi="Georgia"/>
        </w:rPr>
        <w:t>Рис. 2. Экскреция кальция и фосфора у неполовозрелых крыс при ЭПН</w:t>
      </w:r>
    </w:p>
    <w:p w:rsidR="000B4BA3" w:rsidRPr="000D1EA1" w:rsidRDefault="000B4BA3" w:rsidP="000B4BA3">
      <w:pPr>
        <w:spacing w:after="0" w:line="240" w:lineRule="auto"/>
        <w:ind w:firstLine="708"/>
        <w:jc w:val="both"/>
        <w:rPr>
          <w:rFonts w:ascii="Georgia" w:hAnsi="Georgia"/>
        </w:rPr>
      </w:pPr>
      <w:r w:rsidRPr="000D1EA1">
        <w:rPr>
          <w:rFonts w:ascii="Georgia" w:hAnsi="Georgia"/>
        </w:rPr>
        <w:t xml:space="preserve">Таким образом, </w:t>
      </w:r>
      <w:r>
        <w:rPr>
          <w:rFonts w:ascii="Georgia" w:hAnsi="Georgia"/>
        </w:rPr>
        <w:t xml:space="preserve">действие изучаемого препарата направлено на нормализацию электролитного гомеостаза. </w:t>
      </w:r>
      <w:r w:rsidR="00432D93">
        <w:rPr>
          <w:rFonts w:ascii="Georgia" w:hAnsi="Georgia"/>
        </w:rPr>
        <w:t xml:space="preserve">Возможно, более выраженное влияние </w:t>
      </w:r>
      <w:r w:rsidR="00ED3524">
        <w:rPr>
          <w:rFonts w:ascii="Georgia" w:hAnsi="Georgia"/>
        </w:rPr>
        <w:t>изучаемого препарата</w:t>
      </w:r>
      <w:r w:rsidR="00432D93">
        <w:rPr>
          <w:rFonts w:ascii="Georgia" w:hAnsi="Georgia"/>
        </w:rPr>
        <w:t xml:space="preserve">, направленное на восстановление уровней кальция и фосфора в моче </w:t>
      </w:r>
      <w:r w:rsidR="00432D93">
        <w:rPr>
          <w:rFonts w:ascii="Georgia" w:hAnsi="Georgia"/>
        </w:rPr>
        <w:lastRenderedPageBreak/>
        <w:t xml:space="preserve">неполовозрелых животных при экспериментальной почечной недостаточности реализуется за счет диуретического действия. Которое реализуется входящим </w:t>
      </w:r>
      <w:r w:rsidR="00ED3524">
        <w:rPr>
          <w:rFonts w:ascii="Georgia" w:hAnsi="Georgia"/>
        </w:rPr>
        <w:t xml:space="preserve">в препарат </w:t>
      </w:r>
      <w:r w:rsidR="00432D93">
        <w:rPr>
          <w:rFonts w:ascii="Georgia" w:hAnsi="Georgia"/>
        </w:rPr>
        <w:t xml:space="preserve">суммарным растительным экстрактом из астрагала </w:t>
      </w:r>
      <w:proofErr w:type="spellStart"/>
      <w:r w:rsidR="00432D93">
        <w:rPr>
          <w:rFonts w:ascii="Georgia" w:hAnsi="Georgia"/>
        </w:rPr>
        <w:t>серпоплодного</w:t>
      </w:r>
      <w:proofErr w:type="spellEnd"/>
      <w:r w:rsidR="00432D93">
        <w:rPr>
          <w:rFonts w:ascii="Georgia" w:hAnsi="Georgia"/>
        </w:rPr>
        <w:t>, листьев березы и цветов липы</w:t>
      </w:r>
      <w:proofErr w:type="gramStart"/>
      <w:r w:rsidR="00432D93">
        <w:rPr>
          <w:rFonts w:ascii="Georgia" w:hAnsi="Georgia"/>
        </w:rPr>
        <w:t xml:space="preserve">., </w:t>
      </w:r>
      <w:proofErr w:type="gramEnd"/>
      <w:r w:rsidR="00432D93">
        <w:rPr>
          <w:rFonts w:ascii="Georgia" w:hAnsi="Georgia"/>
        </w:rPr>
        <w:t>т. к. известно, что диуретики повышают экскрецию кальция и фосфора.</w:t>
      </w:r>
    </w:p>
    <w:p w:rsidR="00FB521F" w:rsidRDefault="00FB521F" w:rsidP="000D1EA1">
      <w:pPr>
        <w:spacing w:after="0" w:line="240" w:lineRule="auto"/>
        <w:jc w:val="both"/>
        <w:rPr>
          <w:rFonts w:ascii="Georgia" w:hAnsi="Georgia"/>
        </w:rPr>
      </w:pPr>
    </w:p>
    <w:p w:rsidR="000D1EA1" w:rsidRPr="000D1EA1" w:rsidRDefault="000D1EA1" w:rsidP="000D1EA1">
      <w:pPr>
        <w:spacing w:after="0" w:line="240" w:lineRule="auto"/>
        <w:jc w:val="both"/>
        <w:rPr>
          <w:rFonts w:ascii="Georgia" w:hAnsi="Georgia"/>
          <w:b/>
        </w:rPr>
      </w:pPr>
      <w:r>
        <w:rPr>
          <w:rFonts w:ascii="Georgia" w:hAnsi="Georgia"/>
        </w:rPr>
        <w:tab/>
      </w:r>
      <w:r w:rsidRPr="000D1EA1">
        <w:rPr>
          <w:rFonts w:ascii="Georgia" w:hAnsi="Georgia"/>
          <w:b/>
        </w:rPr>
        <w:t>Выводы.</w:t>
      </w:r>
    </w:p>
    <w:p w:rsidR="000D1EA1" w:rsidRPr="000D1EA1" w:rsidRDefault="000D1EA1" w:rsidP="000D1E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0D1EA1">
        <w:rPr>
          <w:rFonts w:ascii="Georgia" w:hAnsi="Georgia"/>
        </w:rPr>
        <w:t>При экспериментальной «</w:t>
      </w:r>
      <w:proofErr w:type="spellStart"/>
      <w:r w:rsidRPr="000D1EA1">
        <w:rPr>
          <w:rFonts w:ascii="Georgia" w:hAnsi="Georgia"/>
        </w:rPr>
        <w:t>глицероловой</w:t>
      </w:r>
      <w:proofErr w:type="spellEnd"/>
      <w:r w:rsidRPr="000D1EA1">
        <w:rPr>
          <w:rFonts w:ascii="Georgia" w:hAnsi="Georgia"/>
        </w:rPr>
        <w:t xml:space="preserve">» острой почечной недостаточности наблюдается </w:t>
      </w:r>
      <w:proofErr w:type="spellStart"/>
      <w:r w:rsidRPr="000D1EA1">
        <w:rPr>
          <w:rFonts w:ascii="Georgia" w:hAnsi="Georgia"/>
        </w:rPr>
        <w:t>гипокальциурия</w:t>
      </w:r>
      <w:proofErr w:type="spellEnd"/>
      <w:r w:rsidRPr="000D1EA1">
        <w:rPr>
          <w:rFonts w:ascii="Georgia" w:hAnsi="Georgia"/>
        </w:rPr>
        <w:t xml:space="preserve"> и </w:t>
      </w:r>
      <w:proofErr w:type="spellStart"/>
      <w:r w:rsidRPr="000D1EA1">
        <w:rPr>
          <w:rFonts w:ascii="Georgia" w:hAnsi="Georgia"/>
        </w:rPr>
        <w:t>гопофосфатурия</w:t>
      </w:r>
      <w:proofErr w:type="spellEnd"/>
      <w:r w:rsidRPr="000D1EA1">
        <w:rPr>
          <w:rFonts w:ascii="Georgia" w:hAnsi="Georgia"/>
        </w:rPr>
        <w:t>.</w:t>
      </w:r>
    </w:p>
    <w:p w:rsidR="000D1EA1" w:rsidRPr="000D1EA1" w:rsidRDefault="000D1EA1" w:rsidP="000D1E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proofErr w:type="spellStart"/>
      <w:r w:rsidRPr="000D1EA1">
        <w:rPr>
          <w:rFonts w:ascii="Georgia" w:hAnsi="Georgia"/>
        </w:rPr>
        <w:t>Фларосукцин</w:t>
      </w:r>
      <w:proofErr w:type="spellEnd"/>
      <w:r w:rsidRPr="000D1EA1">
        <w:rPr>
          <w:rFonts w:ascii="Georgia" w:hAnsi="Georgia"/>
        </w:rPr>
        <w:t xml:space="preserve"> оказывает положительное влияние на кальциево-фосфорный гомеостаз при экспериментальной почечной недостаточности, проявля</w:t>
      </w:r>
      <w:r>
        <w:rPr>
          <w:rFonts w:ascii="Georgia" w:hAnsi="Georgia"/>
        </w:rPr>
        <w:t>ет выраженное защитное действие.</w:t>
      </w:r>
    </w:p>
    <w:p w:rsidR="000D1EA1" w:rsidRDefault="000D1EA1" w:rsidP="000D1EA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0D1EA1">
        <w:rPr>
          <w:rFonts w:ascii="Georgia" w:hAnsi="Georgia"/>
        </w:rPr>
        <w:t xml:space="preserve">Более выраженным эффектом обладает препарат </w:t>
      </w:r>
      <w:proofErr w:type="spellStart"/>
      <w:r w:rsidRPr="000D1EA1">
        <w:rPr>
          <w:rFonts w:ascii="Georgia" w:hAnsi="Georgia"/>
        </w:rPr>
        <w:t>Фларосукцин</w:t>
      </w:r>
      <w:proofErr w:type="spellEnd"/>
      <w:r w:rsidRPr="000D1EA1">
        <w:rPr>
          <w:rFonts w:ascii="Georgia" w:hAnsi="Georgia"/>
        </w:rPr>
        <w:t xml:space="preserve"> в дозе 2,0 мл/кг, достоверно превышая действие препарата сравнения.</w:t>
      </w:r>
    </w:p>
    <w:p w:rsidR="000D1EA1" w:rsidRDefault="000D1EA1" w:rsidP="000D1EA1">
      <w:pPr>
        <w:pStyle w:val="a5"/>
        <w:spacing w:after="0" w:line="240" w:lineRule="auto"/>
        <w:jc w:val="center"/>
        <w:rPr>
          <w:rFonts w:ascii="Georgia" w:hAnsi="Georgia"/>
        </w:rPr>
      </w:pPr>
    </w:p>
    <w:p w:rsidR="000D1EA1" w:rsidRDefault="000D1EA1" w:rsidP="00384389">
      <w:pPr>
        <w:pStyle w:val="a5"/>
        <w:spacing w:after="0" w:line="240" w:lineRule="auto"/>
        <w:jc w:val="center"/>
        <w:rPr>
          <w:rFonts w:ascii="Georgia" w:hAnsi="Georgia"/>
          <w:b/>
        </w:rPr>
      </w:pPr>
      <w:r w:rsidRPr="000D1EA1">
        <w:rPr>
          <w:rFonts w:ascii="Georgia" w:hAnsi="Georgia"/>
          <w:b/>
        </w:rPr>
        <w:t>Литература</w:t>
      </w:r>
    </w:p>
    <w:p w:rsidR="00384389" w:rsidRDefault="00384389" w:rsidP="00665DB8">
      <w:pPr>
        <w:pStyle w:val="a5"/>
        <w:spacing w:after="0" w:line="240" w:lineRule="auto"/>
        <w:jc w:val="center"/>
        <w:rPr>
          <w:rFonts w:ascii="Georgia" w:hAnsi="Georgia"/>
          <w:b/>
        </w:rPr>
      </w:pPr>
    </w:p>
    <w:p w:rsidR="00274830" w:rsidRPr="00CB01CB" w:rsidRDefault="00903BD2" w:rsidP="00903BD2">
      <w:pPr>
        <w:tabs>
          <w:tab w:val="left" w:pos="0"/>
          <w:tab w:val="left" w:pos="360"/>
        </w:tabs>
        <w:spacing w:after="0" w:line="240" w:lineRule="auto"/>
        <w:jc w:val="both"/>
        <w:rPr>
          <w:rFonts w:ascii="Georgia" w:hAnsi="Georgia"/>
          <w:sz w:val="20"/>
          <w:szCs w:val="20"/>
          <w:lang w:val="uk-UA"/>
        </w:rPr>
      </w:pPr>
      <w:r>
        <w:rPr>
          <w:rFonts w:ascii="Georgia" w:hAnsi="Georgia"/>
          <w:sz w:val="18"/>
          <w:szCs w:val="18"/>
          <w:lang w:val="uk-UA"/>
        </w:rPr>
        <w:t>1</w:t>
      </w:r>
      <w:r w:rsidRPr="00CB01CB">
        <w:rPr>
          <w:rFonts w:ascii="Georgia" w:hAnsi="Georgia"/>
          <w:sz w:val="20"/>
          <w:szCs w:val="20"/>
          <w:lang w:val="uk-UA"/>
        </w:rPr>
        <w:t xml:space="preserve">. </w:t>
      </w:r>
      <w:proofErr w:type="spellStart"/>
      <w:r w:rsidR="00274830" w:rsidRPr="00CB01CB">
        <w:rPr>
          <w:rFonts w:ascii="Georgia" w:hAnsi="Georgia"/>
          <w:sz w:val="20"/>
          <w:szCs w:val="20"/>
          <w:lang w:val="uk-UA"/>
        </w:rPr>
        <w:t>Доклинические</w:t>
      </w:r>
      <w:proofErr w:type="spellEnd"/>
      <w:r w:rsidR="00274830" w:rsidRPr="00CB01CB">
        <w:rPr>
          <w:rFonts w:ascii="Georgia" w:hAnsi="Georgia"/>
          <w:sz w:val="20"/>
          <w:szCs w:val="20"/>
          <w:lang w:val="uk-UA"/>
        </w:rPr>
        <w:t xml:space="preserve"> </w:t>
      </w:r>
      <w:proofErr w:type="spellStart"/>
      <w:r w:rsidR="00665DB8" w:rsidRPr="00CB01CB">
        <w:rPr>
          <w:rFonts w:ascii="Georgia" w:hAnsi="Georgia"/>
          <w:sz w:val="20"/>
          <w:szCs w:val="20"/>
          <w:lang w:val="uk-UA"/>
        </w:rPr>
        <w:t>исс</w:t>
      </w:r>
      <w:r w:rsidR="00274830" w:rsidRPr="00CB01CB">
        <w:rPr>
          <w:rFonts w:ascii="Georgia" w:hAnsi="Georgia"/>
          <w:sz w:val="20"/>
          <w:szCs w:val="20"/>
          <w:lang w:val="uk-UA"/>
        </w:rPr>
        <w:t>едования</w:t>
      </w:r>
      <w:proofErr w:type="spellEnd"/>
      <w:r w:rsidR="00274830" w:rsidRPr="00CB01CB">
        <w:rPr>
          <w:rFonts w:ascii="Georgia" w:hAnsi="Georgia"/>
          <w:sz w:val="20"/>
          <w:szCs w:val="20"/>
          <w:lang w:val="uk-UA"/>
        </w:rPr>
        <w:t xml:space="preserve"> </w:t>
      </w:r>
      <w:proofErr w:type="spellStart"/>
      <w:r w:rsidR="00274830" w:rsidRPr="00CB01CB">
        <w:rPr>
          <w:rFonts w:ascii="Georgia" w:hAnsi="Georgia"/>
          <w:sz w:val="20"/>
          <w:szCs w:val="20"/>
          <w:lang w:val="uk-UA"/>
        </w:rPr>
        <w:t>лекарственных</w:t>
      </w:r>
      <w:proofErr w:type="spellEnd"/>
      <w:r w:rsidR="00274830" w:rsidRPr="00CB01CB">
        <w:rPr>
          <w:rFonts w:ascii="Georgia" w:hAnsi="Georgia"/>
          <w:sz w:val="20"/>
          <w:szCs w:val="20"/>
          <w:lang w:val="uk-UA"/>
        </w:rPr>
        <w:t xml:space="preserve"> </w:t>
      </w:r>
      <w:proofErr w:type="spellStart"/>
      <w:r w:rsidR="00274830" w:rsidRPr="00CB01CB">
        <w:rPr>
          <w:rFonts w:ascii="Georgia" w:hAnsi="Georgia"/>
          <w:sz w:val="20"/>
          <w:szCs w:val="20"/>
          <w:lang w:val="uk-UA"/>
        </w:rPr>
        <w:t>средств</w:t>
      </w:r>
      <w:proofErr w:type="spellEnd"/>
      <w:r w:rsidR="00274830" w:rsidRPr="00CB01CB">
        <w:rPr>
          <w:rFonts w:ascii="Georgia" w:hAnsi="Georgia"/>
          <w:sz w:val="20"/>
          <w:szCs w:val="20"/>
          <w:lang w:val="uk-UA"/>
        </w:rPr>
        <w:t xml:space="preserve"> : метод. </w:t>
      </w:r>
      <w:proofErr w:type="spellStart"/>
      <w:r w:rsidR="00274830" w:rsidRPr="00CB01CB">
        <w:rPr>
          <w:rFonts w:ascii="Georgia" w:hAnsi="Georgia"/>
          <w:sz w:val="20"/>
          <w:szCs w:val="20"/>
          <w:lang w:val="uk-UA"/>
        </w:rPr>
        <w:t>рек</w:t>
      </w:r>
      <w:proofErr w:type="spellEnd"/>
      <w:r w:rsidR="00274830" w:rsidRPr="00CB01CB">
        <w:rPr>
          <w:rFonts w:ascii="Georgia" w:hAnsi="Georgia"/>
          <w:sz w:val="20"/>
          <w:szCs w:val="20"/>
          <w:lang w:val="uk-UA"/>
        </w:rPr>
        <w:t xml:space="preserve">. / </w:t>
      </w:r>
      <w:proofErr w:type="spellStart"/>
      <w:r w:rsidR="00274830" w:rsidRPr="00CB01CB">
        <w:rPr>
          <w:rFonts w:ascii="Georgia" w:hAnsi="Georgia"/>
          <w:sz w:val="20"/>
          <w:szCs w:val="20"/>
          <w:lang w:val="uk-UA"/>
        </w:rPr>
        <w:t>под</w:t>
      </w:r>
      <w:proofErr w:type="spellEnd"/>
      <w:r w:rsidR="00274830" w:rsidRPr="00CB01CB">
        <w:rPr>
          <w:rFonts w:ascii="Georgia" w:hAnsi="Georgia"/>
          <w:sz w:val="20"/>
          <w:szCs w:val="20"/>
          <w:lang w:val="uk-UA"/>
        </w:rPr>
        <w:t xml:space="preserve"> ред. А. В. </w:t>
      </w:r>
      <w:proofErr w:type="spellStart"/>
      <w:r w:rsidR="00274830" w:rsidRPr="00CB01CB">
        <w:rPr>
          <w:rFonts w:ascii="Georgia" w:hAnsi="Georgia"/>
          <w:sz w:val="20"/>
          <w:szCs w:val="20"/>
          <w:lang w:val="uk-UA"/>
        </w:rPr>
        <w:t>Стефанова</w:t>
      </w:r>
      <w:proofErr w:type="spellEnd"/>
      <w:r w:rsidR="00274830" w:rsidRPr="00CB01CB">
        <w:rPr>
          <w:rFonts w:ascii="Georgia" w:hAnsi="Georgia"/>
          <w:sz w:val="20"/>
          <w:szCs w:val="20"/>
          <w:lang w:val="uk-UA"/>
        </w:rPr>
        <w:t xml:space="preserve">. – К. : </w:t>
      </w:r>
      <w:proofErr w:type="spellStart"/>
      <w:r w:rsidR="00274830" w:rsidRPr="00CB01CB">
        <w:rPr>
          <w:rFonts w:ascii="Georgia" w:hAnsi="Georgia"/>
          <w:sz w:val="20"/>
          <w:szCs w:val="20"/>
          <w:lang w:val="uk-UA"/>
        </w:rPr>
        <w:t>Авиценна</w:t>
      </w:r>
      <w:proofErr w:type="spellEnd"/>
      <w:r w:rsidR="00274830" w:rsidRPr="00CB01CB">
        <w:rPr>
          <w:rFonts w:ascii="Georgia" w:hAnsi="Georgia"/>
          <w:sz w:val="20"/>
          <w:szCs w:val="20"/>
          <w:lang w:val="uk-UA"/>
        </w:rPr>
        <w:t>, 2002. – 528 с.</w:t>
      </w:r>
    </w:p>
    <w:p w:rsidR="00665DB8" w:rsidRPr="00CB01CB" w:rsidRDefault="00665DB8" w:rsidP="00665DB8">
      <w:pPr>
        <w:pStyle w:val="11"/>
        <w:widowControl w:val="0"/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  <w:lang w:val="uk-UA"/>
        </w:rPr>
      </w:pPr>
      <w:r w:rsidRPr="00CB01CB">
        <w:rPr>
          <w:rFonts w:ascii="Georgia" w:hAnsi="Georgia" w:cs="Times New Roman"/>
          <w:sz w:val="20"/>
          <w:szCs w:val="20"/>
          <w:lang w:val="uk-UA"/>
        </w:rPr>
        <w:t>2.</w:t>
      </w:r>
      <w:r w:rsidR="009D5075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r w:rsidRPr="00CB01CB">
        <w:rPr>
          <w:rFonts w:ascii="Georgia" w:hAnsi="Georgia" w:cs="Times New Roman"/>
          <w:sz w:val="20"/>
          <w:szCs w:val="20"/>
          <w:lang w:val="uk-UA"/>
        </w:rPr>
        <w:t>Єрмоленко Т. І</w:t>
      </w:r>
      <w:r w:rsidRPr="00CB01CB">
        <w:rPr>
          <w:rFonts w:ascii="Georgia" w:hAnsi="Georgia" w:cs="Times New Roman"/>
          <w:color w:val="FF0000"/>
          <w:sz w:val="20"/>
          <w:szCs w:val="20"/>
          <w:lang w:val="uk-UA"/>
        </w:rPr>
        <w:t>.</w:t>
      </w:r>
      <w:r w:rsidRPr="00CB01CB">
        <w:rPr>
          <w:rFonts w:ascii="Georgia" w:hAnsi="Georgia" w:cs="Times New Roman"/>
          <w:sz w:val="20"/>
          <w:szCs w:val="20"/>
          <w:lang w:val="uk-UA"/>
        </w:rPr>
        <w:t xml:space="preserve"> Дослідження впливу</w:t>
      </w:r>
      <w:r w:rsidRPr="00CB01CB">
        <w:rPr>
          <w:rFonts w:ascii="Georgia" w:hAnsi="Georgia" w:cs="Times New Roman"/>
          <w:b/>
          <w:sz w:val="20"/>
          <w:szCs w:val="20"/>
          <w:lang w:val="uk-UA"/>
        </w:rPr>
        <w:t xml:space="preserve"> </w:t>
      </w:r>
      <w:r w:rsidRPr="00CB01CB">
        <w:rPr>
          <w:rFonts w:ascii="Georgia" w:hAnsi="Georgia" w:cs="Times New Roman"/>
          <w:sz w:val="20"/>
          <w:szCs w:val="20"/>
          <w:lang w:val="uk-UA"/>
        </w:rPr>
        <w:t>препарату</w:t>
      </w:r>
      <w:r w:rsidRPr="00CB01CB">
        <w:rPr>
          <w:rFonts w:ascii="Georgia" w:hAnsi="Georgia" w:cs="Times New Roman"/>
          <w:b/>
          <w:sz w:val="20"/>
          <w:szCs w:val="20"/>
          <w:lang w:val="uk-UA"/>
        </w:rPr>
        <w:t xml:space="preserve"> </w:t>
      </w:r>
      <w:proofErr w:type="spellStart"/>
      <w:r w:rsidRPr="00CB01CB">
        <w:rPr>
          <w:rFonts w:ascii="Georgia" w:hAnsi="Georgia" w:cs="Times New Roman"/>
          <w:sz w:val="20"/>
          <w:szCs w:val="20"/>
          <w:lang w:val="uk-UA"/>
        </w:rPr>
        <w:t>„Фларосукцин</w:t>
      </w:r>
      <w:proofErr w:type="spellEnd"/>
      <w:r w:rsidRPr="00CB01CB">
        <w:rPr>
          <w:rFonts w:ascii="Georgia" w:hAnsi="Georgia" w:cs="Times New Roman"/>
          <w:sz w:val="20"/>
          <w:szCs w:val="20"/>
          <w:lang w:val="uk-UA"/>
        </w:rPr>
        <w:t xml:space="preserve">” на </w:t>
      </w:r>
      <w:proofErr w:type="spellStart"/>
      <w:r w:rsidRPr="00CB01CB">
        <w:rPr>
          <w:rFonts w:ascii="Georgia" w:hAnsi="Georgia" w:cs="Times New Roman"/>
          <w:sz w:val="20"/>
          <w:szCs w:val="20"/>
          <w:lang w:val="uk-UA"/>
        </w:rPr>
        <w:t>фільтраційно-реабсорбційну</w:t>
      </w:r>
      <w:proofErr w:type="spellEnd"/>
      <w:r w:rsidRPr="00CB01CB">
        <w:rPr>
          <w:rFonts w:ascii="Georgia" w:hAnsi="Georgia" w:cs="Times New Roman"/>
          <w:sz w:val="20"/>
          <w:szCs w:val="20"/>
          <w:lang w:val="uk-UA"/>
        </w:rPr>
        <w:t xml:space="preserve"> функцію нирок в умовах розвитку експериментальної ниркової недостатності / Т. І. Єрмоленко // Український журнал клінічної і лабораторної медицини. – 2012. – Т. 7, № 4. – С.90–93.</w:t>
      </w:r>
    </w:p>
    <w:p w:rsidR="00665DB8" w:rsidRPr="00CB01CB" w:rsidRDefault="00665DB8" w:rsidP="00665DB8">
      <w:pPr>
        <w:widowControl w:val="0"/>
        <w:tabs>
          <w:tab w:val="left" w:pos="0"/>
        </w:tabs>
        <w:spacing w:after="0" w:line="240" w:lineRule="auto"/>
        <w:jc w:val="both"/>
        <w:rPr>
          <w:rFonts w:ascii="Georgia" w:hAnsi="Georgia"/>
          <w:sz w:val="20"/>
          <w:szCs w:val="20"/>
          <w:lang w:val="uk-UA"/>
        </w:rPr>
      </w:pPr>
      <w:r w:rsidRPr="00CB01CB">
        <w:rPr>
          <w:rFonts w:ascii="Georgia" w:hAnsi="Georgia"/>
          <w:sz w:val="20"/>
          <w:szCs w:val="20"/>
          <w:lang w:val="uk-UA"/>
        </w:rPr>
        <w:t>3.</w:t>
      </w:r>
      <w:r w:rsidR="009D5075" w:rsidRPr="00CB01CB">
        <w:rPr>
          <w:rFonts w:ascii="Georgia" w:hAnsi="Georgia"/>
          <w:sz w:val="20"/>
          <w:szCs w:val="20"/>
          <w:lang w:val="uk-UA"/>
        </w:rPr>
        <w:t xml:space="preserve"> </w:t>
      </w:r>
      <w:r w:rsidRPr="00CB01CB">
        <w:rPr>
          <w:rFonts w:ascii="Georgia" w:hAnsi="Georgia"/>
          <w:sz w:val="20"/>
          <w:szCs w:val="20"/>
          <w:lang w:val="uk-UA"/>
        </w:rPr>
        <w:t xml:space="preserve">Єрмоленко Т. І. Дослідження впливу препарату </w:t>
      </w:r>
      <w:proofErr w:type="spellStart"/>
      <w:r w:rsidRPr="00CB01CB">
        <w:rPr>
          <w:rFonts w:ascii="Georgia" w:hAnsi="Georgia"/>
          <w:sz w:val="20"/>
          <w:szCs w:val="20"/>
          <w:lang w:val="uk-UA"/>
        </w:rPr>
        <w:t>„Фларосукцин</w:t>
      </w:r>
      <w:proofErr w:type="spellEnd"/>
      <w:r w:rsidRPr="00CB01CB">
        <w:rPr>
          <w:rFonts w:ascii="Georgia" w:hAnsi="Georgia"/>
          <w:sz w:val="20"/>
          <w:szCs w:val="20"/>
          <w:lang w:val="uk-UA"/>
        </w:rPr>
        <w:t xml:space="preserve">” на електролітний обмін при експериментальній нирковій недостатності у щурів / Т. І. Єрмоленко, І. А. </w:t>
      </w:r>
      <w:proofErr w:type="spellStart"/>
      <w:r w:rsidRPr="00CB01CB">
        <w:rPr>
          <w:rFonts w:ascii="Georgia" w:hAnsi="Georgia"/>
          <w:sz w:val="20"/>
          <w:szCs w:val="20"/>
          <w:lang w:val="uk-UA"/>
        </w:rPr>
        <w:t>Зупанець</w:t>
      </w:r>
      <w:proofErr w:type="spellEnd"/>
      <w:r w:rsidRPr="00CB01CB">
        <w:rPr>
          <w:rFonts w:ascii="Georgia" w:hAnsi="Georgia"/>
          <w:sz w:val="20"/>
          <w:szCs w:val="20"/>
          <w:lang w:val="uk-UA"/>
        </w:rPr>
        <w:t xml:space="preserve">, І. А. </w:t>
      </w:r>
      <w:proofErr w:type="spellStart"/>
      <w:r w:rsidRPr="00CB01CB">
        <w:rPr>
          <w:rFonts w:ascii="Georgia" w:hAnsi="Georgia"/>
          <w:sz w:val="20"/>
          <w:szCs w:val="20"/>
          <w:lang w:val="uk-UA"/>
        </w:rPr>
        <w:t>Отрішко</w:t>
      </w:r>
      <w:proofErr w:type="spellEnd"/>
      <w:r w:rsidRPr="00CB01CB">
        <w:rPr>
          <w:rFonts w:ascii="Georgia" w:hAnsi="Georgia"/>
          <w:sz w:val="20"/>
          <w:szCs w:val="20"/>
          <w:lang w:val="uk-UA"/>
        </w:rPr>
        <w:t xml:space="preserve"> // Клінічна фармація. – 2012. – Т. 16, № 4. – С. 44–46.</w:t>
      </w:r>
      <w:r w:rsidRPr="00CB01CB">
        <w:rPr>
          <w:rFonts w:ascii="Georgia" w:hAnsi="Georgia"/>
          <w:i/>
          <w:sz w:val="20"/>
          <w:szCs w:val="20"/>
          <w:lang w:val="uk-UA"/>
        </w:rPr>
        <w:t xml:space="preserve"> </w:t>
      </w:r>
    </w:p>
    <w:p w:rsidR="00384389" w:rsidRPr="00CB01CB" w:rsidRDefault="00665DB8" w:rsidP="00665DB8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  <w:lang w:val="uk-UA"/>
        </w:rPr>
      </w:pPr>
      <w:bookmarkStart w:id="1" w:name="_Ref365973008"/>
      <w:r w:rsidRPr="00CB01CB">
        <w:rPr>
          <w:rFonts w:ascii="Georgia" w:hAnsi="Georgia" w:cs="Times New Roman"/>
          <w:sz w:val="20"/>
          <w:szCs w:val="20"/>
          <w:lang w:val="uk-UA"/>
        </w:rPr>
        <w:t>4.</w:t>
      </w:r>
      <w:r w:rsidR="009D5075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Медико-санітарна допомога хворим дітям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нефрологічного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профілю / В. В.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Безруков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, Ю. М. Нечитайло, Т. О.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Безрук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та ін. //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Современная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педиатрия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>. – 2011. – № 6 (40). – С. 171–173.</w:t>
      </w:r>
      <w:bookmarkEnd w:id="1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</w:p>
    <w:p w:rsidR="00384389" w:rsidRPr="00CB01CB" w:rsidRDefault="00665DB8" w:rsidP="00665DB8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  <w:lang w:val="uk-UA"/>
        </w:rPr>
      </w:pPr>
      <w:bookmarkStart w:id="2" w:name="_Ref365973009"/>
      <w:r w:rsidRPr="00CB01CB">
        <w:rPr>
          <w:rFonts w:ascii="Georgia" w:hAnsi="Georgia" w:cs="Times New Roman"/>
          <w:sz w:val="20"/>
          <w:szCs w:val="20"/>
          <w:lang w:val="uk-UA"/>
        </w:rPr>
        <w:t>5.</w:t>
      </w:r>
      <w:r w:rsidR="009D5075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Междисциплинарный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подход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к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ведению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детей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с обструктивними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уропатиями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как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основа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профилактики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прогрессирования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хронической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болезни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почек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/ Г. А.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Маковецкая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, С. С.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Терехин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, З. Б. Данилова и др. //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Клиническая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нефрология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>. – 2011. – № 4. – С. 55–59.</w:t>
      </w:r>
      <w:bookmarkEnd w:id="2"/>
    </w:p>
    <w:p w:rsidR="00384389" w:rsidRPr="00CB01CB" w:rsidRDefault="00665DB8" w:rsidP="009B7712">
      <w:pPr>
        <w:pStyle w:val="11"/>
        <w:widowControl w:val="0"/>
        <w:tabs>
          <w:tab w:val="left" w:pos="0"/>
          <w:tab w:val="left" w:pos="284"/>
          <w:tab w:val="left" w:pos="7088"/>
        </w:tabs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  <w:lang w:val="uk-UA"/>
        </w:rPr>
      </w:pPr>
      <w:bookmarkStart w:id="3" w:name="_Ref365973219"/>
      <w:r w:rsidRPr="00CB01CB">
        <w:rPr>
          <w:rFonts w:ascii="Georgia" w:hAnsi="Georgia" w:cs="Times New Roman"/>
          <w:sz w:val="20"/>
          <w:szCs w:val="20"/>
          <w:lang w:val="uk-UA"/>
        </w:rPr>
        <w:t>6.</w:t>
      </w:r>
      <w:r w:rsidR="009D5075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Методи експериментального моделювання ураження нирок для фармакологічних досліджень: методичні рекомендації ДФЦ МОЗ України / С. Ю.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Штриголь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, В. М. Лісовий, І. А.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Зупанець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та ін. – К., 2009. – 47 с.</w:t>
      </w:r>
      <w:bookmarkEnd w:id="3"/>
    </w:p>
    <w:p w:rsidR="00274830" w:rsidRPr="00CB01CB" w:rsidRDefault="00665DB8" w:rsidP="009D5075">
      <w:pPr>
        <w:pStyle w:val="11"/>
        <w:widowControl w:val="0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  <w:lang w:val="uk-UA"/>
        </w:rPr>
      </w:pPr>
      <w:bookmarkStart w:id="4" w:name="_Ref365973230"/>
      <w:r w:rsidRPr="00CB01CB">
        <w:rPr>
          <w:rFonts w:ascii="Georgia" w:hAnsi="Georgia" w:cs="Times New Roman"/>
          <w:sz w:val="20"/>
          <w:szCs w:val="20"/>
          <w:lang w:val="uk-UA"/>
        </w:rPr>
        <w:t>7.</w:t>
      </w:r>
      <w:r w:rsidR="009D5075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Методические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подходы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к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изучению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функций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почек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в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эксперименте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на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животных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 / В. М.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Брюханов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, Я. Ф.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Зверев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, В. В.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Лампатов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 xml:space="preserve">, А. Ю. Жариков // </w:t>
      </w:r>
      <w:proofErr w:type="spellStart"/>
      <w:r w:rsidR="00384389" w:rsidRPr="00CB01CB">
        <w:rPr>
          <w:rFonts w:ascii="Georgia" w:hAnsi="Georgia" w:cs="Times New Roman"/>
          <w:sz w:val="20"/>
          <w:szCs w:val="20"/>
          <w:lang w:val="uk-UA"/>
        </w:rPr>
        <w:t>Нефрология</w:t>
      </w:r>
      <w:proofErr w:type="spellEnd"/>
      <w:r w:rsidR="00384389" w:rsidRPr="00CB01CB">
        <w:rPr>
          <w:rFonts w:ascii="Georgia" w:hAnsi="Georgia" w:cs="Times New Roman"/>
          <w:sz w:val="20"/>
          <w:szCs w:val="20"/>
          <w:lang w:val="uk-UA"/>
        </w:rPr>
        <w:t>. – 2009. – Т. 13, № 3. – С. 52–62.</w:t>
      </w:r>
      <w:bookmarkEnd w:id="4"/>
    </w:p>
    <w:p w:rsidR="009D5075" w:rsidRPr="00CB01CB" w:rsidRDefault="009D5075" w:rsidP="009D5075">
      <w:pPr>
        <w:widowControl w:val="0"/>
        <w:tabs>
          <w:tab w:val="left" w:pos="0"/>
          <w:tab w:val="left" w:pos="284"/>
        </w:tabs>
        <w:spacing w:after="0" w:line="240" w:lineRule="auto"/>
        <w:jc w:val="both"/>
        <w:rPr>
          <w:rFonts w:ascii="Georgia" w:hAnsi="Georgia"/>
          <w:spacing w:val="-4"/>
          <w:sz w:val="20"/>
          <w:szCs w:val="20"/>
          <w:lang w:val="uk-UA"/>
        </w:rPr>
      </w:pPr>
      <w:bookmarkStart w:id="5" w:name="_Ref355865958"/>
      <w:r w:rsidRPr="00CB01CB">
        <w:rPr>
          <w:rFonts w:ascii="Georgia" w:hAnsi="Georgia"/>
          <w:spacing w:val="-4"/>
          <w:sz w:val="20"/>
          <w:szCs w:val="20"/>
          <w:lang w:val="uk-UA"/>
        </w:rPr>
        <w:t xml:space="preserve">8.Рыболовлев Ю. Р. </w:t>
      </w:r>
      <w:proofErr w:type="spellStart"/>
      <w:r w:rsidRPr="00CB01CB">
        <w:rPr>
          <w:rFonts w:ascii="Georgia" w:hAnsi="Georgia"/>
          <w:spacing w:val="-4"/>
          <w:sz w:val="20"/>
          <w:szCs w:val="20"/>
          <w:lang w:val="uk-UA"/>
        </w:rPr>
        <w:t>Дозирование</w:t>
      </w:r>
      <w:proofErr w:type="spellEnd"/>
      <w:r w:rsidRPr="00CB01CB">
        <w:rPr>
          <w:rFonts w:ascii="Georgia" w:hAnsi="Georgia"/>
          <w:spacing w:val="-4"/>
          <w:sz w:val="20"/>
          <w:szCs w:val="20"/>
          <w:lang w:val="uk-UA"/>
        </w:rPr>
        <w:t xml:space="preserve"> </w:t>
      </w:r>
      <w:proofErr w:type="spellStart"/>
      <w:r w:rsidRPr="00CB01CB">
        <w:rPr>
          <w:rFonts w:ascii="Georgia" w:hAnsi="Georgia"/>
          <w:spacing w:val="-4"/>
          <w:sz w:val="20"/>
          <w:szCs w:val="20"/>
          <w:lang w:val="uk-UA"/>
        </w:rPr>
        <w:t>веществ</w:t>
      </w:r>
      <w:proofErr w:type="spellEnd"/>
      <w:r w:rsidRPr="00CB01CB">
        <w:rPr>
          <w:rFonts w:ascii="Georgia" w:hAnsi="Georgia"/>
          <w:spacing w:val="-4"/>
          <w:sz w:val="20"/>
          <w:szCs w:val="20"/>
          <w:lang w:val="uk-UA"/>
        </w:rPr>
        <w:t xml:space="preserve"> для </w:t>
      </w:r>
      <w:proofErr w:type="spellStart"/>
      <w:r w:rsidRPr="00CB01CB">
        <w:rPr>
          <w:rFonts w:ascii="Georgia" w:hAnsi="Georgia"/>
          <w:spacing w:val="-4"/>
          <w:sz w:val="20"/>
          <w:szCs w:val="20"/>
          <w:lang w:val="uk-UA"/>
        </w:rPr>
        <w:t>млекопитающих</w:t>
      </w:r>
      <w:proofErr w:type="spellEnd"/>
      <w:r w:rsidRPr="00CB01CB">
        <w:rPr>
          <w:rFonts w:ascii="Georgia" w:hAnsi="Georgia"/>
          <w:spacing w:val="-4"/>
          <w:sz w:val="20"/>
          <w:szCs w:val="20"/>
          <w:lang w:val="uk-UA"/>
        </w:rPr>
        <w:t xml:space="preserve"> по константам </w:t>
      </w:r>
      <w:proofErr w:type="spellStart"/>
      <w:r w:rsidRPr="00CB01CB">
        <w:rPr>
          <w:rFonts w:ascii="Georgia" w:hAnsi="Georgia"/>
          <w:spacing w:val="-4"/>
          <w:sz w:val="20"/>
          <w:szCs w:val="20"/>
          <w:lang w:val="uk-UA"/>
        </w:rPr>
        <w:t>биологической</w:t>
      </w:r>
      <w:proofErr w:type="spellEnd"/>
      <w:r w:rsidRPr="00CB01CB">
        <w:rPr>
          <w:rFonts w:ascii="Georgia" w:hAnsi="Georgia"/>
          <w:spacing w:val="-4"/>
          <w:sz w:val="20"/>
          <w:szCs w:val="20"/>
          <w:lang w:val="uk-UA"/>
        </w:rPr>
        <w:t xml:space="preserve"> </w:t>
      </w:r>
      <w:proofErr w:type="spellStart"/>
      <w:r w:rsidRPr="00CB01CB">
        <w:rPr>
          <w:rFonts w:ascii="Georgia" w:hAnsi="Georgia"/>
          <w:spacing w:val="-4"/>
          <w:sz w:val="20"/>
          <w:szCs w:val="20"/>
          <w:lang w:val="uk-UA"/>
        </w:rPr>
        <w:t>активности</w:t>
      </w:r>
      <w:proofErr w:type="spellEnd"/>
      <w:r w:rsidRPr="00CB01CB">
        <w:rPr>
          <w:rFonts w:ascii="Georgia" w:hAnsi="Georgia"/>
          <w:spacing w:val="-4"/>
          <w:sz w:val="20"/>
          <w:szCs w:val="20"/>
          <w:lang w:val="uk-UA"/>
        </w:rPr>
        <w:t xml:space="preserve"> / Ю. Р. </w:t>
      </w:r>
      <w:proofErr w:type="spellStart"/>
      <w:r w:rsidRPr="00CB01CB">
        <w:rPr>
          <w:rFonts w:ascii="Georgia" w:hAnsi="Georgia"/>
          <w:spacing w:val="-4"/>
          <w:sz w:val="20"/>
          <w:szCs w:val="20"/>
          <w:lang w:val="uk-UA"/>
        </w:rPr>
        <w:t>Рыболовлев</w:t>
      </w:r>
      <w:proofErr w:type="spellEnd"/>
      <w:r w:rsidRPr="00CB01CB">
        <w:rPr>
          <w:rFonts w:ascii="Georgia" w:hAnsi="Georgia"/>
          <w:spacing w:val="-4"/>
          <w:sz w:val="20"/>
          <w:szCs w:val="20"/>
          <w:lang w:val="uk-UA"/>
        </w:rPr>
        <w:t xml:space="preserve">, Р. С. </w:t>
      </w:r>
      <w:proofErr w:type="spellStart"/>
      <w:r w:rsidRPr="00CB01CB">
        <w:rPr>
          <w:rFonts w:ascii="Georgia" w:hAnsi="Georgia"/>
          <w:spacing w:val="-4"/>
          <w:sz w:val="20"/>
          <w:szCs w:val="20"/>
          <w:lang w:val="uk-UA"/>
        </w:rPr>
        <w:t>Рыболовлев</w:t>
      </w:r>
      <w:proofErr w:type="spellEnd"/>
      <w:r w:rsidRPr="00CB01CB">
        <w:rPr>
          <w:rFonts w:ascii="Georgia" w:hAnsi="Georgia"/>
          <w:spacing w:val="-4"/>
          <w:sz w:val="20"/>
          <w:szCs w:val="20"/>
          <w:lang w:val="uk-UA"/>
        </w:rPr>
        <w:t xml:space="preserve"> // </w:t>
      </w:r>
      <w:proofErr w:type="spellStart"/>
      <w:r w:rsidRPr="00CB01CB">
        <w:rPr>
          <w:rFonts w:ascii="Georgia" w:hAnsi="Georgia"/>
          <w:spacing w:val="-4"/>
          <w:sz w:val="20"/>
          <w:szCs w:val="20"/>
          <w:lang w:val="uk-UA"/>
        </w:rPr>
        <w:t>Доклады</w:t>
      </w:r>
      <w:proofErr w:type="spellEnd"/>
      <w:r w:rsidRPr="00CB01CB">
        <w:rPr>
          <w:rFonts w:ascii="Georgia" w:hAnsi="Georgia"/>
          <w:spacing w:val="-4"/>
          <w:sz w:val="20"/>
          <w:szCs w:val="20"/>
          <w:lang w:val="uk-UA"/>
        </w:rPr>
        <w:t xml:space="preserve"> АН СССЗ. – 1979. – № 6. – С. 1513</w:t>
      </w:r>
      <w:r w:rsidRPr="00CB01CB">
        <w:rPr>
          <w:rFonts w:ascii="Georgia" w:hAnsi="Georgia"/>
          <w:sz w:val="20"/>
          <w:szCs w:val="20"/>
          <w:lang w:val="uk-UA"/>
        </w:rPr>
        <w:t>–</w:t>
      </w:r>
      <w:r w:rsidRPr="00CB01CB">
        <w:rPr>
          <w:rFonts w:ascii="Georgia" w:hAnsi="Georgia"/>
          <w:spacing w:val="-4"/>
          <w:sz w:val="20"/>
          <w:szCs w:val="20"/>
          <w:lang w:val="uk-UA"/>
        </w:rPr>
        <w:t>1516.</w:t>
      </w:r>
      <w:bookmarkEnd w:id="5"/>
    </w:p>
    <w:p w:rsidR="009D5075" w:rsidRPr="00CB01CB" w:rsidRDefault="009D5075" w:rsidP="009D5075">
      <w:pPr>
        <w:pStyle w:val="11"/>
        <w:widowControl w:val="0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  <w:lang w:val="uk-UA"/>
        </w:rPr>
      </w:pPr>
      <w:bookmarkStart w:id="6" w:name="_Ref365976367"/>
      <w:r w:rsidRPr="00CB01CB">
        <w:rPr>
          <w:rFonts w:ascii="Georgia" w:hAnsi="Georgia" w:cs="Times New Roman"/>
          <w:sz w:val="20"/>
          <w:szCs w:val="20"/>
          <w:lang w:val="uk-UA"/>
        </w:rPr>
        <w:t xml:space="preserve">9.Рычкова С. В. </w:t>
      </w:r>
      <w:proofErr w:type="spellStart"/>
      <w:r w:rsidRPr="00CB01CB">
        <w:rPr>
          <w:rFonts w:ascii="Georgia" w:hAnsi="Georgia" w:cs="Times New Roman"/>
          <w:sz w:val="20"/>
          <w:szCs w:val="20"/>
          <w:lang w:val="uk-UA"/>
        </w:rPr>
        <w:t>Дисметаболические</w:t>
      </w:r>
      <w:proofErr w:type="spellEnd"/>
      <w:r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Pr="00CB01CB">
        <w:rPr>
          <w:rFonts w:ascii="Georgia" w:hAnsi="Georgia" w:cs="Times New Roman"/>
          <w:sz w:val="20"/>
          <w:szCs w:val="20"/>
          <w:lang w:val="uk-UA"/>
        </w:rPr>
        <w:t>нефропатии</w:t>
      </w:r>
      <w:proofErr w:type="spellEnd"/>
      <w:r w:rsidRPr="00CB01CB">
        <w:rPr>
          <w:rFonts w:ascii="Georgia" w:hAnsi="Georgia" w:cs="Times New Roman"/>
          <w:sz w:val="20"/>
          <w:szCs w:val="20"/>
          <w:lang w:val="uk-UA"/>
        </w:rPr>
        <w:t xml:space="preserve"> в </w:t>
      </w:r>
      <w:proofErr w:type="spellStart"/>
      <w:r w:rsidRPr="00CB01CB">
        <w:rPr>
          <w:rFonts w:ascii="Georgia" w:hAnsi="Georgia" w:cs="Times New Roman"/>
          <w:sz w:val="20"/>
          <w:szCs w:val="20"/>
          <w:lang w:val="uk-UA"/>
        </w:rPr>
        <w:t>педиатрической</w:t>
      </w:r>
      <w:proofErr w:type="spellEnd"/>
      <w:r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Pr="00CB01CB">
        <w:rPr>
          <w:rFonts w:ascii="Georgia" w:hAnsi="Georgia" w:cs="Times New Roman"/>
          <w:sz w:val="20"/>
          <w:szCs w:val="20"/>
          <w:lang w:val="uk-UA"/>
        </w:rPr>
        <w:t>практике</w:t>
      </w:r>
      <w:proofErr w:type="spellEnd"/>
      <w:r w:rsidRPr="00CB01CB">
        <w:rPr>
          <w:rFonts w:ascii="Georgia" w:hAnsi="Georgia" w:cs="Times New Roman"/>
          <w:sz w:val="20"/>
          <w:szCs w:val="20"/>
          <w:lang w:val="uk-UA"/>
        </w:rPr>
        <w:t xml:space="preserve"> / С. В. </w:t>
      </w:r>
      <w:proofErr w:type="spellStart"/>
      <w:r w:rsidRPr="00CB01CB">
        <w:rPr>
          <w:rFonts w:ascii="Georgia" w:hAnsi="Georgia" w:cs="Times New Roman"/>
          <w:sz w:val="20"/>
          <w:szCs w:val="20"/>
          <w:lang w:val="uk-UA"/>
        </w:rPr>
        <w:t>Рычкова</w:t>
      </w:r>
      <w:proofErr w:type="spellEnd"/>
      <w:r w:rsidRPr="00CB01CB">
        <w:rPr>
          <w:rFonts w:ascii="Georgia" w:hAnsi="Georgia" w:cs="Times New Roman"/>
          <w:sz w:val="20"/>
          <w:szCs w:val="20"/>
          <w:lang w:val="uk-UA"/>
        </w:rPr>
        <w:t xml:space="preserve"> // </w:t>
      </w:r>
      <w:proofErr w:type="spellStart"/>
      <w:r w:rsidRPr="00CB01CB">
        <w:rPr>
          <w:rFonts w:ascii="Georgia" w:hAnsi="Georgia" w:cs="Times New Roman"/>
          <w:sz w:val="20"/>
          <w:szCs w:val="20"/>
          <w:lang w:val="uk-UA"/>
        </w:rPr>
        <w:t>Лечащий</w:t>
      </w:r>
      <w:proofErr w:type="spellEnd"/>
      <w:r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Pr="00CB01CB">
        <w:rPr>
          <w:rFonts w:ascii="Georgia" w:hAnsi="Georgia" w:cs="Times New Roman"/>
          <w:sz w:val="20"/>
          <w:szCs w:val="20"/>
          <w:lang w:val="uk-UA"/>
        </w:rPr>
        <w:t>врач</w:t>
      </w:r>
      <w:proofErr w:type="spellEnd"/>
      <w:r w:rsidRPr="00CB01CB">
        <w:rPr>
          <w:rFonts w:ascii="Georgia" w:hAnsi="Georgia" w:cs="Times New Roman"/>
          <w:sz w:val="20"/>
          <w:szCs w:val="20"/>
          <w:lang w:val="uk-UA"/>
        </w:rPr>
        <w:t>. – 2010. – №</w:t>
      </w:r>
      <w:r w:rsidRPr="00CB01CB">
        <w:rPr>
          <w:rFonts w:ascii="Georgia" w:hAnsi="Georgia" w:cs="Times New Roman"/>
          <w:sz w:val="20"/>
          <w:szCs w:val="20"/>
        </w:rPr>
        <w:t xml:space="preserve"> </w:t>
      </w:r>
      <w:r w:rsidRPr="00CB01CB">
        <w:rPr>
          <w:rFonts w:ascii="Georgia" w:hAnsi="Georgia" w:cs="Times New Roman"/>
          <w:sz w:val="20"/>
          <w:szCs w:val="20"/>
          <w:lang w:val="uk-UA"/>
        </w:rPr>
        <w:t>8. – С. 11–15.</w:t>
      </w:r>
      <w:bookmarkEnd w:id="6"/>
    </w:p>
    <w:p w:rsidR="00926B9F" w:rsidRPr="00CB01CB" w:rsidRDefault="009D5075" w:rsidP="00665DB8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  <w:lang w:val="uk-UA"/>
        </w:rPr>
      </w:pPr>
      <w:bookmarkStart w:id="7" w:name="_Ref365978210"/>
      <w:r w:rsidRPr="00CB01CB">
        <w:rPr>
          <w:rFonts w:ascii="Georgia" w:hAnsi="Georgia" w:cs="Times New Roman"/>
          <w:sz w:val="20"/>
          <w:szCs w:val="20"/>
          <w:lang w:val="uk-UA"/>
        </w:rPr>
        <w:t>10.</w:t>
      </w:r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Чекман І. С. Фітотерапія: експериментально-клінічний аспект / І. С.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Чекман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// Експериментальна і клінічна медицина. – 2007. – № 1. – С. 11–14.</w:t>
      </w:r>
      <w:bookmarkEnd w:id="7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</w:p>
    <w:p w:rsidR="00926B9F" w:rsidRPr="00CB01CB" w:rsidRDefault="009D5075" w:rsidP="00665DB8">
      <w:pPr>
        <w:pStyle w:val="11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Georgia" w:hAnsi="Georgia" w:cs="Times New Roman"/>
          <w:sz w:val="20"/>
          <w:szCs w:val="20"/>
          <w:lang w:val="uk-UA"/>
        </w:rPr>
      </w:pPr>
      <w:bookmarkStart w:id="8" w:name="_Ref365978245"/>
      <w:r w:rsidRPr="00CB01CB">
        <w:rPr>
          <w:rFonts w:ascii="Georgia" w:hAnsi="Georgia" w:cs="Times New Roman"/>
          <w:sz w:val="20"/>
          <w:szCs w:val="20"/>
          <w:lang w:val="uk-UA"/>
        </w:rPr>
        <w:t>11.</w:t>
      </w:r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Черепанова Е. В.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Метафилактика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мочекаменной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болезни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в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амбулаторных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условиях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/ Е. В.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Черепанова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, Н. К.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Дзеранов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//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Экспериментальная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и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клиническая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  <w:proofErr w:type="spellStart"/>
      <w:r w:rsidR="00926B9F" w:rsidRPr="00CB01CB">
        <w:rPr>
          <w:rFonts w:ascii="Georgia" w:hAnsi="Georgia" w:cs="Times New Roman"/>
          <w:sz w:val="20"/>
          <w:szCs w:val="20"/>
          <w:lang w:val="uk-UA"/>
        </w:rPr>
        <w:t>урология</w:t>
      </w:r>
      <w:proofErr w:type="spellEnd"/>
      <w:r w:rsidR="00926B9F" w:rsidRPr="00CB01CB">
        <w:rPr>
          <w:rFonts w:ascii="Georgia" w:hAnsi="Georgia" w:cs="Times New Roman"/>
          <w:sz w:val="20"/>
          <w:szCs w:val="20"/>
          <w:lang w:val="uk-UA"/>
        </w:rPr>
        <w:t>. – 2010. – № 3. – С. 33–39.</w:t>
      </w:r>
      <w:bookmarkEnd w:id="8"/>
      <w:r w:rsidR="00926B9F" w:rsidRPr="00CB01CB">
        <w:rPr>
          <w:rFonts w:ascii="Georgia" w:hAnsi="Georgia" w:cs="Times New Roman"/>
          <w:sz w:val="20"/>
          <w:szCs w:val="20"/>
          <w:lang w:val="uk-UA"/>
        </w:rPr>
        <w:t xml:space="preserve"> </w:t>
      </w:r>
    </w:p>
    <w:p w:rsidR="00926B9F" w:rsidRPr="00CB01CB" w:rsidRDefault="00926B9F" w:rsidP="00665DB8">
      <w:pPr>
        <w:pStyle w:val="a5"/>
        <w:spacing w:after="0" w:line="240" w:lineRule="auto"/>
        <w:jc w:val="center"/>
        <w:rPr>
          <w:rFonts w:ascii="Georgia" w:hAnsi="Georgia"/>
          <w:b/>
          <w:sz w:val="20"/>
          <w:szCs w:val="20"/>
          <w:lang w:val="en-US"/>
        </w:rPr>
      </w:pPr>
    </w:p>
    <w:p w:rsidR="00811DC0" w:rsidRDefault="00811DC0" w:rsidP="00811DC0">
      <w:pPr>
        <w:pStyle w:val="a3"/>
        <w:spacing w:line="240" w:lineRule="auto"/>
      </w:pPr>
      <w:r w:rsidRPr="001A617F">
        <w:t>ИЗУЧЕНИЕ ВЛИЯНИЯ КОМБИНАЦИИ БУФЕРНОГО КОМПЛЕКСА С РАСТИТЕЛЬНЫМ ЭКСТРАКТОМ НА ОБМЕН КАЛЬЦИЯ И ФОСФОРА У НЕПОЛОВОЗРЕЛЫХ КРЫС В</w:t>
      </w:r>
      <w:r>
        <w:t xml:space="preserve"> ЭКСПЕРИМЕНТЕ</w:t>
      </w:r>
    </w:p>
    <w:p w:rsidR="00CB01CB" w:rsidRPr="00CB01CB" w:rsidRDefault="00CB01CB" w:rsidP="00483670">
      <w:pPr>
        <w:spacing w:after="0" w:line="240" w:lineRule="auto"/>
        <w:ind w:firstLine="708"/>
        <w:jc w:val="both"/>
        <w:rPr>
          <w:rFonts w:ascii="Georgia" w:hAnsi="Georgia" w:cs="Calibri"/>
          <w:lang w:val="en-US"/>
        </w:rPr>
      </w:pPr>
      <w:proofErr w:type="spellStart"/>
      <w:r w:rsidRPr="00CB01CB">
        <w:rPr>
          <w:rFonts w:ascii="Georgia" w:hAnsi="Georgia" w:cs="Calibri"/>
          <w:lang w:val="en-US"/>
        </w:rPr>
        <w:t>Flarosukcin</w:t>
      </w:r>
      <w:proofErr w:type="spellEnd"/>
      <w:r w:rsidRPr="00CB01CB">
        <w:rPr>
          <w:rFonts w:ascii="Georgia" w:hAnsi="Georgia" w:cs="Calibri"/>
          <w:lang w:val="en-US"/>
        </w:rPr>
        <w:t xml:space="preserve"> influence on calcium and phosphorus homeostasis in experimental acute renal failure was studied in experimental </w:t>
      </w:r>
      <w:proofErr w:type="spellStart"/>
      <w:r w:rsidRPr="00CB01CB">
        <w:rPr>
          <w:rFonts w:ascii="Georgia" w:hAnsi="Georgia" w:cs="Calibri"/>
          <w:lang w:val="en-US"/>
        </w:rPr>
        <w:t>Vistar</w:t>
      </w:r>
      <w:proofErr w:type="spellEnd"/>
      <w:r w:rsidRPr="00CB01CB">
        <w:rPr>
          <w:rFonts w:ascii="Georgia" w:hAnsi="Georgia" w:cs="Calibri"/>
          <w:lang w:val="en-US"/>
        </w:rPr>
        <w:t xml:space="preserve"> immature rats weighing 40 - 50 g. </w:t>
      </w:r>
      <w:proofErr w:type="spellStart"/>
      <w:r w:rsidRPr="00CB01CB">
        <w:rPr>
          <w:rFonts w:ascii="Georgia" w:hAnsi="Georgia" w:cs="Calibri"/>
          <w:lang w:val="en-US"/>
        </w:rPr>
        <w:t>Flarosukcin</w:t>
      </w:r>
      <w:proofErr w:type="spellEnd"/>
      <w:r w:rsidRPr="00CB01CB">
        <w:rPr>
          <w:rFonts w:ascii="Georgia" w:hAnsi="Georgia" w:cs="Calibri"/>
          <w:lang w:val="en-US"/>
        </w:rPr>
        <w:t xml:space="preserve"> was administered in two doses: 2.0 ml / kg - effective dose determined in previous studies in cyclic rats, 3.2 ml / kg - dose considering a dose factor corresponding to the age. The drug is proved to be focused upon the recovery of calcium and phosphorus excretion with urine. </w:t>
      </w:r>
      <w:proofErr w:type="spellStart"/>
      <w:r w:rsidRPr="00CB01CB">
        <w:rPr>
          <w:rFonts w:ascii="Georgia" w:hAnsi="Georgia" w:cs="Calibri"/>
          <w:lang w:val="en-US"/>
        </w:rPr>
        <w:t>Farosukcin</w:t>
      </w:r>
      <w:proofErr w:type="spellEnd"/>
      <w:r w:rsidRPr="00CB01CB">
        <w:rPr>
          <w:rFonts w:ascii="Georgia" w:hAnsi="Georgia" w:cs="Calibri"/>
          <w:lang w:val="en-US"/>
        </w:rPr>
        <w:t xml:space="preserve"> contributed to the physiological growth of animal body weight and preserved kidney mass index. Thus, </w:t>
      </w:r>
      <w:proofErr w:type="spellStart"/>
      <w:r w:rsidRPr="00CB01CB">
        <w:rPr>
          <w:rFonts w:ascii="Georgia" w:hAnsi="Georgia" w:cs="Calibri"/>
          <w:lang w:val="en-US"/>
        </w:rPr>
        <w:t>Flarosukcin</w:t>
      </w:r>
      <w:proofErr w:type="spellEnd"/>
      <w:r w:rsidRPr="00CB01CB">
        <w:rPr>
          <w:rFonts w:ascii="Georgia" w:hAnsi="Georgia" w:cs="Calibri"/>
          <w:lang w:val="en-US"/>
        </w:rPr>
        <w:t xml:space="preserve"> demonstrated more effective </w:t>
      </w:r>
      <w:r w:rsidRPr="00CB01CB">
        <w:rPr>
          <w:rFonts w:ascii="Georgia" w:hAnsi="Georgia" w:cs="Calibri"/>
          <w:lang w:val="en-US"/>
        </w:rPr>
        <w:lastRenderedPageBreak/>
        <w:t xml:space="preserve">pharmacological properties in a dose of 2.0 ml / kg and had considerable advantages over comparator </w:t>
      </w:r>
      <w:r w:rsidRPr="00CB01CB">
        <w:rPr>
          <w:rFonts w:ascii="Georgia" w:hAnsi="Georgia" w:cs="Calibri"/>
        </w:rPr>
        <w:t>С</w:t>
      </w:r>
      <w:proofErr w:type="spellStart"/>
      <w:r w:rsidRPr="00CB01CB">
        <w:rPr>
          <w:rFonts w:ascii="Georgia" w:hAnsi="Georgia" w:cs="Calibri"/>
          <w:lang w:val="en-US"/>
        </w:rPr>
        <w:t>anefron</w:t>
      </w:r>
      <w:proofErr w:type="spellEnd"/>
      <w:r w:rsidRPr="00CB01CB">
        <w:rPr>
          <w:rFonts w:ascii="Georgia" w:hAnsi="Georgia" w:cs="Calibri"/>
          <w:lang w:val="en-US"/>
        </w:rPr>
        <w:t xml:space="preserve"> N.</w:t>
      </w:r>
    </w:p>
    <w:p w:rsidR="00CB01CB" w:rsidRPr="00CB01CB" w:rsidRDefault="00CB01CB" w:rsidP="00483670">
      <w:pPr>
        <w:spacing w:after="0" w:line="240" w:lineRule="auto"/>
        <w:jc w:val="both"/>
        <w:rPr>
          <w:rFonts w:ascii="Georgia" w:hAnsi="Georgia" w:cs="Calibri"/>
          <w:lang w:val="en-US"/>
        </w:rPr>
      </w:pPr>
    </w:p>
    <w:p w:rsidR="00CB01CB" w:rsidRPr="00CB01CB" w:rsidRDefault="00CB01CB" w:rsidP="00483670">
      <w:pPr>
        <w:spacing w:after="0" w:line="240" w:lineRule="auto"/>
        <w:ind w:firstLine="708"/>
        <w:jc w:val="both"/>
        <w:rPr>
          <w:rFonts w:ascii="Georgia" w:hAnsi="Georgia" w:cs="Calibri"/>
          <w:lang w:val="en-US"/>
        </w:rPr>
      </w:pPr>
      <w:r w:rsidRPr="00483670">
        <w:rPr>
          <w:rFonts w:ascii="Georgia" w:hAnsi="Georgia" w:cs="Calibri"/>
          <w:lang w:val="en-US"/>
        </w:rPr>
        <w:t>Key</w:t>
      </w:r>
      <w:r w:rsidR="00483670" w:rsidRPr="00483670">
        <w:rPr>
          <w:rFonts w:ascii="Georgia" w:hAnsi="Georgia" w:cs="Calibri"/>
          <w:lang w:val="en-US"/>
        </w:rPr>
        <w:t xml:space="preserve"> </w:t>
      </w:r>
      <w:r w:rsidRPr="00483670">
        <w:rPr>
          <w:rFonts w:ascii="Georgia" w:hAnsi="Georgia" w:cs="Calibri"/>
          <w:lang w:val="en-US"/>
        </w:rPr>
        <w:t>words:</w:t>
      </w:r>
      <w:r w:rsidRPr="00CB01CB">
        <w:rPr>
          <w:rFonts w:ascii="Georgia" w:hAnsi="Georgia" w:cs="Calibri"/>
          <w:lang w:val="en-US"/>
        </w:rPr>
        <w:t xml:space="preserve"> </w:t>
      </w:r>
      <w:proofErr w:type="spellStart"/>
      <w:r w:rsidRPr="00CB01CB">
        <w:rPr>
          <w:rFonts w:ascii="Georgia" w:hAnsi="Georgia" w:cs="Calibri"/>
          <w:lang w:val="en-US"/>
        </w:rPr>
        <w:t>Flarosukcin</w:t>
      </w:r>
      <w:proofErr w:type="spellEnd"/>
      <w:r w:rsidRPr="00CB01CB">
        <w:rPr>
          <w:rFonts w:ascii="Georgia" w:hAnsi="Georgia" w:cs="Calibri"/>
          <w:lang w:val="en-US"/>
        </w:rPr>
        <w:t xml:space="preserve">, calcium and phosphorus homeostasis, </w:t>
      </w:r>
      <w:proofErr w:type="spellStart"/>
      <w:r w:rsidRPr="00CB01CB">
        <w:rPr>
          <w:rFonts w:ascii="Georgia" w:hAnsi="Georgia" w:cs="Calibri"/>
          <w:lang w:val="en-US"/>
        </w:rPr>
        <w:t>urolithiasis</w:t>
      </w:r>
      <w:proofErr w:type="spellEnd"/>
      <w:r w:rsidRPr="00CB01CB">
        <w:rPr>
          <w:rFonts w:ascii="Georgia" w:hAnsi="Georgia" w:cs="Calibri"/>
          <w:lang w:val="en-US"/>
        </w:rPr>
        <w:t xml:space="preserve">, experimental renal failure, comparator </w:t>
      </w:r>
      <w:proofErr w:type="gramStart"/>
      <w:r w:rsidRPr="00CB01CB">
        <w:rPr>
          <w:rFonts w:ascii="Georgia" w:hAnsi="Georgia" w:cs="Calibri"/>
        </w:rPr>
        <w:t>С</w:t>
      </w:r>
      <w:proofErr w:type="spellStart"/>
      <w:r w:rsidRPr="00CB01CB">
        <w:rPr>
          <w:rFonts w:ascii="Georgia" w:hAnsi="Georgia" w:cs="Calibri"/>
          <w:lang w:val="en-US"/>
        </w:rPr>
        <w:t>anefron</w:t>
      </w:r>
      <w:proofErr w:type="spellEnd"/>
      <w:r w:rsidRPr="00CB01CB">
        <w:rPr>
          <w:rFonts w:ascii="Georgia" w:hAnsi="Georgia" w:cs="Calibri"/>
          <w:lang w:val="en-US"/>
        </w:rPr>
        <w:t xml:space="preserve"> </w:t>
      </w:r>
      <w:r w:rsidRPr="00CB01CB">
        <w:rPr>
          <w:rFonts w:ascii="Georgia" w:hAnsi="Georgia" w:cs="Calibri"/>
          <w:vertAlign w:val="superscript"/>
          <w:lang w:val="en-US"/>
        </w:rPr>
        <w:t xml:space="preserve"> </w:t>
      </w:r>
      <w:r w:rsidRPr="00CB01CB">
        <w:rPr>
          <w:rFonts w:ascii="Georgia" w:hAnsi="Georgia" w:cs="Calibri"/>
          <w:lang w:val="en-US"/>
        </w:rPr>
        <w:t>N</w:t>
      </w:r>
      <w:proofErr w:type="gramEnd"/>
    </w:p>
    <w:p w:rsidR="00CB01CB" w:rsidRDefault="00CB01CB" w:rsidP="00CB01CB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2C0B35" w:rsidRDefault="002C0B35" w:rsidP="00CB01CB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2C0B35" w:rsidRDefault="002C0B35" w:rsidP="00CB01CB">
      <w:pPr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2C0B35" w:rsidRPr="00811DC0" w:rsidRDefault="002C0B35" w:rsidP="002C0B35">
      <w:pPr>
        <w:pStyle w:val="1"/>
        <w:spacing w:after="0"/>
      </w:pPr>
      <w:r w:rsidRPr="00811DC0">
        <w:rPr>
          <w:lang w:val="ru-RU"/>
        </w:rPr>
        <w:t>СВЕДЕНИЯ ОБ АВТОРАХ</w:t>
      </w:r>
    </w:p>
    <w:p w:rsidR="00811DC0" w:rsidRPr="00811DC0" w:rsidRDefault="00811DC0" w:rsidP="00811DC0">
      <w:pPr>
        <w:rPr>
          <w:lang w:val="en-US"/>
        </w:rPr>
      </w:pPr>
    </w:p>
    <w:p w:rsidR="002C0B35" w:rsidRDefault="002C0B35" w:rsidP="002C0B35">
      <w:pPr>
        <w:pStyle w:val="2"/>
        <w:spacing w:after="0" w:line="240" w:lineRule="auto"/>
        <w:rPr>
          <w:rFonts w:ascii="Georgia" w:hAnsi="Georgia"/>
          <w:b w:val="0"/>
        </w:rPr>
      </w:pPr>
      <w:r w:rsidRPr="002C0B35">
        <w:rPr>
          <w:rFonts w:ascii="Georgia" w:hAnsi="Georgia"/>
        </w:rPr>
        <w:t xml:space="preserve">Ермоленко Тамара Ивановна </w:t>
      </w:r>
      <w:r w:rsidRPr="002C0B35">
        <w:rPr>
          <w:rFonts w:ascii="Georgia" w:hAnsi="Georgia"/>
          <w:b w:val="0"/>
        </w:rPr>
        <w:t>– доктор фармацевтических наук, доцент кафедры клинической фармакологии и клинической фармации Национального фармацевтического университета</w:t>
      </w:r>
    </w:p>
    <w:p w:rsidR="002C0B35" w:rsidRDefault="002C0B35" w:rsidP="002C0B35">
      <w:pPr>
        <w:pStyle w:val="2"/>
        <w:spacing w:after="0" w:line="240" w:lineRule="auto"/>
        <w:rPr>
          <w:rFonts w:ascii="Georgia" w:hAnsi="Georgia"/>
          <w:b w:val="0"/>
        </w:rPr>
      </w:pPr>
      <w:r>
        <w:rPr>
          <w:rFonts w:ascii="Georgia" w:hAnsi="Georgia"/>
          <w:b w:val="0"/>
        </w:rPr>
        <w:t xml:space="preserve">61057, Украина, г. Харьков, ул. Пушкинская, 27, </w:t>
      </w:r>
    </w:p>
    <w:p w:rsidR="002C0B35" w:rsidRDefault="002C0B35" w:rsidP="002C0B35">
      <w:pPr>
        <w:pStyle w:val="2"/>
        <w:spacing w:after="0" w:line="240" w:lineRule="auto"/>
        <w:rPr>
          <w:rFonts w:ascii="Georgia" w:hAnsi="Georgia"/>
          <w:b w:val="0"/>
        </w:rPr>
      </w:pPr>
      <w:r>
        <w:rPr>
          <w:rFonts w:ascii="Georgia" w:hAnsi="Georgia"/>
          <w:b w:val="0"/>
        </w:rPr>
        <w:t>Национальный фармацевтический университет</w:t>
      </w:r>
    </w:p>
    <w:p w:rsidR="002C0B35" w:rsidRPr="00FC568C" w:rsidRDefault="002C0B35" w:rsidP="002C0B35">
      <w:pPr>
        <w:pStyle w:val="2"/>
        <w:spacing w:after="0" w:line="240" w:lineRule="auto"/>
        <w:rPr>
          <w:rFonts w:ascii="Georgia" w:hAnsi="Georgia"/>
          <w:b w:val="0"/>
          <w:lang w:val="en-US"/>
        </w:rPr>
      </w:pPr>
      <w:r>
        <w:rPr>
          <w:rFonts w:ascii="Georgia" w:hAnsi="Georgia"/>
          <w:b w:val="0"/>
          <w:lang w:val="en-US"/>
        </w:rPr>
        <w:t>e</w:t>
      </w:r>
      <w:r w:rsidRPr="002C0B35">
        <w:rPr>
          <w:rFonts w:ascii="Georgia" w:hAnsi="Georgia"/>
          <w:b w:val="0"/>
        </w:rPr>
        <w:t>-</w:t>
      </w:r>
      <w:r>
        <w:rPr>
          <w:rFonts w:ascii="Georgia" w:hAnsi="Georgia"/>
          <w:b w:val="0"/>
          <w:lang w:val="en-US"/>
        </w:rPr>
        <w:t>mail</w:t>
      </w:r>
      <w:r>
        <w:rPr>
          <w:rFonts w:ascii="Georgia" w:hAnsi="Georgia"/>
          <w:b w:val="0"/>
        </w:rPr>
        <w:t>:</w:t>
      </w:r>
      <w:proofErr w:type="spellStart"/>
      <w:r>
        <w:rPr>
          <w:rFonts w:ascii="Georgia" w:hAnsi="Georgia"/>
          <w:b w:val="0"/>
          <w:lang w:val="en-US"/>
        </w:rPr>
        <w:t>ermolenko</w:t>
      </w:r>
      <w:proofErr w:type="spellEnd"/>
      <w:r w:rsidRPr="002C0B35">
        <w:rPr>
          <w:rFonts w:ascii="Georgia" w:hAnsi="Georgia"/>
          <w:b w:val="0"/>
        </w:rPr>
        <w:t>_</w:t>
      </w:r>
      <w:proofErr w:type="spellStart"/>
      <w:r>
        <w:rPr>
          <w:rFonts w:ascii="Georgia" w:hAnsi="Georgia"/>
          <w:b w:val="0"/>
          <w:lang w:val="en-US"/>
        </w:rPr>
        <w:t>tamara</w:t>
      </w:r>
      <w:proofErr w:type="spellEnd"/>
      <w:r w:rsidRPr="002C0B35">
        <w:rPr>
          <w:rFonts w:ascii="Georgia" w:hAnsi="Georgia"/>
          <w:b w:val="0"/>
        </w:rPr>
        <w:t>@</w:t>
      </w:r>
      <w:r>
        <w:rPr>
          <w:rFonts w:ascii="Georgia" w:hAnsi="Georgia"/>
          <w:b w:val="0"/>
          <w:lang w:val="en-US"/>
        </w:rPr>
        <w:t>mail</w:t>
      </w:r>
      <w:r w:rsidRPr="002C0B35">
        <w:rPr>
          <w:rFonts w:ascii="Georgia" w:hAnsi="Georgia"/>
          <w:b w:val="0"/>
        </w:rPr>
        <w:t>.</w:t>
      </w:r>
      <w:proofErr w:type="spellStart"/>
      <w:r>
        <w:rPr>
          <w:rFonts w:ascii="Georgia" w:hAnsi="Georgia"/>
          <w:b w:val="0"/>
          <w:lang w:val="en-US"/>
        </w:rPr>
        <w:t>ru</w:t>
      </w:r>
      <w:proofErr w:type="spellEnd"/>
      <w:r w:rsidRPr="002C0B35">
        <w:rPr>
          <w:rFonts w:ascii="Georgia" w:hAnsi="Georgia"/>
          <w:b w:val="0"/>
        </w:rPr>
        <w:t xml:space="preserve">, </w:t>
      </w:r>
      <w:r>
        <w:rPr>
          <w:rFonts w:ascii="Georgia" w:hAnsi="Georgia"/>
          <w:b w:val="0"/>
        </w:rPr>
        <w:t xml:space="preserve">тел. </w:t>
      </w:r>
      <w:r w:rsidRPr="00FC568C">
        <w:rPr>
          <w:rFonts w:ascii="Georgia" w:hAnsi="Georgia"/>
          <w:b w:val="0"/>
          <w:lang w:val="en-US"/>
        </w:rPr>
        <w:t>+380660567221</w:t>
      </w:r>
    </w:p>
    <w:p w:rsidR="002C0B35" w:rsidRPr="00FC568C" w:rsidRDefault="002C0B35" w:rsidP="002C0B35">
      <w:pPr>
        <w:spacing w:after="0" w:line="240" w:lineRule="auto"/>
        <w:rPr>
          <w:b/>
          <w:lang w:val="en-US"/>
        </w:rPr>
      </w:pPr>
    </w:p>
    <w:p w:rsidR="00483670" w:rsidRPr="00E72D53" w:rsidRDefault="00483670" w:rsidP="002C0B35">
      <w:pPr>
        <w:spacing w:after="0" w:line="240" w:lineRule="auto"/>
        <w:jc w:val="both"/>
        <w:rPr>
          <w:rFonts w:ascii="Georgia" w:hAnsi="Georgia" w:cs="Calibri"/>
          <w:lang w:val="en-US"/>
        </w:rPr>
      </w:pPr>
      <w:r w:rsidRPr="00483670">
        <w:rPr>
          <w:rFonts w:ascii="Georgia" w:hAnsi="Georgia" w:cs="Calibri"/>
          <w:b/>
          <w:lang w:val="en-US"/>
        </w:rPr>
        <w:t xml:space="preserve">Tamara </w:t>
      </w:r>
      <w:r w:rsidR="00FC568C">
        <w:rPr>
          <w:rFonts w:ascii="Georgia" w:hAnsi="Georgia" w:cs="Calibri"/>
          <w:b/>
          <w:lang w:val="en-US"/>
        </w:rPr>
        <w:t xml:space="preserve">I. </w:t>
      </w:r>
      <w:proofErr w:type="spellStart"/>
      <w:r w:rsidRPr="00483670">
        <w:rPr>
          <w:rFonts w:ascii="Georgia" w:hAnsi="Georgia" w:cs="Calibri"/>
          <w:b/>
          <w:lang w:val="en-US"/>
        </w:rPr>
        <w:t>Iermolenko</w:t>
      </w:r>
      <w:proofErr w:type="spellEnd"/>
      <w:r w:rsidRPr="00483670">
        <w:rPr>
          <w:rFonts w:ascii="Georgia" w:hAnsi="Georgia" w:cs="Calibri"/>
          <w:lang w:val="en-US"/>
        </w:rPr>
        <w:t xml:space="preserve"> </w:t>
      </w:r>
      <w:r w:rsidRPr="00E72D53">
        <w:rPr>
          <w:rFonts w:ascii="Georgia" w:hAnsi="Georgia" w:cs="Calibri"/>
          <w:lang w:val="en-US"/>
        </w:rPr>
        <w:t xml:space="preserve">(PhD) – Assistant Professor at the Department of Clinical Pharmacology and </w:t>
      </w:r>
      <w:r w:rsidRPr="00E72D53">
        <w:rPr>
          <w:rFonts w:ascii="Georgia" w:hAnsi="Georgia" w:cs="Calibri"/>
          <w:bCs/>
          <w:lang w:val="en-US"/>
        </w:rPr>
        <w:t>Pharmaceutical Guardianship</w:t>
      </w:r>
      <w:r w:rsidRPr="00E72D53">
        <w:rPr>
          <w:rFonts w:ascii="Georgia" w:hAnsi="Georgia" w:cs="Calibri"/>
          <w:lang w:val="en-US"/>
        </w:rPr>
        <w:t xml:space="preserve">, National University of Pharmacy, Kharkov, Ukraine </w:t>
      </w:r>
    </w:p>
    <w:p w:rsidR="00483670" w:rsidRDefault="00483670" w:rsidP="002C0B35">
      <w:pPr>
        <w:pStyle w:val="a5"/>
        <w:spacing w:after="0" w:line="240" w:lineRule="auto"/>
        <w:ind w:left="0"/>
        <w:jc w:val="both"/>
        <w:rPr>
          <w:rFonts w:ascii="Georgia" w:hAnsi="Georgia" w:cs="Calibri"/>
        </w:rPr>
      </w:pPr>
      <w:r w:rsidRPr="00483670">
        <w:rPr>
          <w:rFonts w:ascii="Georgia" w:hAnsi="Georgia" w:cs="Calibri"/>
          <w:lang w:val="en-US"/>
        </w:rPr>
        <w:t>Address:  National University of Pharmacy, 27 Pushkin Street, Kharkov, 61057, Ukraine</w:t>
      </w:r>
    </w:p>
    <w:p w:rsidR="002C0B35" w:rsidRPr="002C0B35" w:rsidRDefault="002C0B35" w:rsidP="002C0B35">
      <w:pPr>
        <w:pStyle w:val="2"/>
        <w:spacing w:after="0" w:line="240" w:lineRule="auto"/>
        <w:rPr>
          <w:rFonts w:ascii="Georgia" w:hAnsi="Georgia"/>
          <w:b w:val="0"/>
        </w:rPr>
      </w:pPr>
      <w:r>
        <w:rPr>
          <w:rFonts w:ascii="Georgia" w:hAnsi="Georgia"/>
          <w:b w:val="0"/>
          <w:lang w:val="en-US"/>
        </w:rPr>
        <w:t>e</w:t>
      </w:r>
      <w:r w:rsidRPr="002C0B35">
        <w:rPr>
          <w:rFonts w:ascii="Georgia" w:hAnsi="Georgia"/>
          <w:b w:val="0"/>
        </w:rPr>
        <w:t>-</w:t>
      </w:r>
      <w:r>
        <w:rPr>
          <w:rFonts w:ascii="Georgia" w:hAnsi="Georgia"/>
          <w:b w:val="0"/>
          <w:lang w:val="en-US"/>
        </w:rPr>
        <w:t>mail</w:t>
      </w:r>
      <w:r>
        <w:rPr>
          <w:rFonts w:ascii="Georgia" w:hAnsi="Georgia"/>
          <w:b w:val="0"/>
        </w:rPr>
        <w:t>:</w:t>
      </w:r>
      <w:proofErr w:type="spellStart"/>
      <w:r>
        <w:rPr>
          <w:rFonts w:ascii="Georgia" w:hAnsi="Georgia"/>
          <w:b w:val="0"/>
          <w:lang w:val="en-US"/>
        </w:rPr>
        <w:t>ermolenko</w:t>
      </w:r>
      <w:proofErr w:type="spellEnd"/>
      <w:r w:rsidRPr="002C0B35">
        <w:rPr>
          <w:rFonts w:ascii="Georgia" w:hAnsi="Georgia"/>
          <w:b w:val="0"/>
        </w:rPr>
        <w:t>_</w:t>
      </w:r>
      <w:proofErr w:type="spellStart"/>
      <w:r>
        <w:rPr>
          <w:rFonts w:ascii="Georgia" w:hAnsi="Georgia"/>
          <w:b w:val="0"/>
          <w:lang w:val="en-US"/>
        </w:rPr>
        <w:t>tamara</w:t>
      </w:r>
      <w:proofErr w:type="spellEnd"/>
      <w:r w:rsidRPr="002C0B35">
        <w:rPr>
          <w:rFonts w:ascii="Georgia" w:hAnsi="Georgia"/>
          <w:b w:val="0"/>
        </w:rPr>
        <w:t>@</w:t>
      </w:r>
      <w:r>
        <w:rPr>
          <w:rFonts w:ascii="Georgia" w:hAnsi="Georgia"/>
          <w:b w:val="0"/>
          <w:lang w:val="en-US"/>
        </w:rPr>
        <w:t>mail</w:t>
      </w:r>
      <w:r w:rsidRPr="002C0B35">
        <w:rPr>
          <w:rFonts w:ascii="Georgia" w:hAnsi="Georgia"/>
          <w:b w:val="0"/>
        </w:rPr>
        <w:t>.</w:t>
      </w:r>
      <w:proofErr w:type="spellStart"/>
      <w:r>
        <w:rPr>
          <w:rFonts w:ascii="Georgia" w:hAnsi="Georgia"/>
          <w:b w:val="0"/>
          <w:lang w:val="en-US"/>
        </w:rPr>
        <w:t>ru</w:t>
      </w:r>
      <w:proofErr w:type="spellEnd"/>
      <w:r w:rsidRPr="002C0B35">
        <w:rPr>
          <w:rFonts w:ascii="Georgia" w:hAnsi="Georgia"/>
          <w:b w:val="0"/>
        </w:rPr>
        <w:t xml:space="preserve">, </w:t>
      </w:r>
      <w:r>
        <w:rPr>
          <w:rFonts w:ascii="Georgia" w:hAnsi="Georgia"/>
          <w:b w:val="0"/>
        </w:rPr>
        <w:t>тел. +380660567221</w:t>
      </w:r>
    </w:p>
    <w:p w:rsidR="002C0B35" w:rsidRPr="002C0B35" w:rsidRDefault="002C0B35" w:rsidP="002C0B35">
      <w:pPr>
        <w:spacing w:line="240" w:lineRule="auto"/>
        <w:rPr>
          <w:b/>
        </w:rPr>
      </w:pPr>
    </w:p>
    <w:p w:rsidR="002C0B35" w:rsidRPr="002C0B35" w:rsidRDefault="002C0B35" w:rsidP="002C0B35">
      <w:pPr>
        <w:pStyle w:val="a5"/>
        <w:spacing w:line="240" w:lineRule="auto"/>
        <w:ind w:left="0"/>
        <w:jc w:val="both"/>
        <w:rPr>
          <w:rFonts w:ascii="Georgia" w:hAnsi="Georgia" w:cs="Calibri"/>
        </w:rPr>
      </w:pPr>
    </w:p>
    <w:p w:rsidR="00483670" w:rsidRPr="00483670" w:rsidRDefault="00483670" w:rsidP="00483670">
      <w:pPr>
        <w:spacing w:after="0" w:line="240" w:lineRule="auto"/>
        <w:rPr>
          <w:rFonts w:cs="Calibri"/>
          <w:b/>
          <w:sz w:val="24"/>
          <w:szCs w:val="24"/>
          <w:lang w:val="en-US"/>
        </w:rPr>
      </w:pPr>
    </w:p>
    <w:p w:rsidR="00710EDB" w:rsidRDefault="00710EDB" w:rsidP="00665DB8">
      <w:pPr>
        <w:pStyle w:val="a5"/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710EDB" w:rsidRDefault="00710EDB" w:rsidP="00665DB8">
      <w:pPr>
        <w:pStyle w:val="a5"/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710EDB" w:rsidRDefault="00710EDB" w:rsidP="00665DB8">
      <w:pPr>
        <w:pStyle w:val="a5"/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710EDB" w:rsidRDefault="00710EDB" w:rsidP="00665DB8">
      <w:pPr>
        <w:pStyle w:val="a5"/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710EDB" w:rsidRDefault="00710EDB" w:rsidP="00665DB8">
      <w:pPr>
        <w:pStyle w:val="a5"/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710EDB" w:rsidRDefault="00710EDB" w:rsidP="00665DB8">
      <w:pPr>
        <w:pStyle w:val="a5"/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710EDB" w:rsidRPr="00710EDB" w:rsidRDefault="00710EDB" w:rsidP="00665DB8">
      <w:pPr>
        <w:pStyle w:val="a5"/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926B9F" w:rsidRPr="00CB01CB" w:rsidRDefault="00926B9F" w:rsidP="00665DB8">
      <w:pPr>
        <w:pStyle w:val="a5"/>
        <w:spacing w:after="0" w:line="240" w:lineRule="auto"/>
        <w:jc w:val="center"/>
        <w:rPr>
          <w:rFonts w:ascii="Georgia" w:hAnsi="Georgia"/>
          <w:b/>
          <w:lang w:val="en-US"/>
        </w:rPr>
      </w:pPr>
    </w:p>
    <w:p w:rsidR="000D1EA1" w:rsidRPr="00CB01CB" w:rsidRDefault="000D1EA1" w:rsidP="000D1EA1">
      <w:pPr>
        <w:spacing w:after="0" w:line="240" w:lineRule="auto"/>
        <w:jc w:val="both"/>
        <w:rPr>
          <w:rFonts w:ascii="Georgia" w:hAnsi="Georgia"/>
          <w:lang w:val="en-US"/>
        </w:rPr>
      </w:pPr>
    </w:p>
    <w:p w:rsidR="00E97FFC" w:rsidRPr="00CB01CB" w:rsidRDefault="00E97FFC" w:rsidP="000D1EA1">
      <w:pPr>
        <w:spacing w:after="0" w:line="240" w:lineRule="auto"/>
        <w:ind w:firstLine="709"/>
        <w:jc w:val="both"/>
        <w:rPr>
          <w:rFonts w:ascii="Georgia" w:hAnsi="Georgia"/>
          <w:b/>
          <w:lang w:val="en-US"/>
        </w:rPr>
      </w:pPr>
    </w:p>
    <w:p w:rsidR="00E97FFC" w:rsidRPr="00CB01CB" w:rsidRDefault="00E97FFC" w:rsidP="00E97FFC">
      <w:pPr>
        <w:spacing w:after="0" w:line="240" w:lineRule="auto"/>
        <w:jc w:val="both"/>
        <w:rPr>
          <w:rFonts w:ascii="Georgia" w:hAnsi="Georgia"/>
          <w:lang w:val="en-US"/>
        </w:rPr>
      </w:pPr>
    </w:p>
    <w:p w:rsidR="00E97FFC" w:rsidRPr="00CB01CB" w:rsidRDefault="00E97FFC" w:rsidP="00E97FFC">
      <w:pPr>
        <w:spacing w:after="0" w:line="240" w:lineRule="auto"/>
        <w:ind w:firstLine="708"/>
        <w:jc w:val="both"/>
        <w:rPr>
          <w:rFonts w:ascii="Georgia" w:hAnsi="Georgia"/>
          <w:lang w:val="en-US"/>
        </w:rPr>
      </w:pPr>
    </w:p>
    <w:p w:rsidR="00A7595B" w:rsidRPr="00CB01CB" w:rsidRDefault="00A7595B" w:rsidP="00E97FFC">
      <w:pPr>
        <w:spacing w:line="240" w:lineRule="auto"/>
        <w:jc w:val="center"/>
        <w:rPr>
          <w:rFonts w:ascii="Georgia" w:hAnsi="Georgia"/>
          <w:lang w:val="en-US"/>
        </w:rPr>
      </w:pPr>
    </w:p>
    <w:sectPr w:rsidR="00A7595B" w:rsidRPr="00CB01CB" w:rsidSect="00A7595B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5694"/>
    <w:multiLevelType w:val="hybridMultilevel"/>
    <w:tmpl w:val="07688D5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2917"/>
    <w:multiLevelType w:val="hybridMultilevel"/>
    <w:tmpl w:val="F3522E74"/>
    <w:lvl w:ilvl="0" w:tplc="775A37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324C6"/>
    <w:multiLevelType w:val="hybridMultilevel"/>
    <w:tmpl w:val="62C47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7F6053"/>
    <w:multiLevelType w:val="hybridMultilevel"/>
    <w:tmpl w:val="FEAA8784"/>
    <w:lvl w:ilvl="0" w:tplc="3C12C87E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33C"/>
    <w:rsid w:val="000011A0"/>
    <w:rsid w:val="0000491F"/>
    <w:rsid w:val="000053B0"/>
    <w:rsid w:val="00006CC1"/>
    <w:rsid w:val="00033A54"/>
    <w:rsid w:val="00034568"/>
    <w:rsid w:val="000445CB"/>
    <w:rsid w:val="00054632"/>
    <w:rsid w:val="000659F3"/>
    <w:rsid w:val="00095E07"/>
    <w:rsid w:val="000A3BC7"/>
    <w:rsid w:val="000B3E33"/>
    <w:rsid w:val="000B4BA3"/>
    <w:rsid w:val="000B7851"/>
    <w:rsid w:val="000C6F43"/>
    <w:rsid w:val="000D1EA1"/>
    <w:rsid w:val="000D3435"/>
    <w:rsid w:val="000E3AE0"/>
    <w:rsid w:val="0010780C"/>
    <w:rsid w:val="00110D78"/>
    <w:rsid w:val="0013025E"/>
    <w:rsid w:val="00143A03"/>
    <w:rsid w:val="00144D67"/>
    <w:rsid w:val="001478A3"/>
    <w:rsid w:val="00160BCF"/>
    <w:rsid w:val="001626D7"/>
    <w:rsid w:val="0017434E"/>
    <w:rsid w:val="00177A28"/>
    <w:rsid w:val="001A617F"/>
    <w:rsid w:val="001B2908"/>
    <w:rsid w:val="001C4957"/>
    <w:rsid w:val="001D08EF"/>
    <w:rsid w:val="001D18A5"/>
    <w:rsid w:val="002034A1"/>
    <w:rsid w:val="0020472E"/>
    <w:rsid w:val="002053FF"/>
    <w:rsid w:val="002102D2"/>
    <w:rsid w:val="0021517A"/>
    <w:rsid w:val="00230E61"/>
    <w:rsid w:val="00234AE2"/>
    <w:rsid w:val="00254284"/>
    <w:rsid w:val="00271741"/>
    <w:rsid w:val="00273025"/>
    <w:rsid w:val="00274830"/>
    <w:rsid w:val="00283759"/>
    <w:rsid w:val="00284B69"/>
    <w:rsid w:val="00284C9A"/>
    <w:rsid w:val="00291857"/>
    <w:rsid w:val="00293937"/>
    <w:rsid w:val="0029492D"/>
    <w:rsid w:val="00294D41"/>
    <w:rsid w:val="00296DB1"/>
    <w:rsid w:val="00297F9C"/>
    <w:rsid w:val="002C05D0"/>
    <w:rsid w:val="002C0B35"/>
    <w:rsid w:val="002C562C"/>
    <w:rsid w:val="002C7E29"/>
    <w:rsid w:val="002F6AED"/>
    <w:rsid w:val="003137A4"/>
    <w:rsid w:val="00324795"/>
    <w:rsid w:val="003308D4"/>
    <w:rsid w:val="00336CFB"/>
    <w:rsid w:val="00356E50"/>
    <w:rsid w:val="00357F4F"/>
    <w:rsid w:val="00361F93"/>
    <w:rsid w:val="00375816"/>
    <w:rsid w:val="00384389"/>
    <w:rsid w:val="00384E9F"/>
    <w:rsid w:val="00386126"/>
    <w:rsid w:val="00386D2C"/>
    <w:rsid w:val="003902B3"/>
    <w:rsid w:val="0039100D"/>
    <w:rsid w:val="00394242"/>
    <w:rsid w:val="003A7B8C"/>
    <w:rsid w:val="003B3D2A"/>
    <w:rsid w:val="003B7130"/>
    <w:rsid w:val="003C59C5"/>
    <w:rsid w:val="004060CA"/>
    <w:rsid w:val="00410A8D"/>
    <w:rsid w:val="00424D74"/>
    <w:rsid w:val="004278B8"/>
    <w:rsid w:val="00432D93"/>
    <w:rsid w:val="00453D2C"/>
    <w:rsid w:val="004547B4"/>
    <w:rsid w:val="004738F2"/>
    <w:rsid w:val="00483670"/>
    <w:rsid w:val="00491412"/>
    <w:rsid w:val="00492350"/>
    <w:rsid w:val="00496DC3"/>
    <w:rsid w:val="004A2F5C"/>
    <w:rsid w:val="004F2496"/>
    <w:rsid w:val="004F4E2E"/>
    <w:rsid w:val="004F7BDA"/>
    <w:rsid w:val="0050317C"/>
    <w:rsid w:val="00511C7C"/>
    <w:rsid w:val="00512EBF"/>
    <w:rsid w:val="00516142"/>
    <w:rsid w:val="00523EA3"/>
    <w:rsid w:val="00524763"/>
    <w:rsid w:val="00551052"/>
    <w:rsid w:val="005762CF"/>
    <w:rsid w:val="0058249A"/>
    <w:rsid w:val="00586764"/>
    <w:rsid w:val="005A4816"/>
    <w:rsid w:val="005C3E9C"/>
    <w:rsid w:val="005C6815"/>
    <w:rsid w:val="005F6255"/>
    <w:rsid w:val="006009A1"/>
    <w:rsid w:val="006024DE"/>
    <w:rsid w:val="00604CCF"/>
    <w:rsid w:val="00616272"/>
    <w:rsid w:val="00622D37"/>
    <w:rsid w:val="00625309"/>
    <w:rsid w:val="00631B02"/>
    <w:rsid w:val="00632989"/>
    <w:rsid w:val="00643C4C"/>
    <w:rsid w:val="00646BF5"/>
    <w:rsid w:val="0065652C"/>
    <w:rsid w:val="00656F9A"/>
    <w:rsid w:val="00665DB8"/>
    <w:rsid w:val="00681DDC"/>
    <w:rsid w:val="00694978"/>
    <w:rsid w:val="00694D59"/>
    <w:rsid w:val="006A0E6E"/>
    <w:rsid w:val="006B39DC"/>
    <w:rsid w:val="006F7011"/>
    <w:rsid w:val="007042B4"/>
    <w:rsid w:val="00710EDB"/>
    <w:rsid w:val="00732DE1"/>
    <w:rsid w:val="00733EEA"/>
    <w:rsid w:val="00734212"/>
    <w:rsid w:val="00740064"/>
    <w:rsid w:val="00745D2E"/>
    <w:rsid w:val="007539F4"/>
    <w:rsid w:val="0075553B"/>
    <w:rsid w:val="0075659E"/>
    <w:rsid w:val="00764D7B"/>
    <w:rsid w:val="00766F62"/>
    <w:rsid w:val="00773853"/>
    <w:rsid w:val="00775447"/>
    <w:rsid w:val="007876B6"/>
    <w:rsid w:val="0079534F"/>
    <w:rsid w:val="007A61AE"/>
    <w:rsid w:val="007C13B9"/>
    <w:rsid w:val="007C5833"/>
    <w:rsid w:val="007C61EE"/>
    <w:rsid w:val="007D5323"/>
    <w:rsid w:val="007F5568"/>
    <w:rsid w:val="007F7B03"/>
    <w:rsid w:val="00802ECC"/>
    <w:rsid w:val="00807ED0"/>
    <w:rsid w:val="00811726"/>
    <w:rsid w:val="00811DC0"/>
    <w:rsid w:val="00817241"/>
    <w:rsid w:val="00825D95"/>
    <w:rsid w:val="00830A90"/>
    <w:rsid w:val="00843CBA"/>
    <w:rsid w:val="00845BDA"/>
    <w:rsid w:val="00856DCE"/>
    <w:rsid w:val="00860ABA"/>
    <w:rsid w:val="00861A68"/>
    <w:rsid w:val="00865C0F"/>
    <w:rsid w:val="00865DB0"/>
    <w:rsid w:val="00874318"/>
    <w:rsid w:val="008745D3"/>
    <w:rsid w:val="00876DDE"/>
    <w:rsid w:val="008A7B34"/>
    <w:rsid w:val="008C72C7"/>
    <w:rsid w:val="008E4156"/>
    <w:rsid w:val="008E44AE"/>
    <w:rsid w:val="00903BD2"/>
    <w:rsid w:val="00914156"/>
    <w:rsid w:val="009230D2"/>
    <w:rsid w:val="00926525"/>
    <w:rsid w:val="00926B9F"/>
    <w:rsid w:val="00937A35"/>
    <w:rsid w:val="009558AC"/>
    <w:rsid w:val="00955D92"/>
    <w:rsid w:val="0097107F"/>
    <w:rsid w:val="009727E8"/>
    <w:rsid w:val="009A1569"/>
    <w:rsid w:val="009A6437"/>
    <w:rsid w:val="009B7609"/>
    <w:rsid w:val="009B7712"/>
    <w:rsid w:val="009D5075"/>
    <w:rsid w:val="009E6649"/>
    <w:rsid w:val="009F021E"/>
    <w:rsid w:val="009F58AE"/>
    <w:rsid w:val="00A0278A"/>
    <w:rsid w:val="00A03677"/>
    <w:rsid w:val="00A145B6"/>
    <w:rsid w:val="00A16264"/>
    <w:rsid w:val="00A633A4"/>
    <w:rsid w:val="00A63A6B"/>
    <w:rsid w:val="00A724C8"/>
    <w:rsid w:val="00A7595B"/>
    <w:rsid w:val="00AA7782"/>
    <w:rsid w:val="00AD03DE"/>
    <w:rsid w:val="00AD5ED2"/>
    <w:rsid w:val="00AE083A"/>
    <w:rsid w:val="00AE6B11"/>
    <w:rsid w:val="00AF1BE8"/>
    <w:rsid w:val="00B2055C"/>
    <w:rsid w:val="00B33A80"/>
    <w:rsid w:val="00B34D88"/>
    <w:rsid w:val="00B359A4"/>
    <w:rsid w:val="00B53A02"/>
    <w:rsid w:val="00B55933"/>
    <w:rsid w:val="00B55A56"/>
    <w:rsid w:val="00B5780E"/>
    <w:rsid w:val="00B61FB8"/>
    <w:rsid w:val="00B666BD"/>
    <w:rsid w:val="00B82868"/>
    <w:rsid w:val="00B926A4"/>
    <w:rsid w:val="00BA088B"/>
    <w:rsid w:val="00BA0E8C"/>
    <w:rsid w:val="00BA4212"/>
    <w:rsid w:val="00BA6426"/>
    <w:rsid w:val="00BC3FC2"/>
    <w:rsid w:val="00BC6076"/>
    <w:rsid w:val="00BD7D91"/>
    <w:rsid w:val="00BE08AB"/>
    <w:rsid w:val="00C04D3D"/>
    <w:rsid w:val="00C11915"/>
    <w:rsid w:val="00C20157"/>
    <w:rsid w:val="00C20B44"/>
    <w:rsid w:val="00C30E17"/>
    <w:rsid w:val="00C32FAD"/>
    <w:rsid w:val="00C46861"/>
    <w:rsid w:val="00C50958"/>
    <w:rsid w:val="00C54E2C"/>
    <w:rsid w:val="00C70075"/>
    <w:rsid w:val="00C87295"/>
    <w:rsid w:val="00CA4E34"/>
    <w:rsid w:val="00CB01CB"/>
    <w:rsid w:val="00CB4301"/>
    <w:rsid w:val="00CC5DE7"/>
    <w:rsid w:val="00CC7AAC"/>
    <w:rsid w:val="00CD3F29"/>
    <w:rsid w:val="00CF1471"/>
    <w:rsid w:val="00D0553C"/>
    <w:rsid w:val="00D126CB"/>
    <w:rsid w:val="00D17DEC"/>
    <w:rsid w:val="00D3162B"/>
    <w:rsid w:val="00D3508D"/>
    <w:rsid w:val="00D36BA6"/>
    <w:rsid w:val="00D40ACE"/>
    <w:rsid w:val="00D44CCF"/>
    <w:rsid w:val="00D47DB0"/>
    <w:rsid w:val="00D50432"/>
    <w:rsid w:val="00D574D8"/>
    <w:rsid w:val="00D67A14"/>
    <w:rsid w:val="00D70692"/>
    <w:rsid w:val="00D73BF2"/>
    <w:rsid w:val="00D80DE9"/>
    <w:rsid w:val="00D927FD"/>
    <w:rsid w:val="00D9571B"/>
    <w:rsid w:val="00DA59AB"/>
    <w:rsid w:val="00DB6822"/>
    <w:rsid w:val="00DC04DB"/>
    <w:rsid w:val="00DD2D0A"/>
    <w:rsid w:val="00DD31CB"/>
    <w:rsid w:val="00DD333C"/>
    <w:rsid w:val="00DD4722"/>
    <w:rsid w:val="00DE08F4"/>
    <w:rsid w:val="00DE2339"/>
    <w:rsid w:val="00DE3328"/>
    <w:rsid w:val="00DF3A5D"/>
    <w:rsid w:val="00DF74D0"/>
    <w:rsid w:val="00E00B43"/>
    <w:rsid w:val="00E01E86"/>
    <w:rsid w:val="00E05505"/>
    <w:rsid w:val="00E13D1E"/>
    <w:rsid w:val="00E16E0C"/>
    <w:rsid w:val="00E30602"/>
    <w:rsid w:val="00E33D65"/>
    <w:rsid w:val="00E35A89"/>
    <w:rsid w:val="00E439BD"/>
    <w:rsid w:val="00E62570"/>
    <w:rsid w:val="00E700AB"/>
    <w:rsid w:val="00E72D53"/>
    <w:rsid w:val="00E831E5"/>
    <w:rsid w:val="00E87F73"/>
    <w:rsid w:val="00E96A37"/>
    <w:rsid w:val="00E97DDC"/>
    <w:rsid w:val="00E97FFC"/>
    <w:rsid w:val="00EA4483"/>
    <w:rsid w:val="00EA5999"/>
    <w:rsid w:val="00EB23EA"/>
    <w:rsid w:val="00EB6A79"/>
    <w:rsid w:val="00EB7AE5"/>
    <w:rsid w:val="00ED1460"/>
    <w:rsid w:val="00ED15E3"/>
    <w:rsid w:val="00ED3524"/>
    <w:rsid w:val="00ED4AEE"/>
    <w:rsid w:val="00EF0D0D"/>
    <w:rsid w:val="00F1679C"/>
    <w:rsid w:val="00F32E58"/>
    <w:rsid w:val="00F33AC1"/>
    <w:rsid w:val="00F5629F"/>
    <w:rsid w:val="00F622EB"/>
    <w:rsid w:val="00F62F7A"/>
    <w:rsid w:val="00F6647E"/>
    <w:rsid w:val="00F724B8"/>
    <w:rsid w:val="00F72ADF"/>
    <w:rsid w:val="00F85BE9"/>
    <w:rsid w:val="00FB521F"/>
    <w:rsid w:val="00FC3F17"/>
    <w:rsid w:val="00FC568C"/>
    <w:rsid w:val="00FD1E47"/>
    <w:rsid w:val="00FD31DB"/>
    <w:rsid w:val="00FD39C1"/>
    <w:rsid w:val="00FD6E81"/>
    <w:rsid w:val="00FF047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3670"/>
    <w:pPr>
      <w:keepNext/>
      <w:spacing w:line="240" w:lineRule="auto"/>
      <w:jc w:val="center"/>
      <w:outlineLvl w:val="0"/>
    </w:pPr>
    <w:rPr>
      <w:rFonts w:ascii="Georgia" w:hAnsi="Georgia" w:cs="Calibri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595B"/>
    <w:pPr>
      <w:jc w:val="center"/>
    </w:pPr>
    <w:rPr>
      <w:rFonts w:ascii="Impact" w:hAnsi="Impact"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7595B"/>
    <w:rPr>
      <w:rFonts w:ascii="Impact" w:hAnsi="Impact"/>
      <w:sz w:val="28"/>
      <w:szCs w:val="28"/>
    </w:rPr>
  </w:style>
  <w:style w:type="paragraph" w:styleId="a5">
    <w:name w:val="List Paragraph"/>
    <w:basedOn w:val="a"/>
    <w:uiPriority w:val="34"/>
    <w:qFormat/>
    <w:rsid w:val="000D1EA1"/>
    <w:pPr>
      <w:ind w:left="720"/>
      <w:contextualSpacing/>
    </w:pPr>
  </w:style>
  <w:style w:type="paragraph" w:customStyle="1" w:styleId="11">
    <w:name w:val="Абзац списка1"/>
    <w:basedOn w:val="a"/>
    <w:rsid w:val="00926B9F"/>
    <w:pPr>
      <w:ind w:left="720"/>
    </w:pPr>
    <w:rPr>
      <w:rFonts w:eastAsia="Times New Roman" w:cs="Calibri"/>
      <w:lang w:eastAsia="ru-RU"/>
    </w:rPr>
  </w:style>
  <w:style w:type="character" w:customStyle="1" w:styleId="10">
    <w:name w:val="Заголовок 1 Знак"/>
    <w:link w:val="1"/>
    <w:uiPriority w:val="9"/>
    <w:rsid w:val="00483670"/>
    <w:rPr>
      <w:rFonts w:ascii="Georgia" w:hAnsi="Georgia" w:cs="Calibri"/>
      <w:b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2C0B35"/>
    <w:rPr>
      <w:b/>
    </w:rPr>
  </w:style>
  <w:style w:type="character" w:customStyle="1" w:styleId="20">
    <w:name w:val="Основной текст 2 Знак"/>
    <w:link w:val="2"/>
    <w:uiPriority w:val="99"/>
    <w:rsid w:val="002C0B35"/>
    <w:rPr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F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3670"/>
    <w:pPr>
      <w:keepNext/>
      <w:spacing w:line="240" w:lineRule="auto"/>
      <w:jc w:val="center"/>
      <w:outlineLvl w:val="0"/>
    </w:pPr>
    <w:rPr>
      <w:rFonts w:ascii="Georgia" w:hAnsi="Georgia" w:cs="Calibri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7595B"/>
    <w:pPr>
      <w:jc w:val="center"/>
    </w:pPr>
    <w:rPr>
      <w:rFonts w:ascii="Impact" w:hAnsi="Impact"/>
      <w:sz w:val="28"/>
      <w:szCs w:val="28"/>
    </w:rPr>
  </w:style>
  <w:style w:type="character" w:customStyle="1" w:styleId="a4">
    <w:name w:val="Основной текст Знак"/>
    <w:link w:val="a3"/>
    <w:uiPriority w:val="99"/>
    <w:rsid w:val="00A7595B"/>
    <w:rPr>
      <w:rFonts w:ascii="Impact" w:hAnsi="Impact"/>
      <w:sz w:val="28"/>
      <w:szCs w:val="28"/>
    </w:rPr>
  </w:style>
  <w:style w:type="paragraph" w:styleId="a5">
    <w:name w:val="List Paragraph"/>
    <w:basedOn w:val="a"/>
    <w:uiPriority w:val="34"/>
    <w:qFormat/>
    <w:rsid w:val="000D1EA1"/>
    <w:pPr>
      <w:ind w:left="720"/>
      <w:contextualSpacing/>
    </w:pPr>
  </w:style>
  <w:style w:type="paragraph" w:customStyle="1" w:styleId="11">
    <w:name w:val="Абзац списка1"/>
    <w:basedOn w:val="a"/>
    <w:rsid w:val="00926B9F"/>
    <w:pPr>
      <w:ind w:left="720"/>
    </w:pPr>
    <w:rPr>
      <w:rFonts w:eastAsia="Times New Roman" w:cs="Calibri"/>
      <w:lang w:eastAsia="ru-RU"/>
    </w:rPr>
  </w:style>
  <w:style w:type="character" w:customStyle="1" w:styleId="10">
    <w:name w:val="Заголовок 1 Знак"/>
    <w:link w:val="1"/>
    <w:uiPriority w:val="9"/>
    <w:rsid w:val="00483670"/>
    <w:rPr>
      <w:rFonts w:ascii="Georgia" w:hAnsi="Georgia" w:cs="Calibri"/>
      <w:b/>
      <w:sz w:val="22"/>
      <w:szCs w:val="22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2C0B35"/>
    <w:rPr>
      <w:b/>
    </w:rPr>
  </w:style>
  <w:style w:type="character" w:customStyle="1" w:styleId="20">
    <w:name w:val="Основной текст 2 Знак"/>
    <w:link w:val="2"/>
    <w:uiPriority w:val="99"/>
    <w:rsid w:val="002C0B35"/>
    <w:rPr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Кальций, ммоль/л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интактный контроль </c:v>
                </c:pt>
                <c:pt idx="1">
                  <c:v>патология</c:v>
                </c:pt>
                <c:pt idx="2">
                  <c:v>Фларосукцин 2,0 мл/кг</c:v>
                </c:pt>
                <c:pt idx="3">
                  <c:v>Фларосукцин 3,2 мл/кг</c:v>
                </c:pt>
                <c:pt idx="4">
                  <c:v>Канефрон Н 1,0 мл/кг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2.7</c:v>
                </c:pt>
                <c:pt idx="1">
                  <c:v>2.31</c:v>
                </c:pt>
                <c:pt idx="2">
                  <c:v>2.56</c:v>
                </c:pt>
                <c:pt idx="3">
                  <c:v>2.5</c:v>
                </c:pt>
                <c:pt idx="4">
                  <c:v>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Фосфор, ммоль/л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интактный контроль </c:v>
                </c:pt>
                <c:pt idx="1">
                  <c:v>патология</c:v>
                </c:pt>
                <c:pt idx="2">
                  <c:v>Фларосукцин 2,0 мл/кг</c:v>
                </c:pt>
                <c:pt idx="3">
                  <c:v>Фларосукцин 3,2 мл/кг</c:v>
                </c:pt>
                <c:pt idx="4">
                  <c:v>Канефрон Н 1,0 мл/кг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2.48</c:v>
                </c:pt>
                <c:pt idx="1">
                  <c:v>2.6</c:v>
                </c:pt>
                <c:pt idx="2">
                  <c:v>2.4300000000000002</c:v>
                </c:pt>
                <c:pt idx="3">
                  <c:v>2.4</c:v>
                </c:pt>
                <c:pt idx="4">
                  <c:v>2.4700000000000002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интактный контроль </c:v>
                </c:pt>
                <c:pt idx="1">
                  <c:v>патология</c:v>
                </c:pt>
                <c:pt idx="2">
                  <c:v>Фларосукцин 2,0 мл/кг</c:v>
                </c:pt>
                <c:pt idx="3">
                  <c:v>Фларосукцин 3,2 мл/кг</c:v>
                </c:pt>
                <c:pt idx="4">
                  <c:v>Канефрон Н 1,0 мл/кг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344448"/>
        <c:axId val="192656128"/>
        <c:axId val="0"/>
      </c:bar3DChart>
      <c:catAx>
        <c:axId val="26344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92656128"/>
        <c:crosses val="autoZero"/>
        <c:auto val="1"/>
        <c:lblAlgn val="ctr"/>
        <c:lblOffset val="100"/>
        <c:noMultiLvlLbl val="0"/>
      </c:catAx>
      <c:valAx>
        <c:axId val="1926561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ммоль/л</a:t>
                </a:r>
              </a:p>
            </c:rich>
          </c:tx>
          <c:layout>
            <c:manualLayout>
              <c:xMode val="edge"/>
              <c:yMode val="edge"/>
              <c:x val="3.6837810300546066E-2"/>
              <c:y val="0.1756568491222334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634444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wMode val="edge"/>
          <c:hMode val="edge"/>
          <c:x val="0.73482756515900627"/>
          <c:y val="0.18512746460325677"/>
          <c:w val="0.95821935495987864"/>
          <c:h val="0.3157558419384428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5203162895777266E-2"/>
          <c:y val="2.5190999731844663E-2"/>
          <c:w val="0.67915896588875757"/>
          <c:h val="0.6527017868896418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Кальций, ммоль/сутки</c:v>
                </c:pt>
              </c:strCache>
            </c:strRef>
          </c:tx>
          <c:spPr>
            <a:solidFill>
              <a:srgbClr val="7030A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интактный контроль</c:v>
                </c:pt>
                <c:pt idx="1">
                  <c:v>патология</c:v>
                </c:pt>
                <c:pt idx="2">
                  <c:v>Фларосукцин 2,0 мл/кг</c:v>
                </c:pt>
                <c:pt idx="3">
                  <c:v>Фларосукцин 3,2 мл/кг</c:v>
                </c:pt>
                <c:pt idx="4">
                  <c:v>Канефрон 1,0 мл/кг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77.44</c:v>
                </c:pt>
                <c:pt idx="1">
                  <c:v>42.96</c:v>
                </c:pt>
                <c:pt idx="2">
                  <c:v>76.28</c:v>
                </c:pt>
                <c:pt idx="3">
                  <c:v>94.23</c:v>
                </c:pt>
                <c:pt idx="4">
                  <c:v>43.92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Фосфор, ммоль/сутки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Лист1!$A$2:$A$6</c:f>
              <c:strCache>
                <c:ptCount val="5"/>
                <c:pt idx="0">
                  <c:v>интактный контроль</c:v>
                </c:pt>
                <c:pt idx="1">
                  <c:v>патология</c:v>
                </c:pt>
                <c:pt idx="2">
                  <c:v>Фларосукцин 2,0 мл/кг</c:v>
                </c:pt>
                <c:pt idx="3">
                  <c:v>Фларосукцин 3,2 мл/кг</c:v>
                </c:pt>
                <c:pt idx="4">
                  <c:v>Канефрон 1,0 мл/кг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142.1</c:v>
                </c:pt>
                <c:pt idx="1">
                  <c:v>64.45</c:v>
                </c:pt>
                <c:pt idx="2">
                  <c:v>147.24</c:v>
                </c:pt>
                <c:pt idx="3">
                  <c:v>176.36</c:v>
                </c:pt>
                <c:pt idx="4">
                  <c:v>59.27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интактный контроль</c:v>
                </c:pt>
                <c:pt idx="1">
                  <c:v>патология</c:v>
                </c:pt>
                <c:pt idx="2">
                  <c:v>Фларосукцин 2,0 мл/кг</c:v>
                </c:pt>
                <c:pt idx="3">
                  <c:v>Фларосукцин 3,2 мл/кг</c:v>
                </c:pt>
                <c:pt idx="4">
                  <c:v>Канефрон 1,0 мл/кг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192674432"/>
        <c:axId val="26300800"/>
        <c:axId val="0"/>
      </c:bar3DChart>
      <c:catAx>
        <c:axId val="1926744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6300800"/>
        <c:crosses val="autoZero"/>
        <c:auto val="1"/>
        <c:lblAlgn val="ctr"/>
        <c:lblOffset val="100"/>
        <c:noMultiLvlLbl val="0"/>
      </c:catAx>
      <c:valAx>
        <c:axId val="263008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9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t>ммоль/сутки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92674432"/>
        <c:crosses val="autoZero"/>
        <c:crossBetween val="between"/>
      </c:valAx>
      <c:spPr>
        <a:noFill/>
        <a:ln w="25353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wMode val="edge"/>
          <c:hMode val="edge"/>
          <c:x val="0.75666764783354878"/>
          <c:y val="0.12268671702074252"/>
          <c:w val="0.94675899691996124"/>
          <c:h val="0.3257257470224472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086D7-CC49-40E9-AE75-27B80E51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2524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dcterms:created xsi:type="dcterms:W3CDTF">2014-03-06T06:25:00Z</dcterms:created>
  <dcterms:modified xsi:type="dcterms:W3CDTF">2014-03-06T06:25:00Z</dcterms:modified>
</cp:coreProperties>
</file>