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4" w:rsidRDefault="00E41933" w:rsidP="00304975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1D1D1D"/>
          <w:sz w:val="28"/>
          <w:szCs w:val="28"/>
          <w:shd w:val="clear" w:color="auto" w:fill="FFFFFF"/>
          <w:lang w:val="en-US"/>
        </w:rPr>
      </w:pPr>
      <w:r w:rsidRPr="00DA13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Investigation of Oral Cavity Hygiene </w:t>
      </w:r>
      <w:r w:rsidR="00DA13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the Presence of </w:t>
      </w:r>
      <w:r w:rsidR="00DA13CE">
        <w:rPr>
          <w:rStyle w:val="a3"/>
          <w:rFonts w:ascii="Times New Roman" w:hAnsi="Times New Roman" w:cs="Times New Roman"/>
          <w:b/>
          <w:i w:val="0"/>
          <w:color w:val="1D1D1D"/>
          <w:sz w:val="28"/>
          <w:szCs w:val="28"/>
          <w:shd w:val="clear" w:color="auto" w:fill="FFFFFF"/>
          <w:lang w:val="en-US"/>
        </w:rPr>
        <w:t>Chronic Generalized P</w:t>
      </w:r>
      <w:r w:rsidR="00DA13CE" w:rsidRPr="00DA13CE">
        <w:rPr>
          <w:rStyle w:val="a3"/>
          <w:rFonts w:ascii="Times New Roman" w:hAnsi="Times New Roman" w:cs="Times New Roman"/>
          <w:b/>
          <w:i w:val="0"/>
          <w:color w:val="1D1D1D"/>
          <w:sz w:val="28"/>
          <w:szCs w:val="28"/>
          <w:shd w:val="clear" w:color="auto" w:fill="FFFFFF"/>
          <w:lang w:val="en-US"/>
        </w:rPr>
        <w:t xml:space="preserve">eriodontitis </w:t>
      </w:r>
      <w:r w:rsidR="00DA13CE">
        <w:rPr>
          <w:rStyle w:val="a3"/>
          <w:rFonts w:ascii="Times New Roman" w:hAnsi="Times New Roman" w:cs="Times New Roman"/>
          <w:b/>
          <w:i w:val="0"/>
          <w:color w:val="1D1D1D"/>
          <w:sz w:val="28"/>
          <w:szCs w:val="28"/>
          <w:shd w:val="clear" w:color="auto" w:fill="FFFFFF"/>
          <w:lang w:val="en-US"/>
        </w:rPr>
        <w:t>Associated with Oral Lichen P</w:t>
      </w:r>
      <w:r w:rsidRPr="00DA13CE">
        <w:rPr>
          <w:rStyle w:val="a3"/>
          <w:rFonts w:ascii="Times New Roman" w:hAnsi="Times New Roman" w:cs="Times New Roman"/>
          <w:b/>
          <w:i w:val="0"/>
          <w:color w:val="1D1D1D"/>
          <w:sz w:val="28"/>
          <w:szCs w:val="28"/>
          <w:shd w:val="clear" w:color="auto" w:fill="FFFFFF"/>
          <w:lang w:val="en-US"/>
        </w:rPr>
        <w:t>lanu</w:t>
      </w:r>
      <w:r w:rsidR="00DA13CE">
        <w:rPr>
          <w:rStyle w:val="a3"/>
          <w:rFonts w:ascii="Times New Roman" w:hAnsi="Times New Roman" w:cs="Times New Roman"/>
          <w:b/>
          <w:i w:val="0"/>
          <w:color w:val="1D1D1D"/>
          <w:sz w:val="28"/>
          <w:szCs w:val="28"/>
          <w:shd w:val="clear" w:color="auto" w:fill="FFFFFF"/>
          <w:lang w:val="en-US"/>
        </w:rPr>
        <w:t>s.</w:t>
      </w:r>
    </w:p>
    <w:p w:rsidR="00DA13CE" w:rsidRPr="00DA13CE" w:rsidRDefault="00DA13CE" w:rsidP="00304975">
      <w:pPr>
        <w:spacing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iCs w:val="0"/>
          <w:color w:val="444444"/>
          <w:sz w:val="28"/>
          <w:szCs w:val="28"/>
          <w:shd w:val="clear" w:color="auto" w:fill="FFFFFF"/>
          <w:lang w:val="en-US"/>
        </w:rPr>
      </w:pPr>
      <w:r w:rsidRPr="00F81542">
        <w:rPr>
          <w:rStyle w:val="a3"/>
          <w:rFonts w:ascii="Times New Roman" w:hAnsi="Times New Roman" w:cs="Times New Roman"/>
          <w:bCs/>
          <w:i w:val="0"/>
          <w:iCs w:val="0"/>
          <w:color w:val="444444"/>
          <w:sz w:val="28"/>
          <w:szCs w:val="28"/>
          <w:shd w:val="clear" w:color="auto" w:fill="FFFFFF"/>
          <w:lang w:val="en-US"/>
        </w:rPr>
        <w:t>O.V. Yelise</w:t>
      </w:r>
      <w:r w:rsidR="00277F13">
        <w:rPr>
          <w:rStyle w:val="a3"/>
          <w:rFonts w:ascii="Times New Roman" w:hAnsi="Times New Roman" w:cs="Times New Roman"/>
          <w:bCs/>
          <w:i w:val="0"/>
          <w:iCs w:val="0"/>
          <w:color w:val="444444"/>
          <w:sz w:val="28"/>
          <w:szCs w:val="28"/>
          <w:shd w:val="clear" w:color="auto" w:fill="FFFFFF"/>
          <w:lang w:val="en-US"/>
        </w:rPr>
        <w:t>y</w:t>
      </w:r>
      <w:r w:rsidRPr="00F81542">
        <w:rPr>
          <w:rStyle w:val="a3"/>
          <w:rFonts w:ascii="Times New Roman" w:hAnsi="Times New Roman" w:cs="Times New Roman"/>
          <w:bCs/>
          <w:i w:val="0"/>
          <w:iCs w:val="0"/>
          <w:color w:val="444444"/>
          <w:sz w:val="28"/>
          <w:szCs w:val="28"/>
          <w:shd w:val="clear" w:color="auto" w:fill="FFFFFF"/>
          <w:lang w:val="en-US"/>
        </w:rPr>
        <w:t>eva</w:t>
      </w:r>
    </w:p>
    <w:p w:rsidR="00DA13CE" w:rsidRPr="00DA13CE" w:rsidRDefault="00DA13CE" w:rsidP="00304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13CE">
        <w:rPr>
          <w:rFonts w:ascii="Times New Roman" w:hAnsi="Times New Roman" w:cs="Times New Roman"/>
          <w:sz w:val="28"/>
          <w:szCs w:val="28"/>
          <w:lang w:val="en-US"/>
        </w:rPr>
        <w:t>Scientific supervisor: Doctor of Medical Science, Professor I. I. Sokolova.</w:t>
      </w:r>
    </w:p>
    <w:p w:rsidR="00DA13CE" w:rsidRDefault="00DA13CE" w:rsidP="00304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13CE">
        <w:rPr>
          <w:rFonts w:ascii="Times New Roman" w:hAnsi="Times New Roman" w:cs="Times New Roman"/>
          <w:sz w:val="28"/>
          <w:szCs w:val="28"/>
          <w:lang w:val="en-US"/>
        </w:rPr>
        <w:t>Kharkov National Medical University</w:t>
      </w:r>
    </w:p>
    <w:p w:rsidR="00C55EBB" w:rsidRDefault="00C55EBB" w:rsidP="00304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5EBB">
        <w:rPr>
          <w:rFonts w:ascii="Times New Roman" w:hAnsi="Times New Roman" w:cs="Times New Roman"/>
          <w:sz w:val="28"/>
          <w:szCs w:val="28"/>
          <w:lang w:val="en-US"/>
        </w:rPr>
        <w:t>Department of Dentistry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55EBB">
        <w:rPr>
          <w:rFonts w:ascii="Times New Roman" w:hAnsi="Times New Roman" w:cs="Times New Roman"/>
          <w:sz w:val="28"/>
          <w:szCs w:val="28"/>
          <w:lang w:val="en-US"/>
        </w:rPr>
        <w:t>Head of the Department of Dentistry, Doctor of Medical Science, Professor I. I. Sokolova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64017F" w:rsidRDefault="00C55EBB" w:rsidP="00304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O</w:t>
      </w:r>
      <w:r w:rsidRPr="00C55EBB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ral lichen planus (OLP)</w:t>
      </w:r>
      <w:r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is characterized by chronic recurrent course and variety of clinical forms. </w:t>
      </w:r>
      <w:r w:rsidR="00646627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A</w:t>
      </w:r>
      <w:r w:rsidR="00646627" w:rsidRPr="00646627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ccording to different authors</w:t>
      </w:r>
      <w:r w:rsidRPr="00C55EBB">
        <w:rPr>
          <w:rStyle w:val="apple-converted-space"/>
          <w:rFonts w:ascii="Arial" w:hAnsi="Arial" w:cs="Arial"/>
          <w:color w:val="444444"/>
          <w:shd w:val="clear" w:color="auto" w:fill="FFFFFF"/>
          <w:lang w:val="en-US"/>
        </w:rPr>
        <w:t> </w:t>
      </w:r>
      <w:r w:rsidR="00646627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646627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revalence of</w:t>
      </w:r>
      <w:r w:rsidRPr="006466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4662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oral lichen planus among</w:t>
      </w:r>
      <w:r w:rsidR="00646627" w:rsidRPr="0064662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the population</w:t>
      </w:r>
      <w:r w:rsidR="0064662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ranges within 1-2% while i</w:t>
      </w:r>
      <w:r w:rsidR="007F2F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n general structure of dermatose</w:t>
      </w:r>
      <w:r w:rsidR="0064662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 w:rsidR="007F2F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morbidity as focal</w:t>
      </w:r>
      <w:r w:rsidR="0064662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="007F2F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damage of only mucous membranes of oral cavity – 30-35%. Recently it has been noticed that there is </w:t>
      </w:r>
      <w:r w:rsidR="00D855E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a persistent tendency to frequency increase of </w:t>
      </w:r>
      <w:r w:rsid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chronic generalized p</w:t>
      </w:r>
      <w:r w:rsidR="00D855E3" w:rsidRP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eriodontitis</w:t>
      </w:r>
      <w:r w:rsid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(CGP)</w:t>
      </w:r>
      <w:r w:rsidR="00D855E3" w:rsidRP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</w:t>
      </w:r>
      <w:r w:rsid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a</w:t>
      </w:r>
      <w:r w:rsidR="00D855E3" w:rsidRP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ssociated with </w:t>
      </w:r>
      <w:r w:rsid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OLP, and widespread methods of treatment often possess insufficient therapeutic effect. Due to this</w:t>
      </w:r>
      <w:r w:rsidR="0064017F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, </w:t>
      </w:r>
      <w:r w:rsidR="0064017F" w:rsidRPr="0064017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search</w:t>
      </w:r>
      <w:r w:rsidR="0064017F" w:rsidRPr="006401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64017F" w:rsidRPr="006401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="0064017F" w:rsidRPr="006401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64017F" w:rsidRPr="0064017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new</w:t>
      </w:r>
      <w:r w:rsidR="006401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4017F" w:rsidRPr="0064017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prevention</w:t>
      </w:r>
      <w:r w:rsidR="0064017F" w:rsidRPr="006401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401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treatment </w:t>
      </w:r>
      <w:r w:rsidR="0064017F" w:rsidRPr="0064017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methods</w:t>
      </w:r>
      <w:r w:rsidR="006401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associated course of these diseases need</w:t>
      </w:r>
      <w:r w:rsidR="0064017F" w:rsidRPr="006401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continue</w:t>
      </w:r>
      <w:r w:rsidR="006401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64017F" w:rsidRDefault="0064017F" w:rsidP="00304975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</w:pPr>
      <w:r w:rsidRPr="000D0A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 aim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investigation of </w:t>
      </w:r>
      <w:r w:rsidR="006E1E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lysozyme-containing personal oral cavity hygiene equipment along with therapies for patients with </w:t>
      </w:r>
      <w:r w:rsidR="006E1E4B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chronic generalized p</w:t>
      </w:r>
      <w:r w:rsidR="006E1E4B" w:rsidRP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eriodontitis</w:t>
      </w:r>
      <w:r w:rsidR="006E1E4B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associated with o</w:t>
      </w:r>
      <w:r w:rsidR="006E1E4B" w:rsidRPr="00C55EBB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ral lichen planus</w:t>
      </w:r>
      <w:r w:rsidR="000D0AB4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. </w:t>
      </w:r>
    </w:p>
    <w:p w:rsidR="000D0AB4" w:rsidRDefault="000D0AB4" w:rsidP="00304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Materi</w:t>
      </w:r>
      <w:r w:rsidR="00277F13">
        <w:rPr>
          <w:rFonts w:ascii="Times New Roman" w:hAnsi="Times New Roman" w:cs="Times New Roman"/>
          <w:b/>
          <w:sz w:val="28"/>
          <w:szCs w:val="28"/>
          <w:lang w:val="en-US"/>
        </w:rPr>
        <w:t>als and methods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clinical group included 10 patients who were from 35 to 60 years old with </w:t>
      </w:r>
      <w:r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CGP of severity level I</w:t>
      </w:r>
      <w:r w:rsidR="009761BB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a</w:t>
      </w:r>
      <w:r w:rsidR="009761BB" w:rsidRPr="00D855E3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ssociated with </w:t>
      </w:r>
      <w:r w:rsidR="009761BB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common form of OLP</w:t>
      </w:r>
      <w:r w:rsidR="004E2D5E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. All patients </w:t>
      </w:r>
      <w:r w:rsidR="004E2D5E" w:rsidRPr="004E2D5E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received systemic treatment</w:t>
      </w:r>
      <w:r w:rsidR="004E2D5E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which included detoxication, hyposensitization, antihistaminic, sedative medications, sorbents, vitamins and comorbidity treatment. Local treatment included professional oral cavity hygiene </w:t>
      </w:r>
      <w:r w:rsidR="00FE1CBA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and individual hygiene with traditional brushing of teeth using medical-</w:t>
      </w:r>
      <w:r w:rsidR="00FE1CBA" w:rsidRPr="00FE1CBA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prophylactic toothpaste</w:t>
      </w:r>
      <w:r w:rsidR="00FE1CBA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“Lacalut active” (Germany) twice a day, tooth-wash “</w:t>
      </w:r>
      <w:r w:rsidR="00FE1CBA" w:rsidRPr="00FE1CBA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Lysomucoid</w:t>
      </w:r>
      <w:r w:rsidR="00FE1CBA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”</w:t>
      </w:r>
      <w:r w:rsidR="00FC5FE1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3-5 times a day and </w:t>
      </w:r>
      <w:r w:rsidR="00FC5F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lysozyme-containing gel “</w:t>
      </w:r>
      <w:r w:rsidR="00FC5FE1" w:rsidRPr="00FC5F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Phytolysozyme</w:t>
      </w:r>
      <w:r w:rsidR="00FC5F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” which was applied on injured parts of oral mucosa and gingival edge twice a day. Doctors </w:t>
      </w:r>
      <w:r w:rsidR="004409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also prescribed one capsule of tocopheryl acetate 100 mg once a day. Treatment was carried out under control of </w:t>
      </w:r>
      <w:r w:rsidR="00440956" w:rsidRPr="00440956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humoral immunity indices</w:t>
      </w:r>
      <w:r w:rsidR="004409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(secretory </w:t>
      </w:r>
      <w:r w:rsidR="004409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IgA, C3 complement component, </w:t>
      </w:r>
      <w:r w:rsidR="004409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lysozyme and </w:t>
      </w:r>
      <w:r w:rsidR="006976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beta-lysins) which were determined in oral fluid (OF). Oral fluid was collected before treatment and 14 days after beginning of treatment. </w:t>
      </w:r>
    </w:p>
    <w:p w:rsidR="00B96F1E" w:rsidRDefault="0069765D" w:rsidP="003049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Obtained results.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evaluate clinical effectiveness of therapies specialists determined the condition of periodontal tissues.</w:t>
      </w:r>
      <w:r w:rsidR="00C00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="00C0052A" w:rsidRP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apillary</w:t>
      </w:r>
      <w:r w:rsidR="00C0052A" w:rsidRPr="00C005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C0052A" w:rsidRP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marginal</w:t>
      </w:r>
      <w:r w:rsidR="00C0052A" w:rsidRPr="00C005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C0052A" w:rsidRP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alveolar</w:t>
      </w:r>
      <w:r w:rsid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(PMA)</w:t>
      </w:r>
      <w:r w:rsidR="00C0052A" w:rsidRP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index</w:t>
      </w:r>
      <w:r w:rsid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sufficiently decreased (p&lt;0</w:t>
      </w:r>
      <w:proofErr w:type="gramStart"/>
      <w:r w:rsid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,05</w:t>
      </w:r>
      <w:proofErr w:type="gramEnd"/>
      <w:r w:rsidR="00C0052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)</w:t>
      </w:r>
      <w:r w:rsidR="006A23B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from </w:t>
      </w:r>
      <w:r w:rsidR="006A23B2" w:rsidRPr="00E355C3">
        <w:rPr>
          <w:rFonts w:ascii="Times New Roman" w:hAnsi="Times New Roman"/>
          <w:sz w:val="28"/>
          <w:szCs w:val="28"/>
          <w:lang w:val="uk-UA"/>
        </w:rPr>
        <w:t>21.98</w:t>
      </w:r>
      <w:r w:rsidR="006A23B2" w:rsidRPr="00E355C3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="006A23B2" w:rsidRPr="00E355C3">
        <w:rPr>
          <w:rFonts w:ascii="Times New Roman" w:hAnsi="Times New Roman"/>
          <w:sz w:val="28"/>
          <w:szCs w:val="28"/>
          <w:lang w:val="uk-UA"/>
        </w:rPr>
        <w:t>1.86</w:t>
      </w:r>
      <w:r w:rsidR="006A23B2">
        <w:rPr>
          <w:rFonts w:ascii="Times New Roman" w:hAnsi="Times New Roman"/>
          <w:sz w:val="28"/>
          <w:szCs w:val="28"/>
          <w:lang w:val="en-US"/>
        </w:rPr>
        <w:t xml:space="preserve"> points</w:t>
      </w:r>
      <w:r w:rsidR="006A23B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A23B2">
        <w:rPr>
          <w:rFonts w:ascii="Times New Roman" w:hAnsi="Times New Roman"/>
          <w:sz w:val="28"/>
          <w:szCs w:val="28"/>
          <w:lang w:val="en-US"/>
        </w:rPr>
        <w:t>before treatment</w:t>
      </w:r>
      <w:r w:rsidR="006A23B2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A23B2">
        <w:rPr>
          <w:rFonts w:ascii="Times New Roman" w:hAnsi="Times New Roman"/>
          <w:sz w:val="28"/>
          <w:szCs w:val="28"/>
          <w:lang w:val="en-US"/>
        </w:rPr>
        <w:t>to</w:t>
      </w:r>
      <w:r w:rsidR="006A2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3B2" w:rsidRPr="00E355C3">
        <w:rPr>
          <w:rFonts w:ascii="Times New Roman" w:hAnsi="Times New Roman"/>
          <w:sz w:val="28"/>
          <w:szCs w:val="28"/>
          <w:lang w:val="uk-UA"/>
        </w:rPr>
        <w:t>15.55</w:t>
      </w:r>
      <w:r w:rsidR="006A23B2" w:rsidRPr="00E355C3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="006A23B2" w:rsidRPr="00E355C3">
        <w:rPr>
          <w:rFonts w:ascii="Times New Roman" w:hAnsi="Times New Roman"/>
          <w:sz w:val="28"/>
          <w:szCs w:val="28"/>
          <w:lang w:val="uk-UA"/>
        </w:rPr>
        <w:t>0.35</w:t>
      </w:r>
      <w:r w:rsidR="006A2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3B2">
        <w:rPr>
          <w:rFonts w:ascii="Times New Roman" w:hAnsi="Times New Roman"/>
          <w:sz w:val="28"/>
          <w:szCs w:val="28"/>
          <w:lang w:val="en-US"/>
        </w:rPr>
        <w:t>points (after treatment). Periodontal index (PI) was not sufficiently changed under the influence of treatment (from</w:t>
      </w:r>
      <w:r w:rsidR="006A2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3B2" w:rsidRPr="000C0A4B">
        <w:rPr>
          <w:rFonts w:ascii="Times New Roman" w:hAnsi="Times New Roman"/>
          <w:sz w:val="28"/>
          <w:szCs w:val="28"/>
          <w:lang w:val="uk-UA"/>
        </w:rPr>
        <w:t>1.33</w:t>
      </w:r>
      <w:r w:rsidR="006A23B2" w:rsidRPr="000C0A4B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="006A23B2" w:rsidRPr="000C0A4B">
        <w:rPr>
          <w:rFonts w:ascii="Times New Roman" w:hAnsi="Times New Roman"/>
          <w:sz w:val="28"/>
          <w:szCs w:val="28"/>
          <w:lang w:val="uk-UA"/>
        </w:rPr>
        <w:t>0.05</w:t>
      </w:r>
      <w:r w:rsidR="006A2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3B2">
        <w:rPr>
          <w:rFonts w:ascii="Times New Roman" w:hAnsi="Times New Roman"/>
          <w:sz w:val="28"/>
          <w:szCs w:val="28"/>
          <w:lang w:val="en-US"/>
        </w:rPr>
        <w:t>points</w:t>
      </w:r>
      <w:r w:rsidR="006A2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A23B2">
        <w:rPr>
          <w:rFonts w:ascii="Times New Roman" w:eastAsia="Times New Roman" w:hAnsi="Times New Roman"/>
          <w:sz w:val="28"/>
          <w:szCs w:val="28"/>
          <w:lang w:val="en-US"/>
        </w:rPr>
        <w:t>to</w:t>
      </w:r>
      <w:r w:rsidR="006A23B2" w:rsidRPr="000C0A4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A23B2" w:rsidRPr="000C0A4B">
        <w:rPr>
          <w:rFonts w:ascii="Times New Roman" w:hAnsi="Times New Roman"/>
          <w:sz w:val="28"/>
          <w:szCs w:val="28"/>
          <w:lang w:val="uk-UA"/>
        </w:rPr>
        <w:t>0.86</w:t>
      </w:r>
      <w:r w:rsidR="006A23B2" w:rsidRPr="000C0A4B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="006A23B2" w:rsidRPr="000C0A4B">
        <w:rPr>
          <w:rFonts w:ascii="Times New Roman" w:hAnsi="Times New Roman"/>
          <w:sz w:val="28"/>
          <w:szCs w:val="28"/>
          <w:lang w:val="uk-UA"/>
        </w:rPr>
        <w:t>0.05</w:t>
      </w:r>
      <w:r w:rsidR="006A2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3B2">
        <w:rPr>
          <w:rFonts w:ascii="Times New Roman" w:hAnsi="Times New Roman"/>
          <w:sz w:val="28"/>
          <w:szCs w:val="28"/>
          <w:lang w:val="en-US"/>
        </w:rPr>
        <w:t>points after treatment</w:t>
      </w:r>
      <w:r w:rsidR="006A23B2">
        <w:rPr>
          <w:rFonts w:ascii="Times New Roman" w:hAnsi="Times New Roman"/>
          <w:sz w:val="28"/>
          <w:szCs w:val="28"/>
          <w:lang w:val="uk-UA"/>
        </w:rPr>
        <w:t>, р&gt;0</w:t>
      </w:r>
      <w:proofErr w:type="gramStart"/>
      <w:r w:rsidR="006A23B2">
        <w:rPr>
          <w:rFonts w:ascii="Times New Roman" w:hAnsi="Times New Roman"/>
          <w:sz w:val="28"/>
          <w:szCs w:val="28"/>
          <w:lang w:val="uk-UA"/>
        </w:rPr>
        <w:t>,05</w:t>
      </w:r>
      <w:proofErr w:type="gramEnd"/>
      <w:r w:rsidR="006A23B2">
        <w:rPr>
          <w:rFonts w:ascii="Times New Roman" w:hAnsi="Times New Roman"/>
          <w:sz w:val="28"/>
          <w:szCs w:val="28"/>
          <w:lang w:val="en-US"/>
        </w:rPr>
        <w:t xml:space="preserve">). </w:t>
      </w:r>
      <w:r w:rsidR="00B96F1E">
        <w:rPr>
          <w:rFonts w:ascii="Times New Roman" w:hAnsi="Times New Roman"/>
          <w:sz w:val="28"/>
          <w:szCs w:val="28"/>
          <w:lang w:val="en-US"/>
        </w:rPr>
        <w:t xml:space="preserve">Cessation of inflammatory processes was associated with improvement of oral cavity hygiene. 14 days after beginning of treatment </w:t>
      </w:r>
      <w:r w:rsidR="00B96F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B96F1E" w:rsidRPr="00B96F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implified</w:t>
      </w:r>
      <w:r w:rsidR="00B96F1E" w:rsidRPr="00B96F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B96F1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h</w:t>
      </w:r>
      <w:r w:rsidR="00B96F1E" w:rsidRPr="00B96F1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ygiene </w:t>
      </w:r>
      <w:r w:rsidR="00B96F1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i</w:t>
      </w:r>
      <w:r w:rsidR="00B96F1E" w:rsidRPr="00B96F1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ndex</w:t>
      </w:r>
      <w:r w:rsidR="00B96F1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(according to </w:t>
      </w:r>
      <w:r w:rsidR="00B96F1E" w:rsidRPr="00B96F1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Green</w:t>
      </w:r>
      <w:r w:rsidR="00B96F1E" w:rsidRPr="00B96F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B96F1E" w:rsidRPr="00B96F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B96F1E" w:rsidRPr="00B96F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B96F1E" w:rsidRPr="00B96F1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Vermillion</w:t>
      </w:r>
      <w:r w:rsidR="00B96F1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) decreased to </w:t>
      </w:r>
      <w:r w:rsidR="00B96F1E" w:rsidRPr="00B96F1E">
        <w:rPr>
          <w:rFonts w:ascii="Times New Roman" w:hAnsi="Times New Roman"/>
          <w:sz w:val="28"/>
          <w:szCs w:val="28"/>
          <w:lang w:val="en-US"/>
        </w:rPr>
        <w:t>0.84</w:t>
      </w:r>
      <w:r w:rsidR="00B96F1E" w:rsidRPr="00B96F1E">
        <w:rPr>
          <w:rFonts w:ascii="Times New Roman" w:hAnsi="Times New Roman"/>
          <w:sz w:val="28"/>
          <w:szCs w:val="28"/>
          <w:u w:val="single"/>
          <w:lang w:val="en-US"/>
        </w:rPr>
        <w:t>+</w:t>
      </w:r>
      <w:r w:rsidR="00B96F1E" w:rsidRPr="00B96F1E">
        <w:rPr>
          <w:rFonts w:ascii="Times New Roman" w:hAnsi="Times New Roman"/>
          <w:sz w:val="28"/>
          <w:szCs w:val="28"/>
          <w:lang w:val="en-US"/>
        </w:rPr>
        <w:t>0.12</w:t>
      </w:r>
      <w:r w:rsidR="00B96F1E">
        <w:rPr>
          <w:rFonts w:ascii="Times New Roman" w:hAnsi="Times New Roman"/>
          <w:sz w:val="28"/>
          <w:szCs w:val="28"/>
          <w:lang w:val="en-US"/>
        </w:rPr>
        <w:t xml:space="preserve"> points comparing with initial value before treatment</w:t>
      </w:r>
      <w:r w:rsidR="00B96F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F1E" w:rsidRPr="00B96F1E">
        <w:rPr>
          <w:rFonts w:ascii="Times New Roman" w:hAnsi="Times New Roman"/>
          <w:sz w:val="28"/>
          <w:szCs w:val="28"/>
          <w:lang w:val="en-US"/>
        </w:rPr>
        <w:t>(1.57</w:t>
      </w:r>
      <w:r w:rsidR="00B96F1E" w:rsidRPr="00B96F1E">
        <w:rPr>
          <w:rFonts w:ascii="Times New Roman" w:hAnsi="Times New Roman"/>
          <w:sz w:val="28"/>
          <w:szCs w:val="28"/>
          <w:u w:val="single"/>
          <w:lang w:val="en-US"/>
        </w:rPr>
        <w:t>+</w:t>
      </w:r>
      <w:r w:rsidR="00B96F1E" w:rsidRPr="00B96F1E">
        <w:rPr>
          <w:rFonts w:ascii="Times New Roman" w:hAnsi="Times New Roman"/>
          <w:sz w:val="28"/>
          <w:szCs w:val="28"/>
          <w:lang w:val="en-US"/>
        </w:rPr>
        <w:t>0.17</w:t>
      </w:r>
      <w:r w:rsidR="00B96F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F1E">
        <w:rPr>
          <w:rFonts w:ascii="Times New Roman" w:hAnsi="Times New Roman"/>
          <w:sz w:val="28"/>
          <w:szCs w:val="28"/>
          <w:lang w:val="en-US"/>
        </w:rPr>
        <w:t>points</w:t>
      </w:r>
      <w:r w:rsidR="00B96F1E">
        <w:rPr>
          <w:rFonts w:ascii="Times New Roman" w:hAnsi="Times New Roman"/>
          <w:sz w:val="28"/>
          <w:szCs w:val="28"/>
          <w:lang w:val="uk-UA"/>
        </w:rPr>
        <w:t>,</w:t>
      </w:r>
      <w:r w:rsidR="00B96F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6F1E">
        <w:rPr>
          <w:rFonts w:ascii="Times New Roman" w:hAnsi="Times New Roman"/>
          <w:sz w:val="28"/>
          <w:szCs w:val="28"/>
          <w:lang w:val="uk-UA"/>
        </w:rPr>
        <w:t>р</w:t>
      </w:r>
      <w:r w:rsidR="00B96F1E" w:rsidRPr="00630667">
        <w:rPr>
          <w:rFonts w:ascii="Times New Roman" w:hAnsi="Times New Roman"/>
          <w:sz w:val="28"/>
          <w:szCs w:val="28"/>
          <w:lang w:val="uk-UA"/>
        </w:rPr>
        <w:t>&lt;</w:t>
      </w:r>
      <w:r w:rsidR="00B96F1E">
        <w:rPr>
          <w:rFonts w:ascii="Times New Roman" w:hAnsi="Times New Roman"/>
          <w:sz w:val="28"/>
          <w:szCs w:val="28"/>
          <w:lang w:val="uk-UA"/>
        </w:rPr>
        <w:t>0</w:t>
      </w:r>
      <w:r w:rsidR="00B96F1E" w:rsidRPr="000C0A4B">
        <w:rPr>
          <w:rFonts w:ascii="Times New Roman" w:hAnsi="Times New Roman"/>
          <w:sz w:val="28"/>
          <w:szCs w:val="28"/>
          <w:lang w:val="uk-UA"/>
        </w:rPr>
        <w:t>,05</w:t>
      </w:r>
      <w:r w:rsidR="00B96F1E" w:rsidRPr="00B96F1E">
        <w:rPr>
          <w:rFonts w:ascii="Times New Roman" w:hAnsi="Times New Roman"/>
          <w:sz w:val="28"/>
          <w:szCs w:val="28"/>
          <w:lang w:val="en-US"/>
        </w:rPr>
        <w:t>).</w:t>
      </w:r>
    </w:p>
    <w:p w:rsidR="0069765D" w:rsidRDefault="00B96F1E" w:rsidP="00304975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investigation 14 days after the treatment showed that </w:t>
      </w:r>
      <w:r w:rsidRPr="00440956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humoral immunity indices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of 8 patients were normalized, and </w:t>
      </w:r>
      <w:r w:rsidRPr="00440956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humoral immunity indices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of 2 patients did not have tendency to improvement, due to this the treatment was prolonged. Positive dynamics of changes in </w:t>
      </w:r>
      <w:r w:rsidRPr="00440956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humoral immunity indices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depends on clinical manifestation of </w:t>
      </w:r>
      <w:r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CGP associated with OLP. </w:t>
      </w:r>
    </w:p>
    <w:p w:rsidR="005A1291" w:rsidRDefault="00B96F1E" w:rsidP="00304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proofErr w:type="gramStart"/>
      <w:r w:rsidRPr="00B96F1E">
        <w:rPr>
          <w:rStyle w:val="a3"/>
          <w:rFonts w:ascii="Times New Roman" w:hAnsi="Times New Roman" w:cs="Times New Roman"/>
          <w:b/>
          <w:i w:val="0"/>
          <w:color w:val="1D1D1D"/>
          <w:sz w:val="28"/>
          <w:szCs w:val="28"/>
          <w:shd w:val="clear" w:color="auto" w:fill="FFFFFF"/>
          <w:lang w:val="en-US"/>
        </w:rPr>
        <w:t>Conclusions.</w:t>
      </w:r>
      <w:proofErr w:type="gramEnd"/>
      <w:r>
        <w:rPr>
          <w:rStyle w:val="a3"/>
          <w:rFonts w:ascii="Times New Roman" w:hAnsi="Times New Roman" w:cs="Times New Roman"/>
          <w:b/>
          <w:i w:val="0"/>
          <w:color w:val="1D1D1D"/>
          <w:sz w:val="28"/>
          <w:szCs w:val="28"/>
          <w:shd w:val="clear" w:color="auto" w:fill="FFFFFF"/>
          <w:lang w:val="en-US"/>
        </w:rPr>
        <w:t xml:space="preserve"> </w:t>
      </w:r>
      <w:r w:rsidR="005A1291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Undertaken investigation provides evidence of positive influence of </w:t>
      </w:r>
      <w:r w:rsidR="005A12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lysozyme-containing medications on </w:t>
      </w:r>
      <w:r w:rsidR="005A1291">
        <w:rPr>
          <w:rFonts w:ascii="Times New Roman" w:hAnsi="Times New Roman" w:cs="Times New Roman"/>
          <w:sz w:val="28"/>
          <w:szCs w:val="28"/>
          <w:lang w:val="en-US"/>
        </w:rPr>
        <w:t xml:space="preserve">periodontal tissues in the presence of CGP of initial and </w:t>
      </w:r>
      <w:r w:rsidR="005A1291" w:rsidRPr="005A1291">
        <w:rPr>
          <w:rFonts w:ascii="Times New Roman" w:hAnsi="Times New Roman" w:cs="Times New Roman"/>
          <w:sz w:val="28"/>
          <w:szCs w:val="28"/>
          <w:lang w:val="en-US"/>
        </w:rPr>
        <w:t>simple severity level</w:t>
      </w:r>
      <w:r w:rsidR="005A1291">
        <w:rPr>
          <w:rFonts w:ascii="Times New Roman" w:hAnsi="Times New Roman" w:cs="Times New Roman"/>
          <w:sz w:val="28"/>
          <w:szCs w:val="28"/>
          <w:lang w:val="en-US"/>
        </w:rPr>
        <w:t xml:space="preserve"> and OLP of common form. In this case complex of </w:t>
      </w:r>
      <w:r w:rsidR="005A1291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medical-</w:t>
      </w:r>
      <w:r w:rsidR="005A1291" w:rsidRPr="00FE1CBA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prophylactic</w:t>
      </w:r>
      <w:r w:rsidR="005A1291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 measures must include the following: “</w:t>
      </w:r>
      <w:r w:rsidR="005A1291" w:rsidRPr="00FE1CBA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Lysomucoid</w:t>
      </w:r>
      <w:r w:rsidR="005A1291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”, “</w:t>
      </w:r>
      <w:r w:rsidR="00F81542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L</w:t>
      </w:r>
      <w:r w:rsidR="005A1291" w:rsidRPr="005A1291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>ysobact</w:t>
      </w:r>
      <w:r w:rsidR="005A1291">
        <w:rPr>
          <w:rStyle w:val="a3"/>
          <w:rFonts w:ascii="Times New Roman" w:hAnsi="Times New Roman" w:cs="Times New Roman"/>
          <w:i w:val="0"/>
          <w:color w:val="1D1D1D"/>
          <w:sz w:val="28"/>
          <w:szCs w:val="28"/>
          <w:shd w:val="clear" w:color="auto" w:fill="FFFFFF"/>
          <w:lang w:val="en-US"/>
        </w:rPr>
        <w:t xml:space="preserve">” and </w:t>
      </w:r>
      <w:r w:rsidR="005A12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</w:t>
      </w:r>
      <w:r w:rsidR="005A1291" w:rsidRPr="00FC5F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Phytolysozyme</w:t>
      </w:r>
      <w:r w:rsidR="005A12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”.</w:t>
      </w:r>
    </w:p>
    <w:p w:rsidR="00304975" w:rsidRPr="00304975" w:rsidRDefault="00304975" w:rsidP="00304975">
      <w:pPr>
        <w:tabs>
          <w:tab w:val="left" w:pos="426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Pr="003049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sed literature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04975" w:rsidRPr="001C0D41" w:rsidRDefault="00304975" w:rsidP="00304975">
      <w:pPr>
        <w:numPr>
          <w:ilvl w:val="0"/>
          <w:numId w:val="1"/>
        </w:numPr>
        <w:tabs>
          <w:tab w:val="clear" w:pos="1211"/>
          <w:tab w:val="left" w:pos="426"/>
        </w:tabs>
        <w:spacing w:after="0" w:line="360" w:lineRule="auto"/>
        <w:ind w:left="567" w:hanging="567"/>
        <w:rPr>
          <w:rStyle w:val="a3"/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N. S. Beleva Improvement of diagnostics and comprehensive treatment 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system of preventive medical ex</w:t>
      </w:r>
      <w:r w:rsidRPr="003F1BF4">
        <w:rPr>
          <w:rFonts w:ascii="Times New Roman" w:hAnsi="Times New Roman"/>
          <w:sz w:val="28"/>
          <w:szCs w:val="28"/>
          <w:lang w:val="en-US"/>
        </w:rPr>
        <w:t xml:space="preserve">amination </w:t>
      </w:r>
      <w:r>
        <w:rPr>
          <w:rFonts w:ascii="Times New Roman" w:hAnsi="Times New Roman"/>
          <w:sz w:val="28"/>
          <w:szCs w:val="28"/>
          <w:lang w:val="en-US"/>
        </w:rPr>
        <w:t xml:space="preserve">of patients with </w:t>
      </w:r>
      <w:r>
        <w:rPr>
          <w:rStyle w:val="a3"/>
          <w:rFonts w:ascii="Times New Roman" w:hAnsi="Times New Roman"/>
          <w:color w:val="1D1D1D"/>
          <w:sz w:val="28"/>
          <w:szCs w:val="28"/>
          <w:shd w:val="clear" w:color="auto" w:fill="FFFFFF"/>
          <w:lang w:val="en-US"/>
        </w:rPr>
        <w:t>o</w:t>
      </w:r>
      <w:r w:rsidRPr="003F1BF4">
        <w:rPr>
          <w:rStyle w:val="a3"/>
          <w:rFonts w:ascii="Times New Roman" w:hAnsi="Times New Roman"/>
          <w:color w:val="1D1D1D"/>
          <w:sz w:val="28"/>
          <w:szCs w:val="28"/>
          <w:shd w:val="clear" w:color="auto" w:fill="FFFFFF"/>
          <w:lang w:val="en-US"/>
        </w:rPr>
        <w:t>ral lichen planus</w:t>
      </w:r>
      <w:r>
        <w:rPr>
          <w:rStyle w:val="a3"/>
          <w:rFonts w:ascii="Times New Roman" w:hAnsi="Times New Roman"/>
          <w:color w:val="1D1D1D"/>
          <w:sz w:val="28"/>
          <w:szCs w:val="28"/>
          <w:shd w:val="clear" w:color="auto" w:fill="FFFFFF"/>
          <w:lang w:val="en-US"/>
        </w:rPr>
        <w:t xml:space="preserve"> of oral mucosa: Author’s abstract… </w:t>
      </w:r>
      <w:r w:rsidRPr="008C38D4">
        <w:rPr>
          <w:rStyle w:val="a3"/>
          <w:rFonts w:ascii="Times New Roman" w:hAnsi="Times New Roman"/>
          <w:color w:val="1D1D1D"/>
          <w:sz w:val="28"/>
          <w:szCs w:val="28"/>
          <w:shd w:val="clear" w:color="auto" w:fill="FFFFFF"/>
          <w:lang w:val="en-US"/>
        </w:rPr>
        <w:t>Candidate of Medical Science</w:t>
      </w:r>
      <w:r>
        <w:rPr>
          <w:rStyle w:val="a3"/>
          <w:rFonts w:ascii="Times New Roman" w:hAnsi="Times New Roman"/>
          <w:color w:val="1D1D1D"/>
          <w:sz w:val="28"/>
          <w:szCs w:val="28"/>
          <w:shd w:val="clear" w:color="auto" w:fill="FFFFFF"/>
          <w:lang w:val="en-US"/>
        </w:rPr>
        <w:t xml:space="preserve"> – Perm 2010. – 23 p.</w:t>
      </w:r>
    </w:p>
    <w:p w:rsidR="00304975" w:rsidRPr="001C0D41" w:rsidRDefault="00304975" w:rsidP="0030497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MinionPro-It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A. I. Grudyanov Periodontics / A. I. Grudyanov. – M.: Publisher “Medical Informational Agency”, 2009. – 336 p.</w:t>
      </w:r>
    </w:p>
    <w:p w:rsidR="00304975" w:rsidRDefault="00304975" w:rsidP="00304975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I. M. Rabinovich Correction of microbiologic changes in patients with dysbacterioses of oral cavity / I. M. Rabinovich, N. A. Dmitrieva, </w:t>
      </w:r>
      <w:r w:rsidRPr="00BC5CEA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 xml:space="preserve">.I. </w:t>
      </w:r>
      <w:r w:rsidRPr="00BC5CEA">
        <w:rPr>
          <w:rFonts w:ascii="Times New Roman" w:hAnsi="Times New Roman"/>
          <w:sz w:val="28"/>
          <w:szCs w:val="28"/>
          <w:lang w:val="en-US"/>
        </w:rPr>
        <w:t>Yefimovych</w:t>
      </w:r>
      <w:r>
        <w:rPr>
          <w:rFonts w:ascii="Times New Roman" w:hAnsi="Times New Roman"/>
          <w:sz w:val="28"/>
          <w:szCs w:val="28"/>
          <w:lang w:val="en-US"/>
        </w:rPr>
        <w:t xml:space="preserve"> // Works of VI conference of Russian Dental Association. – M., 2000. – 281-283. </w:t>
      </w:r>
    </w:p>
    <w:p w:rsidR="00304975" w:rsidRPr="00304975" w:rsidRDefault="00304975" w:rsidP="00304975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M. A. Shabanskaya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Some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dysbacterioses indices of oral cavity in the presence of different forms of dental diseases and effectiveness of correctional bacterial therapy: </w:t>
      </w:r>
      <w:r>
        <w:rPr>
          <w:rStyle w:val="a3"/>
          <w:rFonts w:ascii="Times New Roman" w:hAnsi="Times New Roman"/>
          <w:color w:val="1D1D1D"/>
          <w:sz w:val="28"/>
          <w:szCs w:val="28"/>
          <w:shd w:val="clear" w:color="auto" w:fill="FFFFFF"/>
          <w:lang w:val="en-US"/>
        </w:rPr>
        <w:t xml:space="preserve">Author’s abstract… </w:t>
      </w:r>
      <w:r w:rsidRPr="008C38D4">
        <w:rPr>
          <w:rStyle w:val="a3"/>
          <w:rFonts w:ascii="Times New Roman" w:hAnsi="Times New Roman"/>
          <w:color w:val="1D1D1D"/>
          <w:sz w:val="28"/>
          <w:szCs w:val="28"/>
          <w:shd w:val="clear" w:color="auto" w:fill="FFFFFF"/>
          <w:lang w:val="en-US"/>
        </w:rPr>
        <w:t>Candidate of Medical Science</w:t>
      </w:r>
      <w:r>
        <w:rPr>
          <w:rStyle w:val="a3"/>
          <w:rFonts w:ascii="Times New Roman" w:hAnsi="Times New Roman"/>
          <w:color w:val="1D1D1D"/>
          <w:sz w:val="28"/>
          <w:szCs w:val="28"/>
          <w:shd w:val="clear" w:color="auto" w:fill="FFFFFF"/>
          <w:lang w:val="en-US"/>
        </w:rPr>
        <w:t xml:space="preserve"> – M, 1994. – 23 p.</w:t>
      </w:r>
    </w:p>
    <w:p w:rsidR="00B96F1E" w:rsidRPr="00304975" w:rsidRDefault="00304975" w:rsidP="00304975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304975">
        <w:rPr>
          <w:rFonts w:ascii="Times New Roman" w:eastAsia="MinionPro-It" w:hAnsi="Times New Roman"/>
          <w:iCs/>
          <w:sz w:val="28"/>
          <w:szCs w:val="28"/>
          <w:lang w:val="en-US"/>
        </w:rPr>
        <w:t>Sugerman P.B. Oral lichen planus: cause, diagnosis and management</w:t>
      </w:r>
      <w:r w:rsidRPr="00304975">
        <w:rPr>
          <w:rFonts w:ascii="Times New Roman" w:eastAsia="MinionPro-It" w:hAnsi="Times New Roman"/>
          <w:iCs/>
          <w:sz w:val="28"/>
          <w:szCs w:val="28"/>
          <w:lang w:val="uk-UA"/>
        </w:rPr>
        <w:t xml:space="preserve">/ </w:t>
      </w:r>
      <w:r w:rsidRPr="00304975">
        <w:rPr>
          <w:rFonts w:ascii="Times New Roman" w:eastAsia="MinionPro-It" w:hAnsi="Times New Roman"/>
          <w:iCs/>
          <w:sz w:val="28"/>
          <w:szCs w:val="28"/>
          <w:lang w:val="en-US"/>
        </w:rPr>
        <w:t xml:space="preserve">P.B.Sugerman, N.W.Savage // Aust. Dent. </w:t>
      </w:r>
      <w:proofErr w:type="gramStart"/>
      <w:r w:rsidRPr="00304975">
        <w:rPr>
          <w:rFonts w:ascii="Times New Roman" w:eastAsia="MinionPro-It" w:hAnsi="Times New Roman"/>
          <w:iCs/>
          <w:sz w:val="28"/>
          <w:szCs w:val="28"/>
          <w:lang w:val="en-US"/>
        </w:rPr>
        <w:t>J. – 2002.</w:t>
      </w:r>
      <w:proofErr w:type="gramEnd"/>
      <w:r w:rsidRPr="00304975">
        <w:rPr>
          <w:rFonts w:ascii="Times New Roman" w:eastAsia="MinionPro-It" w:hAnsi="Times New Roman"/>
          <w:iCs/>
          <w:sz w:val="28"/>
          <w:szCs w:val="28"/>
          <w:lang w:val="en-US"/>
        </w:rPr>
        <w:t xml:space="preserve"> – Vol. 47. – P. 290-297</w:t>
      </w:r>
    </w:p>
    <w:p w:rsidR="00304975" w:rsidRPr="00B96F1E" w:rsidRDefault="00304975" w:rsidP="00304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04975" w:rsidRPr="00B96F1E" w:rsidSect="00BD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92D"/>
    <w:multiLevelType w:val="hybridMultilevel"/>
    <w:tmpl w:val="2E7482F4"/>
    <w:lvl w:ilvl="0" w:tplc="3092D3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933"/>
    <w:rsid w:val="000D0AB4"/>
    <w:rsid w:val="0027016A"/>
    <w:rsid w:val="00277F13"/>
    <w:rsid w:val="00304975"/>
    <w:rsid w:val="00440956"/>
    <w:rsid w:val="004E2D5E"/>
    <w:rsid w:val="005A1291"/>
    <w:rsid w:val="0064017F"/>
    <w:rsid w:val="00646627"/>
    <w:rsid w:val="0069765D"/>
    <w:rsid w:val="006A23B2"/>
    <w:rsid w:val="006E1E4B"/>
    <w:rsid w:val="007F2F2D"/>
    <w:rsid w:val="00960B69"/>
    <w:rsid w:val="009761BB"/>
    <w:rsid w:val="00B96F1E"/>
    <w:rsid w:val="00BD0074"/>
    <w:rsid w:val="00C0052A"/>
    <w:rsid w:val="00C55EBB"/>
    <w:rsid w:val="00D855E3"/>
    <w:rsid w:val="00DA13CE"/>
    <w:rsid w:val="00E41933"/>
    <w:rsid w:val="00F81542"/>
    <w:rsid w:val="00FC5FE1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1933"/>
    <w:rPr>
      <w:i/>
      <w:iCs/>
    </w:rPr>
  </w:style>
  <w:style w:type="character" w:customStyle="1" w:styleId="apple-converted-space">
    <w:name w:val="apple-converted-space"/>
    <w:basedOn w:val="a0"/>
    <w:rsid w:val="00C55EBB"/>
  </w:style>
  <w:style w:type="character" w:customStyle="1" w:styleId="ft">
    <w:name w:val="ft"/>
    <w:basedOn w:val="a0"/>
    <w:rsid w:val="00C55EBB"/>
  </w:style>
  <w:style w:type="paragraph" w:styleId="a4">
    <w:name w:val="List Paragraph"/>
    <w:basedOn w:val="a"/>
    <w:uiPriority w:val="34"/>
    <w:qFormat/>
    <w:rsid w:val="003049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338B-4DFF-448B-8970-E72758DF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Оленька</cp:lastModifiedBy>
  <cp:revision>8</cp:revision>
  <dcterms:created xsi:type="dcterms:W3CDTF">2014-01-12T13:00:00Z</dcterms:created>
  <dcterms:modified xsi:type="dcterms:W3CDTF">2014-01-16T12:27:00Z</dcterms:modified>
</cp:coreProperties>
</file>