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30" w:rsidRPr="00EC45B2" w:rsidRDefault="00D57E30" w:rsidP="00EC45B2">
      <w:pPr>
        <w:spacing w:line="240" w:lineRule="auto"/>
        <w:ind w:firstLine="709"/>
        <w:jc w:val="both"/>
        <w:rPr>
          <w:rFonts w:ascii="Times New Roman" w:hAnsi="Times New Roman"/>
          <w:sz w:val="20"/>
          <w:szCs w:val="20"/>
        </w:rPr>
      </w:pPr>
      <w:r w:rsidRPr="00EC45B2">
        <w:rPr>
          <w:rFonts w:ascii="Times New Roman" w:hAnsi="Times New Roman"/>
          <w:sz w:val="20"/>
          <w:szCs w:val="20"/>
          <w:lang w:val="uk-UA"/>
        </w:rPr>
        <w:t>УДК</w:t>
      </w:r>
      <w:r w:rsidRPr="00EC45B2">
        <w:rPr>
          <w:rFonts w:ascii="Times New Roman" w:hAnsi="Times New Roman"/>
          <w:sz w:val="20"/>
          <w:szCs w:val="20"/>
        </w:rPr>
        <w:t xml:space="preserve"> 616.517: 612.017.1</w:t>
      </w:r>
    </w:p>
    <w:p w:rsidR="00D57E30" w:rsidRPr="00EC45B2" w:rsidRDefault="00D57E30" w:rsidP="00EC45B2">
      <w:pPr>
        <w:spacing w:after="0" w:line="240" w:lineRule="auto"/>
        <w:ind w:firstLine="709"/>
        <w:jc w:val="center"/>
        <w:rPr>
          <w:rFonts w:ascii="Times New Roman" w:hAnsi="Times New Roman"/>
          <w:b/>
          <w:caps/>
          <w:sz w:val="20"/>
          <w:szCs w:val="20"/>
          <w:lang w:val="uk-UA"/>
        </w:rPr>
      </w:pPr>
      <w:r w:rsidRPr="00EC45B2">
        <w:rPr>
          <w:rFonts w:ascii="Times New Roman" w:hAnsi="Times New Roman"/>
          <w:b/>
          <w:caps/>
          <w:sz w:val="20"/>
          <w:szCs w:val="20"/>
          <w:lang w:val="uk-UA"/>
        </w:rPr>
        <w:t>Вивчення імунної ланки в патогенезі псоріазу</w:t>
      </w:r>
    </w:p>
    <w:p w:rsidR="00D57E30" w:rsidRPr="00EC45B2" w:rsidRDefault="00D57E30" w:rsidP="00EC45B2">
      <w:pPr>
        <w:spacing w:after="0" w:line="240" w:lineRule="auto"/>
        <w:ind w:firstLine="709"/>
        <w:jc w:val="center"/>
        <w:rPr>
          <w:rFonts w:ascii="Times New Roman" w:hAnsi="Times New Roman"/>
          <w:i/>
          <w:sz w:val="20"/>
          <w:szCs w:val="20"/>
          <w:lang w:val="uk-UA"/>
        </w:rPr>
      </w:pPr>
      <w:r w:rsidRPr="00EC45B2">
        <w:rPr>
          <w:rFonts w:ascii="Times New Roman" w:hAnsi="Times New Roman"/>
          <w:i/>
          <w:sz w:val="20"/>
          <w:szCs w:val="20"/>
        </w:rPr>
        <w:t>Добржанська Є.І.</w:t>
      </w:r>
    </w:p>
    <w:p w:rsidR="00D57E30" w:rsidRPr="00EC45B2" w:rsidRDefault="00D57E30" w:rsidP="006F420C">
      <w:pPr>
        <w:spacing w:after="0" w:line="240" w:lineRule="auto"/>
        <w:ind w:firstLine="709"/>
        <w:jc w:val="center"/>
        <w:rPr>
          <w:rFonts w:ascii="Times New Roman" w:hAnsi="Times New Roman"/>
          <w:i/>
          <w:sz w:val="20"/>
          <w:szCs w:val="20"/>
          <w:lang w:val="uk-UA"/>
        </w:rPr>
      </w:pPr>
      <w:r w:rsidRPr="00EC45B2">
        <w:rPr>
          <w:rFonts w:ascii="Times New Roman" w:hAnsi="Times New Roman"/>
          <w:i/>
          <w:sz w:val="20"/>
          <w:szCs w:val="20"/>
          <w:lang w:val="uk-UA"/>
        </w:rPr>
        <w:t>Харківський національний медичний університет</w:t>
      </w:r>
    </w:p>
    <w:p w:rsidR="00D57E30" w:rsidRPr="00EC45B2" w:rsidRDefault="00D57E30" w:rsidP="006F420C">
      <w:pPr>
        <w:spacing w:after="0" w:line="240" w:lineRule="auto"/>
        <w:ind w:firstLine="709"/>
        <w:jc w:val="both"/>
        <w:rPr>
          <w:rFonts w:ascii="Times New Roman" w:hAnsi="Times New Roman"/>
          <w:b/>
          <w:i/>
          <w:w w:val="110"/>
          <w:sz w:val="20"/>
          <w:szCs w:val="20"/>
          <w:lang w:val="uk-UA"/>
        </w:rPr>
      </w:pPr>
    </w:p>
    <w:p w:rsidR="00D57E30" w:rsidRPr="00EC45B2" w:rsidRDefault="00D57E30" w:rsidP="006F420C">
      <w:pPr>
        <w:spacing w:after="0" w:line="240" w:lineRule="auto"/>
        <w:ind w:firstLine="284"/>
        <w:jc w:val="both"/>
        <w:rPr>
          <w:rFonts w:ascii="Times New Roman" w:hAnsi="Times New Roman"/>
          <w:i/>
          <w:sz w:val="20"/>
          <w:szCs w:val="20"/>
          <w:lang w:val="uk-UA"/>
        </w:rPr>
      </w:pPr>
      <w:r w:rsidRPr="00EC45B2">
        <w:rPr>
          <w:rFonts w:ascii="Times New Roman" w:hAnsi="Times New Roman"/>
          <w:b/>
          <w:i/>
          <w:w w:val="110"/>
          <w:sz w:val="20"/>
          <w:szCs w:val="20"/>
          <w:lang w:val="uk-UA"/>
        </w:rPr>
        <w:t>Ключові слова</w:t>
      </w:r>
      <w:r w:rsidRPr="00EC45B2">
        <w:rPr>
          <w:rFonts w:ascii="Times New Roman" w:hAnsi="Times New Roman"/>
          <w:i/>
          <w:sz w:val="20"/>
          <w:szCs w:val="20"/>
          <w:lang w:val="uk-UA"/>
        </w:rPr>
        <w:t>: псоріаз, імунна система</w:t>
      </w:r>
    </w:p>
    <w:p w:rsidR="00D57E30" w:rsidRPr="00EC45B2" w:rsidRDefault="00D57E30" w:rsidP="006F420C">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Псоріаз є одним з найбільш поширених хронічних дерматозів,  який вражає 1-3% світової популяції і в більшості випадків є резистентним до лікування. Вітчизняні і закордонні дослідники відмічають зростання захворюваності на цей дерматоз, у тому числі його важкими і торпідно протікаючими формами</w:t>
      </w:r>
      <w:r w:rsidRPr="00EC45B2">
        <w:rPr>
          <w:rFonts w:ascii="Times New Roman" w:hAnsi="Times New Roman"/>
          <w:w w:val="110"/>
          <w:sz w:val="20"/>
          <w:szCs w:val="20"/>
          <w:lang w:val="uk-UA"/>
        </w:rPr>
        <w:t xml:space="preserve"> [2, 3].</w:t>
      </w:r>
    </w:p>
    <w:p w:rsidR="00D57E30" w:rsidRPr="00EC45B2" w:rsidRDefault="00D57E30" w:rsidP="006F420C">
      <w:pPr>
        <w:spacing w:after="0" w:line="240" w:lineRule="auto"/>
        <w:ind w:firstLine="284"/>
        <w:jc w:val="both"/>
        <w:rPr>
          <w:rFonts w:ascii="Times New Roman" w:hAnsi="Times New Roman"/>
          <w:w w:val="110"/>
          <w:sz w:val="20"/>
          <w:szCs w:val="20"/>
          <w:lang w:val="uk-UA"/>
        </w:rPr>
      </w:pPr>
      <w:r w:rsidRPr="00EC45B2">
        <w:rPr>
          <w:rFonts w:ascii="Times New Roman" w:hAnsi="Times New Roman"/>
          <w:sz w:val="20"/>
          <w:szCs w:val="20"/>
          <w:lang w:val="uk-UA"/>
        </w:rPr>
        <w:t>Незважаючи на численні дослідження патогенезу псоріазу і механізми його виникнення не існує єдиного універсального підходу до лікування. В зв’язку з чим терапія псоріазу є досить складним завданням сучасної дерматології. Існуючі методи терапії відрізняються значною</w:t>
      </w:r>
      <w:r w:rsidRPr="00EC45B2">
        <w:rPr>
          <w:rFonts w:ascii="Times New Roman" w:hAnsi="Times New Roman"/>
          <w:color w:val="000000"/>
          <w:spacing w:val="-1"/>
          <w:w w:val="110"/>
          <w:sz w:val="20"/>
          <w:szCs w:val="20"/>
          <w:lang w:val="uk-UA"/>
        </w:rPr>
        <w:t xml:space="preserve"> різноманітністю і характеризуються різним за силою та спрямованістю впливом на локальні прояви дерматозу і організм в цілому[4]</w:t>
      </w:r>
      <w:r w:rsidRPr="00EC45B2">
        <w:rPr>
          <w:rFonts w:ascii="Times New Roman" w:hAnsi="Times New Roman"/>
          <w:color w:val="000000"/>
          <w:spacing w:val="-7"/>
          <w:w w:val="110"/>
          <w:sz w:val="20"/>
          <w:szCs w:val="20"/>
          <w:lang w:val="uk-UA"/>
        </w:rPr>
        <w:t>.</w:t>
      </w:r>
      <w:r w:rsidRPr="00EC45B2">
        <w:rPr>
          <w:rFonts w:ascii="Times New Roman" w:hAnsi="Times New Roman"/>
          <w:w w:val="110"/>
          <w:sz w:val="20"/>
          <w:szCs w:val="20"/>
          <w:lang w:val="uk-UA"/>
        </w:rPr>
        <w:t xml:space="preserve"> Класичні методи системної терапії псоріазу не призводять до повного одужання і направлені лише на зменшення ступеню важкості захворювання та збільшення періоду ремісії. Все це диктує необхідність пошуку нових патогенетичних підходів до лікування псоріатичної хвороби.</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В останні роки в терапії хворих на псоріаз використовують препарати, які модулюють імунні реакції в шкірі. Обґрунтуванням для їх використання є дані про особливості взаємодії клітин шкіри та імунної системи. Відомо, що при виникненні запального процесу шкіра стає частиною імунної системи без центральної аналітичної ланки. Зокрема при псоріазі активовані антигенпрезентуючі клітини мігрують до реґіонарних лімфатичних вузлів, де відбувається запуск каскаду реакцій з наступною активацією і проліферацією клітин імунної системи – лімфоцитів. До початку активації антигенпрезентуючих клітин і лімфоцитів на впровадження патогену реагують кератиноцити, тканинні базофіли, макрофаги, ендотеліоцити судин, в результаті виробляються різноманітні медіатори, в тому числі протизапальний фактор некрозу пухлин – альфа (ФНП-α) [5, 6].</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w w:val="110"/>
          <w:sz w:val="20"/>
          <w:szCs w:val="20"/>
          <w:lang w:val="uk-UA"/>
        </w:rPr>
        <w:t xml:space="preserve">Порушення імунної відповіді – ще одна ланка патогенезу псоріазу. Проведено багато досліджень стану імунної системи при псоріазі, в результаті яких було виявлено зниження в циркулюючій крові хворих абсолютної та відносної кількості Т-лимфоцитів внаслідок переважного зниження субпопуляції Т-супресорів порівняно з субпопуляцією Т-хелперів, що виявилось у зміні імунорегуляторного індексу Тх/Тс. Ці імунні порушення розглядаються деякими авторами як важлива ланка патогенезу псоріатичної хвороби. Кількість В-лимфоцитів у крові хворих на псоріаз дещо зменшується, вміст </w:t>
      </w:r>
      <w:r w:rsidRPr="00EC45B2">
        <w:rPr>
          <w:rFonts w:ascii="Times New Roman" w:hAnsi="Times New Roman"/>
          <w:sz w:val="20"/>
          <w:szCs w:val="20"/>
          <w:lang w:val="en-US"/>
        </w:rPr>
        <w:t>IgA</w:t>
      </w:r>
      <w:r w:rsidRPr="00EC45B2">
        <w:rPr>
          <w:rFonts w:ascii="Times New Roman" w:hAnsi="Times New Roman"/>
          <w:sz w:val="20"/>
          <w:szCs w:val="20"/>
          <w:lang w:val="uk-UA"/>
        </w:rPr>
        <w:t xml:space="preserve">, </w:t>
      </w:r>
      <w:r w:rsidRPr="00EC45B2">
        <w:rPr>
          <w:rFonts w:ascii="Times New Roman" w:hAnsi="Times New Roman"/>
          <w:sz w:val="20"/>
          <w:szCs w:val="20"/>
          <w:lang w:val="en-US"/>
        </w:rPr>
        <w:t>IgM</w:t>
      </w:r>
      <w:r w:rsidRPr="00EC45B2">
        <w:rPr>
          <w:rFonts w:ascii="Times New Roman" w:hAnsi="Times New Roman"/>
          <w:sz w:val="20"/>
          <w:szCs w:val="20"/>
          <w:lang w:val="uk-UA"/>
        </w:rPr>
        <w:t xml:space="preserve">, </w:t>
      </w:r>
      <w:r w:rsidRPr="00EC45B2">
        <w:rPr>
          <w:rFonts w:ascii="Times New Roman" w:hAnsi="Times New Roman"/>
          <w:sz w:val="20"/>
          <w:szCs w:val="20"/>
          <w:lang w:val="en-US"/>
        </w:rPr>
        <w:t>IgG</w:t>
      </w:r>
      <w:r w:rsidRPr="00EC45B2">
        <w:rPr>
          <w:rFonts w:ascii="Times New Roman" w:hAnsi="Times New Roman"/>
          <w:sz w:val="20"/>
          <w:szCs w:val="20"/>
          <w:lang w:val="uk-UA"/>
        </w:rPr>
        <w:t xml:space="preserve"> також зазнає змін [7, 8].</w:t>
      </w:r>
    </w:p>
    <w:p w:rsidR="00D57E30" w:rsidRPr="00EC45B2" w:rsidRDefault="00D57E30" w:rsidP="00EC45B2">
      <w:pPr>
        <w:spacing w:after="0" w:line="240" w:lineRule="auto"/>
        <w:ind w:firstLine="284"/>
        <w:jc w:val="both"/>
        <w:rPr>
          <w:rFonts w:ascii="Times New Roman" w:hAnsi="Times New Roman"/>
          <w:w w:val="110"/>
          <w:sz w:val="20"/>
          <w:szCs w:val="20"/>
          <w:lang w:val="uk-UA"/>
        </w:rPr>
      </w:pPr>
      <w:r w:rsidRPr="00EC45B2">
        <w:rPr>
          <w:rFonts w:ascii="Times New Roman" w:hAnsi="Times New Roman"/>
          <w:w w:val="110"/>
          <w:sz w:val="20"/>
          <w:szCs w:val="20"/>
          <w:lang w:val="uk-UA"/>
        </w:rPr>
        <w:t xml:space="preserve">Матеріал і методи обстеження. Спостерігали зміни імунологічних показників 46 пацієнтів із псоріазом, вік хворих від 21 до 58 років, які знаходилися на стаціонарному лікуванні в дерматологічному відділенні 5 МКШВД м. Харкова. Пацієнти були розподілені на 3 групи: </w:t>
      </w:r>
    </w:p>
    <w:p w:rsidR="00D57E30" w:rsidRPr="00EC45B2" w:rsidRDefault="00D57E30" w:rsidP="00EC45B2">
      <w:pPr>
        <w:spacing w:after="0" w:line="240" w:lineRule="auto"/>
        <w:ind w:firstLine="284"/>
        <w:jc w:val="both"/>
        <w:rPr>
          <w:rFonts w:ascii="Times New Roman" w:hAnsi="Times New Roman"/>
          <w:w w:val="110"/>
          <w:sz w:val="20"/>
          <w:szCs w:val="20"/>
          <w:lang w:val="uk-UA"/>
        </w:rPr>
      </w:pPr>
      <w:r w:rsidRPr="00EC45B2">
        <w:rPr>
          <w:rFonts w:ascii="Times New Roman" w:hAnsi="Times New Roman"/>
          <w:w w:val="110"/>
          <w:sz w:val="20"/>
          <w:szCs w:val="20"/>
          <w:lang w:val="uk-UA"/>
        </w:rPr>
        <w:t xml:space="preserve">до 1-ої групи належали 20 пацієнтів, які отримали базову терапію з приводу псоріазу </w:t>
      </w:r>
    </w:p>
    <w:p w:rsidR="00D57E30" w:rsidRPr="00EC45B2" w:rsidRDefault="00D57E30" w:rsidP="00EC45B2">
      <w:pPr>
        <w:spacing w:after="0" w:line="240" w:lineRule="auto"/>
        <w:ind w:firstLine="284"/>
        <w:jc w:val="both"/>
        <w:rPr>
          <w:rFonts w:ascii="Times New Roman" w:hAnsi="Times New Roman"/>
          <w:color w:val="000000"/>
          <w:spacing w:val="-3"/>
          <w:w w:val="110"/>
          <w:sz w:val="20"/>
          <w:szCs w:val="20"/>
          <w:lang w:val="uk-UA"/>
        </w:rPr>
      </w:pPr>
      <w:r w:rsidRPr="00EC45B2">
        <w:rPr>
          <w:rFonts w:ascii="Times New Roman" w:hAnsi="Times New Roman"/>
          <w:w w:val="110"/>
          <w:sz w:val="20"/>
          <w:szCs w:val="20"/>
          <w:lang w:val="uk-UA"/>
        </w:rPr>
        <w:t xml:space="preserve">2а група – 14 осіб отримали терапію даларгіном </w:t>
      </w:r>
      <w:r w:rsidRPr="00EC45B2">
        <w:rPr>
          <w:rFonts w:ascii="Times New Roman" w:hAnsi="Times New Roman"/>
          <w:color w:val="000000"/>
          <w:spacing w:val="-5"/>
          <w:w w:val="110"/>
          <w:sz w:val="20"/>
          <w:szCs w:val="20"/>
          <w:lang w:val="uk-UA"/>
        </w:rPr>
        <w:t xml:space="preserve"> та амізоном</w:t>
      </w:r>
      <w:r w:rsidRPr="00EC45B2">
        <w:rPr>
          <w:rFonts w:ascii="Times New Roman" w:hAnsi="Times New Roman"/>
          <w:color w:val="000000"/>
          <w:spacing w:val="-3"/>
          <w:w w:val="110"/>
          <w:sz w:val="20"/>
          <w:szCs w:val="20"/>
          <w:lang w:val="uk-UA"/>
        </w:rPr>
        <w:t>,</w:t>
      </w:r>
    </w:p>
    <w:p w:rsidR="00D57E30" w:rsidRPr="00EC45B2" w:rsidRDefault="00D57E30" w:rsidP="00EC45B2">
      <w:pPr>
        <w:spacing w:after="0" w:line="240" w:lineRule="auto"/>
        <w:ind w:firstLine="284"/>
        <w:jc w:val="both"/>
        <w:rPr>
          <w:rFonts w:ascii="Times New Roman" w:hAnsi="Times New Roman"/>
          <w:color w:val="000000"/>
          <w:spacing w:val="-4"/>
          <w:w w:val="110"/>
          <w:sz w:val="20"/>
          <w:szCs w:val="20"/>
          <w:lang w:val="uk-UA"/>
        </w:rPr>
      </w:pPr>
      <w:r w:rsidRPr="00EC45B2">
        <w:rPr>
          <w:rFonts w:ascii="Times New Roman" w:hAnsi="Times New Roman"/>
          <w:color w:val="000000"/>
          <w:spacing w:val="-3"/>
          <w:w w:val="110"/>
          <w:sz w:val="20"/>
          <w:szCs w:val="20"/>
          <w:lang w:val="uk-UA"/>
        </w:rPr>
        <w:t xml:space="preserve">2б група – 12 хворих на псоріаз, отримали комплексну терапію, яка є сполученням базової терапії та даларгіну і амізону. </w:t>
      </w:r>
      <w:r w:rsidRPr="00EC45B2">
        <w:rPr>
          <w:rFonts w:ascii="Times New Roman" w:hAnsi="Times New Roman"/>
          <w:color w:val="000000"/>
          <w:spacing w:val="-4"/>
          <w:w w:val="110"/>
          <w:sz w:val="20"/>
          <w:szCs w:val="20"/>
          <w:lang w:val="uk-UA"/>
        </w:rPr>
        <w:t xml:space="preserve"> </w:t>
      </w:r>
    </w:p>
    <w:p w:rsidR="00D57E30" w:rsidRPr="00EC45B2" w:rsidRDefault="00D57E30" w:rsidP="00EC45B2">
      <w:pPr>
        <w:spacing w:after="0" w:line="240" w:lineRule="auto"/>
        <w:ind w:firstLine="284"/>
        <w:jc w:val="both"/>
        <w:rPr>
          <w:rFonts w:ascii="Times New Roman" w:hAnsi="Times New Roman"/>
          <w:color w:val="000000"/>
          <w:spacing w:val="-4"/>
          <w:w w:val="110"/>
          <w:sz w:val="20"/>
          <w:szCs w:val="20"/>
          <w:lang w:val="uk-UA"/>
        </w:rPr>
      </w:pPr>
      <w:r w:rsidRPr="00EC45B2">
        <w:rPr>
          <w:rFonts w:ascii="Times New Roman" w:hAnsi="Times New Roman"/>
          <w:color w:val="000000"/>
          <w:spacing w:val="-4"/>
          <w:w w:val="110"/>
          <w:sz w:val="20"/>
          <w:szCs w:val="20"/>
          <w:lang w:val="uk-UA"/>
        </w:rPr>
        <w:t>При імунологічну обстеженні визначали популяції і субпопуляції основних та активованих лімфоцитів, вміст імуноглобулінів A, M, G, циркулюючих імунних комплексів різної молекулярної маси, рівня про- та протизапальних цитокінів.</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У хворих на псоріаз відмічаються зміни імунного статусу, які проявляються порушенням взаємодії імунокомпетентних клітин -  пригніченням Т- і В-ланок імунітету, збільшенням кількості циркулюючих імунних комплексів (ЦІК) переважно середнього і малого розмірів та зменшення ЦІК великого розміра, активацією гуморальної ланки імунітету. Дисбаланс між регуляторними та ефекторними клітинами призводить до неадекватної відповіді імунітету при псоріазі і це є центральною ланкою патогенезу даної хвороби. Т-регуляторні клітини є субпопуляцією Т-лимфоцитів і виконують важливу роль в підтримці  імунної толерантності в організмі. Вони контролюють силу і тривалість імунної відповіді шляхом пригнічення активності Т-хелперов і Т-цитотоксичних клітин</w:t>
      </w:r>
      <w:r w:rsidRPr="00EC45B2">
        <w:rPr>
          <w:rFonts w:ascii="Times New Roman" w:hAnsi="Times New Roman"/>
          <w:w w:val="110"/>
          <w:sz w:val="20"/>
          <w:szCs w:val="20"/>
          <w:lang w:val="uk-UA"/>
        </w:rPr>
        <w:t xml:space="preserve">. Запальний процес в псориатичній бляшці підтримується за рахунок Т-клітинних імунних механізмів. Активація Т-лимфоцитів в ураженій шкірі супроводжується продукцією протизапальних цитокінів і факторів росту, які призводять до проліферації кератиноцитів і порушенню їхньої діференціровки. Як видно із табл.1, у хворих на псоріаз в сироватці крові виявлено вірогідно вищі показники ІЛ-1β та ФНП-α відповідно на 28,07% </w:t>
      </w:r>
      <w:r w:rsidRPr="00EC45B2">
        <w:rPr>
          <w:rFonts w:ascii="Times New Roman" w:hAnsi="Times New Roman"/>
          <w:sz w:val="20"/>
          <w:szCs w:val="20"/>
          <w:lang w:val="uk-UA"/>
        </w:rPr>
        <w:t>(р&lt;0,05) та 22,24% (р&lt;0,05) порівняно з групою здорових осіб, що підтверджує думку про роль протизапальних цитокінів у підтримці запального процесу. Високий рівень ІЛ-6 та ІЛ-4 сприяє формуванню імунного запалення і розвитку дисфункції ендотелію судин.</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 xml:space="preserve">При дослідженні імунного статусу у хворих відзначалося формування надмірної кількості в крові ЦІК, які є природним компонентом складних імунопатологічних процесів (табл. 2). Надлишкове утворення ЦІК відбувалось за рахунок ЦІК середнього і малого розмірів, а вміст фізіологічних ЦІК великого розміру зменшувався. У досліджуваних хворих відзначалося вірогідне збільшення концентрації </w:t>
      </w:r>
      <w:r w:rsidRPr="00EC45B2">
        <w:rPr>
          <w:rFonts w:ascii="Times New Roman" w:hAnsi="Times New Roman"/>
          <w:sz w:val="20"/>
          <w:szCs w:val="20"/>
          <w:lang w:val="en-US"/>
        </w:rPr>
        <w:t>IgG</w:t>
      </w:r>
      <w:r w:rsidRPr="00EC45B2">
        <w:rPr>
          <w:rFonts w:ascii="Times New Roman" w:hAnsi="Times New Roman"/>
          <w:sz w:val="20"/>
          <w:szCs w:val="20"/>
          <w:lang w:val="uk-UA"/>
        </w:rPr>
        <w:t xml:space="preserve"> у сироватці крові, яке було особливо вираженим під час прогресуючої стадії псоріазу (табл. 3). Від цих антитіл у першу чергу залежить утворення ЦІК при псоріазі. Зниження рівня </w:t>
      </w:r>
      <w:r w:rsidRPr="00EC45B2">
        <w:rPr>
          <w:rFonts w:ascii="Times New Roman" w:hAnsi="Times New Roman"/>
          <w:sz w:val="20"/>
          <w:szCs w:val="20"/>
          <w:lang w:val="en-US"/>
        </w:rPr>
        <w:t>IgG</w:t>
      </w:r>
      <w:r w:rsidRPr="00EC45B2">
        <w:rPr>
          <w:rFonts w:ascii="Times New Roman" w:hAnsi="Times New Roman"/>
          <w:sz w:val="20"/>
          <w:szCs w:val="20"/>
          <w:lang w:val="uk-UA"/>
        </w:rPr>
        <w:t xml:space="preserve"> у сироватці крові після лікування у хворих, які отримували комплексну терапію даларгіном і амізоном, на нашу думку, пов’язане зі зменшенням їх секреції внаслідок зниження гостроти патологічного процесу.</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 xml:space="preserve">У табл.4 можна побачити, що у хворих на псоріаз спостерігається відносно нижча кількість </w:t>
      </w:r>
      <w:r w:rsidRPr="00EC45B2">
        <w:rPr>
          <w:rFonts w:ascii="Times New Roman" w:hAnsi="Times New Roman"/>
          <w:sz w:val="20"/>
          <w:szCs w:val="20"/>
          <w:lang w:val="en-US"/>
        </w:rPr>
        <w:t>CD</w:t>
      </w:r>
      <w:r w:rsidRPr="00EC45B2">
        <w:rPr>
          <w:rFonts w:ascii="Times New Roman" w:hAnsi="Times New Roman"/>
          <w:sz w:val="20"/>
          <w:szCs w:val="20"/>
          <w:lang w:val="uk-UA"/>
        </w:rPr>
        <w:t xml:space="preserve">4+, </w:t>
      </w:r>
      <w:r w:rsidRPr="00EC45B2">
        <w:rPr>
          <w:rFonts w:ascii="Times New Roman" w:hAnsi="Times New Roman"/>
          <w:sz w:val="20"/>
          <w:szCs w:val="20"/>
          <w:lang w:val="en-US"/>
        </w:rPr>
        <w:t>CD</w:t>
      </w:r>
      <w:r w:rsidRPr="00EC45B2">
        <w:rPr>
          <w:rFonts w:ascii="Times New Roman" w:hAnsi="Times New Roman"/>
          <w:sz w:val="20"/>
          <w:szCs w:val="20"/>
          <w:lang w:val="uk-UA"/>
        </w:rPr>
        <w:t xml:space="preserve">3+-лімфоцитів порівняно з показниками групи здорових осіб на 7,4% та 10,9% відповідно (р&lt;0,05). Також спостерігається відмінність і в кількісному складі активованих субпопуляцій лімфоцитів – відносний вміст </w:t>
      </w:r>
      <w:r w:rsidRPr="00EC45B2">
        <w:rPr>
          <w:rFonts w:ascii="Times New Roman" w:hAnsi="Times New Roman"/>
          <w:sz w:val="20"/>
          <w:szCs w:val="20"/>
          <w:lang w:val="en-US"/>
        </w:rPr>
        <w:t>CD</w:t>
      </w:r>
      <w:r w:rsidRPr="00EC45B2">
        <w:rPr>
          <w:rFonts w:ascii="Times New Roman" w:hAnsi="Times New Roman"/>
          <w:sz w:val="20"/>
          <w:szCs w:val="20"/>
          <w:lang w:val="uk-UA"/>
        </w:rPr>
        <w:t xml:space="preserve">25+ перевищував на 7,34% (р&lt;0,05) показник групи порівняння, а </w:t>
      </w:r>
      <w:r w:rsidRPr="00EC45B2">
        <w:rPr>
          <w:rFonts w:ascii="Times New Roman" w:hAnsi="Times New Roman"/>
          <w:sz w:val="20"/>
          <w:szCs w:val="20"/>
          <w:lang w:val="en-US"/>
        </w:rPr>
        <w:t>HLA</w:t>
      </w:r>
      <w:r w:rsidRPr="00EC45B2">
        <w:rPr>
          <w:rFonts w:ascii="Times New Roman" w:hAnsi="Times New Roman"/>
          <w:sz w:val="20"/>
          <w:szCs w:val="20"/>
          <w:lang w:val="uk-UA"/>
        </w:rPr>
        <w:t>-</w:t>
      </w:r>
      <w:r w:rsidRPr="00EC45B2">
        <w:rPr>
          <w:rFonts w:ascii="Times New Roman" w:hAnsi="Times New Roman"/>
          <w:sz w:val="20"/>
          <w:szCs w:val="20"/>
          <w:lang w:val="en-US"/>
        </w:rPr>
        <w:t>DR</w:t>
      </w:r>
      <w:r w:rsidRPr="00EC45B2">
        <w:rPr>
          <w:rFonts w:ascii="Times New Roman" w:hAnsi="Times New Roman"/>
          <w:sz w:val="20"/>
          <w:szCs w:val="20"/>
          <w:lang w:val="uk-UA"/>
        </w:rPr>
        <w:t xml:space="preserve">+клітин на 6,92% (р&lt;0,05). Збільшення в крові Т-супресорів після проведення базового лікування є незначним і може бути пов’язане з відсутністю у цих хворих механізмів, які сприяють пригніченню автоімунних реакцій. </w:t>
      </w:r>
    </w:p>
    <w:p w:rsidR="00D57E30" w:rsidRPr="00EC45B2" w:rsidRDefault="00D57E30" w:rsidP="00EC45B2">
      <w:pPr>
        <w:spacing w:after="0" w:line="240" w:lineRule="auto"/>
        <w:ind w:firstLine="284"/>
        <w:jc w:val="both"/>
        <w:rPr>
          <w:rFonts w:ascii="Times New Roman" w:hAnsi="Times New Roman"/>
          <w:sz w:val="20"/>
          <w:szCs w:val="20"/>
          <w:lang w:val="uk-UA"/>
        </w:rPr>
      </w:pPr>
      <w:r w:rsidRPr="00EC45B2">
        <w:rPr>
          <w:rFonts w:ascii="Times New Roman" w:hAnsi="Times New Roman"/>
          <w:sz w:val="20"/>
          <w:szCs w:val="20"/>
          <w:lang w:val="uk-UA"/>
        </w:rPr>
        <w:t xml:space="preserve">При аналізі імунологічних показників хворих па псоріаз були встановлені порушення з перевагою проявів імунодефіциту Т-клітинної ланки і запальним у динаміці лікування у пацієнтів усіх груп. </w:t>
      </w:r>
    </w:p>
    <w:p w:rsidR="00D57E30" w:rsidRPr="00EC45B2" w:rsidRDefault="00D57E30" w:rsidP="00254A8D">
      <w:pPr>
        <w:spacing w:after="0" w:line="240" w:lineRule="auto"/>
        <w:jc w:val="right"/>
        <w:rPr>
          <w:rFonts w:ascii="Times New Roman" w:hAnsi="Times New Roman"/>
          <w:sz w:val="20"/>
          <w:szCs w:val="20"/>
          <w:lang w:val="uk-UA"/>
        </w:rPr>
      </w:pPr>
      <w:r w:rsidRPr="00EC45B2">
        <w:rPr>
          <w:rFonts w:ascii="Times New Roman" w:hAnsi="Times New Roman"/>
          <w:sz w:val="20"/>
          <w:szCs w:val="20"/>
          <w:lang w:val="uk-UA"/>
        </w:rPr>
        <w:t>Таблиця 1</w:t>
      </w:r>
    </w:p>
    <w:p w:rsidR="00D57E30" w:rsidRPr="00EC45B2" w:rsidRDefault="00D57E30" w:rsidP="00254A8D">
      <w:pPr>
        <w:spacing w:after="0" w:line="240" w:lineRule="auto"/>
        <w:jc w:val="center"/>
        <w:rPr>
          <w:rFonts w:ascii="Times New Roman" w:hAnsi="Times New Roman"/>
          <w:sz w:val="20"/>
          <w:szCs w:val="20"/>
          <w:lang w:val="uk-UA"/>
        </w:rPr>
      </w:pPr>
      <w:r w:rsidRPr="00EC45B2">
        <w:rPr>
          <w:rFonts w:ascii="Times New Roman" w:hAnsi="Times New Roman"/>
          <w:sz w:val="20"/>
          <w:szCs w:val="20"/>
          <w:lang w:val="uk-UA"/>
        </w:rPr>
        <w:t>Показники цитокінів хворих на псоріаз у динаміці лікування</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134"/>
        <w:gridCol w:w="1098"/>
        <w:gridCol w:w="1080"/>
        <w:gridCol w:w="1080"/>
      </w:tblGrid>
      <w:tr w:rsidR="00D57E30" w:rsidRPr="003B69C4" w:rsidTr="00EC45B2">
        <w:trPr>
          <w:cantSplit/>
          <w:trHeight w:val="240"/>
        </w:trPr>
        <w:tc>
          <w:tcPr>
            <w:tcW w:w="1134"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Імунологічний показник</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1134"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До лікування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54</w:t>
            </w:r>
          </w:p>
        </w:tc>
        <w:tc>
          <w:tcPr>
            <w:tcW w:w="3312" w:type="dxa"/>
            <w:gridSpan w:val="3"/>
          </w:tcPr>
          <w:p w:rsidR="00D57E30" w:rsidRPr="006F743A" w:rsidRDefault="00D57E30" w:rsidP="00173DE5">
            <w:pPr>
              <w:pStyle w:val="Heading3"/>
              <w:spacing w:line="240" w:lineRule="auto"/>
              <w:rPr>
                <w:sz w:val="16"/>
                <w:szCs w:val="16"/>
              </w:rPr>
            </w:pPr>
            <w:r w:rsidRPr="006F743A">
              <w:rPr>
                <w:sz w:val="16"/>
                <w:szCs w:val="16"/>
              </w:rPr>
              <w:t>Після лікування</w:t>
            </w:r>
          </w:p>
        </w:tc>
        <w:tc>
          <w:tcPr>
            <w:tcW w:w="1080"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rPr>
            </w:pPr>
            <w:r w:rsidRPr="003B69C4">
              <w:rPr>
                <w:rFonts w:ascii="Times New Roman" w:hAnsi="Times New Roman"/>
                <w:sz w:val="16"/>
                <w:szCs w:val="16"/>
                <w:lang w:val="uk-UA"/>
              </w:rPr>
              <w:t>Група порівняння</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=10</w:t>
            </w:r>
          </w:p>
        </w:tc>
      </w:tr>
      <w:tr w:rsidR="00D57E30" w:rsidRPr="003B69C4" w:rsidTr="00EC45B2">
        <w:trPr>
          <w:cantSplit/>
          <w:trHeight w:val="240"/>
        </w:trPr>
        <w:tc>
          <w:tcPr>
            <w:tcW w:w="1134"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1134"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1134"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1-ша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20</w:t>
            </w:r>
          </w:p>
        </w:tc>
        <w:tc>
          <w:tcPr>
            <w:tcW w:w="1098"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13</w:t>
            </w:r>
          </w:p>
        </w:tc>
        <w:tc>
          <w:tcPr>
            <w:tcW w:w="1080"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2-б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21</w:t>
            </w:r>
          </w:p>
        </w:tc>
        <w:tc>
          <w:tcPr>
            <w:tcW w:w="1080"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r>
      <w:tr w:rsidR="00D57E30" w:rsidRPr="003B69C4" w:rsidTr="00EC45B2">
        <w:tc>
          <w:tcPr>
            <w:tcW w:w="1134"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w w:val="110"/>
                <w:sz w:val="16"/>
                <w:szCs w:val="16"/>
                <w:lang w:val="uk-UA"/>
              </w:rPr>
              <w:t>ФНП-α, пг/мл</w:t>
            </w:r>
          </w:p>
        </w:tc>
        <w:tc>
          <w:tcPr>
            <w:tcW w:w="1134"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122,3±5,3</w:t>
            </w:r>
            <w:r w:rsidRPr="003B69C4">
              <w:rPr>
                <w:rFonts w:ascii="Times New Roman" w:hAnsi="Times New Roman"/>
                <w:sz w:val="16"/>
                <w:szCs w:val="16"/>
                <w:vertAlign w:val="superscript"/>
                <w:lang w:val="uk-UA"/>
              </w:rPr>
              <w:t>1</w:t>
            </w:r>
          </w:p>
        </w:tc>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94,7±4,3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81,8±2,9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73,2±3,6</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42,3±3,9</w:t>
            </w: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w w:val="110"/>
                <w:sz w:val="16"/>
                <w:szCs w:val="16"/>
                <w:lang w:val="uk-UA"/>
              </w:rPr>
            </w:pPr>
            <w:r w:rsidRPr="003B69C4">
              <w:rPr>
                <w:rFonts w:ascii="Times New Roman" w:hAnsi="Times New Roman"/>
                <w:w w:val="110"/>
                <w:sz w:val="16"/>
                <w:szCs w:val="16"/>
                <w:lang w:val="uk-UA"/>
              </w:rPr>
              <w:t xml:space="preserve">ІЛ-1β, </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w w:val="110"/>
                <w:sz w:val="16"/>
                <w:szCs w:val="16"/>
                <w:lang w:val="uk-UA"/>
              </w:rPr>
              <w:t>пг/мл</w:t>
            </w:r>
          </w:p>
        </w:tc>
        <w:tc>
          <w:tcPr>
            <w:tcW w:w="1134"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144,2±7,8 </w:t>
            </w:r>
            <w:r w:rsidRPr="003B69C4">
              <w:rPr>
                <w:rFonts w:ascii="Times New Roman" w:hAnsi="Times New Roman"/>
                <w:sz w:val="16"/>
                <w:szCs w:val="16"/>
                <w:vertAlign w:val="superscript"/>
                <w:lang w:val="uk-UA"/>
              </w:rPr>
              <w:t>1</w:t>
            </w:r>
          </w:p>
        </w:tc>
        <w:tc>
          <w:tcPr>
            <w:tcW w:w="1134"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104,5±9,6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71,0±5,6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62,2±6,8</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254A8D">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38,5±4,6</w:t>
            </w: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ІЛ-6, </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w w:val="110"/>
                <w:sz w:val="16"/>
                <w:szCs w:val="16"/>
                <w:lang w:val="uk-UA"/>
              </w:rPr>
              <w:t>пг/мл</w:t>
            </w:r>
          </w:p>
        </w:tc>
        <w:tc>
          <w:tcPr>
            <w:tcW w:w="1134"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58,4±3,2</w:t>
            </w:r>
            <w:r w:rsidRPr="003B69C4">
              <w:rPr>
                <w:rFonts w:ascii="Times New Roman" w:hAnsi="Times New Roman"/>
                <w:sz w:val="16"/>
                <w:szCs w:val="16"/>
                <w:vertAlign w:val="superscript"/>
                <w:lang w:val="uk-UA"/>
              </w:rPr>
              <w:t>1</w:t>
            </w:r>
          </w:p>
        </w:tc>
        <w:tc>
          <w:tcPr>
            <w:tcW w:w="1134"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44,5±5,3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34,2±3,7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33,2±2,5</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10,4±2,1</w:t>
            </w: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w w:val="110"/>
                <w:sz w:val="16"/>
                <w:szCs w:val="16"/>
                <w:lang w:val="uk-UA"/>
              </w:rPr>
            </w:pPr>
            <w:r w:rsidRPr="003B69C4">
              <w:rPr>
                <w:rFonts w:ascii="Times New Roman" w:hAnsi="Times New Roman"/>
                <w:sz w:val="16"/>
                <w:szCs w:val="16"/>
                <w:lang w:val="uk-UA"/>
              </w:rPr>
              <w:t>ІЛ-4,</w:t>
            </w:r>
            <w:r w:rsidRPr="003B69C4">
              <w:rPr>
                <w:rFonts w:ascii="Times New Roman" w:hAnsi="Times New Roman"/>
                <w:w w:val="110"/>
                <w:sz w:val="16"/>
                <w:szCs w:val="16"/>
                <w:lang w:val="uk-UA"/>
              </w:rPr>
              <w:t xml:space="preserve"> </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w w:val="110"/>
                <w:sz w:val="16"/>
                <w:szCs w:val="16"/>
                <w:lang w:val="uk-UA"/>
              </w:rPr>
              <w:t>пг/мл</w:t>
            </w:r>
          </w:p>
        </w:tc>
        <w:tc>
          <w:tcPr>
            <w:tcW w:w="1134"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12,7±0,96</w:t>
            </w:r>
            <w:r w:rsidRPr="003B69C4">
              <w:rPr>
                <w:rFonts w:ascii="Times New Roman" w:hAnsi="Times New Roman"/>
                <w:sz w:val="16"/>
                <w:szCs w:val="16"/>
                <w:vertAlign w:val="superscript"/>
                <w:lang w:val="uk-UA"/>
              </w:rPr>
              <w:t>1</w:t>
            </w:r>
          </w:p>
        </w:tc>
        <w:tc>
          <w:tcPr>
            <w:tcW w:w="1134"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13,3±2,04</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15,8±3,65</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17,1±2,31</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4B6ADE">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25,6±4,1</w:t>
            </w:r>
          </w:p>
        </w:tc>
      </w:tr>
    </w:tbl>
    <w:p w:rsidR="00D57E30" w:rsidRPr="00EC45B2" w:rsidRDefault="00D57E30" w:rsidP="006F743A">
      <w:pPr>
        <w:widowControl w:val="0"/>
        <w:autoSpaceDE w:val="0"/>
        <w:autoSpaceDN w:val="0"/>
        <w:adjustRightInd w:val="0"/>
        <w:spacing w:after="0" w:line="240" w:lineRule="auto"/>
        <w:jc w:val="both"/>
        <w:rPr>
          <w:rFonts w:ascii="Times New Roman" w:hAnsi="Times New Roman"/>
          <w:sz w:val="18"/>
          <w:szCs w:val="18"/>
          <w:lang w:val="uk-UA"/>
        </w:rPr>
      </w:pPr>
      <w:r w:rsidRPr="00EC45B2">
        <w:rPr>
          <w:rFonts w:ascii="Times New Roman" w:hAnsi="Times New Roman"/>
          <w:sz w:val="18"/>
          <w:szCs w:val="18"/>
          <w:lang w:val="uk-UA"/>
        </w:rPr>
        <w:t xml:space="preserve">Примітка.  </w:t>
      </w:r>
      <w:r w:rsidRPr="00EC45B2">
        <w:rPr>
          <w:rFonts w:ascii="Times New Roman" w:hAnsi="Times New Roman"/>
          <w:sz w:val="18"/>
          <w:szCs w:val="18"/>
          <w:vertAlign w:val="superscript"/>
          <w:lang w:val="uk-UA"/>
        </w:rPr>
        <w:t>1</w:t>
      </w:r>
      <w:r w:rsidRPr="00EC45B2">
        <w:rPr>
          <w:rFonts w:ascii="Times New Roman" w:hAnsi="Times New Roman"/>
          <w:sz w:val="18"/>
          <w:szCs w:val="18"/>
          <w:lang w:val="uk-UA"/>
        </w:rPr>
        <w:t xml:space="preserve"> – вірогідна різниця з показником здорових донорів (р</w:t>
      </w:r>
      <w:r w:rsidRPr="00EC45B2">
        <w:rPr>
          <w:rFonts w:ascii="Times New Roman" w:hAnsi="Times New Roman"/>
          <w:sz w:val="18"/>
          <w:szCs w:val="18"/>
        </w:rPr>
        <w:t>&lt; 0,05)</w:t>
      </w:r>
      <w:r w:rsidRPr="00EC45B2">
        <w:rPr>
          <w:rFonts w:ascii="Times New Roman" w:hAnsi="Times New Roman"/>
          <w:sz w:val="18"/>
          <w:szCs w:val="18"/>
          <w:lang w:val="uk-UA"/>
        </w:rPr>
        <w:t xml:space="preserve">  </w:t>
      </w:r>
    </w:p>
    <w:p w:rsidR="00D57E30" w:rsidRPr="00EC45B2" w:rsidRDefault="00D57E30" w:rsidP="00254A8D">
      <w:pPr>
        <w:spacing w:after="0" w:line="240" w:lineRule="auto"/>
        <w:jc w:val="right"/>
        <w:rPr>
          <w:rFonts w:ascii="Times New Roman" w:hAnsi="Times New Roman"/>
          <w:sz w:val="20"/>
          <w:szCs w:val="20"/>
          <w:lang w:val="uk-UA"/>
        </w:rPr>
      </w:pPr>
      <w:r w:rsidRPr="00EC45B2">
        <w:rPr>
          <w:rFonts w:ascii="Times New Roman" w:hAnsi="Times New Roman"/>
          <w:sz w:val="20"/>
          <w:szCs w:val="20"/>
          <w:lang w:val="uk-UA"/>
        </w:rPr>
        <w:t>Таблиця 2</w:t>
      </w:r>
    </w:p>
    <w:p w:rsidR="00D57E30" w:rsidRPr="006F743A" w:rsidRDefault="00D57E30" w:rsidP="00254A8D">
      <w:pPr>
        <w:pStyle w:val="BodyTextIndent2"/>
        <w:spacing w:after="0" w:line="240" w:lineRule="auto"/>
        <w:ind w:left="0"/>
        <w:jc w:val="center"/>
        <w:rPr>
          <w:rFonts w:ascii="Times New Roman" w:hAnsi="Times New Roman"/>
          <w:sz w:val="24"/>
          <w:szCs w:val="24"/>
        </w:rPr>
      </w:pPr>
      <w:r w:rsidRPr="00EC45B2">
        <w:rPr>
          <w:rFonts w:ascii="Times New Roman" w:hAnsi="Times New Roman"/>
          <w:sz w:val="20"/>
          <w:szCs w:val="20"/>
        </w:rPr>
        <w:t xml:space="preserve">Показники </w:t>
      </w:r>
      <w:r w:rsidRPr="00EC45B2">
        <w:rPr>
          <w:rFonts w:ascii="Times New Roman" w:hAnsi="Times New Roman"/>
          <w:sz w:val="20"/>
          <w:szCs w:val="20"/>
          <w:lang w:val="uk-UA"/>
        </w:rPr>
        <w:t xml:space="preserve">ЦІК різного молекулярного розміру </w:t>
      </w:r>
      <w:r w:rsidRPr="00EC45B2">
        <w:rPr>
          <w:rFonts w:ascii="Times New Roman" w:hAnsi="Times New Roman"/>
          <w:sz w:val="20"/>
          <w:szCs w:val="20"/>
        </w:rPr>
        <w:t xml:space="preserve"> хворих на псоріаз у динаміці лікування</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1276"/>
        <w:gridCol w:w="1098"/>
        <w:gridCol w:w="1080"/>
        <w:gridCol w:w="1080"/>
      </w:tblGrid>
      <w:tr w:rsidR="00D57E30" w:rsidRPr="003B69C4" w:rsidTr="00EC45B2">
        <w:trPr>
          <w:cantSplit/>
          <w:trHeight w:val="240"/>
        </w:trPr>
        <w:tc>
          <w:tcPr>
            <w:tcW w:w="1134"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Імунологічний показник</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992"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До лікування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54</w:t>
            </w:r>
          </w:p>
        </w:tc>
        <w:tc>
          <w:tcPr>
            <w:tcW w:w="3454" w:type="dxa"/>
            <w:gridSpan w:val="3"/>
          </w:tcPr>
          <w:p w:rsidR="00D57E30" w:rsidRPr="006F743A" w:rsidRDefault="00D57E30" w:rsidP="00173DE5">
            <w:pPr>
              <w:pStyle w:val="Heading3"/>
              <w:spacing w:line="240" w:lineRule="auto"/>
              <w:rPr>
                <w:sz w:val="16"/>
                <w:szCs w:val="16"/>
              </w:rPr>
            </w:pPr>
            <w:r w:rsidRPr="006F743A">
              <w:rPr>
                <w:sz w:val="16"/>
                <w:szCs w:val="16"/>
              </w:rPr>
              <w:t>Після лікування</w:t>
            </w:r>
          </w:p>
        </w:tc>
        <w:tc>
          <w:tcPr>
            <w:tcW w:w="1080"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rPr>
            </w:pPr>
            <w:r w:rsidRPr="003B69C4">
              <w:rPr>
                <w:rFonts w:ascii="Times New Roman" w:hAnsi="Times New Roman"/>
                <w:sz w:val="16"/>
                <w:szCs w:val="16"/>
                <w:lang w:val="uk-UA"/>
              </w:rPr>
              <w:t>Група порівняння</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=10</w:t>
            </w:r>
          </w:p>
        </w:tc>
      </w:tr>
      <w:tr w:rsidR="00D57E30" w:rsidRPr="003B69C4" w:rsidTr="00EC45B2">
        <w:trPr>
          <w:cantSplit/>
          <w:trHeight w:val="240"/>
        </w:trPr>
        <w:tc>
          <w:tcPr>
            <w:tcW w:w="1134"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992"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1276"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1-ша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20</w:t>
            </w:r>
          </w:p>
        </w:tc>
        <w:tc>
          <w:tcPr>
            <w:tcW w:w="1098"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13</w:t>
            </w:r>
          </w:p>
        </w:tc>
        <w:tc>
          <w:tcPr>
            <w:tcW w:w="1080"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2-б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21</w:t>
            </w:r>
          </w:p>
        </w:tc>
        <w:tc>
          <w:tcPr>
            <w:tcW w:w="1080"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ЦІК великого розміру</w:t>
            </w:r>
            <w:r w:rsidRPr="003B69C4">
              <w:rPr>
                <w:rFonts w:ascii="Times New Roman" w:hAnsi="Times New Roman"/>
                <w:sz w:val="16"/>
                <w:szCs w:val="16"/>
              </w:rPr>
              <w:t xml:space="preserve"> </w:t>
            </w:r>
            <w:r w:rsidRPr="003B69C4">
              <w:rPr>
                <w:rFonts w:ascii="Times New Roman" w:hAnsi="Times New Roman"/>
                <w:sz w:val="16"/>
                <w:szCs w:val="16"/>
                <w:lang w:val="uk-UA"/>
              </w:rPr>
              <w:t>˃19S, ум.од</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20,2±5,3</w:t>
            </w:r>
            <w:r w:rsidRPr="003B69C4">
              <w:rPr>
                <w:rFonts w:ascii="Times New Roman" w:hAnsi="Times New Roman"/>
                <w:sz w:val="16"/>
                <w:szCs w:val="16"/>
                <w:vertAlign w:val="superscript"/>
                <w:lang w:val="uk-UA"/>
              </w:rPr>
              <w:t>1</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34,7±4,3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41,8±2,9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43,2±3,6</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56,2±5,0</w:t>
            </w: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rPr>
              <w:t xml:space="preserve">ЦІК </w:t>
            </w:r>
            <w:r w:rsidRPr="003B69C4">
              <w:rPr>
                <w:rFonts w:ascii="Times New Roman" w:hAnsi="Times New Roman"/>
                <w:sz w:val="16"/>
                <w:szCs w:val="16"/>
                <w:lang w:val="uk-UA"/>
              </w:rPr>
              <w:t xml:space="preserve">середнього розміру </w:t>
            </w:r>
            <w:r w:rsidRPr="003B69C4">
              <w:rPr>
                <w:rFonts w:ascii="Times New Roman" w:hAnsi="Times New Roman"/>
                <w:sz w:val="16"/>
                <w:szCs w:val="16"/>
              </w:rPr>
              <w:t>11-19</w:t>
            </w:r>
            <w:r w:rsidRPr="003B69C4">
              <w:rPr>
                <w:rFonts w:ascii="Times New Roman" w:hAnsi="Times New Roman"/>
                <w:sz w:val="16"/>
                <w:szCs w:val="16"/>
                <w:lang w:val="uk-UA"/>
              </w:rPr>
              <w:t xml:space="preserve">S, </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ум.од</w:t>
            </w: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74,2±10,0 </w:t>
            </w:r>
            <w:r w:rsidRPr="003B69C4">
              <w:rPr>
                <w:rFonts w:ascii="Times New Roman" w:hAnsi="Times New Roman"/>
                <w:sz w:val="16"/>
                <w:szCs w:val="16"/>
                <w:vertAlign w:val="superscript"/>
                <w:lang w:val="uk-UA"/>
              </w:rPr>
              <w:t>1</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64,5±9,3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51,0±6,6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42,2±1,8</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38,5±1,6</w:t>
            </w:r>
          </w:p>
        </w:tc>
      </w:tr>
      <w:tr w:rsidR="00D57E30" w:rsidRPr="003B69C4" w:rsidTr="00EC45B2">
        <w:tc>
          <w:tcPr>
            <w:tcW w:w="113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ЦІК малого розміру ˂11S, ум.од</w:t>
            </w: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68,4±3,8</w:t>
            </w:r>
            <w:r w:rsidRPr="003B69C4">
              <w:rPr>
                <w:rFonts w:ascii="Times New Roman" w:hAnsi="Times New Roman"/>
                <w:sz w:val="16"/>
                <w:szCs w:val="16"/>
                <w:vertAlign w:val="superscript"/>
                <w:lang w:val="uk-UA"/>
              </w:rPr>
              <w:t>1</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34,5±6,3 </w:t>
            </w:r>
            <w:r w:rsidRPr="003B69C4">
              <w:rPr>
                <w:rFonts w:ascii="Times New Roman" w:hAnsi="Times New Roman"/>
                <w:sz w:val="16"/>
                <w:szCs w:val="16"/>
                <w:vertAlign w:val="superscript"/>
                <w:lang w:val="uk-UA"/>
              </w:rPr>
              <w:t>1</w:t>
            </w:r>
          </w:p>
        </w:tc>
        <w:tc>
          <w:tcPr>
            <w:tcW w:w="1098"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31,0±3,6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28,2±2,8</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11,4±2,1</w:t>
            </w:r>
          </w:p>
        </w:tc>
      </w:tr>
    </w:tbl>
    <w:p w:rsidR="00D57E30" w:rsidRPr="00EC45B2" w:rsidRDefault="00D57E30" w:rsidP="00254A8D">
      <w:pPr>
        <w:widowControl w:val="0"/>
        <w:autoSpaceDE w:val="0"/>
        <w:autoSpaceDN w:val="0"/>
        <w:adjustRightInd w:val="0"/>
        <w:spacing w:after="0" w:line="240" w:lineRule="auto"/>
        <w:jc w:val="both"/>
        <w:rPr>
          <w:rFonts w:ascii="Times New Roman" w:hAnsi="Times New Roman"/>
          <w:sz w:val="18"/>
          <w:szCs w:val="18"/>
          <w:lang w:val="uk-UA"/>
        </w:rPr>
      </w:pPr>
      <w:r w:rsidRPr="00EC45B2">
        <w:rPr>
          <w:rFonts w:ascii="Times New Roman" w:hAnsi="Times New Roman"/>
          <w:sz w:val="18"/>
          <w:szCs w:val="18"/>
          <w:lang w:val="uk-UA"/>
        </w:rPr>
        <w:t xml:space="preserve">Примітка.  </w:t>
      </w:r>
      <w:r w:rsidRPr="00EC45B2">
        <w:rPr>
          <w:rFonts w:ascii="Times New Roman" w:hAnsi="Times New Roman"/>
          <w:sz w:val="18"/>
          <w:szCs w:val="18"/>
          <w:vertAlign w:val="superscript"/>
          <w:lang w:val="uk-UA"/>
        </w:rPr>
        <w:t>1</w:t>
      </w:r>
      <w:r w:rsidRPr="00EC45B2">
        <w:rPr>
          <w:rFonts w:ascii="Times New Roman" w:hAnsi="Times New Roman"/>
          <w:sz w:val="18"/>
          <w:szCs w:val="18"/>
          <w:lang w:val="uk-UA"/>
        </w:rPr>
        <w:t xml:space="preserve"> – вірогідна різниця з показником здорових донорів (р</w:t>
      </w:r>
      <w:r w:rsidRPr="00EC45B2">
        <w:rPr>
          <w:rFonts w:ascii="Times New Roman" w:hAnsi="Times New Roman"/>
          <w:sz w:val="18"/>
          <w:szCs w:val="18"/>
        </w:rPr>
        <w:t>&lt; 0,05)</w:t>
      </w:r>
      <w:r w:rsidRPr="00EC45B2">
        <w:rPr>
          <w:rFonts w:ascii="Times New Roman" w:hAnsi="Times New Roman"/>
          <w:sz w:val="18"/>
          <w:szCs w:val="18"/>
          <w:lang w:val="uk-UA"/>
        </w:rPr>
        <w:t xml:space="preserve">  </w:t>
      </w:r>
    </w:p>
    <w:p w:rsidR="00D57E30" w:rsidRPr="00EC45B2" w:rsidRDefault="00D57E30" w:rsidP="004B6ADE">
      <w:pPr>
        <w:spacing w:after="0" w:line="360" w:lineRule="auto"/>
        <w:ind w:firstLine="709"/>
        <w:jc w:val="right"/>
        <w:rPr>
          <w:rFonts w:ascii="Times New Roman" w:hAnsi="Times New Roman"/>
          <w:sz w:val="20"/>
          <w:szCs w:val="20"/>
          <w:lang w:val="uk-UA"/>
        </w:rPr>
      </w:pPr>
      <w:r w:rsidRPr="00EC45B2">
        <w:rPr>
          <w:rFonts w:ascii="Times New Roman" w:hAnsi="Times New Roman"/>
          <w:sz w:val="20"/>
          <w:szCs w:val="20"/>
          <w:lang w:val="uk-UA"/>
        </w:rPr>
        <w:t>Таблиця 3</w:t>
      </w:r>
    </w:p>
    <w:p w:rsidR="00D57E30" w:rsidRPr="006F743A" w:rsidRDefault="00D57E30" w:rsidP="004B6ADE">
      <w:pPr>
        <w:pStyle w:val="BodyText"/>
        <w:spacing w:line="240" w:lineRule="auto"/>
        <w:rPr>
          <w:b w:val="0"/>
          <w:sz w:val="24"/>
        </w:rPr>
      </w:pPr>
      <w:r w:rsidRPr="00EC45B2">
        <w:rPr>
          <w:b w:val="0"/>
          <w:sz w:val="20"/>
          <w:szCs w:val="20"/>
        </w:rPr>
        <w:t>Вміст імуноглобулінів у сироватці крові хворих на псоріаз у динаміці лікування</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1044"/>
        <w:gridCol w:w="1276"/>
        <w:gridCol w:w="992"/>
        <w:gridCol w:w="1044"/>
        <w:gridCol w:w="1080"/>
      </w:tblGrid>
      <w:tr w:rsidR="00D57E30" w:rsidRPr="003B69C4" w:rsidTr="00EC45B2">
        <w:trPr>
          <w:cantSplit/>
          <w:trHeight w:val="240"/>
        </w:trPr>
        <w:tc>
          <w:tcPr>
            <w:tcW w:w="1224"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Імунологічний показник</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1044"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До лікування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54</w:t>
            </w:r>
          </w:p>
        </w:tc>
        <w:tc>
          <w:tcPr>
            <w:tcW w:w="3312" w:type="dxa"/>
            <w:gridSpan w:val="3"/>
          </w:tcPr>
          <w:p w:rsidR="00D57E30" w:rsidRPr="006F743A" w:rsidRDefault="00D57E30" w:rsidP="00173DE5">
            <w:pPr>
              <w:pStyle w:val="Heading3"/>
              <w:spacing w:line="240" w:lineRule="auto"/>
              <w:rPr>
                <w:sz w:val="16"/>
                <w:szCs w:val="16"/>
              </w:rPr>
            </w:pPr>
            <w:r w:rsidRPr="006F743A">
              <w:rPr>
                <w:sz w:val="16"/>
                <w:szCs w:val="16"/>
              </w:rPr>
              <w:t>Після лікування</w:t>
            </w:r>
          </w:p>
        </w:tc>
        <w:tc>
          <w:tcPr>
            <w:tcW w:w="1080" w:type="dxa"/>
            <w:vMerge w:val="restart"/>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rPr>
            </w:pPr>
            <w:r w:rsidRPr="003B69C4">
              <w:rPr>
                <w:rFonts w:ascii="Times New Roman" w:hAnsi="Times New Roman"/>
                <w:sz w:val="16"/>
                <w:szCs w:val="16"/>
                <w:lang w:val="uk-UA"/>
              </w:rPr>
              <w:t>Група порівняння</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=10</w:t>
            </w:r>
          </w:p>
        </w:tc>
      </w:tr>
      <w:tr w:rsidR="00D57E30" w:rsidRPr="003B69C4" w:rsidTr="00EC45B2">
        <w:trPr>
          <w:cantSplit/>
          <w:trHeight w:val="240"/>
        </w:trPr>
        <w:tc>
          <w:tcPr>
            <w:tcW w:w="1224"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1044"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c>
          <w:tcPr>
            <w:tcW w:w="1276"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1-ша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20</w:t>
            </w:r>
          </w:p>
        </w:tc>
        <w:tc>
          <w:tcPr>
            <w:tcW w:w="992"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13</w:t>
            </w:r>
          </w:p>
        </w:tc>
        <w:tc>
          <w:tcPr>
            <w:tcW w:w="1044" w:type="dxa"/>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rPr>
            </w:pPr>
            <w:r w:rsidRPr="003B69C4">
              <w:rPr>
                <w:rFonts w:ascii="Times New Roman" w:hAnsi="Times New Roman"/>
                <w:sz w:val="16"/>
                <w:szCs w:val="16"/>
                <w:lang w:val="uk-UA"/>
              </w:rPr>
              <w:t>2-б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w:t>
            </w:r>
            <w:r w:rsidRPr="003B69C4">
              <w:rPr>
                <w:rFonts w:ascii="Times New Roman" w:hAnsi="Times New Roman"/>
                <w:sz w:val="16"/>
                <w:szCs w:val="16"/>
              </w:rPr>
              <w:t>1</w:t>
            </w:r>
          </w:p>
        </w:tc>
        <w:tc>
          <w:tcPr>
            <w:tcW w:w="1080" w:type="dxa"/>
            <w:vMerge/>
          </w:tcPr>
          <w:p w:rsidR="00D57E30" w:rsidRPr="003B69C4" w:rsidRDefault="00D57E30" w:rsidP="00173DE5">
            <w:pPr>
              <w:widowControl w:val="0"/>
              <w:autoSpaceDE w:val="0"/>
              <w:autoSpaceDN w:val="0"/>
              <w:adjustRightInd w:val="0"/>
              <w:spacing w:after="0" w:line="240" w:lineRule="auto"/>
              <w:jc w:val="both"/>
              <w:rPr>
                <w:rFonts w:ascii="Times New Roman" w:hAnsi="Times New Roman"/>
                <w:sz w:val="16"/>
                <w:szCs w:val="16"/>
                <w:lang w:val="uk-UA"/>
              </w:rPr>
            </w:pPr>
          </w:p>
        </w:tc>
      </w:tr>
      <w:tr w:rsidR="00D57E30" w:rsidRPr="003B69C4" w:rsidTr="00EC45B2">
        <w:tc>
          <w:tcPr>
            <w:tcW w:w="122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en-US"/>
              </w:rPr>
              <w:t>IgA</w:t>
            </w:r>
            <w:r w:rsidRPr="003B69C4">
              <w:rPr>
                <w:rFonts w:ascii="Times New Roman" w:hAnsi="Times New Roman"/>
                <w:sz w:val="16"/>
                <w:szCs w:val="16"/>
                <w:lang w:val="uk-UA"/>
              </w:rPr>
              <w:t>, г/л</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2,2±0,2 </w:t>
            </w:r>
            <w:r w:rsidRPr="003B69C4">
              <w:rPr>
                <w:rFonts w:ascii="Times New Roman" w:hAnsi="Times New Roman"/>
                <w:sz w:val="16"/>
                <w:szCs w:val="16"/>
                <w:vertAlign w:val="superscript"/>
                <w:lang w:val="uk-UA"/>
              </w:rPr>
              <w:t>1</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1,9±0,2 </w:t>
            </w:r>
            <w:r w:rsidRPr="003B69C4">
              <w:rPr>
                <w:rFonts w:ascii="Times New Roman" w:hAnsi="Times New Roman"/>
                <w:sz w:val="16"/>
                <w:szCs w:val="16"/>
                <w:vertAlign w:val="superscript"/>
                <w:lang w:val="uk-UA"/>
              </w:rPr>
              <w:t>1</w:t>
            </w: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2,0±0,1 </w:t>
            </w:r>
            <w:r w:rsidRPr="003B69C4">
              <w:rPr>
                <w:rFonts w:ascii="Times New Roman" w:hAnsi="Times New Roman"/>
                <w:sz w:val="16"/>
                <w:szCs w:val="16"/>
                <w:vertAlign w:val="superscript"/>
                <w:lang w:val="uk-UA"/>
              </w:rPr>
              <w:t>1</w:t>
            </w: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1,8±0,3 </w:t>
            </w:r>
            <w:r w:rsidRPr="003B69C4">
              <w:rPr>
                <w:rFonts w:ascii="Times New Roman" w:hAnsi="Times New Roman"/>
                <w:sz w:val="16"/>
                <w:szCs w:val="16"/>
                <w:vertAlign w:val="superscript"/>
                <w:lang w:val="uk-UA"/>
              </w:rPr>
              <w:t>1</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3,3±0,3</w:t>
            </w:r>
          </w:p>
        </w:tc>
      </w:tr>
      <w:tr w:rsidR="00D57E30" w:rsidRPr="003B69C4" w:rsidTr="00EC45B2">
        <w:tc>
          <w:tcPr>
            <w:tcW w:w="122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en-US"/>
              </w:rPr>
              <w:t>IgM</w:t>
            </w:r>
            <w:r w:rsidRPr="003B69C4">
              <w:rPr>
                <w:rFonts w:ascii="Times New Roman" w:hAnsi="Times New Roman"/>
                <w:sz w:val="16"/>
                <w:szCs w:val="16"/>
                <w:lang w:val="uk-UA"/>
              </w:rPr>
              <w:t>, г/л</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1,7±0,4</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1,6±0,1</w:t>
            </w: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1,5±0,05</w:t>
            </w: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1,4±1,2</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1,4±0,2</w:t>
            </w:r>
          </w:p>
        </w:tc>
      </w:tr>
      <w:tr w:rsidR="00D57E30" w:rsidRPr="003B69C4" w:rsidTr="00EC45B2">
        <w:tc>
          <w:tcPr>
            <w:tcW w:w="122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en-US"/>
              </w:rPr>
              <w:t>IgG</w:t>
            </w:r>
            <w:r w:rsidRPr="003B69C4">
              <w:rPr>
                <w:rFonts w:ascii="Times New Roman" w:hAnsi="Times New Roman"/>
                <w:sz w:val="16"/>
                <w:szCs w:val="16"/>
                <w:lang w:val="uk-UA"/>
              </w:rPr>
              <w:t>, г/л</w:t>
            </w:r>
          </w:p>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14,2±1,6 </w:t>
            </w:r>
            <w:r w:rsidRPr="003B69C4">
              <w:rPr>
                <w:rFonts w:ascii="Times New Roman" w:hAnsi="Times New Roman"/>
                <w:sz w:val="16"/>
                <w:szCs w:val="16"/>
                <w:vertAlign w:val="superscript"/>
                <w:lang w:val="uk-UA"/>
              </w:rPr>
              <w:t>1</w:t>
            </w:r>
          </w:p>
        </w:tc>
        <w:tc>
          <w:tcPr>
            <w:tcW w:w="1276"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14,4±1,3 </w:t>
            </w:r>
            <w:r w:rsidRPr="003B69C4">
              <w:rPr>
                <w:rFonts w:ascii="Times New Roman" w:hAnsi="Times New Roman"/>
                <w:sz w:val="16"/>
                <w:szCs w:val="16"/>
                <w:vertAlign w:val="superscript"/>
                <w:lang w:val="uk-UA"/>
              </w:rPr>
              <w:t>1</w:t>
            </w:r>
          </w:p>
        </w:tc>
        <w:tc>
          <w:tcPr>
            <w:tcW w:w="992"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14,0±1,4 </w:t>
            </w:r>
            <w:r w:rsidRPr="003B69C4">
              <w:rPr>
                <w:rFonts w:ascii="Times New Roman" w:hAnsi="Times New Roman"/>
                <w:sz w:val="16"/>
                <w:szCs w:val="16"/>
                <w:vertAlign w:val="superscript"/>
                <w:lang w:val="uk-UA"/>
              </w:rPr>
              <w:t>1</w:t>
            </w:r>
          </w:p>
        </w:tc>
        <w:tc>
          <w:tcPr>
            <w:tcW w:w="1044"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12,2±0,8 </w:t>
            </w:r>
          </w:p>
        </w:tc>
        <w:tc>
          <w:tcPr>
            <w:tcW w:w="1080" w:type="dxa"/>
            <w:vAlign w:val="center"/>
          </w:tcPr>
          <w:p w:rsidR="00D57E30" w:rsidRPr="003B69C4" w:rsidRDefault="00D57E30" w:rsidP="00173DE5">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10,6±0,7</w:t>
            </w:r>
          </w:p>
        </w:tc>
      </w:tr>
    </w:tbl>
    <w:p w:rsidR="00D57E30" w:rsidRPr="00EC45B2" w:rsidRDefault="00D57E30" w:rsidP="004B6ADE">
      <w:pPr>
        <w:widowControl w:val="0"/>
        <w:autoSpaceDE w:val="0"/>
        <w:autoSpaceDN w:val="0"/>
        <w:adjustRightInd w:val="0"/>
        <w:spacing w:after="0" w:line="240" w:lineRule="auto"/>
        <w:rPr>
          <w:rFonts w:ascii="Times New Roman" w:hAnsi="Times New Roman"/>
          <w:sz w:val="18"/>
          <w:szCs w:val="18"/>
          <w:lang w:val="uk-UA"/>
        </w:rPr>
      </w:pPr>
      <w:r w:rsidRPr="00EC45B2">
        <w:rPr>
          <w:rFonts w:ascii="Times New Roman" w:hAnsi="Times New Roman"/>
          <w:sz w:val="18"/>
          <w:szCs w:val="18"/>
          <w:lang w:val="uk-UA"/>
        </w:rPr>
        <w:t xml:space="preserve">Примітка. </w:t>
      </w:r>
      <w:r w:rsidRPr="00EC45B2">
        <w:rPr>
          <w:rFonts w:ascii="Times New Roman" w:hAnsi="Times New Roman"/>
          <w:sz w:val="18"/>
          <w:szCs w:val="18"/>
          <w:vertAlign w:val="superscript"/>
          <w:lang w:val="uk-UA"/>
        </w:rPr>
        <w:t>1</w:t>
      </w:r>
      <w:r w:rsidRPr="00EC45B2">
        <w:rPr>
          <w:rFonts w:ascii="Times New Roman" w:hAnsi="Times New Roman"/>
          <w:sz w:val="18"/>
          <w:szCs w:val="18"/>
          <w:lang w:val="uk-UA"/>
        </w:rPr>
        <w:t xml:space="preserve"> – вірогідна різниця від аналогічного показника здорових донорів (р</w:t>
      </w:r>
      <w:r w:rsidRPr="00EC45B2">
        <w:rPr>
          <w:rFonts w:ascii="Times New Roman" w:hAnsi="Times New Roman"/>
          <w:sz w:val="18"/>
          <w:szCs w:val="18"/>
        </w:rPr>
        <w:t>&lt; 0,05)</w:t>
      </w:r>
      <w:r w:rsidRPr="00EC45B2">
        <w:rPr>
          <w:rFonts w:ascii="Times New Roman" w:hAnsi="Times New Roman"/>
          <w:sz w:val="18"/>
          <w:szCs w:val="18"/>
          <w:lang w:val="uk-UA"/>
        </w:rPr>
        <w:t xml:space="preserve">  </w:t>
      </w:r>
    </w:p>
    <w:p w:rsidR="00D57E30" w:rsidRPr="006F743A" w:rsidRDefault="00D57E30" w:rsidP="00A8041A">
      <w:pPr>
        <w:spacing w:after="0" w:line="360" w:lineRule="auto"/>
        <w:ind w:firstLine="709"/>
        <w:jc w:val="both"/>
        <w:rPr>
          <w:rFonts w:ascii="Times New Roman" w:hAnsi="Times New Roman"/>
          <w:sz w:val="24"/>
          <w:szCs w:val="24"/>
          <w:lang w:val="uk-UA"/>
        </w:rPr>
      </w:pPr>
    </w:p>
    <w:p w:rsidR="00D57E30" w:rsidRPr="006F743A" w:rsidRDefault="00D57E30" w:rsidP="00A8041A">
      <w:pPr>
        <w:spacing w:after="0" w:line="360" w:lineRule="auto"/>
        <w:ind w:firstLine="709"/>
        <w:jc w:val="both"/>
        <w:rPr>
          <w:rFonts w:ascii="Times New Roman" w:hAnsi="Times New Roman"/>
          <w:sz w:val="24"/>
          <w:szCs w:val="24"/>
          <w:lang w:val="uk-UA"/>
        </w:rPr>
      </w:pPr>
    </w:p>
    <w:p w:rsidR="00D57E30" w:rsidRPr="00EC45B2" w:rsidRDefault="00D57E30" w:rsidP="001A5413">
      <w:pPr>
        <w:pStyle w:val="BodyText"/>
        <w:spacing w:line="240" w:lineRule="auto"/>
        <w:jc w:val="right"/>
        <w:rPr>
          <w:b w:val="0"/>
          <w:sz w:val="20"/>
          <w:szCs w:val="20"/>
        </w:rPr>
      </w:pPr>
      <w:r w:rsidRPr="00EC45B2">
        <w:rPr>
          <w:b w:val="0"/>
          <w:sz w:val="20"/>
          <w:szCs w:val="20"/>
        </w:rPr>
        <w:t>Таблиця 4</w:t>
      </w:r>
    </w:p>
    <w:p w:rsidR="00D57E30" w:rsidRPr="00EC45B2" w:rsidRDefault="00D57E30" w:rsidP="00892298">
      <w:pPr>
        <w:pStyle w:val="BodyText"/>
        <w:spacing w:line="240" w:lineRule="auto"/>
        <w:rPr>
          <w:b w:val="0"/>
          <w:sz w:val="20"/>
          <w:szCs w:val="20"/>
        </w:rPr>
      </w:pPr>
      <w:r w:rsidRPr="00EC45B2">
        <w:rPr>
          <w:b w:val="0"/>
          <w:sz w:val="20"/>
          <w:szCs w:val="20"/>
        </w:rPr>
        <w:t>Показники основних та активованих субпопуляцій лімфоцитів у хворих на псоріаз у динаміці лікування</w:t>
      </w:r>
    </w:p>
    <w:tbl>
      <w:tblPr>
        <w:tblW w:w="6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4"/>
        <w:gridCol w:w="1129"/>
        <w:gridCol w:w="1123"/>
        <w:gridCol w:w="1117"/>
        <w:gridCol w:w="1167"/>
        <w:gridCol w:w="996"/>
      </w:tblGrid>
      <w:tr w:rsidR="00D57E30" w:rsidRPr="003B69C4" w:rsidTr="00EC45B2">
        <w:trPr>
          <w:cantSplit/>
          <w:trHeight w:val="240"/>
        </w:trPr>
        <w:tc>
          <w:tcPr>
            <w:tcW w:w="1224" w:type="dxa"/>
            <w:vMerge w:val="restart"/>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Імунологічний показник</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Merge w:val="restart"/>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До лікування,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54</w:t>
            </w:r>
          </w:p>
        </w:tc>
        <w:tc>
          <w:tcPr>
            <w:tcW w:w="3407" w:type="dxa"/>
            <w:gridSpan w:val="3"/>
          </w:tcPr>
          <w:p w:rsidR="00D57E30" w:rsidRPr="006F743A" w:rsidRDefault="00D57E30" w:rsidP="00892298">
            <w:pPr>
              <w:pStyle w:val="Heading3"/>
              <w:spacing w:line="240" w:lineRule="auto"/>
              <w:rPr>
                <w:sz w:val="16"/>
                <w:szCs w:val="16"/>
              </w:rPr>
            </w:pPr>
            <w:r w:rsidRPr="006F743A">
              <w:rPr>
                <w:sz w:val="16"/>
                <w:szCs w:val="16"/>
              </w:rPr>
              <w:t>Після лікування</w:t>
            </w:r>
          </w:p>
        </w:tc>
        <w:tc>
          <w:tcPr>
            <w:tcW w:w="996" w:type="dxa"/>
            <w:vMerge w:val="restart"/>
          </w:tcPr>
          <w:p w:rsidR="00D57E30" w:rsidRPr="003B69C4" w:rsidRDefault="00D57E30" w:rsidP="00F10A3F">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Група </w:t>
            </w:r>
            <w:r w:rsidRPr="003B69C4">
              <w:rPr>
                <w:rFonts w:ascii="Times New Roman" w:hAnsi="Times New Roman"/>
                <w:sz w:val="16"/>
                <w:szCs w:val="16"/>
                <w:lang w:val="en-US"/>
              </w:rPr>
              <w:t>здорових осіб</w:t>
            </w:r>
            <w:r w:rsidRPr="003B69C4">
              <w:rPr>
                <w:rFonts w:ascii="Times New Roman" w:hAnsi="Times New Roman"/>
                <w:sz w:val="16"/>
                <w:szCs w:val="16"/>
                <w:lang w:val="uk-UA"/>
              </w:rPr>
              <w:t>,</w:t>
            </w:r>
            <w:r w:rsidRPr="003B69C4">
              <w:rPr>
                <w:rFonts w:ascii="Times New Roman" w:hAnsi="Times New Roman"/>
                <w:sz w:val="16"/>
                <w:szCs w:val="16"/>
              </w:rPr>
              <w:t xml:space="preserve"> </w:t>
            </w:r>
          </w:p>
          <w:p w:rsidR="00D57E30" w:rsidRPr="003B69C4" w:rsidRDefault="00D57E30" w:rsidP="00F10A3F">
            <w:pPr>
              <w:widowControl w:val="0"/>
              <w:autoSpaceDE w:val="0"/>
              <w:autoSpaceDN w:val="0"/>
              <w:adjustRightInd w:val="0"/>
              <w:spacing w:after="0" w:line="240" w:lineRule="auto"/>
              <w:jc w:val="center"/>
              <w:rPr>
                <w:rFonts w:ascii="Times New Roman" w:hAnsi="Times New Roman"/>
                <w:sz w:val="16"/>
                <w:szCs w:val="16"/>
              </w:rPr>
            </w:pPr>
            <w:r w:rsidRPr="003B69C4">
              <w:rPr>
                <w:rFonts w:ascii="Times New Roman" w:hAnsi="Times New Roman"/>
                <w:sz w:val="16"/>
                <w:szCs w:val="16"/>
                <w:lang w:val="en-US"/>
              </w:rPr>
              <w:t>n</w:t>
            </w:r>
            <w:r w:rsidRPr="003B69C4">
              <w:rPr>
                <w:rFonts w:ascii="Times New Roman" w:hAnsi="Times New Roman"/>
                <w:sz w:val="16"/>
                <w:szCs w:val="16"/>
              </w:rPr>
              <w:t>=10</w:t>
            </w:r>
          </w:p>
        </w:tc>
      </w:tr>
      <w:tr w:rsidR="00D57E30" w:rsidRPr="003B69C4" w:rsidTr="00EC45B2">
        <w:trPr>
          <w:cantSplit/>
          <w:trHeight w:val="240"/>
        </w:trPr>
        <w:tc>
          <w:tcPr>
            <w:tcW w:w="1224" w:type="dxa"/>
            <w:vMerge/>
          </w:tcPr>
          <w:p w:rsidR="00D57E30" w:rsidRPr="003B69C4" w:rsidRDefault="00D57E30" w:rsidP="00892298">
            <w:pPr>
              <w:widowControl w:val="0"/>
              <w:autoSpaceDE w:val="0"/>
              <w:autoSpaceDN w:val="0"/>
              <w:adjustRightInd w:val="0"/>
              <w:spacing w:after="0" w:line="240" w:lineRule="auto"/>
              <w:jc w:val="both"/>
              <w:rPr>
                <w:rFonts w:ascii="Times New Roman" w:hAnsi="Times New Roman"/>
                <w:sz w:val="16"/>
                <w:szCs w:val="16"/>
                <w:lang w:val="uk-UA"/>
              </w:rPr>
            </w:pPr>
          </w:p>
        </w:tc>
        <w:tc>
          <w:tcPr>
            <w:tcW w:w="1129" w:type="dxa"/>
            <w:vMerge/>
          </w:tcPr>
          <w:p w:rsidR="00D57E30" w:rsidRPr="003B69C4" w:rsidRDefault="00D57E30" w:rsidP="00892298">
            <w:pPr>
              <w:widowControl w:val="0"/>
              <w:autoSpaceDE w:val="0"/>
              <w:autoSpaceDN w:val="0"/>
              <w:adjustRightInd w:val="0"/>
              <w:spacing w:after="0" w:line="240" w:lineRule="auto"/>
              <w:jc w:val="both"/>
              <w:rPr>
                <w:rFonts w:ascii="Times New Roman" w:hAnsi="Times New Roman"/>
                <w:sz w:val="16"/>
                <w:szCs w:val="16"/>
                <w:lang w:val="uk-UA"/>
              </w:rPr>
            </w:pPr>
          </w:p>
        </w:tc>
        <w:tc>
          <w:tcPr>
            <w:tcW w:w="1123" w:type="dxa"/>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1-ша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20</w:t>
            </w:r>
          </w:p>
        </w:tc>
        <w:tc>
          <w:tcPr>
            <w:tcW w:w="1117" w:type="dxa"/>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2-а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13</w:t>
            </w:r>
          </w:p>
        </w:tc>
        <w:tc>
          <w:tcPr>
            <w:tcW w:w="1167" w:type="dxa"/>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2-б група,</w:t>
            </w:r>
            <w:r w:rsidRPr="003B69C4">
              <w:rPr>
                <w:rFonts w:ascii="Times New Roman" w:hAnsi="Times New Roman"/>
                <w:sz w:val="16"/>
                <w:szCs w:val="16"/>
              </w:rPr>
              <w:t xml:space="preserve"> </w:t>
            </w:r>
            <w:r w:rsidRPr="003B69C4">
              <w:rPr>
                <w:rFonts w:ascii="Times New Roman" w:hAnsi="Times New Roman"/>
                <w:sz w:val="16"/>
                <w:szCs w:val="16"/>
                <w:lang w:val="en-US"/>
              </w:rPr>
              <w:t>n</w:t>
            </w:r>
            <w:r w:rsidRPr="003B69C4">
              <w:rPr>
                <w:rFonts w:ascii="Times New Roman" w:hAnsi="Times New Roman"/>
                <w:sz w:val="16"/>
                <w:szCs w:val="16"/>
              </w:rPr>
              <w:t>=</w:t>
            </w:r>
            <w:r w:rsidRPr="003B69C4">
              <w:rPr>
                <w:rFonts w:ascii="Times New Roman" w:hAnsi="Times New Roman"/>
                <w:sz w:val="16"/>
                <w:szCs w:val="16"/>
                <w:lang w:val="uk-UA"/>
              </w:rPr>
              <w:t>21</w:t>
            </w:r>
          </w:p>
        </w:tc>
        <w:tc>
          <w:tcPr>
            <w:tcW w:w="996" w:type="dxa"/>
            <w:vMerge/>
          </w:tcPr>
          <w:p w:rsidR="00D57E30" w:rsidRPr="003B69C4" w:rsidRDefault="00D57E30" w:rsidP="00892298">
            <w:pPr>
              <w:widowControl w:val="0"/>
              <w:autoSpaceDE w:val="0"/>
              <w:autoSpaceDN w:val="0"/>
              <w:adjustRightInd w:val="0"/>
              <w:spacing w:after="0" w:line="240" w:lineRule="auto"/>
              <w:jc w:val="both"/>
              <w:rPr>
                <w:rFonts w:ascii="Times New Roman" w:hAnsi="Times New Roman"/>
                <w:sz w:val="16"/>
                <w:szCs w:val="16"/>
                <w:lang w:val="uk-UA"/>
              </w:rPr>
            </w:pP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w:t>
            </w:r>
            <w:r w:rsidRPr="003B69C4">
              <w:rPr>
                <w:rFonts w:ascii="Times New Roman" w:hAnsi="Times New Roman"/>
                <w:sz w:val="16"/>
                <w:szCs w:val="16"/>
                <w:lang w:val="uk-UA"/>
              </w:rPr>
              <w:t>3+,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49,0±2,3 </w:t>
            </w:r>
            <w:r w:rsidRPr="003B69C4">
              <w:rPr>
                <w:rFonts w:ascii="Times New Roman" w:hAnsi="Times New Roman"/>
                <w:sz w:val="16"/>
                <w:szCs w:val="16"/>
                <w:vertAlign w:val="superscript"/>
                <w:lang w:val="uk-UA"/>
              </w:rPr>
              <w:t>1</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52,7±2,4</w:t>
            </w:r>
            <w:r w:rsidRPr="003B69C4">
              <w:rPr>
                <w:rFonts w:ascii="Times New Roman" w:hAnsi="Times New Roman"/>
                <w:sz w:val="16"/>
                <w:szCs w:val="16"/>
                <w:vertAlign w:val="superscript"/>
                <w:lang w:val="uk-UA"/>
              </w:rPr>
              <w:t>1</w:t>
            </w:r>
            <w:r w:rsidRPr="003B69C4">
              <w:rPr>
                <w:rFonts w:ascii="Times New Roman" w:hAnsi="Times New Roman"/>
                <w:sz w:val="16"/>
                <w:szCs w:val="16"/>
                <w:lang w:val="uk-UA"/>
              </w:rPr>
              <w:t xml:space="preserve"> </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55,1±0,43 </w:t>
            </w:r>
            <w:r w:rsidRPr="003B69C4">
              <w:rPr>
                <w:rFonts w:ascii="Times New Roman" w:hAnsi="Times New Roman"/>
                <w:sz w:val="16"/>
                <w:szCs w:val="16"/>
                <w:vertAlign w:val="superscript"/>
                <w:lang w:val="uk-UA"/>
              </w:rPr>
              <w:t>1</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57,0±2,7 </w:t>
            </w:r>
            <w:r w:rsidRPr="003B69C4">
              <w:rPr>
                <w:rFonts w:ascii="Times New Roman" w:hAnsi="Times New Roman"/>
                <w:sz w:val="16"/>
                <w:szCs w:val="16"/>
                <w:vertAlign w:val="superscript"/>
                <w:lang w:val="uk-UA"/>
              </w:rPr>
              <w:t>1</w:t>
            </w:r>
          </w:p>
        </w:tc>
        <w:tc>
          <w:tcPr>
            <w:tcW w:w="996"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59,7±1,3</w:t>
            </w: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w:t>
            </w:r>
            <w:r w:rsidRPr="003B69C4">
              <w:rPr>
                <w:rFonts w:ascii="Times New Roman" w:hAnsi="Times New Roman"/>
                <w:sz w:val="16"/>
                <w:szCs w:val="16"/>
                <w:lang w:val="uk-UA"/>
              </w:rPr>
              <w:t>4+,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22,6±1,0</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25,7±1,05</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24,2±1,0</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26,2±1,0</w:t>
            </w:r>
          </w:p>
        </w:tc>
        <w:tc>
          <w:tcPr>
            <w:tcW w:w="996"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30,0±0,9</w:t>
            </w: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w:t>
            </w:r>
            <w:r w:rsidRPr="003B69C4">
              <w:rPr>
                <w:rFonts w:ascii="Times New Roman" w:hAnsi="Times New Roman"/>
                <w:sz w:val="16"/>
                <w:szCs w:val="16"/>
                <w:lang w:val="uk-UA"/>
              </w:rPr>
              <w:t>8+,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23,1±1,7 </w:t>
            </w:r>
            <w:r w:rsidRPr="003B69C4">
              <w:rPr>
                <w:rFonts w:ascii="Times New Roman" w:hAnsi="Times New Roman"/>
                <w:sz w:val="16"/>
                <w:szCs w:val="16"/>
                <w:vertAlign w:val="superscript"/>
                <w:lang w:val="uk-UA"/>
              </w:rPr>
              <w:t>1</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24,0±2,5 </w:t>
            </w:r>
            <w:r w:rsidRPr="003B69C4">
              <w:rPr>
                <w:rFonts w:ascii="Times New Roman" w:hAnsi="Times New Roman"/>
                <w:sz w:val="16"/>
                <w:szCs w:val="16"/>
                <w:vertAlign w:val="superscript"/>
                <w:lang w:val="uk-UA"/>
              </w:rPr>
              <w:t>1</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20,8±2,4 </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 xml:space="preserve">21,0±2,2 </w:t>
            </w:r>
            <w:r w:rsidRPr="003B69C4">
              <w:rPr>
                <w:rFonts w:ascii="Times New Roman" w:hAnsi="Times New Roman"/>
                <w:sz w:val="16"/>
                <w:szCs w:val="16"/>
                <w:vertAlign w:val="superscript"/>
                <w:lang w:val="uk-UA"/>
              </w:rPr>
              <w:t>1</w:t>
            </w:r>
          </w:p>
        </w:tc>
        <w:tc>
          <w:tcPr>
            <w:tcW w:w="996"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16,6±0,3</w:t>
            </w: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w:t>
            </w:r>
            <w:r w:rsidRPr="003B69C4">
              <w:rPr>
                <w:rFonts w:ascii="Times New Roman" w:hAnsi="Times New Roman"/>
                <w:sz w:val="16"/>
                <w:szCs w:val="16"/>
                <w:lang w:val="uk-UA"/>
              </w:rPr>
              <w:t>22+,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8,5±0,8</w:t>
            </w:r>
            <w:r w:rsidRPr="003B69C4">
              <w:rPr>
                <w:rFonts w:ascii="Times New Roman" w:hAnsi="Times New Roman"/>
                <w:sz w:val="16"/>
                <w:szCs w:val="16"/>
                <w:vertAlign w:val="superscript"/>
                <w:lang w:val="uk-UA"/>
              </w:rPr>
              <w:t>1</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9,5±1,4</w:t>
            </w:r>
            <w:r w:rsidRPr="003B69C4">
              <w:rPr>
                <w:rFonts w:ascii="Times New Roman" w:hAnsi="Times New Roman"/>
                <w:sz w:val="16"/>
                <w:szCs w:val="16"/>
                <w:vertAlign w:val="superscript"/>
                <w:lang w:val="uk-UA"/>
              </w:rPr>
              <w:t>1</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9,7±1,6</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10,1±0,9</w:t>
            </w:r>
          </w:p>
        </w:tc>
        <w:tc>
          <w:tcPr>
            <w:tcW w:w="996"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10,6±0,3</w:t>
            </w: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w:t>
            </w:r>
            <w:r w:rsidRPr="003B69C4">
              <w:rPr>
                <w:rFonts w:ascii="Times New Roman" w:hAnsi="Times New Roman"/>
                <w:sz w:val="16"/>
                <w:szCs w:val="16"/>
                <w:lang w:val="uk-UA"/>
              </w:rPr>
              <w:t>25+,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p>
        </w:tc>
        <w:tc>
          <w:tcPr>
            <w:tcW w:w="1129" w:type="dxa"/>
            <w:vAlign w:val="center"/>
          </w:tcPr>
          <w:p w:rsidR="00D57E30" w:rsidRPr="003B69C4" w:rsidRDefault="00D57E30" w:rsidP="001A4F4F">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16,3±1,05</w:t>
            </w:r>
            <w:r w:rsidRPr="003B69C4">
              <w:rPr>
                <w:rFonts w:ascii="Times New Roman" w:hAnsi="Times New Roman"/>
                <w:sz w:val="16"/>
                <w:szCs w:val="16"/>
                <w:vertAlign w:val="superscript"/>
                <w:lang w:val="uk-UA"/>
              </w:rPr>
              <w:t>1</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14,5±1,6</w:t>
            </w:r>
            <w:r w:rsidRPr="003B69C4">
              <w:rPr>
                <w:rFonts w:ascii="Times New Roman" w:hAnsi="Times New Roman"/>
                <w:sz w:val="16"/>
                <w:szCs w:val="16"/>
                <w:vertAlign w:val="superscript"/>
                <w:lang w:val="uk-UA"/>
              </w:rPr>
              <w:t>1</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10,2±0,41</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9,9±1,08</w:t>
            </w:r>
          </w:p>
        </w:tc>
        <w:tc>
          <w:tcPr>
            <w:tcW w:w="996"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8,96±0,32</w:t>
            </w:r>
          </w:p>
        </w:tc>
      </w:tr>
      <w:tr w:rsidR="00D57E30" w:rsidRPr="003B69C4" w:rsidTr="00EC45B2">
        <w:tc>
          <w:tcPr>
            <w:tcW w:w="1224"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en-US"/>
              </w:rPr>
            </w:pPr>
            <w:r w:rsidRPr="003B69C4">
              <w:rPr>
                <w:rFonts w:ascii="Times New Roman" w:hAnsi="Times New Roman"/>
                <w:sz w:val="16"/>
                <w:szCs w:val="16"/>
                <w:lang w:val="en-US"/>
              </w:rPr>
              <w:t>HLA-DR+</w:t>
            </w: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19,82±1,22</w:t>
            </w:r>
            <w:r w:rsidRPr="003B69C4">
              <w:rPr>
                <w:rFonts w:ascii="Times New Roman" w:hAnsi="Times New Roman"/>
                <w:sz w:val="16"/>
                <w:szCs w:val="16"/>
                <w:vertAlign w:val="superscript"/>
                <w:lang w:val="uk-UA"/>
              </w:rPr>
              <w:t>1</w:t>
            </w:r>
          </w:p>
        </w:tc>
        <w:tc>
          <w:tcPr>
            <w:tcW w:w="1123"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16,42±1,24</w:t>
            </w:r>
            <w:r w:rsidRPr="003B69C4">
              <w:rPr>
                <w:rFonts w:ascii="Times New Roman" w:hAnsi="Times New Roman"/>
                <w:sz w:val="16"/>
                <w:szCs w:val="16"/>
                <w:vertAlign w:val="superscript"/>
                <w:lang w:val="uk-UA"/>
              </w:rPr>
              <w:t>1</w:t>
            </w:r>
          </w:p>
        </w:tc>
        <w:tc>
          <w:tcPr>
            <w:tcW w:w="111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14±1,07</w:t>
            </w:r>
            <w:r w:rsidRPr="003B69C4">
              <w:rPr>
                <w:rFonts w:ascii="Times New Roman" w:hAnsi="Times New Roman"/>
                <w:sz w:val="16"/>
                <w:szCs w:val="16"/>
                <w:vertAlign w:val="superscript"/>
                <w:lang w:val="uk-UA"/>
              </w:rPr>
              <w:t>1</w:t>
            </w:r>
          </w:p>
        </w:tc>
        <w:tc>
          <w:tcPr>
            <w:tcW w:w="1167"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13,68±1,21</w:t>
            </w:r>
          </w:p>
        </w:tc>
        <w:tc>
          <w:tcPr>
            <w:tcW w:w="996" w:type="dxa"/>
            <w:vAlign w:val="center"/>
          </w:tcPr>
          <w:p w:rsidR="00D57E30" w:rsidRPr="003B69C4" w:rsidRDefault="00D57E30" w:rsidP="00F10A3F">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12,9±1,18</w:t>
            </w:r>
          </w:p>
        </w:tc>
      </w:tr>
      <w:tr w:rsidR="00D57E30" w:rsidRPr="003B69C4" w:rsidTr="00EC45B2">
        <w:tc>
          <w:tcPr>
            <w:tcW w:w="1224" w:type="dxa"/>
            <w:vAlign w:val="center"/>
          </w:tcPr>
          <w:p w:rsidR="00D57E30" w:rsidRPr="003B69C4" w:rsidRDefault="00D57E30" w:rsidP="00F10A3F">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С</w:t>
            </w:r>
            <w:r w:rsidRPr="003B69C4">
              <w:rPr>
                <w:rFonts w:ascii="Times New Roman" w:hAnsi="Times New Roman"/>
                <w:sz w:val="16"/>
                <w:szCs w:val="16"/>
                <w:lang w:val="en-US"/>
              </w:rPr>
              <w:t>D95</w:t>
            </w:r>
            <w:r w:rsidRPr="003B69C4">
              <w:rPr>
                <w:rFonts w:ascii="Times New Roman" w:hAnsi="Times New Roman"/>
                <w:sz w:val="16"/>
                <w:szCs w:val="16"/>
                <w:lang w:val="uk-UA"/>
              </w:rPr>
              <w:t>+, %</w:t>
            </w:r>
          </w:p>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en-US"/>
              </w:rPr>
            </w:pPr>
          </w:p>
        </w:tc>
        <w:tc>
          <w:tcPr>
            <w:tcW w:w="1129" w:type="dxa"/>
            <w:vAlign w:val="center"/>
          </w:tcPr>
          <w:p w:rsidR="00D57E30" w:rsidRPr="003B69C4" w:rsidRDefault="00D57E30" w:rsidP="00892298">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8,56±0,65</w:t>
            </w:r>
          </w:p>
        </w:tc>
        <w:tc>
          <w:tcPr>
            <w:tcW w:w="1123" w:type="dxa"/>
          </w:tcPr>
          <w:p w:rsidR="00D57E30" w:rsidRPr="003B69C4" w:rsidRDefault="00D57E30" w:rsidP="00FD0856">
            <w:pPr>
              <w:jc w:val="center"/>
              <w:rPr>
                <w:sz w:val="16"/>
                <w:szCs w:val="16"/>
              </w:rPr>
            </w:pPr>
            <w:r w:rsidRPr="003B69C4">
              <w:rPr>
                <w:rFonts w:ascii="Times New Roman" w:hAnsi="Times New Roman"/>
                <w:sz w:val="16"/>
                <w:szCs w:val="16"/>
                <w:lang w:val="uk-UA"/>
              </w:rPr>
              <w:t>6,42±0,45</w:t>
            </w:r>
            <w:r w:rsidRPr="003B69C4">
              <w:rPr>
                <w:rFonts w:ascii="Times New Roman" w:hAnsi="Times New Roman"/>
                <w:sz w:val="16"/>
                <w:szCs w:val="16"/>
                <w:vertAlign w:val="superscript"/>
                <w:lang w:val="uk-UA"/>
              </w:rPr>
              <w:t>1</w:t>
            </w:r>
          </w:p>
        </w:tc>
        <w:tc>
          <w:tcPr>
            <w:tcW w:w="1117" w:type="dxa"/>
          </w:tcPr>
          <w:p w:rsidR="00D57E30" w:rsidRPr="003B69C4" w:rsidRDefault="00D57E30" w:rsidP="00FD0856">
            <w:pPr>
              <w:jc w:val="center"/>
              <w:rPr>
                <w:sz w:val="16"/>
                <w:szCs w:val="16"/>
              </w:rPr>
            </w:pPr>
            <w:r w:rsidRPr="003B69C4">
              <w:rPr>
                <w:rFonts w:ascii="Times New Roman" w:hAnsi="Times New Roman"/>
                <w:sz w:val="16"/>
                <w:szCs w:val="16"/>
                <w:lang w:val="uk-UA"/>
              </w:rPr>
              <w:t>5,36±0,75</w:t>
            </w:r>
            <w:r w:rsidRPr="003B69C4">
              <w:rPr>
                <w:rFonts w:ascii="Times New Roman" w:hAnsi="Times New Roman"/>
                <w:sz w:val="16"/>
                <w:szCs w:val="16"/>
                <w:vertAlign w:val="superscript"/>
                <w:lang w:val="uk-UA"/>
              </w:rPr>
              <w:t>1</w:t>
            </w:r>
          </w:p>
        </w:tc>
        <w:tc>
          <w:tcPr>
            <w:tcW w:w="1167" w:type="dxa"/>
          </w:tcPr>
          <w:p w:rsidR="00D57E30" w:rsidRPr="003B69C4" w:rsidRDefault="00D57E30" w:rsidP="00FD0856">
            <w:pPr>
              <w:jc w:val="center"/>
              <w:rPr>
                <w:sz w:val="16"/>
                <w:szCs w:val="16"/>
              </w:rPr>
            </w:pPr>
            <w:r w:rsidRPr="003B69C4">
              <w:rPr>
                <w:rFonts w:ascii="Times New Roman" w:hAnsi="Times New Roman"/>
                <w:sz w:val="16"/>
                <w:szCs w:val="16"/>
                <w:lang w:val="uk-UA"/>
              </w:rPr>
              <w:t>4,73±0,32</w:t>
            </w:r>
          </w:p>
        </w:tc>
        <w:tc>
          <w:tcPr>
            <w:tcW w:w="996" w:type="dxa"/>
            <w:vAlign w:val="center"/>
          </w:tcPr>
          <w:p w:rsidR="00D57E30" w:rsidRPr="003B69C4" w:rsidRDefault="00D57E30" w:rsidP="00F10A3F">
            <w:pPr>
              <w:widowControl w:val="0"/>
              <w:autoSpaceDE w:val="0"/>
              <w:autoSpaceDN w:val="0"/>
              <w:adjustRightInd w:val="0"/>
              <w:spacing w:after="0" w:line="240" w:lineRule="auto"/>
              <w:jc w:val="center"/>
              <w:rPr>
                <w:rFonts w:ascii="Times New Roman" w:hAnsi="Times New Roman"/>
                <w:sz w:val="16"/>
                <w:szCs w:val="16"/>
                <w:lang w:val="uk-UA"/>
              </w:rPr>
            </w:pPr>
            <w:r w:rsidRPr="003B69C4">
              <w:rPr>
                <w:rFonts w:ascii="Times New Roman" w:hAnsi="Times New Roman"/>
                <w:sz w:val="16"/>
                <w:szCs w:val="16"/>
                <w:lang w:val="uk-UA"/>
              </w:rPr>
              <w:t>3,54±0,09</w:t>
            </w:r>
          </w:p>
        </w:tc>
      </w:tr>
    </w:tbl>
    <w:p w:rsidR="00D57E30" w:rsidRPr="00EC45B2" w:rsidRDefault="00D57E30" w:rsidP="00892298">
      <w:pPr>
        <w:widowControl w:val="0"/>
        <w:autoSpaceDE w:val="0"/>
        <w:autoSpaceDN w:val="0"/>
        <w:adjustRightInd w:val="0"/>
        <w:spacing w:after="0" w:line="240" w:lineRule="auto"/>
        <w:jc w:val="both"/>
        <w:rPr>
          <w:rFonts w:ascii="Times New Roman" w:hAnsi="Times New Roman"/>
          <w:sz w:val="18"/>
          <w:szCs w:val="18"/>
          <w:lang w:val="uk-UA"/>
        </w:rPr>
      </w:pPr>
      <w:r w:rsidRPr="00EC45B2">
        <w:rPr>
          <w:rFonts w:ascii="Times New Roman" w:hAnsi="Times New Roman"/>
          <w:sz w:val="18"/>
          <w:szCs w:val="18"/>
          <w:lang w:val="uk-UA"/>
        </w:rPr>
        <w:t xml:space="preserve">Примітка. </w:t>
      </w:r>
      <w:r w:rsidRPr="00EC45B2">
        <w:rPr>
          <w:rFonts w:ascii="Times New Roman" w:hAnsi="Times New Roman"/>
          <w:sz w:val="18"/>
          <w:szCs w:val="18"/>
          <w:vertAlign w:val="superscript"/>
          <w:lang w:val="uk-UA"/>
        </w:rPr>
        <w:t>1</w:t>
      </w:r>
      <w:r w:rsidRPr="00EC45B2">
        <w:rPr>
          <w:rFonts w:ascii="Times New Roman" w:hAnsi="Times New Roman"/>
          <w:sz w:val="18"/>
          <w:szCs w:val="18"/>
          <w:lang w:val="uk-UA"/>
        </w:rPr>
        <w:t xml:space="preserve"> – вірогідна різниця від аналогічного показника здорових донорів (р</w:t>
      </w:r>
      <w:r w:rsidRPr="00EC45B2">
        <w:rPr>
          <w:rFonts w:ascii="Times New Roman" w:hAnsi="Times New Roman"/>
          <w:sz w:val="18"/>
          <w:szCs w:val="18"/>
        </w:rPr>
        <w:t>&lt;0,05)</w:t>
      </w:r>
      <w:r w:rsidRPr="00EC45B2">
        <w:rPr>
          <w:rFonts w:ascii="Times New Roman" w:hAnsi="Times New Roman"/>
          <w:sz w:val="18"/>
          <w:szCs w:val="18"/>
          <w:lang w:val="uk-UA"/>
        </w:rPr>
        <w:t xml:space="preserve">  </w:t>
      </w:r>
    </w:p>
    <w:p w:rsidR="00D57E30" w:rsidRPr="006F743A" w:rsidRDefault="00D57E30" w:rsidP="00A8041A">
      <w:pPr>
        <w:spacing w:after="0" w:line="360" w:lineRule="auto"/>
        <w:ind w:firstLine="709"/>
        <w:jc w:val="both"/>
        <w:rPr>
          <w:rFonts w:ascii="Times New Roman" w:hAnsi="Times New Roman"/>
          <w:sz w:val="24"/>
          <w:szCs w:val="24"/>
          <w:lang w:val="uk-UA"/>
        </w:rPr>
      </w:pPr>
    </w:p>
    <w:p w:rsidR="00D57E30" w:rsidRPr="00EC45B2" w:rsidRDefault="00D57E30" w:rsidP="00EC45B2">
      <w:pPr>
        <w:spacing w:after="0" w:line="240" w:lineRule="auto"/>
        <w:rPr>
          <w:rFonts w:ascii="Times New Roman" w:hAnsi="Times New Roman"/>
          <w:b/>
          <w:sz w:val="20"/>
          <w:szCs w:val="20"/>
          <w:lang w:val="uk-UA"/>
        </w:rPr>
      </w:pPr>
      <w:r w:rsidRPr="00EC45B2">
        <w:rPr>
          <w:rFonts w:ascii="Times New Roman" w:hAnsi="Times New Roman"/>
          <w:b/>
          <w:sz w:val="20"/>
          <w:szCs w:val="20"/>
          <w:lang w:val="uk-UA"/>
        </w:rPr>
        <w:t>Список літератури:</w:t>
      </w:r>
    </w:p>
    <w:p w:rsidR="00D57E30" w:rsidRPr="00EC45B2" w:rsidRDefault="00D57E30" w:rsidP="00EC45B2">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rPr>
        <w:t xml:space="preserve">1. </w:t>
      </w:r>
      <w:r w:rsidRPr="00EC45B2">
        <w:rPr>
          <w:rFonts w:ascii="Times New Roman" w:hAnsi="Times New Roman"/>
          <w:w w:val="110"/>
          <w:sz w:val="20"/>
          <w:szCs w:val="20"/>
          <w:lang w:val="uk-UA"/>
        </w:rPr>
        <w:t xml:space="preserve">Дащук А.М. </w:t>
      </w:r>
      <w:r w:rsidRPr="00EC45B2">
        <w:rPr>
          <w:rFonts w:ascii="Times New Roman" w:hAnsi="Times New Roman"/>
          <w:w w:val="110"/>
          <w:sz w:val="20"/>
          <w:szCs w:val="20"/>
        </w:rPr>
        <w:t>Кожные болезни.</w:t>
      </w:r>
      <w:r w:rsidRPr="00EC45B2">
        <w:rPr>
          <w:rFonts w:ascii="Times New Roman" w:hAnsi="Times New Roman"/>
          <w:w w:val="110"/>
          <w:sz w:val="20"/>
          <w:szCs w:val="20"/>
          <w:lang w:val="uk-UA"/>
        </w:rPr>
        <w:t xml:space="preserve"> Монография. – Х., Изд-во «С.А.М.», 2012 – 204с.</w:t>
      </w:r>
    </w:p>
    <w:p w:rsidR="00D57E30" w:rsidRPr="00EC45B2" w:rsidRDefault="00D57E30" w:rsidP="00EC45B2">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rPr>
        <w:t xml:space="preserve">2. </w:t>
      </w:r>
      <w:r w:rsidRPr="00EC45B2">
        <w:rPr>
          <w:rFonts w:ascii="Times New Roman" w:hAnsi="Times New Roman"/>
          <w:w w:val="110"/>
          <w:sz w:val="20"/>
          <w:szCs w:val="20"/>
          <w:lang w:val="uk-UA"/>
        </w:rPr>
        <w:t>Дерматовенерологія / За редакцією В.П. Федотова, А.Д. Дюдюна, В.І.Степаненка. Дніпропетровськ-Київ.: «СВИДЛЕР А.Л.» 2008; 600-470</w:t>
      </w:r>
    </w:p>
    <w:p w:rsidR="00D57E30" w:rsidRPr="00EC45B2" w:rsidRDefault="00D57E30" w:rsidP="00EC45B2">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lang w:val="uk-UA"/>
        </w:rPr>
        <w:t xml:space="preserve">3. </w:t>
      </w:r>
      <w:r w:rsidRPr="00EC45B2">
        <w:rPr>
          <w:rFonts w:ascii="Times New Roman" w:hAnsi="Times New Roman"/>
          <w:w w:val="110"/>
          <w:sz w:val="20"/>
          <w:szCs w:val="20"/>
          <w:lang w:val="en-US"/>
        </w:rPr>
        <w:t>Griffiths C.E., Barker J.N. Pathogenesis and clinical features of psoriasis. Lancet 2007; 370: 263-271.</w:t>
      </w:r>
      <w:r w:rsidRPr="00EC45B2">
        <w:rPr>
          <w:rFonts w:ascii="Times New Roman" w:hAnsi="Times New Roman"/>
          <w:w w:val="110"/>
          <w:sz w:val="20"/>
          <w:szCs w:val="20"/>
          <w:lang w:val="uk-UA"/>
        </w:rPr>
        <w:t xml:space="preserve"> </w:t>
      </w:r>
    </w:p>
    <w:p w:rsidR="00D57E30" w:rsidRPr="00EC45B2" w:rsidRDefault="00D57E30" w:rsidP="00EC45B2">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lang w:val="uk-UA"/>
        </w:rPr>
        <w:t xml:space="preserve">4. </w:t>
      </w:r>
      <w:r w:rsidRPr="00EC45B2">
        <w:rPr>
          <w:rFonts w:ascii="Times New Roman" w:hAnsi="Times New Roman"/>
          <w:w w:val="110"/>
          <w:sz w:val="20"/>
          <w:szCs w:val="20"/>
          <w:lang w:val="en-US"/>
        </w:rPr>
        <w:t>Lowes M.A. Pathogenesis and therapy of psoriasis. Nature 2007; 445: 22: 866-872.</w:t>
      </w:r>
    </w:p>
    <w:p w:rsidR="00D57E30" w:rsidRPr="00EC45B2" w:rsidRDefault="00D57E30" w:rsidP="00EC45B2">
      <w:pPr>
        <w:spacing w:after="0" w:line="240" w:lineRule="auto"/>
        <w:jc w:val="both"/>
        <w:rPr>
          <w:rFonts w:ascii="Times New Roman" w:hAnsi="Times New Roman"/>
          <w:w w:val="110"/>
          <w:sz w:val="20"/>
          <w:szCs w:val="20"/>
        </w:rPr>
      </w:pPr>
      <w:r w:rsidRPr="00EC45B2">
        <w:rPr>
          <w:rFonts w:ascii="Times New Roman" w:hAnsi="Times New Roman"/>
          <w:w w:val="110"/>
          <w:sz w:val="20"/>
          <w:szCs w:val="20"/>
          <w:lang w:val="uk-UA"/>
        </w:rPr>
        <w:t>5. Клиническая дерматовенерология/ Под ред. Ю.К. Скрипкина, Ю.С. Бутова</w:t>
      </w:r>
      <w:r w:rsidRPr="00EC45B2">
        <w:rPr>
          <w:rFonts w:ascii="Times New Roman" w:hAnsi="Times New Roman"/>
          <w:w w:val="110"/>
          <w:sz w:val="20"/>
          <w:szCs w:val="20"/>
        </w:rPr>
        <w:t xml:space="preserve">. М.: ГЭОТАР-Медиа 2009; </w:t>
      </w:r>
      <w:r w:rsidRPr="00EC45B2">
        <w:rPr>
          <w:rFonts w:ascii="Times New Roman" w:hAnsi="Times New Roman"/>
          <w:w w:val="110"/>
          <w:sz w:val="20"/>
          <w:szCs w:val="20"/>
          <w:lang w:val="en-US"/>
        </w:rPr>
        <w:t>II</w:t>
      </w:r>
      <w:r w:rsidRPr="00EC45B2">
        <w:rPr>
          <w:rFonts w:ascii="Times New Roman" w:hAnsi="Times New Roman"/>
          <w:w w:val="110"/>
          <w:sz w:val="20"/>
          <w:szCs w:val="20"/>
        </w:rPr>
        <w:t>: 8: 212-33.</w:t>
      </w:r>
    </w:p>
    <w:p w:rsidR="00D57E30" w:rsidRPr="00EC45B2" w:rsidRDefault="00D57E30" w:rsidP="00EC45B2">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lang w:val="uk-UA"/>
        </w:rPr>
        <w:t>6. Хаитов Р.М., Пинегин Б.В. Вторичные иммунодефициты: клиника, диагностика, лечение. // Иммунология.- 1999.- №1.- С. 14-17.</w:t>
      </w:r>
    </w:p>
    <w:p w:rsidR="00D57E30" w:rsidRPr="00EC45B2" w:rsidRDefault="00D57E30" w:rsidP="00EC45B2">
      <w:pPr>
        <w:spacing w:after="0" w:line="240" w:lineRule="auto"/>
        <w:jc w:val="both"/>
        <w:rPr>
          <w:rFonts w:ascii="Times New Roman" w:hAnsi="Times New Roman"/>
          <w:w w:val="110"/>
          <w:sz w:val="20"/>
          <w:szCs w:val="20"/>
          <w:lang w:val="en-US"/>
        </w:rPr>
      </w:pPr>
      <w:r w:rsidRPr="00EC45B2">
        <w:rPr>
          <w:rFonts w:ascii="Times New Roman" w:hAnsi="Times New Roman"/>
          <w:w w:val="110"/>
          <w:sz w:val="20"/>
          <w:szCs w:val="20"/>
          <w:lang w:val="uk-UA"/>
        </w:rPr>
        <w:t>7</w:t>
      </w:r>
      <w:r w:rsidRPr="00EC45B2">
        <w:rPr>
          <w:rFonts w:ascii="Times New Roman" w:hAnsi="Times New Roman"/>
          <w:w w:val="110"/>
          <w:sz w:val="20"/>
          <w:szCs w:val="20"/>
          <w:lang w:val="en-US"/>
        </w:rPr>
        <w:t>. Nestle F.O. Psoriasis. Curr Dir Autuimmun 2008; 10: 65-75.</w:t>
      </w:r>
    </w:p>
    <w:p w:rsidR="00D57E30" w:rsidRPr="00EC45B2" w:rsidRDefault="00D57E30" w:rsidP="00EC45B2">
      <w:pPr>
        <w:spacing w:after="0" w:line="240" w:lineRule="auto"/>
        <w:jc w:val="both"/>
        <w:rPr>
          <w:rFonts w:ascii="Times New Roman" w:hAnsi="Times New Roman"/>
          <w:w w:val="110"/>
          <w:sz w:val="20"/>
          <w:szCs w:val="20"/>
          <w:lang w:val="en-US"/>
        </w:rPr>
      </w:pPr>
      <w:r w:rsidRPr="00EC45B2">
        <w:rPr>
          <w:rFonts w:ascii="Times New Roman" w:hAnsi="Times New Roman"/>
          <w:w w:val="110"/>
          <w:sz w:val="20"/>
          <w:szCs w:val="20"/>
          <w:lang w:val="uk-UA"/>
        </w:rPr>
        <w:t>8</w:t>
      </w:r>
      <w:r w:rsidRPr="00EC45B2">
        <w:rPr>
          <w:rFonts w:ascii="Times New Roman" w:hAnsi="Times New Roman"/>
          <w:w w:val="110"/>
          <w:sz w:val="20"/>
          <w:szCs w:val="20"/>
          <w:lang w:val="en-US"/>
        </w:rPr>
        <w:t>. Tang Q., Bluestone J.A. The Foxp3+ regulatory T cell: a jack of all trades, master of regulation. Nat. Immunol 2008; 9(3): 239-44.</w:t>
      </w:r>
    </w:p>
    <w:p w:rsidR="00D57E30" w:rsidRPr="00EC45B2" w:rsidRDefault="00D57E30" w:rsidP="00EC45B2">
      <w:pPr>
        <w:spacing w:after="0" w:line="240" w:lineRule="auto"/>
        <w:jc w:val="both"/>
        <w:rPr>
          <w:rFonts w:ascii="Times New Roman" w:hAnsi="Times New Roman"/>
          <w:sz w:val="20"/>
          <w:szCs w:val="20"/>
          <w:lang w:val="en-US"/>
        </w:rPr>
      </w:pPr>
    </w:p>
    <w:p w:rsidR="00D57E30" w:rsidRPr="00EC45B2" w:rsidRDefault="00D57E30" w:rsidP="006F420C">
      <w:pPr>
        <w:spacing w:after="0" w:line="240" w:lineRule="auto"/>
        <w:jc w:val="both"/>
        <w:rPr>
          <w:rFonts w:ascii="Times New Roman" w:hAnsi="Times New Roman"/>
          <w:sz w:val="20"/>
          <w:szCs w:val="20"/>
          <w:lang w:val="en-US"/>
        </w:rPr>
      </w:pPr>
    </w:p>
    <w:p w:rsidR="00D57E30" w:rsidRPr="00EC45B2" w:rsidRDefault="00D57E30" w:rsidP="006F420C">
      <w:pPr>
        <w:spacing w:after="0" w:line="240" w:lineRule="auto"/>
        <w:jc w:val="both"/>
        <w:rPr>
          <w:rFonts w:ascii="Times New Roman" w:hAnsi="Times New Roman"/>
          <w:b/>
          <w:caps/>
          <w:w w:val="110"/>
          <w:sz w:val="20"/>
          <w:szCs w:val="20"/>
        </w:rPr>
      </w:pPr>
      <w:r w:rsidRPr="00EC45B2">
        <w:rPr>
          <w:rFonts w:ascii="Times New Roman" w:hAnsi="Times New Roman"/>
          <w:b/>
          <w:caps/>
          <w:w w:val="110"/>
          <w:sz w:val="20"/>
          <w:szCs w:val="20"/>
          <w:lang w:val="uk-UA"/>
        </w:rPr>
        <w:t>Изучение иммунного звена у больных псориазом</w:t>
      </w:r>
    </w:p>
    <w:p w:rsidR="00D57E30" w:rsidRPr="00EC45B2" w:rsidRDefault="00D57E30" w:rsidP="006F420C">
      <w:pPr>
        <w:spacing w:after="0" w:line="240" w:lineRule="auto"/>
        <w:jc w:val="both"/>
        <w:rPr>
          <w:rFonts w:ascii="Times New Roman" w:hAnsi="Times New Roman"/>
          <w:i/>
          <w:w w:val="110"/>
          <w:sz w:val="20"/>
          <w:szCs w:val="20"/>
        </w:rPr>
      </w:pPr>
      <w:r w:rsidRPr="00EC45B2">
        <w:rPr>
          <w:rFonts w:ascii="Times New Roman" w:hAnsi="Times New Roman"/>
          <w:i/>
          <w:w w:val="110"/>
          <w:sz w:val="20"/>
          <w:szCs w:val="20"/>
        </w:rPr>
        <w:t>Добржанская Е.И.</w:t>
      </w:r>
    </w:p>
    <w:p w:rsidR="00D57E30" w:rsidRPr="00EC45B2" w:rsidRDefault="00D57E30" w:rsidP="006F420C">
      <w:pPr>
        <w:spacing w:after="0" w:line="240" w:lineRule="auto"/>
        <w:jc w:val="both"/>
        <w:rPr>
          <w:rFonts w:ascii="Times New Roman" w:hAnsi="Times New Roman"/>
          <w:w w:val="110"/>
          <w:sz w:val="20"/>
          <w:szCs w:val="20"/>
          <w:lang w:val="en-US"/>
        </w:rPr>
      </w:pPr>
      <w:r w:rsidRPr="00EC45B2">
        <w:rPr>
          <w:rFonts w:ascii="Times New Roman" w:hAnsi="Times New Roman"/>
          <w:w w:val="110"/>
          <w:sz w:val="20"/>
          <w:szCs w:val="20"/>
        </w:rPr>
        <w:t xml:space="preserve">Изучены изменения состояния иммунного статуса у </w:t>
      </w:r>
      <w:r w:rsidRPr="00EC45B2">
        <w:rPr>
          <w:rFonts w:ascii="Times New Roman" w:hAnsi="Times New Roman"/>
          <w:w w:val="110"/>
          <w:sz w:val="20"/>
          <w:szCs w:val="20"/>
          <w:lang w:val="uk-UA"/>
        </w:rPr>
        <w:t>46</w:t>
      </w:r>
      <w:r w:rsidRPr="00EC45B2">
        <w:rPr>
          <w:rFonts w:ascii="Times New Roman" w:hAnsi="Times New Roman"/>
          <w:w w:val="110"/>
          <w:sz w:val="20"/>
          <w:szCs w:val="20"/>
        </w:rPr>
        <w:t xml:space="preserve"> больных псориазом в динамике комплексного лечения, включающего назначение даларгина и амизона. Осуществляли</w:t>
      </w:r>
      <w:r w:rsidRPr="00EC45B2">
        <w:rPr>
          <w:rFonts w:ascii="Times New Roman" w:hAnsi="Times New Roman"/>
          <w:w w:val="110"/>
          <w:sz w:val="20"/>
          <w:szCs w:val="20"/>
          <w:lang w:val="en-US"/>
        </w:rPr>
        <w:t xml:space="preserve"> </w:t>
      </w:r>
      <w:r w:rsidRPr="00EC45B2">
        <w:rPr>
          <w:rFonts w:ascii="Times New Roman" w:hAnsi="Times New Roman"/>
          <w:w w:val="110"/>
          <w:sz w:val="20"/>
          <w:szCs w:val="20"/>
        </w:rPr>
        <w:t>анализ</w:t>
      </w:r>
      <w:r w:rsidRPr="00EC45B2">
        <w:rPr>
          <w:rFonts w:ascii="Times New Roman" w:hAnsi="Times New Roman"/>
          <w:w w:val="110"/>
          <w:sz w:val="20"/>
          <w:szCs w:val="20"/>
          <w:lang w:val="en-US"/>
        </w:rPr>
        <w:t xml:space="preserve"> </w:t>
      </w:r>
      <w:r w:rsidRPr="00EC45B2">
        <w:rPr>
          <w:rFonts w:ascii="Times New Roman" w:hAnsi="Times New Roman"/>
          <w:w w:val="110"/>
          <w:sz w:val="20"/>
          <w:szCs w:val="20"/>
        </w:rPr>
        <w:t>эффективности</w:t>
      </w:r>
      <w:r w:rsidRPr="00EC45B2">
        <w:rPr>
          <w:rFonts w:ascii="Times New Roman" w:hAnsi="Times New Roman"/>
          <w:w w:val="110"/>
          <w:sz w:val="20"/>
          <w:szCs w:val="20"/>
          <w:lang w:val="en-US"/>
        </w:rPr>
        <w:t xml:space="preserve"> </w:t>
      </w:r>
      <w:r w:rsidRPr="00EC45B2">
        <w:rPr>
          <w:rFonts w:ascii="Times New Roman" w:hAnsi="Times New Roman"/>
          <w:w w:val="110"/>
          <w:sz w:val="20"/>
          <w:szCs w:val="20"/>
        </w:rPr>
        <w:t>этого</w:t>
      </w:r>
      <w:r w:rsidRPr="00EC45B2">
        <w:rPr>
          <w:rFonts w:ascii="Times New Roman" w:hAnsi="Times New Roman"/>
          <w:w w:val="110"/>
          <w:sz w:val="20"/>
          <w:szCs w:val="20"/>
          <w:lang w:val="en-US"/>
        </w:rPr>
        <w:t xml:space="preserve"> </w:t>
      </w:r>
      <w:r w:rsidRPr="00EC45B2">
        <w:rPr>
          <w:rFonts w:ascii="Times New Roman" w:hAnsi="Times New Roman"/>
          <w:w w:val="110"/>
          <w:sz w:val="20"/>
          <w:szCs w:val="20"/>
        </w:rPr>
        <w:t>лечения</w:t>
      </w:r>
      <w:r w:rsidRPr="00EC45B2">
        <w:rPr>
          <w:rFonts w:ascii="Times New Roman" w:hAnsi="Times New Roman"/>
          <w:w w:val="110"/>
          <w:sz w:val="20"/>
          <w:szCs w:val="20"/>
          <w:lang w:val="en-US"/>
        </w:rPr>
        <w:t>.</w:t>
      </w:r>
    </w:p>
    <w:p w:rsidR="00D57E30" w:rsidRPr="006F420C" w:rsidRDefault="00D57E30" w:rsidP="006F420C">
      <w:pPr>
        <w:spacing w:after="0" w:line="240" w:lineRule="auto"/>
        <w:jc w:val="both"/>
        <w:rPr>
          <w:rFonts w:ascii="Times New Roman" w:hAnsi="Times New Roman"/>
          <w:b/>
          <w:caps/>
          <w:sz w:val="20"/>
          <w:szCs w:val="20"/>
          <w:lang w:val="en-US"/>
        </w:rPr>
      </w:pPr>
      <w:r w:rsidRPr="006F420C">
        <w:rPr>
          <w:rFonts w:ascii="Times New Roman" w:hAnsi="Times New Roman"/>
          <w:b/>
          <w:caps/>
          <w:sz w:val="20"/>
          <w:szCs w:val="20"/>
          <w:lang w:val="en-US"/>
        </w:rPr>
        <w:t>Study of immunity in the patients with psoriasis</w:t>
      </w:r>
    </w:p>
    <w:p w:rsidR="00D57E30" w:rsidRPr="00EC45B2" w:rsidRDefault="00D57E30" w:rsidP="006F420C">
      <w:pPr>
        <w:spacing w:after="0" w:line="240" w:lineRule="auto"/>
        <w:jc w:val="both"/>
        <w:rPr>
          <w:rFonts w:ascii="Times New Roman" w:hAnsi="Times New Roman"/>
          <w:i/>
          <w:w w:val="110"/>
          <w:sz w:val="20"/>
          <w:szCs w:val="20"/>
          <w:lang w:val="en-US"/>
        </w:rPr>
      </w:pPr>
      <w:r w:rsidRPr="00EC45B2">
        <w:rPr>
          <w:rFonts w:ascii="Times New Roman" w:hAnsi="Times New Roman"/>
          <w:i/>
          <w:w w:val="110"/>
          <w:sz w:val="20"/>
          <w:szCs w:val="20"/>
          <w:lang w:val="en-US"/>
        </w:rPr>
        <w:t>Dobrzhanska Yevgeniya</w:t>
      </w:r>
    </w:p>
    <w:p w:rsidR="00D57E30" w:rsidRPr="00EC45B2" w:rsidRDefault="00D57E30" w:rsidP="006F420C">
      <w:pPr>
        <w:spacing w:after="0" w:line="240" w:lineRule="auto"/>
        <w:jc w:val="both"/>
        <w:rPr>
          <w:rFonts w:ascii="Times New Roman" w:hAnsi="Times New Roman"/>
          <w:w w:val="110"/>
          <w:sz w:val="20"/>
          <w:szCs w:val="20"/>
          <w:lang w:val="uk-UA"/>
        </w:rPr>
      </w:pPr>
      <w:r w:rsidRPr="00EC45B2">
        <w:rPr>
          <w:rFonts w:ascii="Times New Roman" w:hAnsi="Times New Roman"/>
          <w:w w:val="110"/>
          <w:sz w:val="20"/>
          <w:szCs w:val="20"/>
          <w:lang w:val="en-US"/>
        </w:rPr>
        <w:t xml:space="preserve">Changes in the immune status were studied in </w:t>
      </w:r>
      <w:r w:rsidRPr="00EC45B2">
        <w:rPr>
          <w:rFonts w:ascii="Times New Roman" w:hAnsi="Times New Roman"/>
          <w:w w:val="110"/>
          <w:sz w:val="20"/>
          <w:szCs w:val="20"/>
          <w:lang w:val="uk-UA"/>
        </w:rPr>
        <w:t>46</w:t>
      </w:r>
      <w:r w:rsidRPr="00EC45B2">
        <w:rPr>
          <w:rFonts w:ascii="Times New Roman" w:hAnsi="Times New Roman"/>
          <w:w w:val="110"/>
          <w:sz w:val="20"/>
          <w:szCs w:val="20"/>
          <w:lang w:val="en-US"/>
        </w:rPr>
        <w:t xml:space="preserve"> patients with psoriasis during complex therapy, including the administration of dalargin and amizonum. The efficiency of this treatment was also evaluated.</w:t>
      </w:r>
    </w:p>
    <w:p w:rsidR="00D57E30" w:rsidRPr="006F743A" w:rsidRDefault="00D57E30" w:rsidP="006F420C">
      <w:pPr>
        <w:spacing w:after="0" w:line="240" w:lineRule="auto"/>
        <w:jc w:val="both"/>
        <w:rPr>
          <w:rFonts w:ascii="Times New Roman" w:hAnsi="Times New Roman"/>
          <w:sz w:val="24"/>
          <w:szCs w:val="24"/>
          <w:lang w:val="uk-UA"/>
        </w:rPr>
      </w:pPr>
    </w:p>
    <w:p w:rsidR="00D57E30" w:rsidRPr="006F743A" w:rsidRDefault="00D57E30" w:rsidP="00CE1886">
      <w:pPr>
        <w:spacing w:after="0" w:line="360" w:lineRule="auto"/>
        <w:jc w:val="both"/>
        <w:rPr>
          <w:rFonts w:ascii="Times New Roman" w:hAnsi="Times New Roman"/>
          <w:sz w:val="24"/>
          <w:szCs w:val="24"/>
          <w:lang w:val="en-US"/>
        </w:rPr>
      </w:pPr>
    </w:p>
    <w:p w:rsidR="00D57E30" w:rsidRPr="006F743A" w:rsidRDefault="00D57E30" w:rsidP="00CE1886">
      <w:pPr>
        <w:spacing w:after="0" w:line="360" w:lineRule="auto"/>
        <w:jc w:val="both"/>
        <w:rPr>
          <w:rFonts w:ascii="Times New Roman" w:hAnsi="Times New Roman"/>
          <w:sz w:val="24"/>
          <w:szCs w:val="24"/>
          <w:lang w:val="en-US"/>
        </w:rPr>
      </w:pPr>
    </w:p>
    <w:p w:rsidR="00D57E30" w:rsidRPr="006F743A" w:rsidRDefault="00D57E30" w:rsidP="00CE1886">
      <w:pPr>
        <w:spacing w:after="0" w:line="360" w:lineRule="auto"/>
        <w:jc w:val="both"/>
        <w:rPr>
          <w:rFonts w:ascii="Times New Roman" w:hAnsi="Times New Roman"/>
          <w:sz w:val="24"/>
          <w:szCs w:val="24"/>
          <w:lang w:val="en-US"/>
        </w:rPr>
      </w:pPr>
    </w:p>
    <w:p w:rsidR="00D57E30" w:rsidRPr="006F743A" w:rsidRDefault="00D57E30" w:rsidP="00CE1886">
      <w:pPr>
        <w:spacing w:after="0" w:line="360" w:lineRule="auto"/>
        <w:jc w:val="both"/>
        <w:rPr>
          <w:rFonts w:ascii="Times New Roman" w:hAnsi="Times New Roman"/>
          <w:sz w:val="24"/>
          <w:szCs w:val="24"/>
          <w:lang w:val="en-US"/>
        </w:rPr>
      </w:pPr>
    </w:p>
    <w:p w:rsidR="00D57E30" w:rsidRPr="006F743A" w:rsidRDefault="00D57E30" w:rsidP="00CE1886">
      <w:pPr>
        <w:spacing w:after="0" w:line="360" w:lineRule="auto"/>
        <w:jc w:val="both"/>
        <w:rPr>
          <w:rFonts w:ascii="Times New Roman" w:hAnsi="Times New Roman"/>
          <w:sz w:val="24"/>
          <w:szCs w:val="24"/>
          <w:lang w:val="en-US"/>
        </w:rPr>
      </w:pPr>
    </w:p>
    <w:p w:rsidR="00D57E30" w:rsidRPr="006F743A" w:rsidRDefault="00D57E30" w:rsidP="00CE1886">
      <w:pPr>
        <w:spacing w:after="0" w:line="360" w:lineRule="auto"/>
        <w:jc w:val="both"/>
        <w:rPr>
          <w:rFonts w:ascii="Times New Roman" w:hAnsi="Times New Roman"/>
          <w:sz w:val="24"/>
          <w:szCs w:val="24"/>
          <w:lang w:val="en-US"/>
        </w:rPr>
      </w:pPr>
    </w:p>
    <w:sectPr w:rsidR="00D57E30" w:rsidRPr="006F743A" w:rsidSect="00EC45B2">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ED"/>
    <w:rsid w:val="00020E95"/>
    <w:rsid w:val="00063AD7"/>
    <w:rsid w:val="00071B3A"/>
    <w:rsid w:val="000B7F25"/>
    <w:rsid w:val="0015412D"/>
    <w:rsid w:val="00173DE5"/>
    <w:rsid w:val="00185BC8"/>
    <w:rsid w:val="001A4F4F"/>
    <w:rsid w:val="001A5413"/>
    <w:rsid w:val="00220C34"/>
    <w:rsid w:val="002305B1"/>
    <w:rsid w:val="0023664E"/>
    <w:rsid w:val="00242B9D"/>
    <w:rsid w:val="00253059"/>
    <w:rsid w:val="00254A8D"/>
    <w:rsid w:val="00256664"/>
    <w:rsid w:val="002F34AC"/>
    <w:rsid w:val="003B69C4"/>
    <w:rsid w:val="003C408C"/>
    <w:rsid w:val="003E5496"/>
    <w:rsid w:val="003F1AA2"/>
    <w:rsid w:val="004B6ADE"/>
    <w:rsid w:val="004E4415"/>
    <w:rsid w:val="0051548F"/>
    <w:rsid w:val="005267A5"/>
    <w:rsid w:val="00555973"/>
    <w:rsid w:val="005A483A"/>
    <w:rsid w:val="005B5E89"/>
    <w:rsid w:val="005E589D"/>
    <w:rsid w:val="005F5B42"/>
    <w:rsid w:val="006251EC"/>
    <w:rsid w:val="006373F1"/>
    <w:rsid w:val="00662FA8"/>
    <w:rsid w:val="006F420C"/>
    <w:rsid w:val="006F743A"/>
    <w:rsid w:val="00717C61"/>
    <w:rsid w:val="0082046D"/>
    <w:rsid w:val="0088733A"/>
    <w:rsid w:val="00892298"/>
    <w:rsid w:val="008D04AB"/>
    <w:rsid w:val="008F7B94"/>
    <w:rsid w:val="009C4BDB"/>
    <w:rsid w:val="00A165B1"/>
    <w:rsid w:val="00A803ED"/>
    <w:rsid w:val="00A8041A"/>
    <w:rsid w:val="00AB67BB"/>
    <w:rsid w:val="00BC66D4"/>
    <w:rsid w:val="00C2344D"/>
    <w:rsid w:val="00C70BC4"/>
    <w:rsid w:val="00C95C54"/>
    <w:rsid w:val="00CE1886"/>
    <w:rsid w:val="00D04C88"/>
    <w:rsid w:val="00D43EC0"/>
    <w:rsid w:val="00D57E30"/>
    <w:rsid w:val="00D77B23"/>
    <w:rsid w:val="00EC45B2"/>
    <w:rsid w:val="00F10A3F"/>
    <w:rsid w:val="00F14AC8"/>
    <w:rsid w:val="00F44427"/>
    <w:rsid w:val="00FD08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54"/>
    <w:pPr>
      <w:spacing w:after="200" w:line="276" w:lineRule="auto"/>
    </w:pPr>
    <w:rPr>
      <w:lang w:eastAsia="en-US"/>
    </w:rPr>
  </w:style>
  <w:style w:type="paragraph" w:styleId="Heading3">
    <w:name w:val="heading 3"/>
    <w:basedOn w:val="Normal"/>
    <w:next w:val="Normal"/>
    <w:link w:val="Heading3Char"/>
    <w:uiPriority w:val="99"/>
    <w:qFormat/>
    <w:rsid w:val="00A8041A"/>
    <w:pPr>
      <w:keepNext/>
      <w:widowControl w:val="0"/>
      <w:autoSpaceDE w:val="0"/>
      <w:autoSpaceDN w:val="0"/>
      <w:adjustRightInd w:val="0"/>
      <w:spacing w:after="0" w:line="360" w:lineRule="auto"/>
      <w:jc w:val="center"/>
      <w:outlineLvl w:val="2"/>
    </w:pPr>
    <w:rPr>
      <w:rFonts w:ascii="Times New Roman" w:eastAsia="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041A"/>
    <w:rPr>
      <w:rFonts w:ascii="Times New Roman" w:hAnsi="Times New Roman" w:cs="Times New Roman"/>
      <w:sz w:val="20"/>
      <w:szCs w:val="20"/>
      <w:lang w:val="uk-UA" w:eastAsia="ru-RU"/>
    </w:rPr>
  </w:style>
  <w:style w:type="paragraph" w:styleId="BodyText">
    <w:name w:val="Body Text"/>
    <w:basedOn w:val="Normal"/>
    <w:link w:val="BodyTextChar"/>
    <w:uiPriority w:val="99"/>
    <w:semiHidden/>
    <w:rsid w:val="00892298"/>
    <w:pPr>
      <w:shd w:val="clear" w:color="auto" w:fill="FFFFFF"/>
      <w:spacing w:after="0" w:line="360" w:lineRule="auto"/>
      <w:jc w:val="center"/>
    </w:pPr>
    <w:rPr>
      <w:rFonts w:ascii="Times New Roman" w:eastAsia="Times New Roman" w:hAnsi="Times New Roman"/>
      <w:b/>
      <w:bCs/>
      <w:sz w:val="28"/>
      <w:szCs w:val="24"/>
      <w:lang w:val="uk-UA" w:eastAsia="ru-RU"/>
    </w:rPr>
  </w:style>
  <w:style w:type="character" w:customStyle="1" w:styleId="BodyTextChar">
    <w:name w:val="Body Text Char"/>
    <w:basedOn w:val="DefaultParagraphFont"/>
    <w:link w:val="BodyText"/>
    <w:uiPriority w:val="99"/>
    <w:semiHidden/>
    <w:locked/>
    <w:rsid w:val="00892298"/>
    <w:rPr>
      <w:rFonts w:ascii="Times New Roman" w:hAnsi="Times New Roman" w:cs="Times New Roman"/>
      <w:b/>
      <w:bCs/>
      <w:sz w:val="24"/>
      <w:szCs w:val="24"/>
      <w:shd w:val="clear" w:color="auto" w:fill="FFFFFF"/>
      <w:lang w:val="uk-UA" w:eastAsia="ru-RU"/>
    </w:rPr>
  </w:style>
  <w:style w:type="paragraph" w:styleId="BodyTextIndent2">
    <w:name w:val="Body Text Indent 2"/>
    <w:basedOn w:val="Normal"/>
    <w:link w:val="BodyTextIndent2Char"/>
    <w:uiPriority w:val="99"/>
    <w:semiHidden/>
    <w:rsid w:val="00D43EC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43E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1498</Words>
  <Characters>8540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Плотникова Светлана</cp:lastModifiedBy>
  <cp:revision>3</cp:revision>
  <dcterms:created xsi:type="dcterms:W3CDTF">2014-04-02T08:11:00Z</dcterms:created>
  <dcterms:modified xsi:type="dcterms:W3CDTF">2014-04-10T07:50:00Z</dcterms:modified>
</cp:coreProperties>
</file>