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E2" w:rsidRPr="004304E9" w:rsidRDefault="00126934">
      <w:r>
        <w:t>УДК:</w:t>
      </w:r>
      <w:r w:rsidR="004304E9">
        <w:t xml:space="preserve"> 616.98:578.891</w:t>
      </w:r>
      <w:r w:rsidR="004304E9" w:rsidRPr="00023F64">
        <w:t>]</w:t>
      </w:r>
      <w:r w:rsidR="004304E9">
        <w:t>–036.12–036.22</w:t>
      </w:r>
    </w:p>
    <w:p w:rsidR="00126934" w:rsidRDefault="00126934" w:rsidP="00126934">
      <w:pPr>
        <w:jc w:val="center"/>
      </w:pPr>
      <w:r>
        <w:t>КЛИНИКО–ЭПИДЕМИОЛОГИЧЕСКИЕ ОСОБЕННОСТИ ХРОНИЧЕСКОГО ГЕПАТИТА С НА СОВРЕМЕННОМ ЭТАПЕ</w:t>
      </w:r>
    </w:p>
    <w:p w:rsidR="00126934" w:rsidRDefault="00126934" w:rsidP="00126934">
      <w:pPr>
        <w:jc w:val="center"/>
      </w:pPr>
      <w:r>
        <w:t>Козько В.Н., Анцыферова Н.В., Соломенник А.О.</w:t>
      </w:r>
    </w:p>
    <w:p w:rsidR="00126934" w:rsidRDefault="00126934" w:rsidP="00126934">
      <w:pPr>
        <w:jc w:val="center"/>
      </w:pPr>
      <w:r>
        <w:t>Харьковский национальный медицинский университет</w:t>
      </w:r>
    </w:p>
    <w:p w:rsidR="004B0464" w:rsidRDefault="004B0464" w:rsidP="0031578F">
      <w:pPr>
        <w:ind w:firstLine="567"/>
      </w:pPr>
      <w:r>
        <w:t xml:space="preserve">Вирусные гепатиты – глобальная проблема медицины, все еще далекая от своего окончательного решения </w:t>
      </w:r>
      <w:r w:rsidRPr="004B0464">
        <w:t>[1]</w:t>
      </w:r>
      <w:r>
        <w:t>. Согласно данным ВОЗ, около 3 % населения Земли инфицировано вирусом гепатита С (</w:t>
      </w:r>
      <w:r>
        <w:rPr>
          <w:lang w:val="en-US"/>
        </w:rPr>
        <w:t>HCV</w:t>
      </w:r>
      <w:r w:rsidR="004A0F27">
        <w:t xml:space="preserve">). </w:t>
      </w:r>
      <w:r w:rsidR="00C627FD">
        <w:t xml:space="preserve">О важности и актуальности очерченной проблемы свидетельствует значительная частота неблагоприятных последствий этого заболевания при достаточно скромных успехах терапии. Ежегодно около 150 млн. человек в мире подвергается риску развития </w:t>
      </w:r>
      <w:r w:rsidR="00C627FD">
        <w:rPr>
          <w:lang w:val="en-US"/>
        </w:rPr>
        <w:t>HCV</w:t>
      </w:r>
      <w:r w:rsidR="00C627FD">
        <w:t xml:space="preserve">-индуцируемого цирроза и / или рака печени. В частности, у 80 % больных острой формой </w:t>
      </w:r>
      <w:r w:rsidR="00C627FD">
        <w:rPr>
          <w:lang w:val="en-US"/>
        </w:rPr>
        <w:t>HCV</w:t>
      </w:r>
      <w:r w:rsidR="00C627FD">
        <w:t xml:space="preserve">-инфекции формируются хронические формы гепатитов, у 40 % – цирроз и у 30 % – </w:t>
      </w:r>
      <w:r w:rsidR="004A0F27">
        <w:t>гепатоцеллюлярная карцинома печени</w:t>
      </w:r>
      <w:r w:rsidR="00F856C9">
        <w:rPr>
          <w:lang w:val="uk-UA"/>
        </w:rPr>
        <w:t xml:space="preserve"> </w:t>
      </w:r>
      <w:r w:rsidR="00F856C9" w:rsidRPr="00F856C9">
        <w:t>[</w:t>
      </w:r>
      <w:r w:rsidR="00F856C9">
        <w:t>2–11</w:t>
      </w:r>
      <w:r w:rsidR="00F856C9" w:rsidRPr="00F856C9">
        <w:t>]</w:t>
      </w:r>
      <w:r w:rsidR="004A0F27">
        <w:t>. По неутешительным прогнозам до 2015 г. ожидается 4-кратное увеличение количества больных хроническим гепатитом С (ХГС). Скрытая пандемия гепатита С в мире не обходит и Украину: по неофициальным данным за последние 10 лет заболеваемость этой инфекцией возросла как минимум в 8 раз</w:t>
      </w:r>
      <w:r w:rsidR="00F856C9">
        <w:t xml:space="preserve"> </w:t>
      </w:r>
      <w:r w:rsidR="00F856C9" w:rsidRPr="00F856C9">
        <w:t>[12, 13]</w:t>
      </w:r>
      <w:r w:rsidR="0031578F">
        <w:t>.</w:t>
      </w:r>
    </w:p>
    <w:p w:rsidR="004C6D10" w:rsidRDefault="001B498B" w:rsidP="004C6D10">
      <w:pPr>
        <w:ind w:firstLine="567"/>
      </w:pPr>
      <w:r>
        <w:t>В настоящее время среди исследователей</w:t>
      </w:r>
      <w:r w:rsidR="0031578F">
        <w:t xml:space="preserve"> существует </w:t>
      </w:r>
      <w:r w:rsidR="00AE6118">
        <w:t xml:space="preserve">много противоречивых данных относительно эпидемиологических аспектов и клинических особенностей ХГС. Много внимания уделяется феномену </w:t>
      </w:r>
      <w:r w:rsidR="00EE649C">
        <w:t>внепеченочных проявлений заболевания, а также их взаимосвязи с давностью инфицирования и сопутствующей патологией пациентов.</w:t>
      </w:r>
      <w:r w:rsidR="004C6D10" w:rsidRPr="004C6D10">
        <w:t xml:space="preserve"> </w:t>
      </w:r>
      <w:r w:rsidR="004C6D10">
        <w:t>Дискутабельными  являются вопросы относительно факторов, способствующих хронизации инфекционного процесса</w:t>
      </w:r>
      <w:r w:rsidR="00F856C9" w:rsidRPr="00F856C9">
        <w:t xml:space="preserve"> [14–19]</w:t>
      </w:r>
      <w:r w:rsidR="004C6D10">
        <w:t xml:space="preserve">. </w:t>
      </w:r>
    </w:p>
    <w:p w:rsidR="004C6D10" w:rsidRPr="001B498B" w:rsidRDefault="001B498B" w:rsidP="004C6D10">
      <w:pPr>
        <w:ind w:firstLine="567"/>
      </w:pPr>
      <w:r>
        <w:t xml:space="preserve">Согласно данным литературы группы риска по инфицированию </w:t>
      </w:r>
      <w:r>
        <w:rPr>
          <w:lang w:val="en-US"/>
        </w:rPr>
        <w:t>HCV</w:t>
      </w:r>
      <w:r>
        <w:t xml:space="preserve">-инфекцией представлены следующим образом: пациенты с вирусом иммунодефицита человека (ВИЧ) (53,3 %), пациенты с ВИЧ – потребители </w:t>
      </w:r>
      <w:r>
        <w:lastRenderedPageBreak/>
        <w:t xml:space="preserve">инъекционных наркотиков (83,7 %), инъекционные наркоманы (61,5 %),  </w:t>
      </w:r>
      <w:r w:rsidR="00CD542E">
        <w:t>лица, отбывающие наказание в местах лишения свободы (62,1 %), больные туберкулезом (46,7 %), работники секс-индустрии (30,8 %), больные венерическими заболеваниями (13,2 %), медицинские работники (3,3 %), беременные женщины (3,1 %)</w:t>
      </w:r>
      <w:r w:rsidR="00F856C9" w:rsidRPr="00F856C9">
        <w:t xml:space="preserve"> [20–28]</w:t>
      </w:r>
      <w:r w:rsidR="00CD542E">
        <w:t>.</w:t>
      </w:r>
      <w:r w:rsidR="001322E3">
        <w:t xml:space="preserve"> Однако, эти достаточно подробные данные отражают эпидемиологическую ситуацию по гепатиту С состоянием на 2009 г. В настоящее время, группы повышенного риска заражения вирусом, частота реализации разных факторов, способствующих передачи возбудителя,  освещены недостаточно полно.</w:t>
      </w:r>
    </w:p>
    <w:p w:rsidR="00424D34" w:rsidRDefault="00EE649C" w:rsidP="0031578F">
      <w:pPr>
        <w:ind w:firstLine="567"/>
      </w:pPr>
      <w:r>
        <w:t xml:space="preserve"> </w:t>
      </w:r>
      <w:r w:rsidR="006F1977">
        <w:t xml:space="preserve">Считается, что </w:t>
      </w:r>
      <w:r>
        <w:rPr>
          <w:lang w:val="en-US"/>
        </w:rPr>
        <w:t>HCV</w:t>
      </w:r>
      <w:r>
        <w:t xml:space="preserve">-инфекции принадлежит особая роль в развитии внепеченочных </w:t>
      </w:r>
      <w:r w:rsidR="004304E9">
        <w:t xml:space="preserve">проявлений, которые по многообразию своего спектра </w:t>
      </w:r>
      <w:r>
        <w:t xml:space="preserve">могут </w:t>
      </w:r>
      <w:r w:rsidR="006F1977">
        <w:t>выражаться</w:t>
      </w:r>
      <w:r w:rsidR="004304E9">
        <w:t xml:space="preserve"> как клинически латентными формами так и яркими синдромами</w:t>
      </w:r>
      <w:r w:rsidR="006F1977">
        <w:t>, в том числе</w:t>
      </w:r>
      <w:r w:rsidR="004304E9">
        <w:t xml:space="preserve"> самостоятельными заболеваниями.</w:t>
      </w:r>
      <w:r w:rsidR="006F1977">
        <w:t xml:space="preserve"> </w:t>
      </w:r>
      <w:r w:rsidR="00C42AF2">
        <w:t xml:space="preserve">К последним относят ревматоидный артрит, узелковый полиартрит, системную красную волчанку, системный склероз, первичный синдром Шегрена, реактивный артрит, гематологические заболевания, сахарный диабет, болезни почек, криоглобулинемию и др. Все чаще высказывается мнение о ведущей роли внепеченочной симптоматики в клинической картине больных ХГС. </w:t>
      </w:r>
      <w:r w:rsidR="004C6D10">
        <w:t xml:space="preserve">В разных странах частота таких проявлений составляет от 38 % до 74 % случаев. </w:t>
      </w:r>
      <w:r w:rsidR="00C42AF2">
        <w:t xml:space="preserve">С другой стороны, </w:t>
      </w:r>
      <w:r w:rsidR="003B6D1F">
        <w:t xml:space="preserve">недопустимо недооценивать классические «убогие» проявления </w:t>
      </w:r>
      <w:r w:rsidR="003B6D1F">
        <w:rPr>
          <w:lang w:val="en-US"/>
        </w:rPr>
        <w:t>HCV</w:t>
      </w:r>
      <w:r w:rsidR="003B6D1F">
        <w:t>-инфекции, которые составляют основу традиционного сценария развития ее хронических форм</w:t>
      </w:r>
      <w:r w:rsidR="00F856C9" w:rsidRPr="00F856C9">
        <w:t xml:space="preserve"> [</w:t>
      </w:r>
      <w:r w:rsidR="00753637">
        <w:t>29</w:t>
      </w:r>
      <w:r w:rsidR="00F856C9">
        <w:t>–</w:t>
      </w:r>
      <w:r w:rsidR="00F856C9" w:rsidRPr="00F856C9">
        <w:t>3</w:t>
      </w:r>
      <w:r w:rsidR="00753637">
        <w:t>5</w:t>
      </w:r>
      <w:r w:rsidR="00F856C9" w:rsidRPr="00F856C9">
        <w:t>]</w:t>
      </w:r>
      <w:r w:rsidR="003B6D1F">
        <w:t>.</w:t>
      </w:r>
      <w:r w:rsidR="00C42AF2">
        <w:t xml:space="preserve"> </w:t>
      </w:r>
    </w:p>
    <w:p w:rsidR="00DD4C1A" w:rsidRDefault="00DD4C1A" w:rsidP="0031578F">
      <w:pPr>
        <w:ind w:firstLine="567"/>
      </w:pPr>
      <w:r>
        <w:t>В связи с вышеизложенным мы посчитали необходимым проанализировать и уточнить эпидемиологические особенности и клиническую картину ХГС на современном этапе в Харьковской области</w:t>
      </w:r>
      <w:r w:rsidR="00C356E3">
        <w:t xml:space="preserve"> на примере пациентов, находившихся на стационарном лечении в КЗОЗ ОКИБ</w:t>
      </w:r>
      <w:r w:rsidR="00BD7A9D">
        <w:t xml:space="preserve"> в период с 2007 по 2011 гг.</w:t>
      </w:r>
      <w:r>
        <w:t>.</w:t>
      </w:r>
    </w:p>
    <w:p w:rsidR="00DD4C1A" w:rsidRDefault="00DD4C1A" w:rsidP="0031578F">
      <w:pPr>
        <w:ind w:firstLine="567"/>
      </w:pPr>
      <w:r>
        <w:t>Для реализации поставленной цели нами было обследовано 206 больных ХГС в стадии обостре</w:t>
      </w:r>
      <w:r w:rsidR="00754AD0">
        <w:t xml:space="preserve">ния, умеренной степени активности (АлАТ від 3 до 10 </w:t>
      </w:r>
      <w:r w:rsidR="00754AD0">
        <w:lastRenderedPageBreak/>
        <w:t>норм). Средний возраст больных составил</w:t>
      </w:r>
      <w:r w:rsidR="00754AD0" w:rsidRPr="001151C6">
        <w:t xml:space="preserve"> 43,8±2,5</w:t>
      </w:r>
      <w:r w:rsidR="00754AD0">
        <w:t xml:space="preserve"> лет. Пациенты были распределены по группам в зависимости от пола и возраста (табл. 1).</w:t>
      </w:r>
    </w:p>
    <w:p w:rsidR="00754AD0" w:rsidRPr="0090449B" w:rsidRDefault="002E5AE2" w:rsidP="00754AD0">
      <w:pPr>
        <w:pStyle w:val="a3"/>
        <w:spacing w:line="360" w:lineRule="auto"/>
        <w:ind w:firstLine="539"/>
        <w:jc w:val="right"/>
        <w:rPr>
          <w:rFonts w:ascii="Times New Roman" w:hAnsi="Times New Roman"/>
          <w:sz w:val="28"/>
          <w:szCs w:val="28"/>
          <w:lang w:val="ru-RU"/>
        </w:rPr>
      </w:pPr>
      <w:r>
        <w:rPr>
          <w:rFonts w:ascii="Times New Roman" w:hAnsi="Times New Roman"/>
          <w:sz w:val="28"/>
          <w:szCs w:val="28"/>
          <w:lang w:val="ru-RU"/>
        </w:rPr>
        <w:t>Таблица</w:t>
      </w:r>
      <w:r w:rsidR="00754AD0" w:rsidRPr="0090449B">
        <w:rPr>
          <w:rFonts w:ascii="Times New Roman" w:hAnsi="Times New Roman"/>
          <w:sz w:val="28"/>
          <w:szCs w:val="28"/>
          <w:lang w:val="ru-RU"/>
        </w:rPr>
        <w:t xml:space="preserve">1         </w:t>
      </w:r>
    </w:p>
    <w:p w:rsidR="00754AD0" w:rsidRDefault="00754AD0" w:rsidP="00754AD0">
      <w:pPr>
        <w:contextualSpacing/>
        <w:jc w:val="center"/>
      </w:pPr>
      <w:r>
        <w:rPr>
          <w:lang w:bidi="en-US"/>
        </w:rPr>
        <w:t>Распределение больных ХГС по возрасту</w:t>
      </w:r>
      <w:r w:rsidRPr="001151C6">
        <w:rPr>
          <w:lang w:bidi="en-US"/>
        </w:rPr>
        <w:t xml:space="preserve"> </w:t>
      </w:r>
      <w:r>
        <w:t>и</w:t>
      </w:r>
      <w:r>
        <w:rPr>
          <w:lang w:bidi="en-US"/>
        </w:rPr>
        <w:t xml:space="preserve"> полу</w:t>
      </w:r>
      <w:r w:rsidRPr="001151C6">
        <w:rPr>
          <w:lang w:bidi="en-US"/>
        </w:rPr>
        <w:t>, абс. ч.</w:t>
      </w:r>
      <w:r>
        <w:rPr>
          <w:lang w:bidi="en-US"/>
        </w:rPr>
        <w:t>,</w:t>
      </w:r>
      <w:r w:rsidRPr="001151C6">
        <w:rPr>
          <w:lang w:bidi="en-US"/>
        </w:rPr>
        <w:t xml:space="preserve"> (%)</w:t>
      </w:r>
      <w:r w:rsidR="002E5AE2">
        <w:rPr>
          <w:lang w:bidi="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9"/>
        <w:gridCol w:w="850"/>
        <w:gridCol w:w="851"/>
        <w:gridCol w:w="850"/>
        <w:gridCol w:w="851"/>
        <w:gridCol w:w="850"/>
        <w:gridCol w:w="709"/>
        <w:gridCol w:w="851"/>
        <w:gridCol w:w="708"/>
        <w:gridCol w:w="851"/>
      </w:tblGrid>
      <w:tr w:rsidR="00754AD0" w:rsidRPr="00754AD0" w:rsidTr="00754AD0">
        <w:trPr>
          <w:cantSplit/>
        </w:trPr>
        <w:tc>
          <w:tcPr>
            <w:tcW w:w="1384" w:type="dxa"/>
            <w:vMerge w:val="restart"/>
            <w:tcBorders>
              <w:bottom w:val="nil"/>
            </w:tcBorders>
            <w:vAlign w:val="center"/>
          </w:tcPr>
          <w:p w:rsidR="00754AD0" w:rsidRPr="00754AD0" w:rsidRDefault="00754AD0" w:rsidP="00754AD0">
            <w:pPr>
              <w:pStyle w:val="a4"/>
              <w:spacing w:after="0"/>
              <w:ind w:left="0"/>
              <w:jc w:val="center"/>
              <w:rPr>
                <w:sz w:val="24"/>
                <w:szCs w:val="24"/>
                <w:lang w:val="ru-RU"/>
              </w:rPr>
            </w:pPr>
            <w:r>
              <w:rPr>
                <w:sz w:val="24"/>
                <w:szCs w:val="24"/>
              </w:rPr>
              <w:t>Пол</w:t>
            </w:r>
          </w:p>
        </w:tc>
        <w:tc>
          <w:tcPr>
            <w:tcW w:w="6521" w:type="dxa"/>
            <w:gridSpan w:val="8"/>
            <w:vAlign w:val="center"/>
          </w:tcPr>
          <w:p w:rsidR="00754AD0" w:rsidRPr="00754AD0" w:rsidRDefault="00754AD0" w:rsidP="00754AD0">
            <w:pPr>
              <w:pStyle w:val="a4"/>
              <w:spacing w:after="0"/>
              <w:ind w:left="0"/>
              <w:jc w:val="center"/>
              <w:rPr>
                <w:sz w:val="24"/>
                <w:szCs w:val="24"/>
                <w:lang w:val="ru-RU"/>
              </w:rPr>
            </w:pPr>
            <w:r w:rsidRPr="00754AD0">
              <w:rPr>
                <w:sz w:val="24"/>
                <w:szCs w:val="24"/>
              </w:rPr>
              <w:t>В</w:t>
            </w:r>
            <w:r>
              <w:rPr>
                <w:sz w:val="24"/>
                <w:szCs w:val="24"/>
                <w:lang w:val="ru-RU"/>
              </w:rPr>
              <w:t>озраст</w:t>
            </w:r>
            <w:r w:rsidRPr="00754AD0">
              <w:rPr>
                <w:sz w:val="24"/>
                <w:szCs w:val="24"/>
                <w:lang w:val="ru-RU"/>
              </w:rPr>
              <w:t xml:space="preserve">, </w:t>
            </w:r>
            <w:r>
              <w:rPr>
                <w:sz w:val="24"/>
                <w:szCs w:val="24"/>
                <w:lang w:val="ru-RU"/>
              </w:rPr>
              <w:t>гг</w:t>
            </w:r>
            <w:r w:rsidRPr="00754AD0">
              <w:rPr>
                <w:sz w:val="24"/>
                <w:szCs w:val="24"/>
                <w:lang w:val="ru-RU"/>
              </w:rPr>
              <w:t>.</w:t>
            </w:r>
          </w:p>
        </w:tc>
        <w:tc>
          <w:tcPr>
            <w:tcW w:w="1559" w:type="dxa"/>
            <w:gridSpan w:val="2"/>
            <w:vMerge w:val="restart"/>
            <w:vAlign w:val="center"/>
          </w:tcPr>
          <w:p w:rsidR="00754AD0" w:rsidRPr="00754AD0" w:rsidRDefault="002E5AE2" w:rsidP="002E5AE2">
            <w:pPr>
              <w:ind w:firstLine="0"/>
              <w:rPr>
                <w:sz w:val="24"/>
                <w:szCs w:val="24"/>
              </w:rPr>
            </w:pPr>
            <w:r>
              <w:rPr>
                <w:sz w:val="24"/>
                <w:szCs w:val="24"/>
              </w:rPr>
              <w:t xml:space="preserve">    </w:t>
            </w:r>
            <w:r w:rsidR="00754AD0" w:rsidRPr="00754AD0">
              <w:rPr>
                <w:sz w:val="24"/>
                <w:szCs w:val="24"/>
              </w:rPr>
              <w:t>Усього</w:t>
            </w:r>
          </w:p>
        </w:tc>
      </w:tr>
      <w:tr w:rsidR="00754AD0" w:rsidRPr="00754AD0" w:rsidTr="002E5AE2">
        <w:trPr>
          <w:cantSplit/>
          <w:trHeight w:val="630"/>
        </w:trPr>
        <w:tc>
          <w:tcPr>
            <w:tcW w:w="1384" w:type="dxa"/>
            <w:vMerge/>
            <w:tcBorders>
              <w:bottom w:val="nil"/>
            </w:tcBorders>
            <w:vAlign w:val="center"/>
          </w:tcPr>
          <w:p w:rsidR="00754AD0" w:rsidRPr="00754AD0" w:rsidRDefault="00754AD0" w:rsidP="00754AD0">
            <w:pPr>
              <w:pStyle w:val="a4"/>
              <w:spacing w:after="0"/>
              <w:ind w:left="0"/>
              <w:jc w:val="center"/>
              <w:rPr>
                <w:sz w:val="24"/>
                <w:szCs w:val="24"/>
              </w:rPr>
            </w:pPr>
          </w:p>
        </w:tc>
        <w:tc>
          <w:tcPr>
            <w:tcW w:w="1559" w:type="dxa"/>
            <w:gridSpan w:val="2"/>
            <w:vAlign w:val="center"/>
          </w:tcPr>
          <w:p w:rsidR="00754AD0" w:rsidRPr="00754AD0" w:rsidRDefault="00754AD0" w:rsidP="00754AD0">
            <w:pPr>
              <w:jc w:val="center"/>
              <w:rPr>
                <w:color w:val="FF0000"/>
                <w:sz w:val="24"/>
                <w:szCs w:val="24"/>
              </w:rPr>
            </w:pPr>
            <w:r w:rsidRPr="00754AD0">
              <w:rPr>
                <w:sz w:val="24"/>
                <w:szCs w:val="24"/>
              </w:rPr>
              <w:t>24–32</w:t>
            </w:r>
          </w:p>
        </w:tc>
        <w:tc>
          <w:tcPr>
            <w:tcW w:w="1701" w:type="dxa"/>
            <w:gridSpan w:val="2"/>
            <w:vAlign w:val="center"/>
          </w:tcPr>
          <w:p w:rsidR="00754AD0" w:rsidRPr="00754AD0" w:rsidRDefault="00754AD0" w:rsidP="00754AD0">
            <w:pPr>
              <w:jc w:val="center"/>
              <w:rPr>
                <w:sz w:val="24"/>
                <w:szCs w:val="24"/>
              </w:rPr>
            </w:pPr>
            <w:r w:rsidRPr="00754AD0">
              <w:rPr>
                <w:sz w:val="24"/>
                <w:szCs w:val="24"/>
              </w:rPr>
              <w:t>33–45</w:t>
            </w:r>
          </w:p>
        </w:tc>
        <w:tc>
          <w:tcPr>
            <w:tcW w:w="1701" w:type="dxa"/>
            <w:gridSpan w:val="2"/>
            <w:vAlign w:val="center"/>
          </w:tcPr>
          <w:p w:rsidR="00754AD0" w:rsidRPr="00754AD0" w:rsidRDefault="00754AD0" w:rsidP="00754AD0">
            <w:pPr>
              <w:jc w:val="center"/>
              <w:rPr>
                <w:sz w:val="24"/>
                <w:szCs w:val="24"/>
              </w:rPr>
            </w:pPr>
            <w:r w:rsidRPr="00754AD0">
              <w:rPr>
                <w:sz w:val="24"/>
                <w:szCs w:val="24"/>
              </w:rPr>
              <w:t>46–55</w:t>
            </w:r>
          </w:p>
        </w:tc>
        <w:tc>
          <w:tcPr>
            <w:tcW w:w="1560" w:type="dxa"/>
            <w:gridSpan w:val="2"/>
            <w:vAlign w:val="center"/>
          </w:tcPr>
          <w:p w:rsidR="00754AD0" w:rsidRPr="00754AD0" w:rsidRDefault="00754AD0" w:rsidP="00754AD0">
            <w:pPr>
              <w:jc w:val="center"/>
              <w:rPr>
                <w:sz w:val="24"/>
                <w:szCs w:val="24"/>
              </w:rPr>
            </w:pPr>
            <w:r w:rsidRPr="00754AD0">
              <w:rPr>
                <w:sz w:val="24"/>
                <w:szCs w:val="24"/>
              </w:rPr>
              <w:t>56–61</w:t>
            </w:r>
          </w:p>
        </w:tc>
        <w:tc>
          <w:tcPr>
            <w:tcW w:w="1559" w:type="dxa"/>
            <w:gridSpan w:val="2"/>
            <w:vMerge/>
            <w:vAlign w:val="center"/>
          </w:tcPr>
          <w:p w:rsidR="00754AD0" w:rsidRPr="00754AD0" w:rsidRDefault="00754AD0" w:rsidP="00754AD0">
            <w:pPr>
              <w:pStyle w:val="a4"/>
              <w:spacing w:after="0"/>
              <w:ind w:left="0"/>
              <w:jc w:val="center"/>
              <w:rPr>
                <w:sz w:val="24"/>
                <w:szCs w:val="24"/>
              </w:rPr>
            </w:pPr>
          </w:p>
        </w:tc>
      </w:tr>
      <w:tr w:rsidR="00754AD0" w:rsidRPr="00754AD0" w:rsidTr="002E5AE2">
        <w:tc>
          <w:tcPr>
            <w:tcW w:w="1384" w:type="dxa"/>
            <w:vAlign w:val="center"/>
          </w:tcPr>
          <w:p w:rsidR="00754AD0" w:rsidRPr="00754AD0" w:rsidRDefault="00754AD0" w:rsidP="00754AD0">
            <w:pPr>
              <w:ind w:firstLine="0"/>
              <w:jc w:val="center"/>
              <w:rPr>
                <w:sz w:val="24"/>
                <w:szCs w:val="24"/>
              </w:rPr>
            </w:pPr>
            <w:r>
              <w:rPr>
                <w:sz w:val="24"/>
                <w:szCs w:val="24"/>
              </w:rPr>
              <w:t>Мужчины</w:t>
            </w:r>
          </w:p>
        </w:tc>
        <w:tc>
          <w:tcPr>
            <w:tcW w:w="709" w:type="dxa"/>
            <w:vAlign w:val="center"/>
          </w:tcPr>
          <w:p w:rsidR="00754AD0" w:rsidRPr="00754AD0" w:rsidRDefault="00754AD0" w:rsidP="00754AD0">
            <w:pPr>
              <w:pStyle w:val="a4"/>
              <w:spacing w:after="0"/>
              <w:ind w:left="0"/>
              <w:jc w:val="center"/>
              <w:rPr>
                <w:sz w:val="24"/>
                <w:szCs w:val="24"/>
              </w:rPr>
            </w:pPr>
            <w:r w:rsidRPr="00754AD0">
              <w:rPr>
                <w:sz w:val="24"/>
                <w:szCs w:val="24"/>
              </w:rPr>
              <w:t>47</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(22,8)</w:t>
            </w:r>
          </w:p>
        </w:tc>
        <w:tc>
          <w:tcPr>
            <w:tcW w:w="851" w:type="dxa"/>
            <w:vAlign w:val="center"/>
          </w:tcPr>
          <w:p w:rsidR="00754AD0" w:rsidRPr="00754AD0" w:rsidRDefault="00754AD0" w:rsidP="00754AD0">
            <w:pPr>
              <w:pStyle w:val="a4"/>
              <w:spacing w:after="0"/>
              <w:ind w:left="0"/>
              <w:jc w:val="center"/>
              <w:rPr>
                <w:sz w:val="24"/>
                <w:szCs w:val="24"/>
              </w:rPr>
            </w:pPr>
            <w:r w:rsidRPr="00754AD0">
              <w:rPr>
                <w:sz w:val="24"/>
                <w:szCs w:val="24"/>
              </w:rPr>
              <w:t>73</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(35,4)</w:t>
            </w:r>
          </w:p>
        </w:tc>
        <w:tc>
          <w:tcPr>
            <w:tcW w:w="851" w:type="dxa"/>
            <w:vAlign w:val="center"/>
          </w:tcPr>
          <w:p w:rsidR="00754AD0" w:rsidRPr="00754AD0" w:rsidRDefault="00754AD0" w:rsidP="00754AD0">
            <w:pPr>
              <w:pStyle w:val="a4"/>
              <w:spacing w:after="0"/>
              <w:ind w:left="0"/>
              <w:jc w:val="center"/>
              <w:rPr>
                <w:sz w:val="24"/>
                <w:szCs w:val="24"/>
              </w:rPr>
            </w:pPr>
            <w:r w:rsidRPr="00754AD0">
              <w:rPr>
                <w:sz w:val="24"/>
                <w:szCs w:val="24"/>
              </w:rPr>
              <w:t>21</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10,2</w:t>
            </w:r>
            <w:r w:rsidRPr="00754AD0">
              <w:rPr>
                <w:sz w:val="24"/>
                <w:szCs w:val="24"/>
              </w:rPr>
              <w:t>)</w:t>
            </w:r>
          </w:p>
        </w:tc>
        <w:tc>
          <w:tcPr>
            <w:tcW w:w="709"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4</w:t>
            </w:r>
          </w:p>
        </w:tc>
        <w:tc>
          <w:tcPr>
            <w:tcW w:w="851"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1,9</w:t>
            </w:r>
            <w:r w:rsidRPr="00754AD0">
              <w:rPr>
                <w:sz w:val="24"/>
                <w:szCs w:val="24"/>
              </w:rPr>
              <w:t>)</w:t>
            </w:r>
          </w:p>
        </w:tc>
        <w:tc>
          <w:tcPr>
            <w:tcW w:w="708"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145</w:t>
            </w:r>
          </w:p>
        </w:tc>
        <w:tc>
          <w:tcPr>
            <w:tcW w:w="851"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70,4</w:t>
            </w:r>
            <w:r w:rsidRPr="00754AD0">
              <w:rPr>
                <w:sz w:val="24"/>
                <w:szCs w:val="24"/>
              </w:rPr>
              <w:t>)</w:t>
            </w:r>
          </w:p>
        </w:tc>
      </w:tr>
      <w:tr w:rsidR="00754AD0" w:rsidRPr="00754AD0" w:rsidTr="002E5AE2">
        <w:tc>
          <w:tcPr>
            <w:tcW w:w="1384" w:type="dxa"/>
            <w:vAlign w:val="center"/>
          </w:tcPr>
          <w:p w:rsidR="00754AD0" w:rsidRPr="00754AD0" w:rsidRDefault="00754AD0" w:rsidP="00754AD0">
            <w:pPr>
              <w:ind w:firstLine="0"/>
              <w:jc w:val="center"/>
              <w:rPr>
                <w:sz w:val="24"/>
                <w:szCs w:val="24"/>
              </w:rPr>
            </w:pPr>
            <w:r w:rsidRPr="00754AD0">
              <w:rPr>
                <w:sz w:val="24"/>
                <w:szCs w:val="24"/>
              </w:rPr>
              <w:t>Ж</w:t>
            </w:r>
            <w:r>
              <w:rPr>
                <w:sz w:val="24"/>
                <w:szCs w:val="24"/>
              </w:rPr>
              <w:t>енщины</w:t>
            </w:r>
          </w:p>
        </w:tc>
        <w:tc>
          <w:tcPr>
            <w:tcW w:w="709"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21</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10,2</w:t>
            </w:r>
            <w:r w:rsidRPr="00754AD0">
              <w:rPr>
                <w:sz w:val="24"/>
                <w:szCs w:val="24"/>
              </w:rPr>
              <w:t>)</w:t>
            </w:r>
          </w:p>
        </w:tc>
        <w:tc>
          <w:tcPr>
            <w:tcW w:w="851"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29</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14,1</w:t>
            </w:r>
            <w:r w:rsidRPr="00754AD0">
              <w:rPr>
                <w:sz w:val="24"/>
                <w:szCs w:val="24"/>
              </w:rPr>
              <w:t>)</w:t>
            </w:r>
          </w:p>
        </w:tc>
        <w:tc>
          <w:tcPr>
            <w:tcW w:w="851"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9</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4,4</w:t>
            </w:r>
            <w:r w:rsidRPr="00754AD0">
              <w:rPr>
                <w:sz w:val="24"/>
                <w:szCs w:val="24"/>
              </w:rPr>
              <w:t>)</w:t>
            </w:r>
          </w:p>
        </w:tc>
        <w:tc>
          <w:tcPr>
            <w:tcW w:w="709"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2</w:t>
            </w:r>
          </w:p>
        </w:tc>
        <w:tc>
          <w:tcPr>
            <w:tcW w:w="851"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1,0</w:t>
            </w:r>
            <w:r w:rsidRPr="00754AD0">
              <w:rPr>
                <w:sz w:val="24"/>
                <w:szCs w:val="24"/>
              </w:rPr>
              <w:t>)</w:t>
            </w:r>
          </w:p>
        </w:tc>
        <w:tc>
          <w:tcPr>
            <w:tcW w:w="708"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61</w:t>
            </w:r>
          </w:p>
        </w:tc>
        <w:tc>
          <w:tcPr>
            <w:tcW w:w="851"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29,6</w:t>
            </w:r>
            <w:r w:rsidRPr="00754AD0">
              <w:rPr>
                <w:sz w:val="24"/>
                <w:szCs w:val="24"/>
              </w:rPr>
              <w:t>)</w:t>
            </w:r>
          </w:p>
        </w:tc>
      </w:tr>
      <w:tr w:rsidR="00754AD0" w:rsidRPr="00754AD0" w:rsidTr="002E5AE2">
        <w:tc>
          <w:tcPr>
            <w:tcW w:w="1384" w:type="dxa"/>
            <w:vAlign w:val="center"/>
          </w:tcPr>
          <w:p w:rsidR="00754AD0" w:rsidRPr="00754AD0" w:rsidRDefault="00754AD0" w:rsidP="00754AD0">
            <w:pPr>
              <w:pStyle w:val="a4"/>
              <w:spacing w:after="0"/>
              <w:ind w:left="0"/>
              <w:rPr>
                <w:sz w:val="24"/>
                <w:szCs w:val="24"/>
                <w:lang w:val="ru-RU"/>
              </w:rPr>
            </w:pPr>
            <w:r>
              <w:rPr>
                <w:sz w:val="24"/>
                <w:szCs w:val="24"/>
                <w:lang w:val="ru-RU"/>
              </w:rPr>
              <w:t xml:space="preserve">  Вместе</w:t>
            </w:r>
          </w:p>
        </w:tc>
        <w:tc>
          <w:tcPr>
            <w:tcW w:w="709"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68</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33,0</w:t>
            </w:r>
            <w:r w:rsidRPr="00754AD0">
              <w:rPr>
                <w:sz w:val="24"/>
                <w:szCs w:val="24"/>
              </w:rPr>
              <w:t>)</w:t>
            </w:r>
          </w:p>
        </w:tc>
        <w:tc>
          <w:tcPr>
            <w:tcW w:w="851"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102</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49,5</w:t>
            </w:r>
            <w:r w:rsidRPr="00754AD0">
              <w:rPr>
                <w:sz w:val="24"/>
                <w:szCs w:val="24"/>
              </w:rPr>
              <w:t>)</w:t>
            </w:r>
          </w:p>
        </w:tc>
        <w:tc>
          <w:tcPr>
            <w:tcW w:w="851"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30</w:t>
            </w:r>
          </w:p>
        </w:tc>
        <w:tc>
          <w:tcPr>
            <w:tcW w:w="850"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14,6</w:t>
            </w:r>
            <w:r w:rsidRPr="00754AD0">
              <w:rPr>
                <w:sz w:val="24"/>
                <w:szCs w:val="24"/>
              </w:rPr>
              <w:t>)</w:t>
            </w:r>
          </w:p>
        </w:tc>
        <w:tc>
          <w:tcPr>
            <w:tcW w:w="709"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6</w:t>
            </w:r>
          </w:p>
        </w:tc>
        <w:tc>
          <w:tcPr>
            <w:tcW w:w="851"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2,9</w:t>
            </w:r>
            <w:r w:rsidRPr="00754AD0">
              <w:rPr>
                <w:sz w:val="24"/>
                <w:szCs w:val="24"/>
              </w:rPr>
              <w:t>)</w:t>
            </w:r>
          </w:p>
        </w:tc>
        <w:tc>
          <w:tcPr>
            <w:tcW w:w="708" w:type="dxa"/>
            <w:vAlign w:val="center"/>
          </w:tcPr>
          <w:p w:rsidR="00754AD0" w:rsidRPr="00754AD0" w:rsidRDefault="00754AD0" w:rsidP="00754AD0">
            <w:pPr>
              <w:pStyle w:val="a4"/>
              <w:spacing w:after="0"/>
              <w:ind w:left="0"/>
              <w:jc w:val="center"/>
              <w:rPr>
                <w:sz w:val="24"/>
                <w:szCs w:val="24"/>
                <w:lang w:val="en-US"/>
              </w:rPr>
            </w:pPr>
            <w:r w:rsidRPr="00754AD0">
              <w:rPr>
                <w:sz w:val="24"/>
                <w:szCs w:val="24"/>
                <w:lang w:val="en-US"/>
              </w:rPr>
              <w:t>206</w:t>
            </w:r>
          </w:p>
        </w:tc>
        <w:tc>
          <w:tcPr>
            <w:tcW w:w="851" w:type="dxa"/>
            <w:vAlign w:val="center"/>
          </w:tcPr>
          <w:p w:rsidR="00754AD0" w:rsidRPr="00754AD0" w:rsidRDefault="00754AD0" w:rsidP="00754AD0">
            <w:pPr>
              <w:pStyle w:val="a4"/>
              <w:spacing w:after="0"/>
              <w:ind w:left="0"/>
              <w:jc w:val="center"/>
              <w:rPr>
                <w:sz w:val="24"/>
                <w:szCs w:val="24"/>
              </w:rPr>
            </w:pPr>
            <w:r w:rsidRPr="00754AD0">
              <w:rPr>
                <w:sz w:val="24"/>
                <w:szCs w:val="24"/>
              </w:rPr>
              <w:t>(</w:t>
            </w:r>
            <w:r w:rsidRPr="00754AD0">
              <w:rPr>
                <w:sz w:val="24"/>
                <w:szCs w:val="24"/>
                <w:lang w:val="en-US"/>
              </w:rPr>
              <w:t>100</w:t>
            </w:r>
            <w:r w:rsidRPr="00754AD0">
              <w:rPr>
                <w:sz w:val="24"/>
                <w:szCs w:val="24"/>
              </w:rPr>
              <w:t>)</w:t>
            </w:r>
          </w:p>
        </w:tc>
      </w:tr>
    </w:tbl>
    <w:p w:rsidR="00754AD0" w:rsidRDefault="002E5AE2" w:rsidP="0031578F">
      <w:pPr>
        <w:ind w:firstLine="567"/>
      </w:pPr>
      <w:r>
        <w:t xml:space="preserve">Как видно из таблицы, ХГС чаще был диагностирован </w:t>
      </w:r>
      <w:r w:rsidR="00F118CF">
        <w:t>в группе больных возрастом от 24</w:t>
      </w:r>
      <w:r>
        <w:t xml:space="preserve"> до 45 лет; чаще болезнь поражала мужчин (в 2,5 раза).</w:t>
      </w:r>
    </w:p>
    <w:p w:rsidR="002E5AE2" w:rsidRDefault="002E5AE2" w:rsidP="0031578F">
      <w:pPr>
        <w:ind w:firstLine="567"/>
      </w:pPr>
      <w:r>
        <w:t xml:space="preserve">Мы проанализировали факторы инфицирования </w:t>
      </w:r>
      <w:r w:rsidRPr="001151C6">
        <w:t>H</w:t>
      </w:r>
      <w:r w:rsidRPr="004E5817">
        <w:t>С</w:t>
      </w:r>
      <w:r w:rsidRPr="001151C6">
        <w:t>V</w:t>
      </w:r>
      <w:r>
        <w:t xml:space="preserve"> у обследованного контингента (табл. 2).</w:t>
      </w:r>
    </w:p>
    <w:p w:rsidR="002E5AE2" w:rsidRPr="0054424D" w:rsidRDefault="002E5AE2" w:rsidP="002E5AE2">
      <w:pPr>
        <w:pStyle w:val="a6"/>
        <w:spacing w:before="0" w:beforeAutospacing="0" w:after="0" w:afterAutospacing="0" w:line="480" w:lineRule="auto"/>
        <w:ind w:firstLine="720"/>
        <w:jc w:val="right"/>
        <w:rPr>
          <w:color w:val="000000"/>
          <w:sz w:val="28"/>
          <w:szCs w:val="28"/>
          <w:lang w:val="ru-RU"/>
        </w:rPr>
      </w:pPr>
      <w:r w:rsidRPr="0054424D">
        <w:rPr>
          <w:color w:val="000000"/>
          <w:sz w:val="28"/>
          <w:szCs w:val="28"/>
          <w:lang w:val="ru-RU"/>
        </w:rPr>
        <w:t>Таблиця .2</w:t>
      </w:r>
    </w:p>
    <w:p w:rsidR="002E5AE2" w:rsidRPr="0054424D" w:rsidRDefault="0054424D" w:rsidP="0054424D">
      <w:pPr>
        <w:pStyle w:val="a6"/>
        <w:spacing w:before="0" w:beforeAutospacing="0" w:after="0" w:afterAutospacing="0" w:line="480" w:lineRule="auto"/>
        <w:ind w:firstLine="720"/>
        <w:jc w:val="center"/>
        <w:rPr>
          <w:color w:val="000000"/>
          <w:sz w:val="28"/>
          <w:szCs w:val="28"/>
          <w:lang w:val="ru-RU"/>
        </w:rPr>
      </w:pPr>
      <w:r w:rsidRPr="0054424D">
        <w:rPr>
          <w:color w:val="000000"/>
          <w:sz w:val="28"/>
          <w:szCs w:val="28"/>
          <w:lang w:val="ru-RU"/>
        </w:rPr>
        <w:t xml:space="preserve">Факторы инфицирования </w:t>
      </w:r>
      <w:r>
        <w:rPr>
          <w:color w:val="000000"/>
          <w:sz w:val="28"/>
          <w:szCs w:val="28"/>
        </w:rPr>
        <w:t>HCV</w:t>
      </w:r>
      <w:r>
        <w:rPr>
          <w:color w:val="000000"/>
          <w:sz w:val="28"/>
          <w:szCs w:val="28"/>
          <w:lang w:val="ru-RU"/>
        </w:rPr>
        <w:t xml:space="preserve"> у больных ХГС</w:t>
      </w:r>
    </w:p>
    <w:tbl>
      <w:tblPr>
        <w:tblpPr w:leftFromText="180" w:rightFromText="180" w:vertAnchor="text" w:tblpY="166"/>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1842"/>
        <w:gridCol w:w="1559"/>
        <w:gridCol w:w="1843"/>
        <w:gridCol w:w="1417"/>
      </w:tblGrid>
      <w:tr w:rsidR="002E5AE2" w:rsidRPr="002E5AE2" w:rsidTr="0054424D">
        <w:trPr>
          <w:trHeight w:val="397"/>
        </w:trPr>
        <w:tc>
          <w:tcPr>
            <w:tcW w:w="1372" w:type="pct"/>
            <w:vMerge w:val="restart"/>
            <w:tcBorders>
              <w:bottom w:val="single" w:sz="4" w:space="0" w:color="auto"/>
            </w:tcBorders>
            <w:vAlign w:val="center"/>
          </w:tcPr>
          <w:p w:rsidR="00011BC3" w:rsidRDefault="00011BC3" w:rsidP="0054424D">
            <w:pPr>
              <w:pStyle w:val="a6"/>
              <w:spacing w:before="0" w:beforeAutospacing="0" w:after="0" w:afterAutospacing="0" w:line="240" w:lineRule="auto"/>
              <w:rPr>
                <w:color w:val="000000"/>
                <w:lang w:val="ru-RU"/>
              </w:rPr>
            </w:pPr>
            <w:r>
              <w:rPr>
                <w:color w:val="000000"/>
                <w:lang w:val="ru-RU"/>
              </w:rPr>
              <w:t xml:space="preserve">Фактор </w:t>
            </w:r>
          </w:p>
          <w:p w:rsidR="002E5AE2" w:rsidRPr="002E5AE2" w:rsidRDefault="0054424D" w:rsidP="0054424D">
            <w:pPr>
              <w:pStyle w:val="a6"/>
              <w:spacing w:before="0" w:beforeAutospacing="0" w:after="0" w:afterAutospacing="0" w:line="240" w:lineRule="auto"/>
              <w:rPr>
                <w:color w:val="000000"/>
                <w:lang w:val="ru-RU"/>
              </w:rPr>
            </w:pPr>
            <w:r>
              <w:rPr>
                <w:color w:val="000000"/>
                <w:lang w:val="ru-RU"/>
              </w:rPr>
              <w:t>инфицирования</w:t>
            </w:r>
          </w:p>
        </w:tc>
        <w:tc>
          <w:tcPr>
            <w:tcW w:w="3628" w:type="pct"/>
            <w:gridSpan w:val="4"/>
            <w:shd w:val="clear" w:color="auto" w:fill="auto"/>
            <w:vAlign w:val="center"/>
          </w:tcPr>
          <w:p w:rsidR="002E5AE2" w:rsidRPr="002E5AE2" w:rsidRDefault="0054424D" w:rsidP="00011BC3">
            <w:pPr>
              <w:spacing w:line="240" w:lineRule="auto"/>
              <w:jc w:val="center"/>
              <w:rPr>
                <w:color w:val="000000"/>
                <w:sz w:val="24"/>
                <w:szCs w:val="24"/>
                <w:lang w:val="uk-UA"/>
              </w:rPr>
            </w:pPr>
            <w:r>
              <w:rPr>
                <w:color w:val="000000"/>
                <w:sz w:val="24"/>
                <w:szCs w:val="24"/>
              </w:rPr>
              <w:t>Процент случаев у больных возрастом</w:t>
            </w:r>
            <w:r w:rsidR="002E5AE2" w:rsidRPr="002E5AE2">
              <w:rPr>
                <w:color w:val="000000"/>
                <w:sz w:val="24"/>
                <w:szCs w:val="24"/>
              </w:rPr>
              <w:t xml:space="preserve">, </w:t>
            </w:r>
            <w:r>
              <w:rPr>
                <w:color w:val="000000"/>
                <w:sz w:val="24"/>
                <w:szCs w:val="24"/>
              </w:rPr>
              <w:t>лет</w:t>
            </w:r>
          </w:p>
        </w:tc>
      </w:tr>
      <w:tr w:rsidR="0054424D" w:rsidRPr="002E5AE2" w:rsidTr="0054424D">
        <w:trPr>
          <w:trHeight w:val="397"/>
        </w:trPr>
        <w:tc>
          <w:tcPr>
            <w:tcW w:w="1372" w:type="pct"/>
            <w:vMerge/>
            <w:tcBorders>
              <w:bottom w:val="single" w:sz="4" w:space="0" w:color="auto"/>
            </w:tcBorders>
            <w:vAlign w:val="center"/>
          </w:tcPr>
          <w:p w:rsidR="002E5AE2" w:rsidRPr="002E5AE2" w:rsidRDefault="002E5AE2" w:rsidP="0054424D">
            <w:pPr>
              <w:pStyle w:val="a6"/>
              <w:spacing w:before="0" w:beforeAutospacing="0" w:after="0" w:afterAutospacing="0" w:line="240" w:lineRule="auto"/>
              <w:rPr>
                <w:color w:val="000000"/>
                <w:lang w:val="ru-RU"/>
              </w:rPr>
            </w:pPr>
          </w:p>
        </w:tc>
        <w:tc>
          <w:tcPr>
            <w:tcW w:w="1003"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24–32</w:t>
            </w:r>
          </w:p>
        </w:tc>
        <w:tc>
          <w:tcPr>
            <w:tcW w:w="849"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33–45</w:t>
            </w:r>
          </w:p>
        </w:tc>
        <w:tc>
          <w:tcPr>
            <w:tcW w:w="1004"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46–55</w:t>
            </w:r>
          </w:p>
        </w:tc>
        <w:tc>
          <w:tcPr>
            <w:tcW w:w="772"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56–61</w:t>
            </w:r>
          </w:p>
        </w:tc>
      </w:tr>
      <w:tr w:rsidR="0054424D" w:rsidRPr="002E5AE2" w:rsidTr="0054424D">
        <w:trPr>
          <w:trHeight w:val="397"/>
        </w:trPr>
        <w:tc>
          <w:tcPr>
            <w:tcW w:w="1372" w:type="pct"/>
            <w:vAlign w:val="center"/>
          </w:tcPr>
          <w:p w:rsidR="002E5AE2" w:rsidRPr="002E5AE2" w:rsidRDefault="0054424D" w:rsidP="0054424D">
            <w:pPr>
              <w:pStyle w:val="a6"/>
              <w:spacing w:before="0" w:beforeAutospacing="0" w:after="0" w:afterAutospacing="0" w:line="240" w:lineRule="auto"/>
              <w:rPr>
                <w:color w:val="000000"/>
                <w:lang w:val="ru-RU"/>
              </w:rPr>
            </w:pPr>
            <w:r>
              <w:rPr>
                <w:color w:val="000000"/>
                <w:lang w:val="ru-RU"/>
              </w:rPr>
              <w:t>Прием наркотиков</w:t>
            </w:r>
          </w:p>
        </w:tc>
        <w:tc>
          <w:tcPr>
            <w:tcW w:w="1003"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13</w:t>
            </w:r>
            <w:r w:rsidR="0054424D">
              <w:rPr>
                <w:color w:val="000000"/>
                <w:sz w:val="24"/>
                <w:szCs w:val="24"/>
              </w:rPr>
              <w:t>,59</w:t>
            </w:r>
          </w:p>
        </w:tc>
        <w:tc>
          <w:tcPr>
            <w:tcW w:w="849"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7,77</w:t>
            </w:r>
          </w:p>
        </w:tc>
        <w:tc>
          <w:tcPr>
            <w:tcW w:w="1004"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2,91</w:t>
            </w:r>
          </w:p>
        </w:tc>
        <w:tc>
          <w:tcPr>
            <w:tcW w:w="772"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w:t>
            </w:r>
          </w:p>
        </w:tc>
      </w:tr>
      <w:tr w:rsidR="0054424D" w:rsidRPr="002E5AE2" w:rsidTr="0054424D">
        <w:trPr>
          <w:trHeight w:val="397"/>
        </w:trPr>
        <w:tc>
          <w:tcPr>
            <w:tcW w:w="1372" w:type="pct"/>
            <w:vAlign w:val="center"/>
          </w:tcPr>
          <w:p w:rsidR="002E5AE2" w:rsidRPr="002E5AE2" w:rsidRDefault="0054424D" w:rsidP="0054424D">
            <w:pPr>
              <w:pStyle w:val="a6"/>
              <w:spacing w:before="0" w:beforeAutospacing="0" w:after="0" w:afterAutospacing="0" w:line="240" w:lineRule="auto"/>
              <w:rPr>
                <w:color w:val="000000"/>
                <w:lang w:val="ru-RU"/>
              </w:rPr>
            </w:pPr>
            <w:r>
              <w:rPr>
                <w:color w:val="000000"/>
                <w:lang w:val="ru-RU"/>
              </w:rPr>
              <w:t>Оперативные вмешательства</w:t>
            </w:r>
          </w:p>
        </w:tc>
        <w:tc>
          <w:tcPr>
            <w:tcW w:w="1003" w:type="pct"/>
            <w:shd w:val="clear" w:color="auto" w:fill="auto"/>
            <w:vAlign w:val="center"/>
          </w:tcPr>
          <w:p w:rsidR="002E5AE2" w:rsidRPr="002E5AE2" w:rsidRDefault="002E5AE2" w:rsidP="0054424D">
            <w:pPr>
              <w:spacing w:line="240" w:lineRule="auto"/>
              <w:jc w:val="left"/>
              <w:rPr>
                <w:color w:val="000000"/>
                <w:sz w:val="24"/>
                <w:szCs w:val="24"/>
                <w:lang w:val="uk-UA"/>
              </w:rPr>
            </w:pPr>
            <w:r w:rsidRPr="002E5AE2">
              <w:rPr>
                <w:color w:val="000000"/>
                <w:sz w:val="24"/>
                <w:szCs w:val="24"/>
                <w:lang w:val="uk-UA"/>
              </w:rPr>
              <w:t>2</w:t>
            </w:r>
            <w:r w:rsidR="0054424D">
              <w:rPr>
                <w:color w:val="000000"/>
                <w:sz w:val="24"/>
                <w:szCs w:val="24"/>
                <w:lang w:val="uk-UA"/>
              </w:rPr>
              <w:t>,43</w:t>
            </w:r>
          </w:p>
        </w:tc>
        <w:tc>
          <w:tcPr>
            <w:tcW w:w="849"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4,85</w:t>
            </w:r>
          </w:p>
        </w:tc>
        <w:tc>
          <w:tcPr>
            <w:tcW w:w="1004"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2,91</w:t>
            </w:r>
          </w:p>
        </w:tc>
        <w:tc>
          <w:tcPr>
            <w:tcW w:w="772"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2,91</w:t>
            </w:r>
          </w:p>
        </w:tc>
      </w:tr>
      <w:tr w:rsidR="0054424D" w:rsidRPr="002E5AE2" w:rsidTr="0054424D">
        <w:trPr>
          <w:trHeight w:val="397"/>
        </w:trPr>
        <w:tc>
          <w:tcPr>
            <w:tcW w:w="1372" w:type="pct"/>
            <w:vAlign w:val="center"/>
          </w:tcPr>
          <w:p w:rsidR="002E5AE2" w:rsidRPr="002E5AE2" w:rsidRDefault="0054424D" w:rsidP="0054424D">
            <w:pPr>
              <w:pStyle w:val="a6"/>
              <w:spacing w:before="0" w:beforeAutospacing="0" w:after="0" w:afterAutospacing="0" w:line="240" w:lineRule="auto"/>
              <w:rPr>
                <w:color w:val="000000"/>
                <w:lang w:val="ru-RU"/>
              </w:rPr>
            </w:pPr>
            <w:r>
              <w:rPr>
                <w:color w:val="000000"/>
                <w:lang w:val="ru-RU"/>
              </w:rPr>
              <w:t>Гемотрансфузия</w:t>
            </w:r>
          </w:p>
        </w:tc>
        <w:tc>
          <w:tcPr>
            <w:tcW w:w="1003"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1</w:t>
            </w:r>
            <w:r w:rsidR="0054424D">
              <w:rPr>
                <w:color w:val="000000"/>
                <w:sz w:val="24"/>
                <w:szCs w:val="24"/>
              </w:rPr>
              <w:t>,46</w:t>
            </w:r>
          </w:p>
        </w:tc>
        <w:tc>
          <w:tcPr>
            <w:tcW w:w="849"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2,91</w:t>
            </w:r>
          </w:p>
        </w:tc>
        <w:tc>
          <w:tcPr>
            <w:tcW w:w="1004"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1,94</w:t>
            </w:r>
          </w:p>
        </w:tc>
        <w:tc>
          <w:tcPr>
            <w:tcW w:w="772"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2,91</w:t>
            </w:r>
          </w:p>
        </w:tc>
      </w:tr>
      <w:tr w:rsidR="0054424D" w:rsidRPr="002E5AE2" w:rsidTr="0054424D">
        <w:trPr>
          <w:trHeight w:val="397"/>
        </w:trPr>
        <w:tc>
          <w:tcPr>
            <w:tcW w:w="1372" w:type="pct"/>
            <w:vAlign w:val="center"/>
          </w:tcPr>
          <w:p w:rsidR="002E5AE2" w:rsidRPr="002E5AE2" w:rsidRDefault="0054424D" w:rsidP="0054424D">
            <w:pPr>
              <w:pStyle w:val="a6"/>
              <w:spacing w:before="0" w:beforeAutospacing="0" w:after="0" w:afterAutospacing="0" w:line="240" w:lineRule="auto"/>
              <w:rPr>
                <w:color w:val="000000"/>
                <w:lang w:val="ru-RU"/>
              </w:rPr>
            </w:pPr>
            <w:r>
              <w:rPr>
                <w:color w:val="000000"/>
                <w:lang w:val="ru-RU"/>
              </w:rPr>
              <w:t>Стоматологические вмешательства</w:t>
            </w:r>
          </w:p>
        </w:tc>
        <w:tc>
          <w:tcPr>
            <w:tcW w:w="1003"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0,97</w:t>
            </w:r>
          </w:p>
        </w:tc>
        <w:tc>
          <w:tcPr>
            <w:tcW w:w="849"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0,97</w:t>
            </w:r>
          </w:p>
        </w:tc>
        <w:tc>
          <w:tcPr>
            <w:tcW w:w="1004"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w:t>
            </w:r>
          </w:p>
        </w:tc>
        <w:tc>
          <w:tcPr>
            <w:tcW w:w="772"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w:t>
            </w:r>
          </w:p>
        </w:tc>
      </w:tr>
      <w:tr w:rsidR="0054424D" w:rsidRPr="002E5AE2" w:rsidTr="0054424D">
        <w:trPr>
          <w:trHeight w:val="397"/>
        </w:trPr>
        <w:tc>
          <w:tcPr>
            <w:tcW w:w="1372" w:type="pct"/>
            <w:vAlign w:val="center"/>
          </w:tcPr>
          <w:p w:rsidR="002E5AE2" w:rsidRPr="002E5AE2" w:rsidRDefault="0054424D" w:rsidP="0054424D">
            <w:pPr>
              <w:pStyle w:val="a6"/>
              <w:spacing w:before="0" w:beforeAutospacing="0" w:after="0" w:afterAutospacing="0" w:line="240" w:lineRule="auto"/>
              <w:rPr>
                <w:color w:val="000000"/>
                <w:lang w:val="ru-RU"/>
              </w:rPr>
            </w:pPr>
            <w:r>
              <w:rPr>
                <w:color w:val="000000"/>
                <w:lang w:val="ru-RU"/>
              </w:rPr>
              <w:t>Инструментальные осмотры</w:t>
            </w:r>
          </w:p>
        </w:tc>
        <w:tc>
          <w:tcPr>
            <w:tcW w:w="1003"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2,91</w:t>
            </w:r>
          </w:p>
        </w:tc>
        <w:tc>
          <w:tcPr>
            <w:tcW w:w="849"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w:t>
            </w:r>
          </w:p>
        </w:tc>
        <w:tc>
          <w:tcPr>
            <w:tcW w:w="1004"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1,94</w:t>
            </w:r>
          </w:p>
        </w:tc>
        <w:tc>
          <w:tcPr>
            <w:tcW w:w="772" w:type="pct"/>
            <w:shd w:val="clear" w:color="auto" w:fill="auto"/>
            <w:vAlign w:val="center"/>
          </w:tcPr>
          <w:p w:rsidR="002E5AE2" w:rsidRPr="002E5AE2" w:rsidRDefault="002E5AE2" w:rsidP="0054424D">
            <w:pPr>
              <w:spacing w:line="240" w:lineRule="auto"/>
              <w:jc w:val="left"/>
              <w:rPr>
                <w:color w:val="000000"/>
                <w:sz w:val="24"/>
                <w:szCs w:val="24"/>
                <w:lang w:val="uk-UA"/>
              </w:rPr>
            </w:pPr>
            <w:r w:rsidRPr="002E5AE2">
              <w:rPr>
                <w:color w:val="000000"/>
                <w:sz w:val="24"/>
                <w:szCs w:val="24"/>
                <w:lang w:val="uk-UA"/>
              </w:rPr>
              <w:t>–</w:t>
            </w:r>
          </w:p>
        </w:tc>
      </w:tr>
      <w:tr w:rsidR="0054424D" w:rsidRPr="002E5AE2" w:rsidTr="0054424D">
        <w:trPr>
          <w:trHeight w:val="397"/>
        </w:trPr>
        <w:tc>
          <w:tcPr>
            <w:tcW w:w="1372" w:type="pct"/>
            <w:vAlign w:val="center"/>
          </w:tcPr>
          <w:p w:rsidR="002E5AE2" w:rsidRPr="002E5AE2" w:rsidRDefault="00011BC3" w:rsidP="0054424D">
            <w:pPr>
              <w:pStyle w:val="a6"/>
              <w:spacing w:before="0" w:beforeAutospacing="0" w:after="0" w:afterAutospacing="0" w:line="240" w:lineRule="auto"/>
              <w:rPr>
                <w:color w:val="000000"/>
                <w:lang w:val="ru-RU"/>
              </w:rPr>
            </w:pPr>
            <w:r>
              <w:rPr>
                <w:color w:val="000000"/>
                <w:lang w:val="ru-RU"/>
              </w:rPr>
              <w:t>Контакт с</w:t>
            </w:r>
            <w:r w:rsidR="0054424D">
              <w:rPr>
                <w:color w:val="000000"/>
                <w:lang w:val="ru-RU"/>
              </w:rPr>
              <w:t xml:space="preserve"> кровь</w:t>
            </w:r>
            <w:r w:rsidR="002E5AE2" w:rsidRPr="002E5AE2">
              <w:rPr>
                <w:color w:val="000000"/>
                <w:lang w:val="ru-RU"/>
              </w:rPr>
              <w:t>ю</w:t>
            </w:r>
          </w:p>
        </w:tc>
        <w:tc>
          <w:tcPr>
            <w:tcW w:w="1003" w:type="pct"/>
            <w:shd w:val="clear" w:color="auto" w:fill="auto"/>
            <w:vAlign w:val="center"/>
          </w:tcPr>
          <w:p w:rsidR="002E5AE2" w:rsidRPr="002E5AE2" w:rsidRDefault="00011BC3" w:rsidP="0054424D">
            <w:pPr>
              <w:spacing w:line="240" w:lineRule="auto"/>
              <w:jc w:val="left"/>
              <w:rPr>
                <w:color w:val="000000"/>
                <w:sz w:val="24"/>
                <w:szCs w:val="24"/>
              </w:rPr>
            </w:pPr>
            <w:r>
              <w:rPr>
                <w:color w:val="000000"/>
                <w:sz w:val="24"/>
                <w:szCs w:val="24"/>
              </w:rPr>
              <w:t>0,97</w:t>
            </w:r>
          </w:p>
        </w:tc>
        <w:tc>
          <w:tcPr>
            <w:tcW w:w="849" w:type="pct"/>
            <w:shd w:val="clear" w:color="auto" w:fill="auto"/>
            <w:vAlign w:val="center"/>
          </w:tcPr>
          <w:p w:rsidR="002E5AE2" w:rsidRPr="002E5AE2" w:rsidRDefault="00011BC3" w:rsidP="0054424D">
            <w:pPr>
              <w:spacing w:line="240" w:lineRule="auto"/>
              <w:jc w:val="left"/>
              <w:rPr>
                <w:color w:val="000000"/>
                <w:sz w:val="24"/>
                <w:szCs w:val="24"/>
              </w:rPr>
            </w:pPr>
            <w:r>
              <w:rPr>
                <w:color w:val="000000"/>
                <w:sz w:val="24"/>
                <w:szCs w:val="24"/>
              </w:rPr>
              <w:t>4,86</w:t>
            </w:r>
          </w:p>
        </w:tc>
        <w:tc>
          <w:tcPr>
            <w:tcW w:w="1004" w:type="pct"/>
            <w:shd w:val="clear" w:color="auto" w:fill="auto"/>
            <w:vAlign w:val="center"/>
          </w:tcPr>
          <w:p w:rsidR="002E5AE2" w:rsidRPr="002E5AE2" w:rsidRDefault="00011BC3" w:rsidP="0054424D">
            <w:pPr>
              <w:spacing w:line="240" w:lineRule="auto"/>
              <w:jc w:val="left"/>
              <w:rPr>
                <w:color w:val="000000"/>
                <w:sz w:val="24"/>
                <w:szCs w:val="24"/>
                <w:lang w:val="uk-UA"/>
              </w:rPr>
            </w:pPr>
            <w:r>
              <w:rPr>
                <w:color w:val="000000"/>
                <w:sz w:val="24"/>
                <w:szCs w:val="24"/>
                <w:lang w:val="uk-UA"/>
              </w:rPr>
              <w:t>1,94</w:t>
            </w:r>
          </w:p>
        </w:tc>
        <w:tc>
          <w:tcPr>
            <w:tcW w:w="772"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w:t>
            </w:r>
          </w:p>
        </w:tc>
      </w:tr>
      <w:tr w:rsidR="0054424D" w:rsidRPr="002E5AE2" w:rsidTr="0054424D">
        <w:trPr>
          <w:trHeight w:val="397"/>
        </w:trPr>
        <w:tc>
          <w:tcPr>
            <w:tcW w:w="1372" w:type="pct"/>
            <w:vAlign w:val="center"/>
          </w:tcPr>
          <w:p w:rsidR="002E5AE2" w:rsidRPr="002E5AE2" w:rsidRDefault="0054424D" w:rsidP="0054424D">
            <w:pPr>
              <w:pStyle w:val="a6"/>
              <w:spacing w:before="0" w:beforeAutospacing="0" w:after="0" w:afterAutospacing="0" w:line="240" w:lineRule="auto"/>
              <w:rPr>
                <w:color w:val="000000"/>
                <w:lang w:val="ru-RU"/>
              </w:rPr>
            </w:pPr>
            <w:r>
              <w:rPr>
                <w:color w:val="000000"/>
                <w:lang w:val="ru-RU"/>
              </w:rPr>
              <w:t>Пирсинг, татуировки</w:t>
            </w:r>
          </w:p>
        </w:tc>
        <w:tc>
          <w:tcPr>
            <w:tcW w:w="1003" w:type="pct"/>
            <w:shd w:val="clear" w:color="auto" w:fill="auto"/>
            <w:vAlign w:val="center"/>
          </w:tcPr>
          <w:p w:rsidR="002E5AE2" w:rsidRPr="002E5AE2" w:rsidRDefault="00011BC3" w:rsidP="0054424D">
            <w:pPr>
              <w:spacing w:line="240" w:lineRule="auto"/>
              <w:jc w:val="left"/>
              <w:rPr>
                <w:color w:val="000000"/>
                <w:sz w:val="24"/>
                <w:szCs w:val="24"/>
              </w:rPr>
            </w:pPr>
            <w:r>
              <w:rPr>
                <w:color w:val="000000"/>
                <w:sz w:val="24"/>
                <w:szCs w:val="24"/>
              </w:rPr>
              <w:t>7,77</w:t>
            </w:r>
          </w:p>
        </w:tc>
        <w:tc>
          <w:tcPr>
            <w:tcW w:w="849"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2</w:t>
            </w:r>
            <w:r w:rsidR="00011BC3">
              <w:rPr>
                <w:color w:val="000000"/>
                <w:sz w:val="24"/>
                <w:szCs w:val="24"/>
              </w:rPr>
              <w:t>,43</w:t>
            </w:r>
          </w:p>
        </w:tc>
        <w:tc>
          <w:tcPr>
            <w:tcW w:w="1004"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w:t>
            </w:r>
          </w:p>
        </w:tc>
        <w:tc>
          <w:tcPr>
            <w:tcW w:w="772"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w:t>
            </w:r>
          </w:p>
        </w:tc>
      </w:tr>
      <w:tr w:rsidR="0054424D" w:rsidRPr="002E5AE2" w:rsidTr="0054424D">
        <w:trPr>
          <w:trHeight w:val="397"/>
        </w:trPr>
        <w:tc>
          <w:tcPr>
            <w:tcW w:w="1372" w:type="pct"/>
            <w:vAlign w:val="center"/>
          </w:tcPr>
          <w:p w:rsidR="002E5AE2" w:rsidRPr="002E5AE2" w:rsidRDefault="0054424D" w:rsidP="0054424D">
            <w:pPr>
              <w:pStyle w:val="a6"/>
              <w:spacing w:before="0" w:beforeAutospacing="0" w:after="0" w:afterAutospacing="0" w:line="240" w:lineRule="auto"/>
              <w:rPr>
                <w:color w:val="000000"/>
                <w:lang w:val="ru-RU"/>
              </w:rPr>
            </w:pPr>
            <w:r>
              <w:rPr>
                <w:color w:val="000000"/>
                <w:lang w:val="ru-RU"/>
              </w:rPr>
              <w:t>Опасный</w:t>
            </w:r>
            <w:r w:rsidR="002E5AE2" w:rsidRPr="002E5AE2">
              <w:rPr>
                <w:color w:val="000000"/>
                <w:lang w:val="ru-RU"/>
              </w:rPr>
              <w:t xml:space="preserve"> секс</w:t>
            </w:r>
          </w:p>
        </w:tc>
        <w:tc>
          <w:tcPr>
            <w:tcW w:w="1003"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2,91</w:t>
            </w:r>
          </w:p>
        </w:tc>
        <w:tc>
          <w:tcPr>
            <w:tcW w:w="849"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1,94</w:t>
            </w:r>
          </w:p>
        </w:tc>
        <w:tc>
          <w:tcPr>
            <w:tcW w:w="1004"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w:t>
            </w:r>
          </w:p>
        </w:tc>
        <w:tc>
          <w:tcPr>
            <w:tcW w:w="772" w:type="pct"/>
            <w:shd w:val="clear" w:color="auto" w:fill="auto"/>
            <w:vAlign w:val="center"/>
          </w:tcPr>
          <w:p w:rsidR="002E5AE2" w:rsidRPr="002E5AE2" w:rsidRDefault="002E5AE2" w:rsidP="0054424D">
            <w:pPr>
              <w:spacing w:line="240" w:lineRule="auto"/>
              <w:jc w:val="left"/>
              <w:rPr>
                <w:color w:val="000000"/>
                <w:sz w:val="24"/>
                <w:szCs w:val="24"/>
              </w:rPr>
            </w:pPr>
            <w:r w:rsidRPr="002E5AE2">
              <w:rPr>
                <w:color w:val="000000"/>
                <w:sz w:val="24"/>
                <w:szCs w:val="24"/>
              </w:rPr>
              <w:t>–</w:t>
            </w:r>
          </w:p>
        </w:tc>
      </w:tr>
      <w:tr w:rsidR="0054424D" w:rsidRPr="002E5AE2" w:rsidTr="0054424D">
        <w:trPr>
          <w:trHeight w:val="397"/>
        </w:trPr>
        <w:tc>
          <w:tcPr>
            <w:tcW w:w="1372" w:type="pct"/>
            <w:vAlign w:val="center"/>
          </w:tcPr>
          <w:p w:rsidR="002E5AE2" w:rsidRPr="002E5AE2" w:rsidRDefault="0054424D" w:rsidP="0054424D">
            <w:pPr>
              <w:pStyle w:val="a6"/>
              <w:spacing w:before="0" w:beforeAutospacing="0" w:after="0" w:afterAutospacing="0" w:line="240" w:lineRule="auto"/>
              <w:rPr>
                <w:color w:val="000000"/>
                <w:lang w:val="ru-RU"/>
              </w:rPr>
            </w:pPr>
            <w:r>
              <w:rPr>
                <w:color w:val="000000"/>
                <w:lang w:val="ru-RU"/>
              </w:rPr>
              <w:t>Невыясненный фактор</w:t>
            </w:r>
          </w:p>
        </w:tc>
        <w:tc>
          <w:tcPr>
            <w:tcW w:w="1003" w:type="pct"/>
            <w:shd w:val="clear" w:color="auto" w:fill="auto"/>
            <w:vAlign w:val="center"/>
          </w:tcPr>
          <w:p w:rsidR="002E5AE2" w:rsidRPr="002E5AE2" w:rsidRDefault="0054424D" w:rsidP="0054424D">
            <w:pPr>
              <w:spacing w:line="240" w:lineRule="auto"/>
              <w:jc w:val="left"/>
              <w:rPr>
                <w:color w:val="000000"/>
                <w:sz w:val="24"/>
                <w:szCs w:val="24"/>
                <w:lang w:val="uk-UA"/>
              </w:rPr>
            </w:pPr>
            <w:r>
              <w:rPr>
                <w:color w:val="000000"/>
                <w:sz w:val="24"/>
                <w:szCs w:val="24"/>
                <w:lang w:val="uk-UA"/>
              </w:rPr>
              <w:t>7,8</w:t>
            </w:r>
          </w:p>
        </w:tc>
        <w:tc>
          <w:tcPr>
            <w:tcW w:w="849"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1,46</w:t>
            </w:r>
          </w:p>
        </w:tc>
        <w:tc>
          <w:tcPr>
            <w:tcW w:w="1004"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1,46</w:t>
            </w:r>
          </w:p>
        </w:tc>
        <w:tc>
          <w:tcPr>
            <w:tcW w:w="772" w:type="pct"/>
            <w:shd w:val="clear" w:color="auto" w:fill="auto"/>
            <w:vAlign w:val="center"/>
          </w:tcPr>
          <w:p w:rsidR="002E5AE2" w:rsidRPr="002E5AE2" w:rsidRDefault="0054424D" w:rsidP="0054424D">
            <w:pPr>
              <w:spacing w:line="240" w:lineRule="auto"/>
              <w:jc w:val="left"/>
              <w:rPr>
                <w:color w:val="000000"/>
                <w:sz w:val="24"/>
                <w:szCs w:val="24"/>
              </w:rPr>
            </w:pPr>
            <w:r>
              <w:rPr>
                <w:color w:val="000000"/>
                <w:sz w:val="24"/>
                <w:szCs w:val="24"/>
              </w:rPr>
              <w:t>13,1</w:t>
            </w:r>
          </w:p>
        </w:tc>
      </w:tr>
    </w:tbl>
    <w:p w:rsidR="002E5AE2" w:rsidRDefault="00011BC3" w:rsidP="00011BC3">
      <w:pPr>
        <w:ind w:firstLine="567"/>
      </w:pPr>
      <w:r>
        <w:t xml:space="preserve">Таким образом, проблемы, связанные с употреблением наркотиков выявлены у 24,27 % обследованных; 13,1 % больных имели в анамнезе </w:t>
      </w:r>
      <w:r>
        <w:lastRenderedPageBreak/>
        <w:t xml:space="preserve">оперативные вмешательства; 10,2 % пациентов связывают свое заболевание с нанесением татуировок или проведением пирсинга; переливание крови при других заболеваниях и хирургическом лечении отметили 9,22 %; на контакт с посторонней кровью указали 7,77 % обследованных; диагностические инструментальные осмотры были проведены у 4,85 % больных; незащищенный секс в прошлом </w:t>
      </w:r>
      <w:r w:rsidR="00C356E3">
        <w:t>имели 4,85 % лиц; 1,94 % больных периодически прибегали к стоматологическим манипуляциям; у 23,8 % пациентов источник инфекции не установлен.</w:t>
      </w:r>
    </w:p>
    <w:p w:rsidR="00AB3FA9" w:rsidRDefault="00AB3FA9" w:rsidP="00011BC3">
      <w:pPr>
        <w:ind w:firstLine="567"/>
      </w:pPr>
      <w:r>
        <w:t xml:space="preserve">Тщательное изучение анамнеза заболевания обследованных больных установило, что в среднем длительность болезни на момент исследования составляла от 1-го до 5-ти лет; 36,9 % пациентов в анамнезе имели острую стадию гепатита. Постоянное или периодическое употребление алкоголя, как способствующий хронизации процесса </w:t>
      </w:r>
      <w:r w:rsidR="00C81826">
        <w:t xml:space="preserve">фактор, имело место почти у 30 % больных. Чрезмерная масса тела отмечалась у 1/4 больных. Следует отметить, что болене 70 % лиц относили себя к адаптированным в социально-экономическом сенсе людям, что подчеркивает неизберательный тропизи </w:t>
      </w:r>
      <w:r w:rsidR="00C81826">
        <w:rPr>
          <w:lang w:val="en-US"/>
        </w:rPr>
        <w:t>HCV</w:t>
      </w:r>
      <w:r w:rsidR="00C81826">
        <w:t>.</w:t>
      </w:r>
    </w:p>
    <w:p w:rsidR="00C81826" w:rsidRDefault="00C81826" w:rsidP="00011BC3">
      <w:pPr>
        <w:ind w:firstLine="567"/>
      </w:pPr>
      <w:r>
        <w:t>В большинстве случаев течение заболевания характеризовалось наличием сопутствующей патологии со стороны пищеварительной системы (47,57 %), сердечно-сосудистой системы (8,73 %), нервной системы (15,04 %). Хронические обструктивные заболевания легких были отмечены у 4,36 %, хроническая гипохромная анемия – у 1,45 %, полиартрит – у 24,75, аллергический дерматит – у 2,91 %, псориаз – у 0,48 %</w:t>
      </w:r>
      <w:r w:rsidR="007A23FE">
        <w:t>, нарушение репродуктивной функции – у 14,75 %</w:t>
      </w:r>
      <w:r>
        <w:t xml:space="preserve"> больных.</w:t>
      </w:r>
    </w:p>
    <w:p w:rsidR="00C356E3" w:rsidRDefault="00C356E3" w:rsidP="00011BC3">
      <w:pPr>
        <w:ind w:firstLine="567"/>
      </w:pPr>
      <w:r>
        <w:t>Мы проанализировали клиническую картину больных ХГС.</w:t>
      </w:r>
    </w:p>
    <w:p w:rsidR="00C356E3" w:rsidRDefault="00C356E3" w:rsidP="00011BC3">
      <w:pPr>
        <w:ind w:firstLine="567"/>
      </w:pPr>
      <w:r>
        <w:t>Большинство обследованных больных имели проявления астено-вегетативного синдрома (75,24 %). В клинической картине преобладали жалобы на общую слабость</w:t>
      </w:r>
      <w:r w:rsidR="00C97078">
        <w:t xml:space="preserve"> (75,24 %), быструю утомляемость при обычных физических нагрузках (67,47 %) и наростающее снижение трудоспособности </w:t>
      </w:r>
      <w:r w:rsidR="00C97078">
        <w:lastRenderedPageBreak/>
        <w:t>( 75,24 %). Внимательный распрос жалоб пациентов выявил многочисленные, временами замаскированные, проявления эмоциональной лабильности обследованных лиц, что выражалось апатией, нервозностью и повышенной раздражительностью. Нарушение сна (26,21 % ), периодическая головная боль разной локализации (5,33 %), колебания артериального давления</w:t>
      </w:r>
      <w:r w:rsidR="00980665">
        <w:t xml:space="preserve"> (АД)</w:t>
      </w:r>
      <w:r w:rsidR="00C97078">
        <w:t xml:space="preserve"> (16,5 %) </w:t>
      </w:r>
      <w:r w:rsidR="00980665">
        <w:t xml:space="preserve">имели место у части </w:t>
      </w:r>
      <w:r w:rsidR="00C97078">
        <w:t xml:space="preserve">больных. </w:t>
      </w:r>
      <w:r w:rsidR="00980665">
        <w:t>Как правило, потливость (10,19 %) и головокружения (6,79 %) отображали изменения уровня АД.</w:t>
      </w:r>
    </w:p>
    <w:p w:rsidR="00980665" w:rsidRDefault="00980665" w:rsidP="00011BC3">
      <w:pPr>
        <w:ind w:firstLine="567"/>
      </w:pPr>
      <w:r>
        <w:t xml:space="preserve">Проявления диспепсического синдрома имело место более чем у 1/3 больных ХГС (69,9 %). Выраженность заболевания в той или иной степени зависела от давности заболевания. Так, больные, страдающие хронической </w:t>
      </w:r>
      <w:r>
        <w:rPr>
          <w:lang w:val="en-US"/>
        </w:rPr>
        <w:t>HCV</w:t>
      </w:r>
      <w:r>
        <w:t xml:space="preserve">-инфекцией более 3-х лет имели определенные проблемы со стулом в виде послабления или задержки (69,9 %), а также непереносимость жирной пищи (30,58 %). На признаки метеоризма также указывали пациенты из вышеуказанной категории (13,59 %). Данные расстройства со стороны пищеварительной системы, вероятно, связаны с наличием дисбиотических явлений, которые </w:t>
      </w:r>
      <w:r w:rsidR="00C31253">
        <w:t>являются закономерным последствием хронического вирусного гепатита. Кроме того, больные жаловались на ощущение тяжести в правом подреберье (63,59 %) и эпигастральной области (23,78 %), снижение аппетита (56,93 %), отвращение к запахам (9,22 %), тошноту (12,62 %), рвоту (6,79 %), отрыжку (16,5 %), сухость (14,07 %) и горечь (5,3 %) во рту, что отражает степень вовлечения и реактивность пищеварительной системы в инфекционный процесс.</w:t>
      </w:r>
    </w:p>
    <w:p w:rsidR="00C31253" w:rsidRDefault="00C31253" w:rsidP="00011BC3">
      <w:pPr>
        <w:ind w:firstLine="567"/>
      </w:pPr>
      <w:r>
        <w:t xml:space="preserve">Кожно-желтушный синдром встречался у небольшого количества больных ХГС (18,93 %). При этом иктеричность склер имела место во всех случаях (18,93 %), тогда как желтушность кожных покровов наблюдалась несколько реже (17,47 %). </w:t>
      </w:r>
      <w:r w:rsidR="00544968">
        <w:t xml:space="preserve">Сочетание желтухи с кожным зудом (4,36 %) или сыпью около крупных суставов верхних конечностей (1,45 %) сопровождало заболевание нескольких больных. У всех больных с вышеуказанным синдромом наблюдались холурия (18,83 %), а у части из них – ахолия (11,65 </w:t>
      </w:r>
      <w:r w:rsidR="00544968">
        <w:lastRenderedPageBreak/>
        <w:t xml:space="preserve">%). Таким образом, большинство обследованных на момент наблюдения не имели желтухи (80,07 %). </w:t>
      </w:r>
    </w:p>
    <w:p w:rsidR="00544968" w:rsidRDefault="00544968" w:rsidP="00011BC3">
      <w:pPr>
        <w:ind w:firstLine="567"/>
      </w:pPr>
      <w:r>
        <w:t>Течение заболевания части пациентов сопровождали проявления абдоминально-болевого синдрома (29,61 %). Постоянная или периодическая боль в эпигастрии (16,1 %) и правом подреберье (29,61 %) , как правило, имела ноющий или давящий характер, малую или умеренную интенсивность и связь с незначительными физическими нагрузками. Боль чаще наростала во 2-й половине дня.</w:t>
      </w:r>
    </w:p>
    <w:p w:rsidR="00544968" w:rsidRDefault="00544968" w:rsidP="00011BC3">
      <w:pPr>
        <w:ind w:firstLine="567"/>
      </w:pPr>
      <w:r>
        <w:t xml:space="preserve">Арталгический синдром </w:t>
      </w:r>
      <w:r w:rsidR="00634C25">
        <w:t>коснулся части больных ХГС (15,5 %). Арталгии чаще наблюдались у пациентов, страдающих ХГС более 3-х лет, т.е имеющих давние арталгии в анамнезе. Деформаций суставов выявлено не было. Однако, некоторые больные отмечали скованность движений в суставах (5,33 %).</w:t>
      </w:r>
    </w:p>
    <w:p w:rsidR="00634C25" w:rsidRDefault="00634C25" w:rsidP="00011BC3">
      <w:pPr>
        <w:ind w:firstLine="567"/>
      </w:pPr>
      <w:r>
        <w:t>Периодическое кратковременное повышение температуры тела до субфебрильного уровня преимущественно в вечернее имело место у четверти больных (25,24 %). При этом повышение температуры субъективно не сопровождалось нарушением самочувствия и регрессировало самостоятельно.</w:t>
      </w:r>
    </w:p>
    <w:p w:rsidR="00634C25" w:rsidRDefault="00634C25" w:rsidP="00011BC3">
      <w:pPr>
        <w:ind w:firstLine="567"/>
      </w:pPr>
      <w:r>
        <w:t>Синдром гепатомегалии наблюдался у абсолютного большинства больных ХГС (100 %). Пальпация области правого подреберья позволила выявить увеличение (70,38 %) и уплотнение (86,4 %) печени. Увеличение последней на 2–4 см наблюдалось у большинства больных</w:t>
      </w:r>
      <w:r w:rsidR="00AB3FA9">
        <w:t>. Гепатоспленомегалия констатирована почти у четверти пациентов (23,78 %).</w:t>
      </w:r>
    </w:p>
    <w:p w:rsidR="00AB3FA9" w:rsidRDefault="00AB3FA9" w:rsidP="00011BC3">
      <w:pPr>
        <w:ind w:firstLine="567"/>
      </w:pPr>
      <w:r>
        <w:t>Анализ клинической картины показал, что у больных ХГС преобладали проявления гепатомегалического (100 %), астено-вегетативного (75,24 %), диспепсического (69,9 %) синдромов. Реже наблюдались абдоминально-болевой (29,61 %), лихорадочный (25,24 %), кожно-желтушный (18,93) и арталгичный (15,5 %) синдромы.</w:t>
      </w:r>
    </w:p>
    <w:p w:rsidR="00F118CF" w:rsidRPr="004421D1" w:rsidRDefault="00F118CF" w:rsidP="00A5625E">
      <w:pPr>
        <w:ind w:firstLine="0"/>
      </w:pPr>
      <w:r>
        <w:lastRenderedPageBreak/>
        <w:t>Выводы. Проанализировав клинико-эпидемиологическую картину больных ХГС</w:t>
      </w:r>
      <w:r w:rsidR="00FF57E1">
        <w:t xml:space="preserve"> в Харьковской области</w:t>
      </w:r>
      <w:r>
        <w:t xml:space="preserve"> можно сделать вывод, что наиболее уязвимой к инфицированию </w:t>
      </w:r>
      <w:r>
        <w:rPr>
          <w:lang w:val="en-US"/>
        </w:rPr>
        <w:t>HCV</w:t>
      </w:r>
      <w:r>
        <w:t xml:space="preserve">-инфекцией и формированию хронических форм заболевания является социально активная группа людей в возрасте 24–45 лет. Чаще страдают мужчины (70,4 %). Склонность к заболеванию ХГС прослеживается в разных социальных слоях населения. </w:t>
      </w:r>
      <w:r w:rsidR="004421D1">
        <w:t xml:space="preserve">Существенна роль факторов, способствующих прогрессированию хронического процесса: алкоголизм, наркомания, ожирение, сопутствующая симптоматика со стороны пищеварительной системы. </w:t>
      </w:r>
      <w:r w:rsidR="00A5625E">
        <w:t xml:space="preserve">основными факторами риска инфицирования </w:t>
      </w:r>
      <w:r w:rsidR="00A5625E">
        <w:rPr>
          <w:lang w:val="en-US"/>
        </w:rPr>
        <w:t>HCV</w:t>
      </w:r>
      <w:r w:rsidR="00A5625E">
        <w:t xml:space="preserve">-инфекцией были употребление наркотиков (24,27 %), оперативные вмешательства или гемотрансфузии (22,32 %), нанесение татуировок или проведение пирсинга (10,2 %) и контакт с посторонней кровью (7,77 %). В клинической картине хронического гепатита С превалировали проявления гепатомегалического (100 %), астено-вегетативного (75,24 %) и диспепсического (69,9 %) синдромов. Внепеченочные проявления заболевания втречались с низкой частотой (арталгии–24,75 %, аллергические дерматиты – 2,91 %, анемии – 1,45 %, нарушения в сфере репродуктивной функции – 14,75 %). </w:t>
      </w:r>
    </w:p>
    <w:p w:rsidR="00754AD0" w:rsidRDefault="00754AD0" w:rsidP="0031578F">
      <w:pPr>
        <w:ind w:firstLine="567"/>
      </w:pPr>
    </w:p>
    <w:p w:rsidR="0031578F" w:rsidRPr="00C627FD" w:rsidRDefault="0031578F" w:rsidP="004B0464">
      <w:pPr>
        <w:ind w:firstLine="567"/>
      </w:pPr>
    </w:p>
    <w:p w:rsidR="004B0464" w:rsidRDefault="004B0464" w:rsidP="004B0464">
      <w:pPr>
        <w:ind w:firstLine="567"/>
      </w:pPr>
    </w:p>
    <w:p w:rsidR="004B0464" w:rsidRDefault="004B0464" w:rsidP="004B0464">
      <w:pPr>
        <w:ind w:firstLine="567"/>
      </w:pPr>
    </w:p>
    <w:p w:rsidR="00E0066D" w:rsidRDefault="00E0066D" w:rsidP="004B0464">
      <w:pPr>
        <w:ind w:firstLine="567"/>
      </w:pPr>
    </w:p>
    <w:p w:rsidR="00E0066D" w:rsidRDefault="00E0066D" w:rsidP="004B0464">
      <w:pPr>
        <w:ind w:firstLine="567"/>
      </w:pPr>
    </w:p>
    <w:p w:rsidR="00E0066D" w:rsidRDefault="00E0066D" w:rsidP="004B0464">
      <w:pPr>
        <w:ind w:firstLine="567"/>
      </w:pPr>
    </w:p>
    <w:p w:rsidR="00E0066D" w:rsidRDefault="00E0066D" w:rsidP="004B0464">
      <w:pPr>
        <w:ind w:firstLine="567"/>
      </w:pPr>
    </w:p>
    <w:p w:rsidR="00E0066D" w:rsidRDefault="00E0066D" w:rsidP="004B0464">
      <w:pPr>
        <w:ind w:firstLine="567"/>
      </w:pPr>
    </w:p>
    <w:p w:rsidR="00E0066D" w:rsidRDefault="00E0066D" w:rsidP="004B0464">
      <w:pPr>
        <w:ind w:firstLine="567"/>
      </w:pPr>
    </w:p>
    <w:p w:rsidR="00E0066D" w:rsidRDefault="00E0066D" w:rsidP="004B0464">
      <w:pPr>
        <w:ind w:firstLine="567"/>
      </w:pPr>
    </w:p>
    <w:p w:rsidR="00F856C9" w:rsidRPr="00A5625E" w:rsidRDefault="00F856C9" w:rsidP="004B0464">
      <w:pPr>
        <w:ind w:firstLine="567"/>
      </w:pPr>
    </w:p>
    <w:p w:rsidR="00F856C9" w:rsidRDefault="00F856C9" w:rsidP="00F856C9">
      <w:pPr>
        <w:ind w:firstLine="567"/>
        <w:jc w:val="center"/>
      </w:pPr>
      <w:r>
        <w:t>СПИСОК ИСПОЛЬЗОВАННОЙ ЛИТЕРАТУРЫ</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lang w:val="ru-RU"/>
        </w:rPr>
      </w:pPr>
      <w:r w:rsidRPr="001A36FE">
        <w:rPr>
          <w:rFonts w:ascii="Times New Roman" w:hAnsi="Times New Roman"/>
          <w:sz w:val="28"/>
          <w:szCs w:val="28"/>
          <w:lang w:val="ru-RU"/>
        </w:rPr>
        <w:t>Ж.И. Возианова – Киев: Здоров'я, 2008. – Т. 1. – 903 с.</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EASL Clinical Practice Guidelines: Management of hepatitis C virus infection. European Association for the Study of the Liver / Hepatology. – 2011. – № 55. – P. 245–264.</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Natural history of chronic hepatitis C. Reported by A. Craxi at XI international symposium on viral hepatitis, 1-2 June, 2012, Barcelona, Spain.</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Armstrong G.L. The past incidence of hepatitis C virus infection: implications for the future burden of chronic liver disease in the United States / G.L. Armstrong, M.J. Alter, G.M. Mc Quillan [et al.] // Hepatology. – 2000. –№ 31. – P. 777–782.</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Grammaticos A.P. Hepatitis C virus infection / A.P. Grammaticos // Scr. sci. med. – 2005. – №. 37. – P. 25–32.</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Lauer G.M. Hepatitis C virus infection / G.M. Lauer, D.B. Walker // N. Engl. J. Med. – 2001. – №. 345. – P. 41–52.</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Chen S.L. The natural history of hepatitis C virus (HCV) infection / S.L. Chen, T.R. Morgan // Int. J. Med. Sci. – 2006. – № 3. – P. 47–52.</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lang w:val="ru-RU"/>
        </w:rPr>
      </w:pPr>
      <w:r w:rsidRPr="001A36FE">
        <w:rPr>
          <w:rFonts w:ascii="Times New Roman" w:hAnsi="Times New Roman"/>
          <w:sz w:val="28"/>
          <w:szCs w:val="28"/>
          <w:lang w:val="ru-RU"/>
        </w:rPr>
        <w:t>ВООЗ. Гепатит С. / Информационный бюллетень № 164. – июль 2013.</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lang w:val="ru-RU"/>
        </w:rPr>
      </w:pPr>
      <w:r w:rsidRPr="001A36FE">
        <w:rPr>
          <w:rFonts w:ascii="Times New Roman" w:hAnsi="Times New Roman"/>
          <w:sz w:val="28"/>
          <w:szCs w:val="28"/>
          <w:lang w:val="ru-RU"/>
        </w:rPr>
        <w:t>Ярошенко Е.Б. Роль вирусных гепатитов в развитии гепатоцеллюлярной карциномы / Е.Б. Ярошенко, Э.З. Бурневич, Я.Г. Мойсюк // Практическая онкология. – 2008. – Т. 9 – №4. – С. 189–193.</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J</w:t>
      </w:r>
      <w:r w:rsidRPr="001A36FE">
        <w:rPr>
          <w:rFonts w:ascii="Times New Roman" w:hAnsi="Times New Roman"/>
          <w:iCs/>
          <w:sz w:val="28"/>
          <w:szCs w:val="28"/>
        </w:rPr>
        <w:t xml:space="preserve">eong S. </w:t>
      </w:r>
      <w:r w:rsidRPr="001A36FE">
        <w:rPr>
          <w:rFonts w:ascii="Times New Roman" w:hAnsi="Times New Roman"/>
          <w:sz w:val="28"/>
          <w:szCs w:val="28"/>
        </w:rPr>
        <w:t xml:space="preserve">Low dose intermittent interferon alpha therapy for HCV-related liver   cirrhosis after curative treatment of hepatocellular carcinoma / S. </w:t>
      </w:r>
      <w:r w:rsidRPr="001A36FE">
        <w:rPr>
          <w:rFonts w:ascii="Times New Roman" w:hAnsi="Times New Roman"/>
          <w:iCs/>
          <w:sz w:val="28"/>
          <w:szCs w:val="28"/>
        </w:rPr>
        <w:t>Jeong, H. Aikata, Y. Katamura [et al</w:t>
      </w:r>
      <w:r>
        <w:rPr>
          <w:rFonts w:ascii="Times New Roman" w:hAnsi="Times New Roman"/>
          <w:iCs/>
          <w:sz w:val="28"/>
          <w:szCs w:val="28"/>
          <w:lang w:val="uk-UA"/>
        </w:rPr>
        <w:t>.</w:t>
      </w:r>
      <w:r w:rsidRPr="001A36FE">
        <w:rPr>
          <w:rFonts w:ascii="Times New Roman" w:hAnsi="Times New Roman"/>
          <w:iCs/>
          <w:sz w:val="28"/>
          <w:szCs w:val="28"/>
        </w:rPr>
        <w:t xml:space="preserve">] // </w:t>
      </w:r>
      <w:r w:rsidRPr="001A36FE">
        <w:rPr>
          <w:rFonts w:ascii="Times New Roman" w:hAnsi="Times New Roman"/>
          <w:sz w:val="28"/>
          <w:szCs w:val="28"/>
        </w:rPr>
        <w:t>World J. Gastroenterology. – 2007. – № 13 – P. 5188–5195.</w:t>
      </w:r>
    </w:p>
    <w:p w:rsidR="00F856C9" w:rsidRPr="000C5FC7"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lang w:val="ru-RU"/>
        </w:rPr>
      </w:pPr>
      <w:r w:rsidRPr="001A36FE">
        <w:rPr>
          <w:rFonts w:ascii="Times New Roman" w:hAnsi="Times New Roman"/>
          <w:sz w:val="28"/>
          <w:szCs w:val="28"/>
          <w:lang w:val="ru-RU"/>
        </w:rPr>
        <w:t xml:space="preserve">Федорченко С.В. Хроническая </w:t>
      </w:r>
      <w:r w:rsidRPr="001A36FE">
        <w:rPr>
          <w:rFonts w:ascii="Times New Roman" w:hAnsi="Times New Roman"/>
          <w:sz w:val="28"/>
          <w:szCs w:val="28"/>
        </w:rPr>
        <w:t>HCV</w:t>
      </w:r>
      <w:r w:rsidRPr="001A36FE">
        <w:rPr>
          <w:rFonts w:ascii="Times New Roman" w:hAnsi="Times New Roman"/>
          <w:sz w:val="28"/>
          <w:szCs w:val="28"/>
          <w:lang w:val="ru-RU"/>
        </w:rPr>
        <w:t>-инфекция / С.В. Федорченко: Киев.: ВСИ “ Медицина”, 2010.</w:t>
      </w:r>
      <w:r>
        <w:rPr>
          <w:rFonts w:ascii="Times New Roman" w:hAnsi="Times New Roman"/>
          <w:sz w:val="28"/>
          <w:szCs w:val="28"/>
          <w:lang w:val="ru-RU"/>
        </w:rPr>
        <w:t xml:space="preserve"> </w:t>
      </w:r>
      <w:r w:rsidRPr="001A36FE">
        <w:rPr>
          <w:rFonts w:ascii="Times New Roman" w:hAnsi="Times New Roman"/>
          <w:sz w:val="28"/>
          <w:szCs w:val="28"/>
          <w:lang w:val="ru-RU"/>
        </w:rPr>
        <w:t xml:space="preserve">– </w:t>
      </w:r>
      <w:r w:rsidRPr="000C5FC7">
        <w:rPr>
          <w:rFonts w:ascii="Times New Roman" w:hAnsi="Times New Roman"/>
          <w:sz w:val="28"/>
          <w:szCs w:val="28"/>
          <w:lang w:val="ru-RU"/>
        </w:rPr>
        <w:t>271 с.</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lang w:val="ru-RU"/>
        </w:rPr>
      </w:pPr>
      <w:r w:rsidRPr="001A36FE">
        <w:rPr>
          <w:rFonts w:ascii="Times New Roman" w:hAnsi="Times New Roman"/>
          <w:sz w:val="28"/>
          <w:szCs w:val="28"/>
          <w:lang w:val="ru-RU"/>
        </w:rPr>
        <w:lastRenderedPageBreak/>
        <w:t xml:space="preserve">Гураль А.Л. Характеристика і особливості епідемічного процесу гепатиту С в Україні / А.Л. Гураль, И.Ф. Марієвський, Т.А. Сергеєва </w:t>
      </w:r>
      <w:r w:rsidRPr="001A36FE">
        <w:rPr>
          <w:rFonts w:ascii="Times New Roman" w:eastAsia="MinionPro-Regular" w:hAnsi="Times New Roman"/>
          <w:color w:val="231F20"/>
          <w:sz w:val="28"/>
          <w:szCs w:val="28"/>
          <w:lang w:val="ru-RU"/>
        </w:rPr>
        <w:t>[та ін.] // Профілактична медицина. – 2011. – №1. – С. 9–17.</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lang w:val="ru-RU"/>
        </w:rPr>
      </w:pPr>
      <w:r w:rsidRPr="001A36FE">
        <w:rPr>
          <w:rFonts w:ascii="Times New Roman" w:hAnsi="Times New Roman"/>
          <w:sz w:val="28"/>
          <w:szCs w:val="28"/>
          <w:lang w:val="ru-RU"/>
        </w:rPr>
        <w:t>Голубовська О.А. Інфекційні хвороби / О.А. Голубовська, М.А. Андрейчин, А.В. Шкурба [та ін.] – Київ: ВСВ “ Медицина”, 2012. – 727 с.</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Reddy K.R. Hepatic steatosis in chronic hepatitis C: base line host and viral characteristics and influence on response to therapy with pegintron alpha 2a plus ribaverin / K.R. Reddy, S. Govindarajan, P. Marcellin [et al.] // Viral Hepatisi. – 2008. – №. 15 (2). – P. 129–136.</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Adinolfi L.E. Steatosis accelerates the progression of liver damage of chronic hepatitis C patients and correlates with specific HCV genotype and visceral obesti / L.E Adinolfi, M. Gambardella, A. Andreana  // Hepatology. – 2001. – № 33. – P. 1258–1364.</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Tsochatzis E. Hepatic steatosis in genotype 4 chronic hepatitis C is mainly because of metabolic factors / E. Tsochatzis, G.V. Paratheodoridis, E.K. Manesis [et al.] // Amer. J. of Gastroenterology. – 2007. – № 102 (3). – P. 634–641.</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 xml:space="preserve">Mascia M.T. Non HCV-related mixed cryoglobulinemia / M.T. Mascia, D. Ferrari, D. Campioli [et al.] // Autoimmun. Rev. – 2007. – </w:t>
      </w:r>
      <w:r w:rsidRPr="001A36FE">
        <w:rPr>
          <w:rFonts w:ascii="Times New Roman" w:hAnsi="Times New Roman"/>
          <w:sz w:val="28"/>
          <w:szCs w:val="28"/>
          <w:lang w:val="uk-UA"/>
        </w:rPr>
        <w:t>№</w:t>
      </w:r>
      <w:r w:rsidRPr="001A36FE">
        <w:rPr>
          <w:rFonts w:ascii="Times New Roman" w:hAnsi="Times New Roman"/>
          <w:sz w:val="28"/>
          <w:szCs w:val="28"/>
        </w:rPr>
        <w:t>7. – P. 114–120.</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rPr>
      </w:pPr>
      <w:r w:rsidRPr="001A36FE">
        <w:rPr>
          <w:rFonts w:ascii="Times New Roman" w:hAnsi="Times New Roman"/>
          <w:sz w:val="28"/>
          <w:szCs w:val="28"/>
        </w:rPr>
        <w:t>Rogriguez-Torres M. Thyroid dysfunction among cronic hepatitis C patients with mild and severe hepatic fibrosis / M. Rogriguez-Torres, C.F Rios- Bedoya, G. Ortiz-lasanta [et al.] // Fnn of Hepatol. – 2008. – № 7 (1). – P. 72–77.</w:t>
      </w:r>
    </w:p>
    <w:p w:rsidR="00F856C9" w:rsidRPr="001A36FE" w:rsidRDefault="00F856C9" w:rsidP="00F856C9">
      <w:pPr>
        <w:pStyle w:val="a3"/>
        <w:numPr>
          <w:ilvl w:val="0"/>
          <w:numId w:val="1"/>
        </w:numPr>
        <w:tabs>
          <w:tab w:val="num" w:pos="357"/>
          <w:tab w:val="num" w:pos="1134"/>
        </w:tabs>
        <w:spacing w:after="0" w:line="360" w:lineRule="auto"/>
        <w:ind w:left="360" w:firstLine="567"/>
        <w:jc w:val="both"/>
        <w:rPr>
          <w:rFonts w:ascii="Times New Roman" w:hAnsi="Times New Roman"/>
          <w:sz w:val="28"/>
          <w:szCs w:val="28"/>
          <w:lang w:val="ru-RU"/>
        </w:rPr>
      </w:pPr>
      <w:r w:rsidRPr="001A36FE">
        <w:rPr>
          <w:rFonts w:ascii="Times New Roman" w:hAnsi="Times New Roman"/>
          <w:sz w:val="28"/>
          <w:szCs w:val="28"/>
          <w:lang w:val="ru-RU"/>
        </w:rPr>
        <w:t>Харченко Н.В. Вирусный гепатит С: новое в лечении и профилактике осложнений / Н.В. Харченко // Здоров'я України. – 2009. – № 6 (1). – С. 4.</w:t>
      </w:r>
    </w:p>
    <w:p w:rsidR="00F856C9" w:rsidRDefault="00F856C9" w:rsidP="00F856C9">
      <w:pPr>
        <w:pStyle w:val="a3"/>
        <w:keepNext/>
        <w:widowControl w:val="0"/>
        <w:numPr>
          <w:ilvl w:val="0"/>
          <w:numId w:val="1"/>
        </w:numPr>
        <w:tabs>
          <w:tab w:val="num" w:pos="357"/>
          <w:tab w:val="num" w:pos="1134"/>
        </w:tabs>
        <w:spacing w:after="0" w:line="360" w:lineRule="auto"/>
        <w:ind w:left="357" w:firstLine="567"/>
        <w:jc w:val="both"/>
        <w:rPr>
          <w:rFonts w:ascii="Times New Roman" w:hAnsi="Times New Roman"/>
          <w:sz w:val="28"/>
          <w:szCs w:val="28"/>
          <w:lang w:val="ru-RU"/>
        </w:rPr>
      </w:pPr>
      <w:r w:rsidRPr="003504BD">
        <w:rPr>
          <w:rFonts w:ascii="Times New Roman" w:hAnsi="Times New Roman"/>
          <w:sz w:val="28"/>
          <w:szCs w:val="28"/>
          <w:lang w:val="ru-RU"/>
        </w:rPr>
        <w:t xml:space="preserve">Зигаленко Д.Г. Сопутствующие заболевания у ВИЧ-инфицированных лиц молодого возраста / Д.Г. Зигаленко, В.М.  Волжанин </w:t>
      </w:r>
      <w:r w:rsidRPr="003504BD">
        <w:rPr>
          <w:rFonts w:ascii="Times New Roman" w:hAnsi="Times New Roman"/>
          <w:sz w:val="28"/>
          <w:szCs w:val="28"/>
          <w:lang w:val="ru-RU"/>
        </w:rPr>
        <w:lastRenderedPageBreak/>
        <w:t xml:space="preserve">// Материалы </w:t>
      </w:r>
      <w:r w:rsidRPr="003504BD">
        <w:rPr>
          <w:rFonts w:ascii="Times New Roman" w:hAnsi="Times New Roman"/>
          <w:sz w:val="28"/>
          <w:szCs w:val="28"/>
        </w:rPr>
        <w:t>VI</w:t>
      </w:r>
      <w:r w:rsidRPr="003504BD">
        <w:rPr>
          <w:rFonts w:ascii="Times New Roman" w:hAnsi="Times New Roman"/>
          <w:sz w:val="28"/>
          <w:szCs w:val="28"/>
          <w:lang w:val="ru-RU"/>
        </w:rPr>
        <w:t xml:space="preserve"> Российского съезда врачей инфекционистов, 29-31 октября 2005г. – С. 27.</w:t>
      </w:r>
    </w:p>
    <w:p w:rsidR="00F856C9" w:rsidRPr="003504BD" w:rsidRDefault="00F856C9" w:rsidP="00F856C9">
      <w:pPr>
        <w:pStyle w:val="a3"/>
        <w:numPr>
          <w:ilvl w:val="0"/>
          <w:numId w:val="1"/>
        </w:numPr>
        <w:tabs>
          <w:tab w:val="num" w:pos="357"/>
          <w:tab w:val="num" w:pos="1134"/>
        </w:tabs>
        <w:spacing w:after="0" w:line="360" w:lineRule="auto"/>
        <w:ind w:left="357" w:firstLine="567"/>
        <w:jc w:val="both"/>
        <w:rPr>
          <w:rFonts w:ascii="Times New Roman" w:hAnsi="Times New Roman"/>
          <w:sz w:val="28"/>
          <w:szCs w:val="28"/>
          <w:lang w:val="ru-RU"/>
        </w:rPr>
      </w:pPr>
      <w:r w:rsidRPr="003504BD">
        <w:rPr>
          <w:sz w:val="28"/>
          <w:szCs w:val="28"/>
          <w:lang w:val="ru-RU"/>
        </w:rPr>
        <w:t>Макарова О.В. Морфологические особенности хронического вирусного гепатита у наркоманов // Арх. патологии. – 2008. – № 6. – С. 25—30.</w:t>
      </w:r>
    </w:p>
    <w:p w:rsidR="00F856C9" w:rsidRPr="001A36FE" w:rsidRDefault="00F856C9" w:rsidP="00F856C9">
      <w:pPr>
        <w:numPr>
          <w:ilvl w:val="0"/>
          <w:numId w:val="1"/>
        </w:numPr>
        <w:tabs>
          <w:tab w:val="num" w:pos="357"/>
          <w:tab w:val="num" w:pos="1134"/>
        </w:tabs>
        <w:ind w:left="357" w:firstLine="567"/>
        <w:contextualSpacing/>
        <w:rPr>
          <w:lang w:val="en-US"/>
        </w:rPr>
      </w:pPr>
      <w:r w:rsidRPr="001A36FE">
        <w:rPr>
          <w:lang w:val="en-US"/>
        </w:rPr>
        <w:t>Gibson A. The increasing mortality burden of liver disease among opioid-dependent people: cohort study / A. Gibson, D. Randall, L. Degenhardt // Addiction. – 2011. – № 106 (12). № P. 2186–2192.</w:t>
      </w:r>
    </w:p>
    <w:p w:rsidR="00753637" w:rsidRPr="00753637" w:rsidRDefault="00F856C9" w:rsidP="00753637">
      <w:pPr>
        <w:numPr>
          <w:ilvl w:val="0"/>
          <w:numId w:val="1"/>
        </w:numPr>
        <w:tabs>
          <w:tab w:val="num" w:pos="357"/>
          <w:tab w:val="num" w:pos="1134"/>
        </w:tabs>
        <w:ind w:left="357" w:firstLine="567"/>
        <w:contextualSpacing/>
        <w:rPr>
          <w:lang w:val="en-US"/>
        </w:rPr>
      </w:pPr>
      <w:r w:rsidRPr="001A36FE">
        <w:rPr>
          <w:lang w:val="en-US"/>
        </w:rPr>
        <w:t>Doerrbecker J. Transmission of hepatitis C virus among people who inject drugs: viral stability and association with drug preparation equipment / J. Doerrbecker, P. Behrendt, P. Mateu-Gelabert [et al.] // Infect. Dis. – 2013. – № 207 (2). – P. 281-287.</w:t>
      </w:r>
    </w:p>
    <w:p w:rsidR="00753637" w:rsidRPr="00753637" w:rsidRDefault="00753637" w:rsidP="00753637">
      <w:pPr>
        <w:numPr>
          <w:ilvl w:val="0"/>
          <w:numId w:val="1"/>
        </w:numPr>
        <w:tabs>
          <w:tab w:val="num" w:pos="357"/>
          <w:tab w:val="num" w:pos="1134"/>
        </w:tabs>
        <w:ind w:left="357" w:firstLine="567"/>
        <w:contextualSpacing/>
        <w:rPr>
          <w:lang w:val="en-US"/>
        </w:rPr>
      </w:pPr>
      <w:r w:rsidRPr="00753637">
        <w:rPr>
          <w:lang w:val="en-US"/>
        </w:rPr>
        <w:t>Paintsil E. Survival of hepatitis C virus in syringes: implication for transmission among injection drug users / E. Paintsil, H. He, C. Peters [et al.] // Infect. Dis. – 2010. – № 202 (7). – P. 984–990.</w:t>
      </w:r>
    </w:p>
    <w:p w:rsidR="00753637" w:rsidRPr="00753637" w:rsidRDefault="00753637" w:rsidP="00753637">
      <w:pPr>
        <w:numPr>
          <w:ilvl w:val="0"/>
          <w:numId w:val="1"/>
        </w:numPr>
        <w:tabs>
          <w:tab w:val="num" w:pos="357"/>
          <w:tab w:val="num" w:pos="1134"/>
        </w:tabs>
        <w:ind w:left="357" w:firstLine="567"/>
        <w:contextualSpacing/>
        <w:rPr>
          <w:lang w:val="en-US"/>
        </w:rPr>
      </w:pPr>
      <w:r w:rsidRPr="00753637">
        <w:rPr>
          <w:lang w:val="en-US"/>
        </w:rPr>
        <w:t>Ali S.A. Hepatitis B and hepatitis C in Pakistan: prevalence and risk factors / S.A. Ali, R.M. Donahue, H. Qureshi [et al.] // Int. J. Infect Dis. – 2009. – № 13 (1). – P. 9–19.</w:t>
      </w:r>
    </w:p>
    <w:p w:rsidR="00753637" w:rsidRPr="00753637" w:rsidRDefault="00753637" w:rsidP="00753637">
      <w:pPr>
        <w:numPr>
          <w:ilvl w:val="0"/>
          <w:numId w:val="1"/>
        </w:numPr>
        <w:tabs>
          <w:tab w:val="num" w:pos="357"/>
          <w:tab w:val="num" w:pos="1134"/>
        </w:tabs>
        <w:ind w:left="357" w:firstLine="567"/>
        <w:contextualSpacing/>
        <w:rPr>
          <w:lang w:val="en-US"/>
        </w:rPr>
      </w:pPr>
      <w:r w:rsidRPr="00753637">
        <w:rPr>
          <w:kern w:val="36"/>
          <w:lang w:val="en-US"/>
        </w:rPr>
        <w:t>Carney K. Association of tattooing and hepatitis C virus infection: A multicenter case-control study / K. Carney, S. Dhalla, A. Aytaman // Hepatology. – 2013. – № 57 (6). – P. 2117–2123.</w:t>
      </w:r>
    </w:p>
    <w:p w:rsidR="00753637" w:rsidRPr="00753637" w:rsidRDefault="00753637" w:rsidP="00753637">
      <w:pPr>
        <w:numPr>
          <w:ilvl w:val="0"/>
          <w:numId w:val="1"/>
        </w:numPr>
        <w:tabs>
          <w:tab w:val="num" w:pos="357"/>
          <w:tab w:val="num" w:pos="1134"/>
        </w:tabs>
        <w:ind w:left="357" w:firstLine="567"/>
        <w:contextualSpacing/>
        <w:rPr>
          <w:lang w:val="en-US"/>
        </w:rPr>
      </w:pPr>
      <w:r w:rsidRPr="00753637">
        <w:rPr>
          <w:kern w:val="36"/>
          <w:lang w:val="en-US"/>
        </w:rPr>
        <w:t>Seong M.H. Clinical and epidemiological characteristics of Korean patients with hepatitis C virus genotype 6 / M.H. Seong, H. Kil, J.Y. Kim // Clin. Mol. Hepatol. – 2013 – №19 (1). – P. 45–50.</w:t>
      </w:r>
    </w:p>
    <w:p w:rsidR="00753637" w:rsidRPr="00753637" w:rsidRDefault="00753637" w:rsidP="00753637">
      <w:pPr>
        <w:numPr>
          <w:ilvl w:val="0"/>
          <w:numId w:val="1"/>
        </w:numPr>
        <w:tabs>
          <w:tab w:val="num" w:pos="357"/>
          <w:tab w:val="num" w:pos="1134"/>
        </w:tabs>
        <w:ind w:left="357" w:firstLine="567"/>
        <w:contextualSpacing/>
        <w:rPr>
          <w:lang w:val="en-US"/>
        </w:rPr>
      </w:pPr>
      <w:r w:rsidRPr="00753637">
        <w:rPr>
          <w:kern w:val="36"/>
          <w:lang w:val="en-US"/>
        </w:rPr>
        <w:t>Cainelli F. Hepatitis C virus and human immunodeficien</w:t>
      </w:r>
      <w:r w:rsidRPr="00753637">
        <w:rPr>
          <w:b/>
          <w:kern w:val="36"/>
          <w:lang w:val="en-US"/>
        </w:rPr>
        <w:t>c</w:t>
      </w:r>
      <w:r w:rsidRPr="00753637">
        <w:rPr>
          <w:kern w:val="36"/>
          <w:lang w:val="en-US"/>
        </w:rPr>
        <w:t>y virus transmission routes: Differences and similarities / F. Cainelli // World J. Hepatol. – 2013. – № 27;5 (5). –  P. 234–236.</w:t>
      </w:r>
    </w:p>
    <w:p w:rsidR="00753637" w:rsidRPr="00753637" w:rsidRDefault="00753637" w:rsidP="00753637">
      <w:pPr>
        <w:numPr>
          <w:ilvl w:val="0"/>
          <w:numId w:val="1"/>
        </w:numPr>
        <w:tabs>
          <w:tab w:val="num" w:pos="357"/>
          <w:tab w:val="num" w:pos="1134"/>
        </w:tabs>
        <w:ind w:left="357" w:firstLine="567"/>
        <w:contextualSpacing/>
        <w:rPr>
          <w:lang w:val="en-US"/>
        </w:rPr>
      </w:pPr>
      <w:r w:rsidRPr="001A36FE">
        <w:t>Чурбакова</w:t>
      </w:r>
      <w:r w:rsidRPr="00753637">
        <w:t xml:space="preserve"> </w:t>
      </w:r>
      <w:r w:rsidRPr="001A36FE">
        <w:t>О</w:t>
      </w:r>
      <w:r w:rsidRPr="00753637">
        <w:t>.</w:t>
      </w:r>
      <w:r w:rsidRPr="001A36FE">
        <w:t>В</w:t>
      </w:r>
      <w:r w:rsidRPr="00753637">
        <w:t xml:space="preserve">. </w:t>
      </w:r>
      <w:r w:rsidRPr="001A36FE">
        <w:t>Клинические</w:t>
      </w:r>
      <w:r w:rsidRPr="00753637">
        <w:t xml:space="preserve"> </w:t>
      </w:r>
      <w:r w:rsidRPr="001A36FE">
        <w:t>проявления</w:t>
      </w:r>
      <w:r w:rsidRPr="00753637">
        <w:t xml:space="preserve"> </w:t>
      </w:r>
      <w:r w:rsidRPr="001A36FE">
        <w:t>хронического</w:t>
      </w:r>
      <w:r w:rsidRPr="00753637">
        <w:t xml:space="preserve"> </w:t>
      </w:r>
      <w:r w:rsidRPr="001A36FE">
        <w:t>вирусного</w:t>
      </w:r>
      <w:r w:rsidRPr="00753637">
        <w:t xml:space="preserve"> </w:t>
      </w:r>
      <w:r w:rsidRPr="001A36FE">
        <w:t>гепатита</w:t>
      </w:r>
      <w:r w:rsidRPr="00753637">
        <w:t xml:space="preserve"> </w:t>
      </w:r>
      <w:r w:rsidRPr="001A36FE">
        <w:t>С</w:t>
      </w:r>
      <w:r w:rsidRPr="00753637">
        <w:t xml:space="preserve"> </w:t>
      </w:r>
      <w:r w:rsidRPr="001A36FE">
        <w:t>у</w:t>
      </w:r>
      <w:r w:rsidRPr="00753637">
        <w:t xml:space="preserve"> </w:t>
      </w:r>
      <w:r w:rsidRPr="001A36FE">
        <w:t>детей</w:t>
      </w:r>
      <w:r w:rsidRPr="00753637">
        <w:t xml:space="preserve">  / </w:t>
      </w:r>
      <w:r w:rsidRPr="001A36FE">
        <w:t>О</w:t>
      </w:r>
      <w:r w:rsidRPr="00753637">
        <w:t>.</w:t>
      </w:r>
      <w:r w:rsidRPr="001A36FE">
        <w:t>В</w:t>
      </w:r>
      <w:r w:rsidRPr="00753637">
        <w:t xml:space="preserve">. </w:t>
      </w:r>
      <w:r w:rsidRPr="001A36FE">
        <w:t>Чурбакова</w:t>
      </w:r>
      <w:r w:rsidRPr="00753637">
        <w:t xml:space="preserve"> // </w:t>
      </w:r>
      <w:r w:rsidRPr="001A36FE">
        <w:t>Вестник</w:t>
      </w:r>
      <w:r w:rsidRPr="00753637">
        <w:t xml:space="preserve"> </w:t>
      </w:r>
      <w:r w:rsidRPr="001A36FE">
        <w:t>новых</w:t>
      </w:r>
      <w:r w:rsidRPr="00753637">
        <w:t xml:space="preserve"> </w:t>
      </w:r>
      <w:r w:rsidRPr="001A36FE">
        <w:t>медицинских</w:t>
      </w:r>
      <w:r w:rsidRPr="00753637">
        <w:t xml:space="preserve"> </w:t>
      </w:r>
      <w:r w:rsidRPr="001A36FE">
        <w:lastRenderedPageBreak/>
        <w:t>технологий</w:t>
      </w:r>
      <w:r w:rsidRPr="00753637">
        <w:t xml:space="preserve">.– </w:t>
      </w:r>
      <w:r w:rsidRPr="00753637">
        <w:rPr>
          <w:lang w:val="en-US"/>
        </w:rPr>
        <w:t>2012. – N 1</w:t>
      </w:r>
      <w:r w:rsidRPr="00BD7A9D">
        <w:rPr>
          <w:color w:val="000000" w:themeColor="text1"/>
          <w:lang w:val="en-US"/>
        </w:rPr>
        <w:t xml:space="preserve">. </w:t>
      </w:r>
      <w:hyperlink r:id="rId9" w:history="1">
        <w:r w:rsidRPr="00BD7A9D">
          <w:rPr>
            <w:rStyle w:val="ab"/>
            <w:color w:val="000000" w:themeColor="text1"/>
            <w:lang w:val="en-US"/>
          </w:rPr>
          <w:t>http://www.medtsu.tula.ru/VNMT/Bulletin/E2012-1/3808.pdf</w:t>
        </w:r>
      </w:hyperlink>
      <w:r w:rsidRPr="00BD7A9D">
        <w:rPr>
          <w:color w:val="000000" w:themeColor="text1"/>
          <w:lang w:val="en-US"/>
        </w:rPr>
        <w:t xml:space="preserve"> </w:t>
      </w:r>
      <w:r w:rsidRPr="00753637">
        <w:rPr>
          <w:lang w:val="en-US"/>
        </w:rPr>
        <w:t>(electronic resource).</w:t>
      </w:r>
    </w:p>
    <w:p w:rsidR="00753637" w:rsidRDefault="00753637" w:rsidP="00753637">
      <w:pPr>
        <w:numPr>
          <w:ilvl w:val="0"/>
          <w:numId w:val="1"/>
        </w:numPr>
        <w:tabs>
          <w:tab w:val="num" w:pos="357"/>
          <w:tab w:val="num" w:pos="1134"/>
        </w:tabs>
        <w:ind w:left="357" w:firstLine="567"/>
        <w:contextualSpacing/>
      </w:pPr>
      <w:r w:rsidRPr="00753637">
        <w:rPr>
          <w:shd w:val="clear" w:color="auto" w:fill="FFFFFF"/>
          <w:lang w:val="en-US"/>
        </w:rPr>
        <w:t>Yan F. Study of expression of hepatitis C virus antigens and viral repli-cation in extrahepatic tissues / F. Yan, F. Hao, L. Zhao // Chung. Hua. Kan. Tsang. Ping. Tsa. Chin</w:t>
      </w:r>
      <w:r w:rsidRPr="00753637">
        <w:rPr>
          <w:shd w:val="clear" w:color="auto" w:fill="FFFFFF"/>
        </w:rPr>
        <w:t xml:space="preserve">. – 2000. – № 8. – </w:t>
      </w:r>
      <w:r w:rsidRPr="00753637">
        <w:rPr>
          <w:shd w:val="clear" w:color="auto" w:fill="FFFFFF"/>
          <w:lang w:val="en-US"/>
        </w:rPr>
        <w:t>P</w:t>
      </w:r>
      <w:r w:rsidRPr="00753637">
        <w:rPr>
          <w:shd w:val="clear" w:color="auto" w:fill="FFFFFF"/>
        </w:rPr>
        <w:t>. 40–42.</w:t>
      </w:r>
    </w:p>
    <w:p w:rsidR="00753637" w:rsidRDefault="00753637" w:rsidP="00753637">
      <w:pPr>
        <w:numPr>
          <w:ilvl w:val="0"/>
          <w:numId w:val="1"/>
        </w:numPr>
        <w:tabs>
          <w:tab w:val="num" w:pos="357"/>
          <w:tab w:val="num" w:pos="1134"/>
        </w:tabs>
        <w:ind w:left="357" w:firstLine="567"/>
        <w:contextualSpacing/>
      </w:pPr>
      <w:r w:rsidRPr="001A36FE">
        <w:t xml:space="preserve">Байкова Т.А. Многообразие внепеченочных проявлений хронических вирусных гепатитов В и С. </w:t>
      </w:r>
      <w:r w:rsidRPr="00753637">
        <w:rPr>
          <w:lang w:val="en-US"/>
        </w:rPr>
        <w:t>O</w:t>
      </w:r>
      <w:r w:rsidRPr="001A36FE">
        <w:t>бщие принципы лечения / Т.А. Байкова, Т.Н. Лопаткина // Терапевтический архив. – 2013. – № 4. – С. 106–110.</w:t>
      </w:r>
    </w:p>
    <w:p w:rsidR="00753637" w:rsidRDefault="00753637" w:rsidP="00753637">
      <w:pPr>
        <w:numPr>
          <w:ilvl w:val="0"/>
          <w:numId w:val="1"/>
        </w:numPr>
        <w:tabs>
          <w:tab w:val="num" w:pos="357"/>
          <w:tab w:val="num" w:pos="1134"/>
        </w:tabs>
        <w:ind w:left="357" w:firstLine="567"/>
        <w:contextualSpacing/>
      </w:pPr>
      <w:r w:rsidRPr="00753637">
        <w:rPr>
          <w:lang w:val="en-US"/>
        </w:rPr>
        <w:t>Zignego A.L. Extrahepatic manifestations of hepatitis C virus infection // A.L.  Zignego</w:t>
      </w:r>
      <w:r w:rsidRPr="00753637">
        <w:t xml:space="preserve">, </w:t>
      </w:r>
      <w:r w:rsidRPr="00753637">
        <w:rPr>
          <w:lang w:val="en-US"/>
        </w:rPr>
        <w:t>A</w:t>
      </w:r>
      <w:r w:rsidRPr="00753637">
        <w:t xml:space="preserve">. </w:t>
      </w:r>
      <w:r w:rsidRPr="00753637">
        <w:rPr>
          <w:lang w:val="en-US"/>
        </w:rPr>
        <w:t>Craxi</w:t>
      </w:r>
      <w:r w:rsidRPr="00753637">
        <w:t xml:space="preserve"> // </w:t>
      </w:r>
      <w:r w:rsidRPr="00753637">
        <w:rPr>
          <w:lang w:val="en-US"/>
        </w:rPr>
        <w:t>Clin</w:t>
      </w:r>
      <w:r w:rsidRPr="00753637">
        <w:t xml:space="preserve">. </w:t>
      </w:r>
      <w:r w:rsidRPr="00753637">
        <w:rPr>
          <w:lang w:val="en-US"/>
        </w:rPr>
        <w:t>Liver</w:t>
      </w:r>
      <w:r w:rsidRPr="00753637">
        <w:t xml:space="preserve"> </w:t>
      </w:r>
      <w:r w:rsidRPr="00753637">
        <w:rPr>
          <w:lang w:val="en-US"/>
        </w:rPr>
        <w:t>Dis</w:t>
      </w:r>
      <w:r w:rsidRPr="00753637">
        <w:t>. – 2008. –</w:t>
      </w:r>
      <w:r w:rsidRPr="001A36FE">
        <w:t xml:space="preserve"> №</w:t>
      </w:r>
      <w:r w:rsidRPr="00753637">
        <w:t xml:space="preserve">12. – </w:t>
      </w:r>
      <w:r w:rsidRPr="00753637">
        <w:rPr>
          <w:lang w:val="en-US"/>
        </w:rPr>
        <w:t>P</w:t>
      </w:r>
      <w:r w:rsidRPr="00753637">
        <w:t>. 611–</w:t>
      </w:r>
      <w:r w:rsidRPr="001A36FE">
        <w:t>6</w:t>
      </w:r>
      <w:r w:rsidRPr="00753637">
        <w:t>36.</w:t>
      </w:r>
    </w:p>
    <w:p w:rsidR="00753637" w:rsidRDefault="00753637" w:rsidP="00753637">
      <w:pPr>
        <w:numPr>
          <w:ilvl w:val="0"/>
          <w:numId w:val="1"/>
        </w:numPr>
        <w:tabs>
          <w:tab w:val="num" w:pos="357"/>
          <w:tab w:val="num" w:pos="1134"/>
        </w:tabs>
        <w:ind w:left="357" w:firstLine="567"/>
        <w:contextualSpacing/>
      </w:pPr>
      <w:r w:rsidRPr="001A36FE">
        <w:t>Губкин С.В. Морфологическая характеристика поражения печени при  ревматической патологии в сочетании с гепатитом С / С.В. Губкин, О.А. Юдина, А.В. Полянская // XI съезд терапевтов Республики Беларуси: тез. доклю, г. Минск, 24–26 мая 2006 г. – Минск, 2006. – С. 205.</w:t>
      </w:r>
    </w:p>
    <w:p w:rsidR="00753637" w:rsidRDefault="00753637" w:rsidP="00753637">
      <w:pPr>
        <w:numPr>
          <w:ilvl w:val="0"/>
          <w:numId w:val="1"/>
        </w:numPr>
        <w:tabs>
          <w:tab w:val="num" w:pos="357"/>
          <w:tab w:val="num" w:pos="1134"/>
        </w:tabs>
        <w:ind w:left="357" w:firstLine="567"/>
        <w:contextualSpacing/>
      </w:pPr>
      <w:r w:rsidRPr="001A36FE">
        <w:t>Губкин С.В. Распространённость вируса гепатита В и С у больных с ревматологическими заболеваниями  / С.В. Губкин, Н.В. Капралов, В.Н. Яблонский // Санкт-Петербург. – Гастро–2000: Материалы 2-ой объединен. Всерос. и Всеармейск. науч. конф., 20-22 сентября. 2000 г. – 2000. – № 1–2. – С. 27.</w:t>
      </w:r>
    </w:p>
    <w:p w:rsidR="00753637" w:rsidRPr="001A36FE" w:rsidRDefault="00753637" w:rsidP="00753637">
      <w:pPr>
        <w:numPr>
          <w:ilvl w:val="0"/>
          <w:numId w:val="1"/>
        </w:numPr>
        <w:tabs>
          <w:tab w:val="num" w:pos="357"/>
          <w:tab w:val="num" w:pos="1134"/>
        </w:tabs>
        <w:ind w:left="357" w:firstLine="567"/>
        <w:contextualSpacing/>
      </w:pPr>
      <w:r w:rsidRPr="001A36FE">
        <w:t>Игнатова Т.М. Лечение внепеченочных проявлений хронической HCV-инфекции / Т.М. Игнатова // Сучасна гастроентерологія. – 2009. – № 3 (29). – C. 46–55.</w:t>
      </w:r>
    </w:p>
    <w:p w:rsidR="00753637" w:rsidRPr="00753637" w:rsidRDefault="00753637" w:rsidP="00753637">
      <w:pPr>
        <w:tabs>
          <w:tab w:val="num" w:pos="1134"/>
        </w:tabs>
        <w:ind w:left="924" w:firstLine="0"/>
        <w:contextualSpacing/>
      </w:pPr>
    </w:p>
    <w:p w:rsidR="00F856C9" w:rsidRPr="00753637" w:rsidRDefault="00F856C9" w:rsidP="00F856C9">
      <w:pPr>
        <w:ind w:firstLine="567"/>
        <w:jc w:val="left"/>
      </w:pPr>
    </w:p>
    <w:p w:rsidR="00F856C9" w:rsidRDefault="00F856C9" w:rsidP="00840E5D">
      <w:pPr>
        <w:ind w:firstLine="0"/>
      </w:pPr>
    </w:p>
    <w:p w:rsidR="00840E5D" w:rsidRPr="00753637" w:rsidRDefault="00840E5D" w:rsidP="00840E5D">
      <w:pPr>
        <w:ind w:firstLine="0"/>
      </w:pPr>
    </w:p>
    <w:p w:rsidR="00F856C9" w:rsidRPr="00753637" w:rsidRDefault="00F856C9" w:rsidP="004B0464">
      <w:pPr>
        <w:ind w:firstLine="567"/>
      </w:pPr>
    </w:p>
    <w:p w:rsidR="00DE1CF0" w:rsidRDefault="00DE1CF0" w:rsidP="00DE1CF0">
      <w:pPr>
        <w:jc w:val="center"/>
      </w:pPr>
      <w:r>
        <w:lastRenderedPageBreak/>
        <w:t>КЛИНИКО–ЭПИДЕМИОЛОГИЧЕСКИЕ ОСОБЕННОСТИ ХРОНИЧЕСКОГО ГЕПАТИТА С НА СОВРЕМЕННОМ ЭТАПЕ</w:t>
      </w:r>
    </w:p>
    <w:p w:rsidR="00DE1CF0" w:rsidRDefault="00DE1CF0" w:rsidP="00DE1CF0">
      <w:pPr>
        <w:jc w:val="center"/>
      </w:pPr>
      <w:r>
        <w:t>Козько В.Н., Анцыферова Н.В., Соломенник А.О.</w:t>
      </w:r>
    </w:p>
    <w:p w:rsidR="00DE1CF0" w:rsidRDefault="00DE1CF0" w:rsidP="00DE1CF0">
      <w:pPr>
        <w:jc w:val="center"/>
      </w:pPr>
      <w:r>
        <w:t>Харьковский национальный медицинский университет</w:t>
      </w:r>
    </w:p>
    <w:p w:rsidR="00DE1CF0" w:rsidRPr="00DE1CF0" w:rsidRDefault="00DE1CF0" w:rsidP="00DE1CF0">
      <w:pPr>
        <w:pStyle w:val="a6"/>
        <w:spacing w:before="0" w:beforeAutospacing="0" w:after="0" w:afterAutospacing="0"/>
        <w:jc w:val="both"/>
        <w:rPr>
          <w:iCs/>
          <w:sz w:val="28"/>
          <w:szCs w:val="28"/>
          <w:lang w:val="ru-RU"/>
        </w:rPr>
      </w:pPr>
      <w:r w:rsidRPr="00DE1CF0">
        <w:rPr>
          <w:sz w:val="28"/>
          <w:szCs w:val="28"/>
          <w:lang w:val="ru-RU"/>
        </w:rPr>
        <w:t xml:space="preserve">Ключевые слова: </w:t>
      </w:r>
      <w:r>
        <w:rPr>
          <w:sz w:val="28"/>
          <w:szCs w:val="28"/>
          <w:lang w:val="ru-RU"/>
        </w:rPr>
        <w:t xml:space="preserve">хронический </w:t>
      </w:r>
      <w:r w:rsidRPr="00DE1CF0">
        <w:rPr>
          <w:iCs/>
          <w:sz w:val="28"/>
          <w:szCs w:val="28"/>
          <w:lang w:val="ru-RU"/>
        </w:rPr>
        <w:t xml:space="preserve">гепатит С, </w:t>
      </w:r>
      <w:r w:rsidRPr="00DE1CF0">
        <w:rPr>
          <w:iCs/>
          <w:sz w:val="28"/>
          <w:szCs w:val="28"/>
        </w:rPr>
        <w:t>HCV</w:t>
      </w:r>
      <w:r>
        <w:rPr>
          <w:iCs/>
          <w:sz w:val="28"/>
          <w:szCs w:val="28"/>
          <w:lang w:val="ru-RU"/>
        </w:rPr>
        <w:t xml:space="preserve">-инфекция, </w:t>
      </w:r>
      <w:r w:rsidRPr="00DE1CF0">
        <w:rPr>
          <w:iCs/>
          <w:sz w:val="28"/>
          <w:szCs w:val="28"/>
          <w:lang w:val="ru-RU"/>
        </w:rPr>
        <w:t>эпидемиология, клиника</w:t>
      </w:r>
    </w:p>
    <w:p w:rsidR="00DE1CF0" w:rsidRDefault="00E61966" w:rsidP="00E61966">
      <w:pPr>
        <w:pStyle w:val="a6"/>
        <w:spacing w:before="0" w:beforeAutospacing="0" w:after="0" w:afterAutospacing="0"/>
        <w:jc w:val="both"/>
        <w:rPr>
          <w:iCs/>
          <w:sz w:val="28"/>
          <w:szCs w:val="28"/>
          <w:lang w:val="ru-RU"/>
        </w:rPr>
      </w:pPr>
      <w:r>
        <w:rPr>
          <w:iCs/>
          <w:sz w:val="28"/>
          <w:szCs w:val="28"/>
          <w:lang w:val="ru-RU"/>
        </w:rPr>
        <w:t xml:space="preserve">Резюме: </w:t>
      </w:r>
      <w:bookmarkStart w:id="0" w:name="_GoBack"/>
      <w:r w:rsidR="00DE1CF0" w:rsidRPr="00DE1CF0">
        <w:rPr>
          <w:iCs/>
          <w:sz w:val="28"/>
          <w:szCs w:val="28"/>
          <w:lang w:val="ru-RU"/>
        </w:rPr>
        <w:t>В статье проведен обзор эпидемиологии и клинических особенностей хронической формы ге</w:t>
      </w:r>
      <w:r w:rsidR="00DE1CF0">
        <w:rPr>
          <w:iCs/>
          <w:sz w:val="28"/>
          <w:szCs w:val="28"/>
          <w:lang w:val="ru-RU"/>
        </w:rPr>
        <w:t>патита С. Проанализированы факторы</w:t>
      </w:r>
      <w:r w:rsidR="00DE1CF0" w:rsidRPr="00DE1CF0">
        <w:rPr>
          <w:iCs/>
          <w:sz w:val="28"/>
          <w:szCs w:val="28"/>
          <w:lang w:val="ru-RU"/>
        </w:rPr>
        <w:t xml:space="preserve"> заражения </w:t>
      </w:r>
      <w:r w:rsidR="00DE1CF0" w:rsidRPr="00DE1CF0">
        <w:rPr>
          <w:iCs/>
          <w:sz w:val="28"/>
          <w:szCs w:val="28"/>
        </w:rPr>
        <w:t>HCV</w:t>
      </w:r>
      <w:r w:rsidR="00DE1CF0" w:rsidRPr="00DE1CF0">
        <w:rPr>
          <w:iCs/>
          <w:sz w:val="28"/>
          <w:szCs w:val="28"/>
          <w:lang w:val="ru-RU"/>
        </w:rPr>
        <w:t>-инфекцией и группы риска больных. Дана характеристика клинической картины заболевания. Последующие научные исследования предусматривают рассмотрение метаболических нарушений и фибротических проявлений при хроническом гепатите С.</w:t>
      </w:r>
    </w:p>
    <w:bookmarkEnd w:id="0"/>
    <w:p w:rsidR="00873CE8" w:rsidRDefault="00873CE8" w:rsidP="00E61966">
      <w:pPr>
        <w:pStyle w:val="a6"/>
        <w:spacing w:before="0" w:beforeAutospacing="0" w:after="0" w:afterAutospacing="0"/>
        <w:jc w:val="both"/>
        <w:rPr>
          <w:iCs/>
          <w:sz w:val="28"/>
          <w:szCs w:val="28"/>
          <w:lang w:val="ru-RU"/>
        </w:rPr>
      </w:pPr>
    </w:p>
    <w:p w:rsidR="00873CE8" w:rsidRDefault="00873CE8" w:rsidP="00873CE8">
      <w:pPr>
        <w:pStyle w:val="a6"/>
        <w:spacing w:before="0" w:beforeAutospacing="0" w:after="0" w:afterAutospacing="0"/>
        <w:jc w:val="center"/>
        <w:rPr>
          <w:iCs/>
          <w:sz w:val="28"/>
          <w:szCs w:val="28"/>
          <w:lang w:val="ru-RU"/>
        </w:rPr>
      </w:pPr>
      <w:r>
        <w:rPr>
          <w:iCs/>
          <w:sz w:val="28"/>
          <w:szCs w:val="28"/>
          <w:lang w:val="ru-RU"/>
        </w:rPr>
        <w:t>КЛІНІКО–ЕПІДЕМІОЛОГІЧНІ ОСОБЛИВОСТІ ХРОНІЧНОГО ГЕПАТИТУ С НА СУЧАСНОМУ ЕТАПІ</w:t>
      </w:r>
    </w:p>
    <w:p w:rsidR="00873CE8" w:rsidRDefault="00873CE8" w:rsidP="00873CE8">
      <w:pPr>
        <w:jc w:val="center"/>
      </w:pPr>
      <w:r>
        <w:t>Козько В.</w:t>
      </w:r>
      <w:r>
        <w:rPr>
          <w:lang w:val="uk-UA"/>
        </w:rPr>
        <w:t>М</w:t>
      </w:r>
      <w:r>
        <w:t>., Анц</w:t>
      </w:r>
      <w:r>
        <w:rPr>
          <w:lang w:val="uk-UA"/>
        </w:rPr>
        <w:t>и</w:t>
      </w:r>
      <w:r>
        <w:t xml:space="preserve">ферова Н.В., Соломенник </w:t>
      </w:r>
      <w:r>
        <w:rPr>
          <w:lang w:val="uk-UA"/>
        </w:rPr>
        <w:t>Г</w:t>
      </w:r>
      <w:r>
        <w:t>.О.</w:t>
      </w:r>
    </w:p>
    <w:p w:rsidR="00873CE8" w:rsidRDefault="00873CE8" w:rsidP="00873CE8">
      <w:pPr>
        <w:jc w:val="center"/>
        <w:rPr>
          <w:lang w:val="uk-UA"/>
        </w:rPr>
      </w:pPr>
      <w:r>
        <w:t>Харк</w:t>
      </w:r>
      <w:r>
        <w:rPr>
          <w:lang w:val="uk-UA"/>
        </w:rPr>
        <w:t>і</w:t>
      </w:r>
      <w:r>
        <w:t>вский нац</w:t>
      </w:r>
      <w:r>
        <w:rPr>
          <w:lang w:val="uk-UA"/>
        </w:rPr>
        <w:t>і</w:t>
      </w:r>
      <w:r>
        <w:t>ональн</w:t>
      </w:r>
      <w:r>
        <w:rPr>
          <w:lang w:val="uk-UA"/>
        </w:rPr>
        <w:t>и</w:t>
      </w:r>
      <w:r>
        <w:t>й мед</w:t>
      </w:r>
      <w:r>
        <w:rPr>
          <w:lang w:val="uk-UA"/>
        </w:rPr>
        <w:t>ичн</w:t>
      </w:r>
      <w:r>
        <w:t>ий ун</w:t>
      </w:r>
      <w:r>
        <w:rPr>
          <w:lang w:val="uk-UA"/>
        </w:rPr>
        <w:t>і</w:t>
      </w:r>
      <w:r>
        <w:t>верситет</w:t>
      </w:r>
    </w:p>
    <w:p w:rsidR="00873CE8" w:rsidRDefault="00873CE8" w:rsidP="00873CE8">
      <w:pPr>
        <w:ind w:firstLine="0"/>
        <w:jc w:val="left"/>
        <w:rPr>
          <w:iCs/>
          <w:lang w:val="uk-UA"/>
        </w:rPr>
      </w:pPr>
      <w:r>
        <w:rPr>
          <w:lang w:val="uk-UA"/>
        </w:rPr>
        <w:t xml:space="preserve">Ключові слова: хронічний гепатит С, </w:t>
      </w:r>
      <w:r w:rsidRPr="00DE1CF0">
        <w:rPr>
          <w:iCs/>
        </w:rPr>
        <w:t>HCV</w:t>
      </w:r>
      <w:r w:rsidRPr="00873CE8">
        <w:rPr>
          <w:iCs/>
          <w:lang w:val="uk-UA"/>
        </w:rPr>
        <w:t>-инфекц</w:t>
      </w:r>
      <w:r>
        <w:rPr>
          <w:iCs/>
          <w:lang w:val="uk-UA"/>
        </w:rPr>
        <w:t>і</w:t>
      </w:r>
      <w:r w:rsidRPr="00873CE8">
        <w:rPr>
          <w:iCs/>
          <w:lang w:val="uk-UA"/>
        </w:rPr>
        <w:t>я,</w:t>
      </w:r>
      <w:r>
        <w:rPr>
          <w:iCs/>
          <w:lang w:val="uk-UA"/>
        </w:rPr>
        <w:t xml:space="preserve"> епідеміологія, клініка</w:t>
      </w:r>
    </w:p>
    <w:p w:rsidR="00873CE8" w:rsidRDefault="00873CE8" w:rsidP="00F1046E">
      <w:pPr>
        <w:ind w:firstLine="0"/>
        <w:jc w:val="left"/>
        <w:rPr>
          <w:lang w:val="uk-UA"/>
        </w:rPr>
      </w:pPr>
      <w:r>
        <w:rPr>
          <w:iCs/>
          <w:lang w:val="uk-UA"/>
        </w:rPr>
        <w:t xml:space="preserve">Резюме: У статті проведений огляд епідеміології та клінічних особливостей хронічної форми гепатиту С. Проаналізовані фактори зараження </w:t>
      </w:r>
      <w:r w:rsidRPr="00873CE8">
        <w:rPr>
          <w:iCs/>
          <w:lang w:val="uk-UA"/>
        </w:rPr>
        <w:t xml:space="preserve">заражения </w:t>
      </w:r>
      <w:r w:rsidRPr="00DE1CF0">
        <w:rPr>
          <w:iCs/>
        </w:rPr>
        <w:t>HCV</w:t>
      </w:r>
      <w:r>
        <w:rPr>
          <w:iCs/>
          <w:lang w:val="uk-UA"/>
        </w:rPr>
        <w:t>-інфекцією та групи ризику хворих. Дана характеристика клінічної картини захворювання. Наступні наукові дослідження передбачають розгляд</w:t>
      </w:r>
      <w:r w:rsidR="00F1046E">
        <w:rPr>
          <w:iCs/>
          <w:lang w:val="uk-UA"/>
        </w:rPr>
        <w:t xml:space="preserve"> метаболічних порушень та фібротичних проявів на тлі хронічного гепатиту С.</w:t>
      </w:r>
    </w:p>
    <w:p w:rsidR="00F1046E" w:rsidRPr="00873CE8" w:rsidRDefault="00F1046E" w:rsidP="00F1046E">
      <w:pPr>
        <w:ind w:firstLine="0"/>
        <w:jc w:val="left"/>
        <w:rPr>
          <w:lang w:val="uk-UA"/>
        </w:rPr>
      </w:pPr>
    </w:p>
    <w:p w:rsidR="00DE1CF0" w:rsidRPr="00873CE8" w:rsidRDefault="00DE1CF0" w:rsidP="00DE1CF0">
      <w:pPr>
        <w:pStyle w:val="a6"/>
        <w:spacing w:before="0" w:beforeAutospacing="0" w:after="0" w:afterAutospacing="0"/>
        <w:jc w:val="center"/>
        <w:rPr>
          <w:iCs/>
          <w:sz w:val="28"/>
          <w:szCs w:val="28"/>
        </w:rPr>
      </w:pPr>
      <w:r w:rsidRPr="00873CE8">
        <w:rPr>
          <w:sz w:val="28"/>
          <w:szCs w:val="28"/>
        </w:rPr>
        <w:t xml:space="preserve">CLINICAL AND EPIDEMIOLOGICAL FEATURES OF </w:t>
      </w:r>
      <w:r w:rsidRPr="00873CE8">
        <w:rPr>
          <w:iCs/>
          <w:sz w:val="28"/>
          <w:szCs w:val="28"/>
        </w:rPr>
        <w:t>CHRONIC HEPATITIS AT THE PRESENT STAGE</w:t>
      </w:r>
    </w:p>
    <w:p w:rsidR="00DE1CF0" w:rsidRDefault="00DE1CF0" w:rsidP="00DE1CF0">
      <w:pPr>
        <w:ind w:firstLine="720"/>
        <w:jc w:val="center"/>
        <w:rPr>
          <w:lang w:val="en-US"/>
        </w:rPr>
      </w:pPr>
      <w:r w:rsidRPr="00DE1CF0">
        <w:rPr>
          <w:lang w:val="en-US"/>
        </w:rPr>
        <w:t>Kozko V.</w:t>
      </w:r>
      <w:r>
        <w:rPr>
          <w:lang w:val="en-US"/>
        </w:rPr>
        <w:t>N.</w:t>
      </w:r>
      <w:r w:rsidRPr="00DE1CF0">
        <w:rPr>
          <w:lang w:val="en-US"/>
        </w:rPr>
        <w:t>, Antsyferova N.</w:t>
      </w:r>
      <w:r>
        <w:rPr>
          <w:lang w:val="en-US"/>
        </w:rPr>
        <w:t>V.,</w:t>
      </w:r>
      <w:r w:rsidRPr="00DE1CF0">
        <w:rPr>
          <w:lang w:val="en-US"/>
        </w:rPr>
        <w:t xml:space="preserve"> Solmennyk</w:t>
      </w:r>
      <w:r>
        <w:rPr>
          <w:lang w:val="en-US"/>
        </w:rPr>
        <w:t xml:space="preserve"> A.O.</w:t>
      </w:r>
    </w:p>
    <w:p w:rsidR="00DE1CF0" w:rsidRPr="00E61966" w:rsidRDefault="00DE1CF0" w:rsidP="00E61966">
      <w:pPr>
        <w:pStyle w:val="a6"/>
        <w:spacing w:before="0" w:beforeAutospacing="0" w:after="0" w:afterAutospacing="0" w:line="480" w:lineRule="auto"/>
        <w:rPr>
          <w:iCs/>
          <w:sz w:val="28"/>
          <w:szCs w:val="28"/>
        </w:rPr>
      </w:pPr>
      <w:r w:rsidRPr="00E61966">
        <w:rPr>
          <w:sz w:val="28"/>
          <w:szCs w:val="28"/>
          <w:lang w:val="uk-UA"/>
        </w:rPr>
        <w:t>К</w:t>
      </w:r>
      <w:r w:rsidRPr="00E61966">
        <w:rPr>
          <w:sz w:val="28"/>
          <w:szCs w:val="28"/>
        </w:rPr>
        <w:t xml:space="preserve">ey words: chronic </w:t>
      </w:r>
      <w:r w:rsidRPr="00E61966">
        <w:rPr>
          <w:iCs/>
          <w:sz w:val="28"/>
          <w:szCs w:val="28"/>
        </w:rPr>
        <w:t>hepatitis C, HCV-infection, epidemiology, clinic</w:t>
      </w:r>
    </w:p>
    <w:p w:rsidR="00DE1CF0" w:rsidRPr="00E61966" w:rsidRDefault="00DE1CF0" w:rsidP="00DE1CF0">
      <w:pPr>
        <w:pStyle w:val="a6"/>
        <w:spacing w:before="0" w:beforeAutospacing="0" w:after="0" w:afterAutospacing="0"/>
        <w:jc w:val="both"/>
        <w:rPr>
          <w:iCs/>
          <w:sz w:val="28"/>
          <w:szCs w:val="28"/>
        </w:rPr>
      </w:pPr>
      <w:r w:rsidRPr="00E61966">
        <w:rPr>
          <w:iCs/>
          <w:sz w:val="28"/>
          <w:szCs w:val="28"/>
        </w:rPr>
        <w:lastRenderedPageBreak/>
        <w:t>S</w:t>
      </w:r>
      <w:r w:rsidR="00E61966" w:rsidRPr="00E61966">
        <w:rPr>
          <w:iCs/>
          <w:sz w:val="28"/>
          <w:szCs w:val="28"/>
        </w:rPr>
        <w:t>ummary</w:t>
      </w:r>
      <w:r w:rsidRPr="00E61966">
        <w:rPr>
          <w:iCs/>
          <w:sz w:val="28"/>
          <w:szCs w:val="28"/>
        </w:rPr>
        <w:t>:   Overview of the epidemiology and clinical features of chronic forms of hepatitis C was provided in article. The way</w:t>
      </w:r>
      <w:r w:rsidR="00E61966">
        <w:rPr>
          <w:iCs/>
          <w:sz w:val="28"/>
          <w:szCs w:val="28"/>
        </w:rPr>
        <w:t>s of HCV-infection factors</w:t>
      </w:r>
      <w:r w:rsidRPr="00E61966">
        <w:rPr>
          <w:iCs/>
          <w:sz w:val="28"/>
          <w:szCs w:val="28"/>
        </w:rPr>
        <w:t xml:space="preserve"> and risk groups of patients were analyzed. Characteristic of clinical picture of disease was done. Subsequent scientific researches make provision for examination of metabolic disorders and manifestations of fibrosis in chronic hepatitis C.</w:t>
      </w:r>
    </w:p>
    <w:p w:rsidR="00E0066D" w:rsidRDefault="00E0066D"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F1046E" w:rsidRDefault="00F1046E"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26768F">
      <w:pPr>
        <w:ind w:firstLine="567"/>
        <w:jc w:val="center"/>
        <w:rPr>
          <w:lang w:val="uk-UA"/>
        </w:rPr>
      </w:pPr>
      <w:r>
        <w:rPr>
          <w:lang w:val="uk-UA"/>
        </w:rPr>
        <w:lastRenderedPageBreak/>
        <w:t>РЕФЕРАТ</w:t>
      </w:r>
      <w:r w:rsidR="0026768F">
        <w:rPr>
          <w:lang w:val="uk-UA"/>
        </w:rPr>
        <w:t xml:space="preserve"> </w:t>
      </w:r>
    </w:p>
    <w:p w:rsidR="0026768F" w:rsidRDefault="0026768F" w:rsidP="0026768F">
      <w:pPr>
        <w:ind w:firstLine="567"/>
        <w:jc w:val="center"/>
        <w:rPr>
          <w:lang w:val="uk-UA"/>
        </w:rPr>
      </w:pPr>
      <w:r>
        <w:rPr>
          <w:lang w:val="uk-UA"/>
        </w:rPr>
        <w:t>на статью «Клинико-епидемиологические особенности хронического гепатита С на современном этапе».</w:t>
      </w:r>
    </w:p>
    <w:p w:rsidR="0026768F" w:rsidRDefault="0026768F" w:rsidP="007F22CB">
      <w:pPr>
        <w:ind w:firstLine="567"/>
      </w:pPr>
      <w:r>
        <w:rPr>
          <w:lang w:val="uk-UA"/>
        </w:rPr>
        <w:t xml:space="preserve">Хронический гепатит С – одна из наиболее значимих проблем общественной охраны здоровья </w:t>
      </w:r>
      <w:r w:rsidR="007F22CB">
        <w:rPr>
          <w:lang w:val="uk-UA"/>
        </w:rPr>
        <w:t xml:space="preserve">во всем мире. Заболеваемость хронической формой </w:t>
      </w:r>
      <w:r w:rsidR="007F22CB">
        <w:rPr>
          <w:lang w:val="en-US"/>
        </w:rPr>
        <w:t>HCV</w:t>
      </w:r>
      <w:r w:rsidR="007F22CB">
        <w:t>-инфекции представляет реальную угрозу для населения Украины в связи со сложностью течения</w:t>
      </w:r>
      <w:r w:rsidR="00D1699F">
        <w:t xml:space="preserve"> и </w:t>
      </w:r>
      <w:r w:rsidR="007F22CB">
        <w:t>тяжелым</w:t>
      </w:r>
      <w:r w:rsidR="00D1699F">
        <w:t>и</w:t>
      </w:r>
      <w:r w:rsidR="007F22CB">
        <w:t xml:space="preserve"> последствиям</w:t>
      </w:r>
      <w:r w:rsidR="00D1699F">
        <w:t>и</w:t>
      </w:r>
      <w:r w:rsidR="007F22CB">
        <w:t xml:space="preserve"> – цирроз</w:t>
      </w:r>
      <w:r w:rsidR="00D1699F">
        <w:t>ом</w:t>
      </w:r>
      <w:r w:rsidR="007F22CB">
        <w:t xml:space="preserve"> и рак</w:t>
      </w:r>
      <w:r w:rsidR="00D1699F">
        <w:t>ом</w:t>
      </w:r>
      <w:r w:rsidR="007F22CB">
        <w:t xml:space="preserve"> печени. Длительный латентный период и  замаскированная клиника заболевания, а также частый переход в хроническую форму ухудшает эпидемиологическую ситуацию в стране. Своевременная диагностика </w:t>
      </w:r>
      <w:r w:rsidR="007F22CB">
        <w:rPr>
          <w:lang w:val="en-US"/>
        </w:rPr>
        <w:t>HCV</w:t>
      </w:r>
      <w:r w:rsidR="007F22CB">
        <w:t xml:space="preserve">-инфекции </w:t>
      </w:r>
      <w:r w:rsidR="00D1699F">
        <w:t>является залогом успешного результата лечения и прогноза в каждом конкретном случае. Современные представления об эпидемиологических особенностях и клинической картине хронического гепатита С дополняют научную базу актуальных вопросов гепатологии.</w:t>
      </w:r>
      <w:r w:rsidR="00A35235">
        <w:t xml:space="preserve"> Учитывая бесспорную ва</w:t>
      </w:r>
      <w:r w:rsidR="00BD7A9D">
        <w:t xml:space="preserve">жность очерченной проблемы целю нашего исследования явилось изучение эпидемиологических особенностей и клинической картины хронического гепатита С на современном этапе в Харьковской области. Для достижения данной цели были обследованы 206 больных хронической </w:t>
      </w:r>
      <w:r w:rsidR="00BD7A9D">
        <w:rPr>
          <w:lang w:val="en-US"/>
        </w:rPr>
        <w:t>HCV</w:t>
      </w:r>
      <w:r w:rsidR="00BD7A9D">
        <w:t>-инфекцией, которые находились на стационарном лечении в КЗОЗ ОКИБ г. Харьков в период с 2007 по 2011 гг. В процессе работы использованы общеклинические (расспрос жалоб, анамнеза заболевания и жизни, сведений эпидемиологического анамнеза физикальный осмотр</w:t>
      </w:r>
      <w:r w:rsidR="0033259B">
        <w:t>)</w:t>
      </w:r>
      <w:r w:rsidR="00BD7A9D">
        <w:t xml:space="preserve"> и </w:t>
      </w:r>
      <w:r w:rsidR="0033259B">
        <w:t xml:space="preserve">традиционные </w:t>
      </w:r>
      <w:r w:rsidR="00BD7A9D">
        <w:t>статистические методы исследования</w:t>
      </w:r>
      <w:r w:rsidR="0033259B">
        <w:t>.</w:t>
      </w:r>
    </w:p>
    <w:p w:rsidR="0033259B" w:rsidRDefault="0033259B" w:rsidP="0033259B">
      <w:pPr>
        <w:ind w:firstLine="0"/>
      </w:pPr>
      <w:r>
        <w:t xml:space="preserve">В результате проведенного исследования установлено, что в Харьковской области в указанный период времени основными факторами риска инфицирования </w:t>
      </w:r>
      <w:r>
        <w:rPr>
          <w:lang w:val="en-US"/>
        </w:rPr>
        <w:t>HCV</w:t>
      </w:r>
      <w:r>
        <w:t xml:space="preserve">-инфекцией были употребление наркотиков (24,27 %), оперативные вмешательства или гемотрансфузии (22,32 %), нанесение татуировок или проведение пирсинга (10,2 %) и контакт с посторонней кровью (7,77 %). В клинической картине хронического гепатита С </w:t>
      </w:r>
      <w:r>
        <w:lastRenderedPageBreak/>
        <w:t>превалировали проявления гепатомегалического (100 %), астено-вегетативного (75,24 %) и диспепсического (69,9 %) синдромов. Внепеченочные проявления заболевания втречались с низкой частотой (арталгии–24,75 %, аллергические дерматиты – 2,91 %, анемии – 1,45 %, нарушения в сфере репродуктивной функции – 14,75 %).</w:t>
      </w:r>
    </w:p>
    <w:p w:rsidR="00A7030B" w:rsidRDefault="00A7030B" w:rsidP="0033259B">
      <w:pPr>
        <w:ind w:firstLine="0"/>
      </w:pPr>
    </w:p>
    <w:p w:rsidR="008F3943" w:rsidRPr="00D22301" w:rsidRDefault="008F3943" w:rsidP="008F3943">
      <w:pPr>
        <w:ind w:left="539" w:firstLine="0"/>
        <w:jc w:val="center"/>
        <w:rPr>
          <w:lang w:val="en-US" w:eastAsia="ru-RU"/>
        </w:rPr>
      </w:pPr>
      <w:r w:rsidRPr="00D22301">
        <w:rPr>
          <w:lang w:val="en-US" w:eastAsia="ru-RU"/>
        </w:rPr>
        <w:t>ABSTRACT</w:t>
      </w:r>
    </w:p>
    <w:p w:rsidR="004915B4" w:rsidRPr="008F3943" w:rsidRDefault="008F3943" w:rsidP="008F3943">
      <w:pPr>
        <w:jc w:val="center"/>
        <w:rPr>
          <w:lang w:val="en-US"/>
        </w:rPr>
      </w:pPr>
      <w:r w:rsidRPr="00D22301">
        <w:rPr>
          <w:lang w:val="en-US" w:eastAsia="ru-RU"/>
        </w:rPr>
        <w:t>T</w:t>
      </w:r>
      <w:r w:rsidR="00A7030B" w:rsidRPr="00D22301">
        <w:rPr>
          <w:lang w:val="en-US" w:eastAsia="ru-RU"/>
        </w:rPr>
        <w:t>he article "Clinical and epidemiologi</w:t>
      </w:r>
      <w:r w:rsidR="00A7030B" w:rsidRPr="008F3943">
        <w:rPr>
          <w:lang w:eastAsia="ru-RU"/>
        </w:rPr>
        <w:t>с</w:t>
      </w:r>
      <w:r w:rsidR="00A7030B" w:rsidRPr="008F3943">
        <w:rPr>
          <w:lang w:val="en-US" w:eastAsia="ru-RU"/>
        </w:rPr>
        <w:t>al</w:t>
      </w:r>
      <w:r w:rsidR="00A7030B" w:rsidRPr="00D22301">
        <w:rPr>
          <w:lang w:val="en-US" w:eastAsia="ru-RU"/>
        </w:rPr>
        <w:t xml:space="preserve"> features of chronic hepatitis C at the </w:t>
      </w:r>
      <w:r w:rsidRPr="00D22301">
        <w:rPr>
          <w:lang w:val="en-US" w:eastAsia="ru-RU"/>
        </w:rPr>
        <w:t>present stage ."</w:t>
      </w:r>
    </w:p>
    <w:p w:rsidR="008F3943" w:rsidRPr="008F3943" w:rsidRDefault="008F3943" w:rsidP="008F3943">
      <w:pPr>
        <w:rPr>
          <w:lang w:val="en-US"/>
        </w:rPr>
      </w:pPr>
      <w:r w:rsidRPr="00D22301">
        <w:rPr>
          <w:lang w:val="en-US" w:eastAsia="ru-RU"/>
        </w:rPr>
        <w:t>The chronic hepatitis C - one of the most significant public health problem throughout the world. The incidence of chronic form of HCV- infection poses a real threat to the population of Ukraine in connection with the complexity of the flow and the severe consequences - cirrhosis and liver cancer. Long latency period and masked clinical disease, and often progresses to a chronic form affects the epidemiological situation in the country. Early diagnosis of HCV- infection is the key to successful treatment outcome and prognosis in each case. Modern views on the epidemiology and clinical features of chronic hepatitis C is complementary to the scientific basis of topical issues Hepatology . Given the undeniable importance of the problems outlined the purpose to our study was to investigate the epidemiological and clinical features of chronic hepatitis C at the present stage in the Kharkiv region . To achieve this goal were examined 206 patients with chronic HCV- infection who were treated at the Kharkov hospital of infectious diseases in the period from 2007 to 2011 . In operation, the general clinical use (questioning complaints medical history and life, the details of epidemiological history physical examination) and the traditional statistical methods.</w:t>
      </w:r>
      <w:r w:rsidRPr="00D22301">
        <w:rPr>
          <w:lang w:val="en-US" w:eastAsia="ru-RU"/>
        </w:rPr>
        <w:br/>
        <w:t xml:space="preserve">The study found that in the Kharkiv region in the period in major risk factors for infection with HCV- infection were drug use ( 24.27 %) , surgery or blood transfusion ( 22.32 %) , tattooing or body piercing holding (10, 2%) and contact with extraneous blood ( 7.77 %). The clinical picture of chronic hepatitis C </w:t>
      </w:r>
      <w:r w:rsidRPr="00D22301">
        <w:rPr>
          <w:lang w:val="en-US" w:eastAsia="ru-RU"/>
        </w:rPr>
        <w:lastRenderedPageBreak/>
        <w:t>prevailed manifestations gepatomegalicheskogo (100 %) , asthenovegetative ( 75.24 %) and dyspeptic ( 69.9 %) syndromes. Extrahepatic manifestations of the disease had meetings with the lowest frequency ( artalgii -24 , 75 % , allergic dermatitis - 2.91 % , anemia - 1.45% , disorders in reproduction - 14.75 %).</w:t>
      </w:r>
    </w:p>
    <w:p w:rsidR="008F3943" w:rsidRPr="00A7030B" w:rsidRDefault="008F3943" w:rsidP="008F3943">
      <w:pPr>
        <w:ind w:firstLine="0"/>
        <w:rPr>
          <w:lang w:val="en-US"/>
        </w:rPr>
      </w:pPr>
    </w:p>
    <w:p w:rsidR="008F3943" w:rsidRPr="00A7030B" w:rsidRDefault="008F3943" w:rsidP="008F3943">
      <w:pPr>
        <w:ind w:firstLine="567"/>
        <w:rPr>
          <w:lang w:val="uk-UA"/>
        </w:rPr>
      </w:pPr>
    </w:p>
    <w:p w:rsidR="008F3943" w:rsidRDefault="008F3943" w:rsidP="008F3943">
      <w:pPr>
        <w:ind w:firstLine="567"/>
        <w:rPr>
          <w:lang w:val="uk-UA"/>
        </w:rPr>
      </w:pPr>
    </w:p>
    <w:p w:rsidR="004915B4" w:rsidRDefault="004915B4" w:rsidP="008F3943">
      <w:pPr>
        <w:ind w:firstLine="567"/>
        <w:rPr>
          <w:lang w:val="uk-UA"/>
        </w:rPr>
      </w:pPr>
    </w:p>
    <w:p w:rsidR="004915B4" w:rsidRDefault="004915B4" w:rsidP="008F3943">
      <w:pPr>
        <w:ind w:firstLine="567"/>
        <w:rPr>
          <w:lang w:val="uk-UA"/>
        </w:rPr>
      </w:pPr>
    </w:p>
    <w:p w:rsidR="004915B4" w:rsidRDefault="004915B4" w:rsidP="008F3943">
      <w:pPr>
        <w:ind w:firstLine="567"/>
        <w:rPr>
          <w:lang w:val="uk-UA"/>
        </w:rPr>
      </w:pPr>
    </w:p>
    <w:p w:rsidR="004915B4" w:rsidRDefault="004915B4" w:rsidP="008F3943">
      <w:pPr>
        <w:ind w:firstLine="567"/>
        <w:rPr>
          <w:lang w:val="uk-UA"/>
        </w:rPr>
      </w:pPr>
    </w:p>
    <w:p w:rsidR="004915B4" w:rsidRDefault="004915B4" w:rsidP="008F3943">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4915B4" w:rsidRDefault="004915B4" w:rsidP="004B0464">
      <w:pPr>
        <w:ind w:firstLine="567"/>
        <w:rPr>
          <w:lang w:val="uk-UA"/>
        </w:rPr>
      </w:pPr>
    </w:p>
    <w:p w:rsidR="00F1046E" w:rsidRPr="00F1046E" w:rsidRDefault="00F1046E" w:rsidP="00F1046E">
      <w:pPr>
        <w:widowControl w:val="0"/>
        <w:jc w:val="center"/>
        <w:outlineLvl w:val="0"/>
      </w:pPr>
      <w:r w:rsidRPr="00F1046E">
        <w:lastRenderedPageBreak/>
        <w:t>СВЕДЕНИЯ ОБ АВТОРАХ</w:t>
      </w:r>
    </w:p>
    <w:p w:rsidR="00F1046E" w:rsidRPr="009517A8" w:rsidRDefault="00F1046E" w:rsidP="00F1046E">
      <w:pPr>
        <w:widowControl w:val="0"/>
        <w:rPr>
          <w:rFonts w:ascii="Impact" w:hAnsi="Impact"/>
        </w:rPr>
      </w:pPr>
    </w:p>
    <w:tbl>
      <w:tblPr>
        <w:tblW w:w="9128" w:type="dxa"/>
        <w:jc w:val="center"/>
        <w:tblInd w:w="178" w:type="dxa"/>
        <w:tblLook w:val="01E0" w:firstRow="1" w:lastRow="1" w:firstColumn="1" w:lastColumn="1" w:noHBand="0" w:noVBand="0"/>
      </w:tblPr>
      <w:tblGrid>
        <w:gridCol w:w="3757"/>
        <w:gridCol w:w="5371"/>
      </w:tblGrid>
      <w:tr w:rsidR="00F1046E" w:rsidRPr="00822135" w:rsidTr="0026768F">
        <w:trPr>
          <w:trHeight w:val="765"/>
          <w:jc w:val="center"/>
        </w:trPr>
        <w:tc>
          <w:tcPr>
            <w:tcW w:w="3757" w:type="dxa"/>
          </w:tcPr>
          <w:p w:rsidR="00F1046E" w:rsidRPr="00F1046E" w:rsidRDefault="00F1046E" w:rsidP="00F1046E">
            <w:pPr>
              <w:widowControl w:val="0"/>
              <w:spacing w:line="240" w:lineRule="auto"/>
              <w:ind w:firstLine="0"/>
              <w:jc w:val="left"/>
            </w:pPr>
            <w:r>
              <w:t>Козько</w:t>
            </w:r>
            <w:r>
              <w:rPr>
                <w:lang w:val="uk-UA"/>
              </w:rPr>
              <w:t xml:space="preserve"> </w:t>
            </w:r>
            <w:r>
              <w:t>Владимир</w:t>
            </w:r>
            <w:r>
              <w:rPr>
                <w:lang w:val="uk-UA"/>
              </w:rPr>
              <w:t xml:space="preserve"> </w:t>
            </w:r>
            <w:r w:rsidRPr="00F1046E">
              <w:t>Николаевич</w:t>
            </w:r>
          </w:p>
          <w:p w:rsidR="00F1046E" w:rsidRPr="00F1046E" w:rsidRDefault="00F1046E" w:rsidP="0026768F">
            <w:pPr>
              <w:widowControl w:val="0"/>
              <w:spacing w:line="240" w:lineRule="auto"/>
            </w:pPr>
          </w:p>
          <w:p w:rsidR="00F1046E" w:rsidRPr="00F1046E" w:rsidRDefault="00F1046E" w:rsidP="0026768F">
            <w:pPr>
              <w:widowControl w:val="0"/>
              <w:spacing w:line="240" w:lineRule="auto"/>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F1046E">
            <w:pPr>
              <w:widowControl w:val="0"/>
              <w:spacing w:line="240" w:lineRule="auto"/>
              <w:ind w:firstLine="0"/>
              <w:jc w:val="left"/>
            </w:pPr>
            <w:r>
              <w:t>Анцыферова Наталия</w:t>
            </w:r>
            <w:r>
              <w:rPr>
                <w:lang w:val="uk-UA"/>
              </w:rPr>
              <w:t xml:space="preserve"> </w:t>
            </w:r>
            <w:r w:rsidRPr="00F1046E">
              <w:t>Викторовнв</w:t>
            </w:r>
          </w:p>
          <w:p w:rsidR="00F1046E" w:rsidRPr="00F1046E" w:rsidRDefault="00F1046E" w:rsidP="0026768F">
            <w:pPr>
              <w:widowControl w:val="0"/>
              <w:spacing w:line="240" w:lineRule="auto"/>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F1046E" w:rsidRDefault="00F1046E" w:rsidP="0026768F">
            <w:pPr>
              <w:widowControl w:val="0"/>
              <w:spacing w:line="240" w:lineRule="auto"/>
              <w:rPr>
                <w:lang w:val="uk-UA"/>
              </w:rPr>
            </w:pPr>
          </w:p>
          <w:p w:rsidR="00F1046E" w:rsidRPr="00D22301" w:rsidRDefault="00F1046E" w:rsidP="00F1046E">
            <w:pPr>
              <w:widowControl w:val="0"/>
              <w:spacing w:line="240" w:lineRule="auto"/>
              <w:ind w:firstLine="0"/>
              <w:jc w:val="left"/>
              <w:rPr>
                <w:lang w:val="uk-UA"/>
              </w:rPr>
            </w:pPr>
            <w:r w:rsidRPr="00D22301">
              <w:rPr>
                <w:lang w:val="uk-UA"/>
              </w:rPr>
              <w:t>Соломенник Анна</w:t>
            </w:r>
          </w:p>
          <w:p w:rsidR="00F1046E" w:rsidRPr="00D22301" w:rsidRDefault="00F1046E" w:rsidP="00F1046E">
            <w:pPr>
              <w:widowControl w:val="0"/>
              <w:spacing w:line="240" w:lineRule="auto"/>
              <w:ind w:firstLine="0"/>
              <w:rPr>
                <w:lang w:val="uk-UA"/>
              </w:rPr>
            </w:pPr>
            <w:r w:rsidRPr="00D22301">
              <w:rPr>
                <w:lang w:val="uk-UA"/>
              </w:rPr>
              <w:t>Олеговна</w:t>
            </w:r>
          </w:p>
          <w:p w:rsidR="00F1046E" w:rsidRPr="00D22301" w:rsidRDefault="00F1046E" w:rsidP="0026768F">
            <w:pPr>
              <w:widowControl w:val="0"/>
              <w:spacing w:line="240" w:lineRule="auto"/>
              <w:rPr>
                <w:lang w:val="uk-UA"/>
              </w:rPr>
            </w:pPr>
          </w:p>
          <w:p w:rsidR="00F1046E" w:rsidRPr="00D22301" w:rsidRDefault="00F1046E" w:rsidP="0026768F">
            <w:pPr>
              <w:widowControl w:val="0"/>
              <w:spacing w:line="240" w:lineRule="auto"/>
              <w:rPr>
                <w:lang w:val="uk-UA"/>
              </w:rPr>
            </w:pPr>
          </w:p>
          <w:p w:rsidR="00F1046E" w:rsidRPr="00D22301" w:rsidRDefault="00F1046E" w:rsidP="0026768F">
            <w:pPr>
              <w:widowControl w:val="0"/>
              <w:spacing w:line="240" w:lineRule="auto"/>
              <w:rPr>
                <w:rFonts w:ascii="Georgia" w:hAnsi="Georgia"/>
                <w:b/>
                <w:lang w:val="uk-UA"/>
              </w:rPr>
            </w:pPr>
          </w:p>
          <w:p w:rsidR="00F1046E" w:rsidRPr="00D22301" w:rsidRDefault="00F1046E" w:rsidP="0026768F">
            <w:pPr>
              <w:widowControl w:val="0"/>
              <w:spacing w:line="240" w:lineRule="auto"/>
              <w:rPr>
                <w:rFonts w:ascii="Georgia" w:hAnsi="Georgia"/>
                <w:b/>
                <w:lang w:val="uk-UA"/>
              </w:rPr>
            </w:pPr>
          </w:p>
          <w:p w:rsidR="00F1046E" w:rsidRPr="00D22301" w:rsidRDefault="00F1046E" w:rsidP="0026768F">
            <w:pPr>
              <w:widowControl w:val="0"/>
              <w:spacing w:line="240" w:lineRule="auto"/>
              <w:rPr>
                <w:rFonts w:ascii="Georgia" w:hAnsi="Georgia"/>
                <w:b/>
                <w:i/>
                <w:lang w:val="uk-UA"/>
              </w:rPr>
            </w:pPr>
          </w:p>
          <w:p w:rsidR="00F1046E" w:rsidRPr="00D22301" w:rsidRDefault="00F1046E" w:rsidP="0026768F">
            <w:pPr>
              <w:widowControl w:val="0"/>
              <w:spacing w:line="240" w:lineRule="auto"/>
              <w:rPr>
                <w:rFonts w:ascii="Georgia" w:hAnsi="Georgia"/>
                <w:b/>
                <w:i/>
                <w:lang w:val="uk-UA"/>
              </w:rPr>
            </w:pPr>
          </w:p>
          <w:p w:rsidR="00F1046E" w:rsidRPr="00D22301" w:rsidRDefault="00F1046E" w:rsidP="0026768F">
            <w:pPr>
              <w:widowControl w:val="0"/>
              <w:spacing w:line="240" w:lineRule="auto"/>
              <w:rPr>
                <w:rFonts w:ascii="Georgia" w:hAnsi="Georgia"/>
                <w:b/>
                <w:i/>
                <w:lang w:val="uk-UA"/>
              </w:rPr>
            </w:pPr>
          </w:p>
          <w:p w:rsidR="00F1046E" w:rsidRPr="00D22301" w:rsidRDefault="00F1046E" w:rsidP="0026768F">
            <w:pPr>
              <w:widowControl w:val="0"/>
              <w:spacing w:line="240" w:lineRule="auto"/>
              <w:rPr>
                <w:rFonts w:ascii="Georgia" w:hAnsi="Georgia"/>
                <w:b/>
                <w:i/>
                <w:lang w:val="uk-UA"/>
              </w:rPr>
            </w:pPr>
          </w:p>
          <w:p w:rsidR="00F1046E" w:rsidRPr="00D22301" w:rsidRDefault="00F1046E" w:rsidP="0026768F">
            <w:pPr>
              <w:widowControl w:val="0"/>
              <w:spacing w:line="240" w:lineRule="auto"/>
              <w:rPr>
                <w:rFonts w:ascii="Georgia" w:hAnsi="Georgia"/>
                <w:b/>
                <w:i/>
                <w:lang w:val="uk-UA"/>
              </w:rPr>
            </w:pPr>
          </w:p>
          <w:p w:rsidR="00F1046E" w:rsidRPr="00D22301" w:rsidRDefault="00F1046E" w:rsidP="0026768F">
            <w:pPr>
              <w:widowControl w:val="0"/>
              <w:spacing w:line="240" w:lineRule="auto"/>
              <w:rPr>
                <w:rFonts w:ascii="Georgia" w:hAnsi="Georgia"/>
                <w:b/>
                <w:i/>
                <w:lang w:val="uk-UA"/>
              </w:rPr>
            </w:pPr>
          </w:p>
          <w:p w:rsidR="00F1046E" w:rsidRPr="00D22301" w:rsidRDefault="00F1046E" w:rsidP="0026768F">
            <w:pPr>
              <w:widowControl w:val="0"/>
              <w:spacing w:line="240" w:lineRule="auto"/>
              <w:rPr>
                <w:rFonts w:ascii="Georgia" w:hAnsi="Georgia"/>
                <w:b/>
                <w:i/>
                <w:lang w:val="uk-UA"/>
              </w:rPr>
            </w:pPr>
          </w:p>
          <w:p w:rsidR="00F1046E" w:rsidRPr="00F1046E" w:rsidRDefault="00F1046E" w:rsidP="00F1046E">
            <w:pPr>
              <w:widowControl w:val="0"/>
              <w:spacing w:line="240" w:lineRule="auto"/>
              <w:ind w:firstLine="0"/>
              <w:rPr>
                <w:rFonts w:ascii="Georgia" w:hAnsi="Georgia"/>
                <w:b/>
                <w:i/>
                <w:lang w:val="uk-UA"/>
              </w:rPr>
            </w:pPr>
          </w:p>
          <w:p w:rsidR="00F1046E" w:rsidRPr="00D22301" w:rsidRDefault="00F1046E" w:rsidP="00F1046E">
            <w:pPr>
              <w:widowControl w:val="0"/>
              <w:spacing w:line="240" w:lineRule="auto"/>
              <w:ind w:firstLine="0"/>
              <w:rPr>
                <w:rFonts w:eastAsia="Times New Roman"/>
                <w:lang w:val="uk-UA"/>
              </w:rPr>
            </w:pPr>
            <w:r w:rsidRPr="00F1046E">
              <w:rPr>
                <w:rFonts w:eastAsia="Times New Roman"/>
                <w:lang w:val="en-US"/>
              </w:rPr>
              <w:t>Kozko</w:t>
            </w:r>
            <w:r w:rsidRPr="00D22301">
              <w:rPr>
                <w:rFonts w:eastAsia="Times New Roman"/>
                <w:lang w:val="uk-UA"/>
              </w:rPr>
              <w:t xml:space="preserve"> </w:t>
            </w:r>
            <w:r w:rsidRPr="00F1046E">
              <w:rPr>
                <w:rFonts w:eastAsia="Times New Roman"/>
                <w:lang w:val="en-US"/>
              </w:rPr>
              <w:t>Vladimir</w:t>
            </w:r>
          </w:p>
          <w:p w:rsidR="00F1046E" w:rsidRPr="00D22301" w:rsidRDefault="00F1046E" w:rsidP="00F1046E">
            <w:pPr>
              <w:widowControl w:val="0"/>
              <w:spacing w:line="240" w:lineRule="auto"/>
              <w:ind w:firstLine="0"/>
              <w:rPr>
                <w:rFonts w:eastAsia="Times New Roman"/>
                <w:lang w:val="uk-UA"/>
              </w:rPr>
            </w:pPr>
            <w:r w:rsidRPr="00F1046E">
              <w:rPr>
                <w:rFonts w:eastAsia="Times New Roman"/>
                <w:lang w:val="en-US"/>
              </w:rPr>
              <w:t>Nikolaevich</w:t>
            </w:r>
          </w:p>
          <w:p w:rsidR="00F1046E" w:rsidRPr="00D22301" w:rsidRDefault="00F1046E" w:rsidP="0026768F">
            <w:pPr>
              <w:widowControl w:val="0"/>
              <w:spacing w:line="240" w:lineRule="auto"/>
              <w:rPr>
                <w:rFonts w:eastAsia="Times New Roman"/>
                <w:lang w:val="uk-UA"/>
              </w:rPr>
            </w:pPr>
          </w:p>
          <w:p w:rsidR="00F1046E" w:rsidRPr="00D22301" w:rsidRDefault="00F1046E" w:rsidP="0026768F">
            <w:pPr>
              <w:widowControl w:val="0"/>
              <w:spacing w:line="240" w:lineRule="auto"/>
              <w:rPr>
                <w:rFonts w:eastAsia="Times New Roman"/>
                <w:lang w:val="uk-UA"/>
              </w:rPr>
            </w:pPr>
          </w:p>
          <w:p w:rsidR="00F1046E" w:rsidRPr="00D22301" w:rsidRDefault="00F1046E" w:rsidP="0026768F">
            <w:pPr>
              <w:widowControl w:val="0"/>
              <w:spacing w:line="240" w:lineRule="auto"/>
              <w:rPr>
                <w:rFonts w:eastAsia="Times New Roman"/>
                <w:lang w:val="uk-UA"/>
              </w:rPr>
            </w:pPr>
          </w:p>
          <w:p w:rsidR="00F1046E" w:rsidRPr="00D22301" w:rsidRDefault="00F1046E" w:rsidP="0026768F">
            <w:pPr>
              <w:widowControl w:val="0"/>
              <w:spacing w:line="240" w:lineRule="auto"/>
              <w:rPr>
                <w:rFonts w:eastAsia="Times New Roman"/>
                <w:lang w:val="uk-UA"/>
              </w:rPr>
            </w:pPr>
          </w:p>
          <w:p w:rsidR="00F1046E" w:rsidRDefault="00F1046E" w:rsidP="0026768F">
            <w:pPr>
              <w:widowControl w:val="0"/>
              <w:spacing w:line="240" w:lineRule="auto"/>
              <w:rPr>
                <w:rFonts w:eastAsia="Times New Roman"/>
                <w:lang w:val="uk-UA"/>
              </w:rPr>
            </w:pPr>
          </w:p>
          <w:p w:rsidR="00F1046E" w:rsidRDefault="00F1046E" w:rsidP="0026768F">
            <w:pPr>
              <w:widowControl w:val="0"/>
              <w:spacing w:line="240" w:lineRule="auto"/>
              <w:rPr>
                <w:rFonts w:eastAsia="Times New Roman"/>
                <w:lang w:val="uk-UA"/>
              </w:rPr>
            </w:pPr>
          </w:p>
          <w:p w:rsidR="00F1046E" w:rsidRPr="00F1046E" w:rsidRDefault="00F1046E" w:rsidP="0026768F">
            <w:pPr>
              <w:widowControl w:val="0"/>
              <w:spacing w:line="240" w:lineRule="auto"/>
              <w:rPr>
                <w:rFonts w:eastAsia="Times New Roman"/>
                <w:lang w:val="uk-UA"/>
              </w:rPr>
            </w:pPr>
          </w:p>
          <w:p w:rsidR="00F1046E" w:rsidRPr="00F1046E" w:rsidRDefault="00F1046E" w:rsidP="0026768F">
            <w:pPr>
              <w:widowControl w:val="0"/>
              <w:spacing w:line="240" w:lineRule="auto"/>
              <w:rPr>
                <w:rFonts w:eastAsia="Times New Roman"/>
                <w:lang w:val="en-US"/>
              </w:rPr>
            </w:pPr>
            <w:r>
              <w:rPr>
                <w:rFonts w:eastAsia="Times New Roman"/>
                <w:lang w:val="en-US"/>
              </w:rPr>
              <w:t>Antsyferova Nataliya</w:t>
            </w:r>
            <w:r w:rsidRPr="00F1046E">
              <w:rPr>
                <w:rFonts w:eastAsia="Times New Roman"/>
                <w:lang w:val="en-US"/>
              </w:rPr>
              <w:t>Viktorovna</w:t>
            </w:r>
          </w:p>
          <w:p w:rsidR="00F1046E" w:rsidRPr="00F1046E" w:rsidRDefault="00F1046E" w:rsidP="0026768F">
            <w:pPr>
              <w:widowControl w:val="0"/>
              <w:spacing w:line="240" w:lineRule="auto"/>
              <w:rPr>
                <w:rFonts w:eastAsia="Times New Roman"/>
                <w:lang w:val="en-US"/>
              </w:rPr>
            </w:pPr>
          </w:p>
          <w:p w:rsidR="00F1046E" w:rsidRPr="00F1046E" w:rsidRDefault="00F1046E" w:rsidP="0026768F">
            <w:pPr>
              <w:widowControl w:val="0"/>
              <w:spacing w:line="240" w:lineRule="auto"/>
              <w:rPr>
                <w:rFonts w:eastAsia="Times New Roman"/>
                <w:lang w:val="en-US"/>
              </w:rPr>
            </w:pPr>
          </w:p>
          <w:p w:rsidR="00F1046E" w:rsidRPr="00F1046E" w:rsidRDefault="00F1046E" w:rsidP="0026768F">
            <w:pPr>
              <w:widowControl w:val="0"/>
              <w:spacing w:line="240" w:lineRule="auto"/>
              <w:rPr>
                <w:rFonts w:eastAsia="Times New Roman"/>
                <w:lang w:val="en-US"/>
              </w:rPr>
            </w:pPr>
          </w:p>
          <w:p w:rsidR="00F1046E" w:rsidRDefault="00F1046E" w:rsidP="0026768F">
            <w:pPr>
              <w:widowControl w:val="0"/>
              <w:spacing w:line="240" w:lineRule="auto"/>
              <w:rPr>
                <w:rFonts w:eastAsia="Times New Roman"/>
                <w:lang w:val="uk-UA"/>
              </w:rPr>
            </w:pPr>
          </w:p>
          <w:p w:rsidR="00F1046E" w:rsidRDefault="00F1046E" w:rsidP="0026768F">
            <w:pPr>
              <w:widowControl w:val="0"/>
              <w:spacing w:line="240" w:lineRule="auto"/>
              <w:rPr>
                <w:rFonts w:eastAsia="Times New Roman"/>
                <w:lang w:val="uk-UA"/>
              </w:rPr>
            </w:pPr>
          </w:p>
          <w:p w:rsidR="00F1046E" w:rsidRPr="00F1046E" w:rsidRDefault="00F1046E" w:rsidP="0026768F">
            <w:pPr>
              <w:widowControl w:val="0"/>
              <w:spacing w:line="240" w:lineRule="auto"/>
              <w:rPr>
                <w:rFonts w:eastAsia="Times New Roman"/>
                <w:lang w:val="uk-UA"/>
              </w:rPr>
            </w:pPr>
          </w:p>
          <w:p w:rsidR="00F1046E" w:rsidRPr="00F1046E" w:rsidRDefault="00F1046E" w:rsidP="00F1046E">
            <w:pPr>
              <w:widowControl w:val="0"/>
              <w:spacing w:line="240" w:lineRule="auto"/>
              <w:ind w:firstLine="0"/>
              <w:rPr>
                <w:rFonts w:eastAsia="Times New Roman"/>
                <w:lang w:val="en-US"/>
              </w:rPr>
            </w:pPr>
            <w:r w:rsidRPr="00F1046E">
              <w:rPr>
                <w:rFonts w:eastAsia="Times New Roman"/>
                <w:lang w:val="en-US"/>
              </w:rPr>
              <w:t xml:space="preserve">Solomennik Anna </w:t>
            </w:r>
          </w:p>
          <w:p w:rsidR="00F1046E" w:rsidRPr="00F1046E" w:rsidRDefault="00F1046E" w:rsidP="00F1046E">
            <w:pPr>
              <w:widowControl w:val="0"/>
              <w:spacing w:line="240" w:lineRule="auto"/>
              <w:ind w:firstLine="0"/>
              <w:rPr>
                <w:rFonts w:eastAsia="Times New Roman"/>
                <w:lang w:val="en-US"/>
              </w:rPr>
            </w:pPr>
            <w:r w:rsidRPr="00F1046E">
              <w:rPr>
                <w:rFonts w:eastAsia="Times New Roman"/>
                <w:lang w:val="en-US"/>
              </w:rPr>
              <w:t>Olegovna</w:t>
            </w: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lang w:val="en-US"/>
              </w:rPr>
            </w:pPr>
          </w:p>
          <w:p w:rsidR="00F1046E" w:rsidRPr="00F1046E" w:rsidRDefault="00F1046E" w:rsidP="0026768F">
            <w:pPr>
              <w:widowControl w:val="0"/>
              <w:spacing w:line="240" w:lineRule="auto"/>
              <w:rPr>
                <w:rFonts w:eastAsia="Times New Roman"/>
                <w:b/>
                <w:i/>
                <w:sz w:val="24"/>
                <w:szCs w:val="24"/>
                <w:lang w:val="en-US"/>
              </w:rPr>
            </w:pPr>
          </w:p>
          <w:p w:rsidR="00F1046E" w:rsidRPr="00F1046E" w:rsidRDefault="00F1046E" w:rsidP="0026768F">
            <w:pPr>
              <w:widowControl w:val="0"/>
              <w:spacing w:line="240" w:lineRule="auto"/>
              <w:rPr>
                <w:rFonts w:eastAsia="Times New Roman"/>
                <w:b/>
                <w:i/>
                <w:sz w:val="24"/>
                <w:szCs w:val="24"/>
                <w:lang w:val="en-US"/>
              </w:rPr>
            </w:pPr>
          </w:p>
          <w:p w:rsidR="00F1046E" w:rsidRPr="00F1046E" w:rsidRDefault="00F1046E" w:rsidP="0026768F">
            <w:pPr>
              <w:widowControl w:val="0"/>
              <w:spacing w:line="240" w:lineRule="auto"/>
              <w:rPr>
                <w:rFonts w:ascii="Georgia" w:eastAsia="Times New Roman" w:hAnsi="Georgia"/>
                <w:lang w:val="en-US"/>
              </w:rPr>
            </w:pPr>
          </w:p>
          <w:p w:rsidR="00F1046E" w:rsidRPr="00F1046E" w:rsidRDefault="00F1046E" w:rsidP="0026768F">
            <w:pPr>
              <w:widowControl w:val="0"/>
              <w:spacing w:line="240" w:lineRule="auto"/>
              <w:rPr>
                <w:rFonts w:eastAsia="Times New Roman"/>
                <w:sz w:val="24"/>
                <w:szCs w:val="24"/>
                <w:lang w:val="en-US"/>
              </w:rPr>
            </w:pPr>
            <w:r w:rsidRPr="00F1046E">
              <w:rPr>
                <w:rFonts w:eastAsia="Times New Roman"/>
                <w:b/>
                <w:i/>
                <w:sz w:val="24"/>
                <w:szCs w:val="24"/>
                <w:lang w:val="en-US"/>
              </w:rPr>
              <w:t> </w:t>
            </w: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b/>
                <w:i/>
                <w:lang w:val="en-US"/>
              </w:rPr>
            </w:pPr>
          </w:p>
          <w:p w:rsidR="00F1046E" w:rsidRPr="00F1046E" w:rsidRDefault="00F1046E" w:rsidP="0026768F">
            <w:pPr>
              <w:widowControl w:val="0"/>
              <w:spacing w:line="240" w:lineRule="auto"/>
              <w:rPr>
                <w:rFonts w:ascii="Georgia" w:eastAsia="Times New Roman" w:hAnsi="Georgia"/>
                <w:lang w:val="en-US"/>
              </w:rPr>
            </w:pPr>
          </w:p>
          <w:p w:rsidR="00F1046E" w:rsidRPr="00F1046E" w:rsidRDefault="00F1046E" w:rsidP="0026768F">
            <w:pPr>
              <w:widowControl w:val="0"/>
              <w:spacing w:line="240" w:lineRule="auto"/>
              <w:rPr>
                <w:rFonts w:eastAsia="Times New Roman"/>
                <w:b/>
                <w:i/>
                <w:sz w:val="24"/>
                <w:szCs w:val="24"/>
                <w:lang w:val="en-US"/>
              </w:rPr>
            </w:pPr>
          </w:p>
          <w:p w:rsidR="00F1046E" w:rsidRPr="00F1046E" w:rsidRDefault="00F1046E" w:rsidP="00D22301">
            <w:pPr>
              <w:widowControl w:val="0"/>
              <w:spacing w:before="100" w:beforeAutospacing="1" w:line="240" w:lineRule="auto"/>
              <w:ind w:firstLine="0"/>
              <w:rPr>
                <w:rFonts w:eastAsia="Times New Roman"/>
                <w:sz w:val="24"/>
                <w:szCs w:val="24"/>
                <w:lang w:val="en-US"/>
              </w:rPr>
            </w:pPr>
          </w:p>
          <w:p w:rsidR="00F1046E" w:rsidRPr="00F1046E" w:rsidRDefault="00F1046E" w:rsidP="0026768F">
            <w:pPr>
              <w:widowControl w:val="0"/>
              <w:spacing w:line="240" w:lineRule="auto"/>
              <w:rPr>
                <w:rFonts w:ascii="Georgia" w:hAnsi="Georgia"/>
                <w:b/>
                <w:i/>
                <w:lang w:val="en-US"/>
              </w:rPr>
            </w:pPr>
          </w:p>
          <w:p w:rsidR="00F1046E" w:rsidRPr="00F1046E" w:rsidRDefault="00F1046E" w:rsidP="0026768F">
            <w:pPr>
              <w:widowControl w:val="0"/>
              <w:spacing w:line="240" w:lineRule="auto"/>
              <w:rPr>
                <w:rFonts w:ascii="Georgia" w:hAnsi="Georgia"/>
                <w:b/>
                <w:i/>
                <w:lang w:val="en-US"/>
              </w:rPr>
            </w:pPr>
          </w:p>
        </w:tc>
        <w:tc>
          <w:tcPr>
            <w:tcW w:w="5371" w:type="dxa"/>
          </w:tcPr>
          <w:p w:rsidR="00F1046E" w:rsidRPr="00F1046E" w:rsidRDefault="00F1046E" w:rsidP="00F1046E">
            <w:pPr>
              <w:widowControl w:val="0"/>
              <w:tabs>
                <w:tab w:val="left" w:pos="2800"/>
              </w:tabs>
              <w:spacing w:line="240" w:lineRule="auto"/>
              <w:contextualSpacing/>
              <w:rPr>
                <w:lang w:val="uk-UA"/>
              </w:rPr>
            </w:pPr>
            <w:r w:rsidRPr="00F1046E">
              <w:lastRenderedPageBreak/>
              <w:t>– профессор, доктор медицинских наук, заведующий кафедры инфекционных</w:t>
            </w:r>
            <w:r w:rsidRPr="00F1046E">
              <w:rPr>
                <w:lang w:val="uk-UA"/>
              </w:rPr>
              <w:t xml:space="preserve"> </w:t>
            </w:r>
            <w:r w:rsidRPr="00F1046E">
              <w:t>болезней Харьковского национального медицинского университета</w:t>
            </w:r>
          </w:p>
          <w:p w:rsidR="00F1046E" w:rsidRPr="00F1046E" w:rsidRDefault="00F1046E" w:rsidP="0026768F">
            <w:pPr>
              <w:widowControl w:val="0"/>
              <w:tabs>
                <w:tab w:val="left" w:pos="2800"/>
              </w:tabs>
              <w:spacing w:line="240" w:lineRule="auto"/>
              <w:contextualSpacing/>
            </w:pPr>
            <w:r w:rsidRPr="00F1046E">
              <w:t>61022, г. Харьков, пр. Ленина, 4, Харьковский национальный медицинский университет</w:t>
            </w:r>
          </w:p>
          <w:p w:rsidR="00F1046E" w:rsidRPr="00F1046E" w:rsidRDefault="00F1046E" w:rsidP="0026768F">
            <w:pPr>
              <w:widowControl w:val="0"/>
              <w:tabs>
                <w:tab w:val="left" w:pos="2800"/>
              </w:tabs>
              <w:spacing w:line="240" w:lineRule="auto"/>
              <w:contextualSpacing/>
            </w:pPr>
            <w:r w:rsidRPr="00F1046E">
              <w:rPr>
                <w:lang w:val="it-IT"/>
              </w:rPr>
              <w:t xml:space="preserve">e-mail: infectology@ukr.net, </w:t>
            </w:r>
            <w:r w:rsidRPr="00F1046E">
              <w:t>тел</w:t>
            </w:r>
            <w:r w:rsidRPr="00F1046E">
              <w:rPr>
                <w:lang w:val="it-IT"/>
              </w:rPr>
              <w:t>. (0572)97-50-18</w:t>
            </w:r>
          </w:p>
          <w:p w:rsidR="00F1046E" w:rsidRPr="00F1046E" w:rsidRDefault="00F1046E" w:rsidP="0026768F">
            <w:pPr>
              <w:widowControl w:val="0"/>
              <w:tabs>
                <w:tab w:val="left" w:pos="2800"/>
              </w:tabs>
              <w:spacing w:line="240" w:lineRule="auto"/>
              <w:contextualSpacing/>
            </w:pPr>
          </w:p>
          <w:p w:rsidR="00F1046E" w:rsidRPr="00F1046E" w:rsidRDefault="00F1046E" w:rsidP="0026768F">
            <w:pPr>
              <w:widowControl w:val="0"/>
              <w:tabs>
                <w:tab w:val="left" w:pos="2800"/>
              </w:tabs>
              <w:spacing w:line="240" w:lineRule="auto"/>
              <w:contextualSpacing/>
            </w:pPr>
            <w:r w:rsidRPr="00F1046E">
              <w:t>– аспирант кафедры инфекционных болезней Харьковского национального медицинского университета индекс, г. Харьков, пр. Ленина, 4, Харьковский национальный медицинский университет</w:t>
            </w:r>
          </w:p>
          <w:p w:rsidR="00F1046E" w:rsidRPr="00F1046E" w:rsidRDefault="00F1046E" w:rsidP="0026768F">
            <w:pPr>
              <w:spacing w:line="240" w:lineRule="auto"/>
              <w:contextualSpacing/>
              <w:rPr>
                <w:lang w:val="uk-UA"/>
              </w:rPr>
            </w:pPr>
            <w:r w:rsidRPr="00F1046E">
              <w:rPr>
                <w:lang w:val="it-IT"/>
              </w:rPr>
              <w:t xml:space="preserve">e-mail: </w:t>
            </w:r>
            <w:r w:rsidRPr="00F1046E">
              <w:t>antsyferova@inbox.ru</w:t>
            </w:r>
            <w:r w:rsidRPr="00F1046E">
              <w:rPr>
                <w:lang w:val="it-IT"/>
              </w:rPr>
              <w:t xml:space="preserve">, </w:t>
            </w:r>
            <w:r w:rsidRPr="00F1046E">
              <w:t>тел</w:t>
            </w:r>
            <w:r w:rsidRPr="00F1046E">
              <w:rPr>
                <w:lang w:val="it-IT"/>
              </w:rPr>
              <w:t>.</w:t>
            </w:r>
            <w:r w:rsidRPr="00F1046E">
              <w:t xml:space="preserve"> (057)779-43-86</w:t>
            </w:r>
            <w:r>
              <w:rPr>
                <w:lang w:val="uk-UA"/>
              </w:rPr>
              <w:t>, 0509341217</w:t>
            </w:r>
          </w:p>
          <w:p w:rsidR="00F1046E" w:rsidRPr="00F1046E" w:rsidRDefault="00F1046E" w:rsidP="0026768F">
            <w:pPr>
              <w:widowControl w:val="0"/>
              <w:tabs>
                <w:tab w:val="left" w:pos="2800"/>
              </w:tabs>
              <w:spacing w:line="240" w:lineRule="auto"/>
              <w:contextualSpacing/>
            </w:pPr>
          </w:p>
          <w:p w:rsidR="00F1046E" w:rsidRPr="00F1046E" w:rsidRDefault="00F1046E" w:rsidP="0026768F">
            <w:pPr>
              <w:widowControl w:val="0"/>
              <w:tabs>
                <w:tab w:val="left" w:pos="2800"/>
              </w:tabs>
              <w:spacing w:line="240" w:lineRule="auto"/>
              <w:contextualSpacing/>
            </w:pPr>
            <w:r w:rsidRPr="00F1046E">
              <w:t>– кандидат медицинских наук, доцент кафедры инфекционных болезней Харьковского национального медицинского университета</w:t>
            </w:r>
          </w:p>
          <w:p w:rsidR="00F1046E" w:rsidRPr="00F1046E" w:rsidRDefault="00F1046E" w:rsidP="0026768F">
            <w:pPr>
              <w:widowControl w:val="0"/>
              <w:tabs>
                <w:tab w:val="left" w:pos="2800"/>
              </w:tabs>
              <w:spacing w:line="240" w:lineRule="auto"/>
              <w:contextualSpacing/>
            </w:pPr>
            <w:r w:rsidRPr="00F1046E">
              <w:t>61022, г. Харьков, пр. Ленина, 4, Харьковский национальный медицинский университет</w:t>
            </w:r>
          </w:p>
          <w:p w:rsidR="00F1046E" w:rsidRPr="00D22301" w:rsidRDefault="00F1046E" w:rsidP="0026768F">
            <w:pPr>
              <w:widowControl w:val="0"/>
              <w:tabs>
                <w:tab w:val="left" w:pos="2800"/>
              </w:tabs>
              <w:spacing w:line="240" w:lineRule="auto"/>
              <w:contextualSpacing/>
              <w:rPr>
                <w:lang w:val="en-US"/>
              </w:rPr>
            </w:pPr>
            <w:r w:rsidRPr="00F1046E">
              <w:rPr>
                <w:lang w:val="it-IT"/>
              </w:rPr>
              <w:t xml:space="preserve">e-mail: </w:t>
            </w:r>
            <w:r w:rsidRPr="00F1046E">
              <w:rPr>
                <w:lang w:val="en-US"/>
              </w:rPr>
              <w:t>akhverdieva@mail.ru</w:t>
            </w:r>
            <w:r w:rsidRPr="00F1046E">
              <w:rPr>
                <w:lang w:val="it-IT"/>
              </w:rPr>
              <w:t xml:space="preserve">, </w:t>
            </w:r>
            <w:r w:rsidRPr="00F1046E">
              <w:t>тел</w:t>
            </w:r>
            <w:r w:rsidRPr="00F1046E">
              <w:rPr>
                <w:lang w:val="it-IT"/>
              </w:rPr>
              <w:t>. (057)712-08-08</w:t>
            </w:r>
          </w:p>
          <w:p w:rsidR="00F1046E" w:rsidRPr="00D22301" w:rsidRDefault="00F1046E" w:rsidP="0026768F">
            <w:pPr>
              <w:widowControl w:val="0"/>
              <w:tabs>
                <w:tab w:val="left" w:pos="2800"/>
              </w:tabs>
              <w:rPr>
                <w:lang w:val="en-US"/>
              </w:rPr>
            </w:pPr>
          </w:p>
          <w:p w:rsidR="004915B4" w:rsidRPr="00D22301" w:rsidRDefault="004915B4" w:rsidP="004915B4">
            <w:pPr>
              <w:widowControl w:val="0"/>
              <w:spacing w:before="100" w:beforeAutospacing="1" w:line="240" w:lineRule="auto"/>
              <w:ind w:firstLine="0"/>
              <w:rPr>
                <w:rFonts w:ascii="Georgia" w:hAnsi="Georgia"/>
                <w:lang w:val="en-US"/>
              </w:rPr>
            </w:pPr>
          </w:p>
          <w:p w:rsidR="00F1046E" w:rsidRPr="00F1046E" w:rsidRDefault="00F1046E" w:rsidP="004915B4">
            <w:pPr>
              <w:widowControl w:val="0"/>
              <w:spacing w:before="100" w:beforeAutospacing="1" w:line="240" w:lineRule="auto"/>
              <w:ind w:firstLine="0"/>
              <w:rPr>
                <w:rFonts w:eastAsia="Times New Roman"/>
                <w:lang w:val="en-US"/>
              </w:rPr>
            </w:pPr>
            <w:r w:rsidRPr="00F1046E">
              <w:rPr>
                <w:rFonts w:eastAsia="Times New Roman"/>
                <w:lang w:val="en-US"/>
              </w:rPr>
              <w:t>Information about the authors</w:t>
            </w:r>
          </w:p>
          <w:p w:rsidR="00F1046E" w:rsidRPr="00F1046E" w:rsidRDefault="00F1046E" w:rsidP="0026768F">
            <w:pPr>
              <w:widowControl w:val="0"/>
              <w:spacing w:before="100" w:beforeAutospacing="1" w:line="240" w:lineRule="auto"/>
              <w:rPr>
                <w:rFonts w:ascii="Georgia" w:eastAsia="Times New Roman" w:hAnsi="Georgia"/>
                <w:lang w:val="en-US"/>
              </w:rPr>
            </w:pPr>
          </w:p>
          <w:p w:rsidR="00F1046E" w:rsidRPr="00F1046E" w:rsidRDefault="00F1046E" w:rsidP="0026768F">
            <w:pPr>
              <w:widowControl w:val="0"/>
              <w:tabs>
                <w:tab w:val="left" w:pos="2800"/>
              </w:tabs>
              <w:spacing w:line="240" w:lineRule="auto"/>
              <w:contextualSpacing/>
              <w:rPr>
                <w:rStyle w:val="hps"/>
                <w:lang w:val="en-US"/>
              </w:rPr>
            </w:pPr>
            <w:r w:rsidRPr="00F1046E">
              <w:rPr>
                <w:rFonts w:ascii="Georgia" w:eastAsia="Times New Roman" w:hAnsi="Georgia"/>
                <w:lang w:val="en-US"/>
              </w:rPr>
              <w:t xml:space="preserve">– </w:t>
            </w:r>
            <w:r w:rsidRPr="00F1046E">
              <w:rPr>
                <w:rStyle w:val="hps"/>
                <w:lang w:val="en-US"/>
              </w:rPr>
              <w:t>professor</w:t>
            </w:r>
            <w:r w:rsidRPr="00F1046E">
              <w:rPr>
                <w:rFonts w:eastAsia="Times New Roman"/>
                <w:lang w:val="en-US"/>
              </w:rPr>
              <w:t xml:space="preserve">, </w:t>
            </w:r>
            <w:r w:rsidRPr="00F1046E">
              <w:rPr>
                <w:rStyle w:val="hps"/>
                <w:lang w:val="en-US"/>
              </w:rPr>
              <w:t>Doctor of Medical Sciences</w:t>
            </w:r>
            <w:r w:rsidRPr="00F1046E">
              <w:rPr>
                <w:rFonts w:eastAsia="Times New Roman"/>
                <w:lang w:val="en-US"/>
              </w:rPr>
              <w:t>, h</w:t>
            </w:r>
            <w:r w:rsidRPr="00F1046E">
              <w:rPr>
                <w:rStyle w:val="hps"/>
                <w:lang w:val="en-US"/>
              </w:rPr>
              <w:t>ead of</w:t>
            </w:r>
            <w:r w:rsidRPr="00F1046E">
              <w:rPr>
                <w:lang w:val="en-US"/>
              </w:rPr>
              <w:t xml:space="preserve"> </w:t>
            </w:r>
            <w:r w:rsidRPr="00F1046E">
              <w:rPr>
                <w:rStyle w:val="hps"/>
                <w:lang w:val="en-US"/>
              </w:rPr>
              <w:t>the department of infectious</w:t>
            </w:r>
            <w:r w:rsidRPr="00F1046E">
              <w:rPr>
                <w:lang w:val="en-US"/>
              </w:rPr>
              <w:t xml:space="preserve"> </w:t>
            </w:r>
            <w:r w:rsidRPr="00F1046E">
              <w:rPr>
                <w:rStyle w:val="hps"/>
                <w:lang w:val="en-US"/>
              </w:rPr>
              <w:t>diseases</w:t>
            </w:r>
            <w:r w:rsidRPr="00F1046E">
              <w:rPr>
                <w:lang w:val="en-US"/>
              </w:rPr>
              <w:t xml:space="preserve"> </w:t>
            </w:r>
            <w:r w:rsidRPr="00F1046E">
              <w:rPr>
                <w:rStyle w:val="hps"/>
                <w:lang w:val="en-US"/>
              </w:rPr>
              <w:t>of Kharkiv National</w:t>
            </w:r>
            <w:r w:rsidRPr="00F1046E">
              <w:rPr>
                <w:lang w:val="en-US"/>
              </w:rPr>
              <w:t xml:space="preserve"> </w:t>
            </w:r>
            <w:r w:rsidRPr="00F1046E">
              <w:rPr>
                <w:rStyle w:val="hps"/>
                <w:lang w:val="en-US"/>
              </w:rPr>
              <w:t>Medical University</w:t>
            </w:r>
          </w:p>
          <w:p w:rsidR="00F1046E" w:rsidRPr="00F1046E" w:rsidRDefault="00F1046E" w:rsidP="0026768F">
            <w:pPr>
              <w:widowControl w:val="0"/>
              <w:tabs>
                <w:tab w:val="left" w:pos="2800"/>
              </w:tabs>
              <w:spacing w:line="240" w:lineRule="auto"/>
              <w:contextualSpacing/>
              <w:rPr>
                <w:rFonts w:eastAsia="Times New Roman"/>
                <w:lang w:val="en-US"/>
              </w:rPr>
            </w:pPr>
            <w:r w:rsidRPr="00F1046E">
              <w:rPr>
                <w:rFonts w:eastAsia="Times New Roman"/>
                <w:lang w:val="en-US"/>
              </w:rPr>
              <w:t xml:space="preserve">61022, </w:t>
            </w:r>
            <w:r w:rsidRPr="00F1046E">
              <w:rPr>
                <w:rStyle w:val="hps"/>
                <w:lang w:val="en-US"/>
              </w:rPr>
              <w:t>Kharkiv</w:t>
            </w:r>
            <w:r w:rsidRPr="00F1046E">
              <w:rPr>
                <w:lang w:val="en-US"/>
              </w:rPr>
              <w:t xml:space="preserve">, Lenin Avenue, 4, </w:t>
            </w:r>
            <w:r w:rsidRPr="00F1046E">
              <w:rPr>
                <w:rStyle w:val="hps"/>
                <w:lang w:val="en-US"/>
              </w:rPr>
              <w:lastRenderedPageBreak/>
              <w:t>Kharkiv National Medical University</w:t>
            </w:r>
          </w:p>
          <w:p w:rsidR="00F1046E" w:rsidRPr="00F1046E" w:rsidRDefault="00F1046E" w:rsidP="0026768F">
            <w:pPr>
              <w:widowControl w:val="0"/>
              <w:tabs>
                <w:tab w:val="left" w:pos="2800"/>
              </w:tabs>
              <w:spacing w:line="240" w:lineRule="auto"/>
              <w:contextualSpacing/>
              <w:rPr>
                <w:rFonts w:eastAsia="Times New Roman"/>
                <w:lang w:val="en-US"/>
              </w:rPr>
            </w:pPr>
            <w:r w:rsidRPr="00F1046E">
              <w:rPr>
                <w:rFonts w:eastAsia="Times New Roman"/>
                <w:lang w:val="it-IT"/>
              </w:rPr>
              <w:t xml:space="preserve">e-mail: infectology@ukr.net, </w:t>
            </w:r>
            <w:r w:rsidRPr="00F1046E">
              <w:rPr>
                <w:rStyle w:val="hps"/>
                <w:lang w:val="en-US"/>
              </w:rPr>
              <w:t>tel</w:t>
            </w:r>
            <w:r w:rsidRPr="00F1046E">
              <w:rPr>
                <w:rFonts w:eastAsia="Times New Roman"/>
                <w:lang w:val="it-IT"/>
              </w:rPr>
              <w:t>. (0572)97-50-18</w:t>
            </w:r>
          </w:p>
          <w:p w:rsidR="00F1046E" w:rsidRPr="00F1046E" w:rsidRDefault="00F1046E" w:rsidP="0026768F">
            <w:pPr>
              <w:widowControl w:val="0"/>
              <w:tabs>
                <w:tab w:val="left" w:pos="2800"/>
              </w:tabs>
              <w:spacing w:line="240" w:lineRule="auto"/>
              <w:contextualSpacing/>
              <w:rPr>
                <w:lang w:val="en-US"/>
              </w:rPr>
            </w:pPr>
          </w:p>
          <w:p w:rsidR="00F1046E" w:rsidRPr="00F1046E" w:rsidRDefault="00F1046E" w:rsidP="0026768F">
            <w:pPr>
              <w:widowControl w:val="0"/>
              <w:tabs>
                <w:tab w:val="left" w:pos="2800"/>
              </w:tabs>
              <w:spacing w:line="240" w:lineRule="auto"/>
              <w:contextualSpacing/>
              <w:rPr>
                <w:rFonts w:eastAsia="Times New Roman"/>
                <w:lang w:val="en-US"/>
              </w:rPr>
            </w:pPr>
            <w:r w:rsidRPr="00F1046E">
              <w:rPr>
                <w:rFonts w:eastAsia="Times New Roman"/>
                <w:lang w:val="en-US"/>
              </w:rPr>
              <w:t>– graduate student</w:t>
            </w:r>
            <w:r w:rsidRPr="00F1046E">
              <w:rPr>
                <w:lang w:val="en-US"/>
              </w:rPr>
              <w:t xml:space="preserve"> of </w:t>
            </w:r>
            <w:r w:rsidRPr="00F1046E">
              <w:rPr>
                <w:rStyle w:val="hps"/>
                <w:lang w:val="en-US"/>
              </w:rPr>
              <w:t>the department of infectious</w:t>
            </w:r>
            <w:r w:rsidRPr="00F1046E">
              <w:rPr>
                <w:lang w:val="en-US"/>
              </w:rPr>
              <w:t xml:space="preserve"> </w:t>
            </w:r>
            <w:r w:rsidRPr="00F1046E">
              <w:rPr>
                <w:rStyle w:val="hps"/>
                <w:lang w:val="en-US"/>
              </w:rPr>
              <w:t>diseases</w:t>
            </w:r>
            <w:r w:rsidRPr="00F1046E">
              <w:rPr>
                <w:lang w:val="en-US"/>
              </w:rPr>
              <w:t xml:space="preserve"> </w:t>
            </w:r>
            <w:r w:rsidRPr="00F1046E">
              <w:rPr>
                <w:rStyle w:val="hps"/>
                <w:lang w:val="en-US"/>
              </w:rPr>
              <w:t>of Kharkiv National</w:t>
            </w:r>
            <w:r w:rsidRPr="00F1046E">
              <w:rPr>
                <w:lang w:val="en-US"/>
              </w:rPr>
              <w:t xml:space="preserve"> </w:t>
            </w:r>
            <w:r w:rsidRPr="00F1046E">
              <w:rPr>
                <w:rStyle w:val="hps"/>
                <w:lang w:val="en-US"/>
              </w:rPr>
              <w:t>Medical University</w:t>
            </w:r>
          </w:p>
          <w:p w:rsidR="00F1046E" w:rsidRPr="00F1046E" w:rsidRDefault="00F1046E" w:rsidP="0026768F">
            <w:pPr>
              <w:widowControl w:val="0"/>
              <w:tabs>
                <w:tab w:val="left" w:pos="2800"/>
              </w:tabs>
              <w:spacing w:line="240" w:lineRule="auto"/>
              <w:contextualSpacing/>
              <w:rPr>
                <w:rFonts w:eastAsia="Times New Roman"/>
                <w:lang w:val="en-US"/>
              </w:rPr>
            </w:pPr>
            <w:r w:rsidRPr="00F1046E">
              <w:rPr>
                <w:rFonts w:eastAsia="Times New Roman"/>
                <w:lang w:val="en-US"/>
              </w:rPr>
              <w:t xml:space="preserve">61022, </w:t>
            </w:r>
            <w:r w:rsidRPr="00F1046E">
              <w:rPr>
                <w:rStyle w:val="hps"/>
                <w:lang w:val="en-US"/>
              </w:rPr>
              <w:t>Kharkiv</w:t>
            </w:r>
            <w:r w:rsidRPr="00F1046E">
              <w:rPr>
                <w:lang w:val="en-US"/>
              </w:rPr>
              <w:t xml:space="preserve">, Lenin Avenue, 4, </w:t>
            </w:r>
            <w:r w:rsidRPr="00F1046E">
              <w:rPr>
                <w:rStyle w:val="hps"/>
                <w:lang w:val="en-US"/>
              </w:rPr>
              <w:t>Kharkiv National Medical University</w:t>
            </w:r>
          </w:p>
          <w:p w:rsidR="00F1046E" w:rsidRPr="00F1046E" w:rsidRDefault="00F1046E" w:rsidP="0026768F">
            <w:pPr>
              <w:spacing w:line="240" w:lineRule="auto"/>
              <w:contextualSpacing/>
              <w:rPr>
                <w:rFonts w:eastAsia="Times New Roman"/>
                <w:lang w:val="uk-UA"/>
              </w:rPr>
            </w:pPr>
            <w:r w:rsidRPr="00F1046E">
              <w:rPr>
                <w:rFonts w:eastAsia="Times New Roman"/>
                <w:lang w:val="it-IT"/>
              </w:rPr>
              <w:t xml:space="preserve">e-mail: </w:t>
            </w:r>
            <w:r w:rsidRPr="00F1046E">
              <w:rPr>
                <w:rFonts w:eastAsia="Times New Roman"/>
                <w:lang w:val="en-US"/>
              </w:rPr>
              <w:t>antsyferova@inbox.ru</w:t>
            </w:r>
            <w:r w:rsidRPr="00F1046E">
              <w:rPr>
                <w:rFonts w:eastAsia="Times New Roman"/>
                <w:lang w:val="it-IT"/>
              </w:rPr>
              <w:t xml:space="preserve">, </w:t>
            </w:r>
            <w:r w:rsidRPr="00F1046E">
              <w:rPr>
                <w:rFonts w:eastAsia="Times New Roman"/>
                <w:lang w:val="en-US"/>
              </w:rPr>
              <w:t>tel</w:t>
            </w:r>
            <w:r w:rsidRPr="00F1046E">
              <w:rPr>
                <w:rFonts w:eastAsia="Times New Roman"/>
                <w:lang w:val="it-IT"/>
              </w:rPr>
              <w:t xml:space="preserve">. </w:t>
            </w:r>
            <w:r w:rsidRPr="00F1046E">
              <w:rPr>
                <w:rFonts w:eastAsia="Times New Roman"/>
                <w:lang w:val="en-US"/>
              </w:rPr>
              <w:t>(057)779-43-86</w:t>
            </w:r>
            <w:r>
              <w:rPr>
                <w:rFonts w:eastAsia="Times New Roman"/>
                <w:lang w:val="uk-UA"/>
              </w:rPr>
              <w:t>, 0509341217</w:t>
            </w:r>
          </w:p>
          <w:p w:rsidR="00F1046E" w:rsidRPr="00F1046E" w:rsidRDefault="00F1046E" w:rsidP="0026768F">
            <w:pPr>
              <w:widowControl w:val="0"/>
              <w:tabs>
                <w:tab w:val="left" w:pos="2800"/>
              </w:tabs>
              <w:spacing w:line="240" w:lineRule="auto"/>
              <w:contextualSpacing/>
              <w:rPr>
                <w:rFonts w:eastAsia="Times New Roman"/>
                <w:lang w:val="en-US"/>
              </w:rPr>
            </w:pPr>
            <w:r w:rsidRPr="00F1046E">
              <w:rPr>
                <w:rFonts w:eastAsia="Times New Roman"/>
                <w:lang w:val="en-US"/>
              </w:rPr>
              <w:t> </w:t>
            </w:r>
          </w:p>
          <w:p w:rsidR="00F1046E" w:rsidRPr="00F1046E" w:rsidRDefault="00F1046E" w:rsidP="0026768F">
            <w:pPr>
              <w:widowControl w:val="0"/>
              <w:tabs>
                <w:tab w:val="left" w:pos="2800"/>
              </w:tabs>
              <w:spacing w:line="240" w:lineRule="auto"/>
              <w:contextualSpacing/>
              <w:rPr>
                <w:rFonts w:eastAsia="Times New Roman"/>
                <w:lang w:val="en-US"/>
              </w:rPr>
            </w:pPr>
            <w:r w:rsidRPr="00F1046E">
              <w:rPr>
                <w:rFonts w:eastAsia="Times New Roman"/>
                <w:lang w:val="en-US"/>
              </w:rPr>
              <w:t xml:space="preserve">– candidate </w:t>
            </w:r>
            <w:r w:rsidRPr="00F1046E">
              <w:rPr>
                <w:rStyle w:val="hps"/>
                <w:lang w:val="en-US"/>
              </w:rPr>
              <w:t>of Medical Sciences</w:t>
            </w:r>
            <w:r w:rsidRPr="00F1046E">
              <w:rPr>
                <w:rFonts w:eastAsia="Times New Roman"/>
                <w:lang w:val="en-US"/>
              </w:rPr>
              <w:t xml:space="preserve">, associate professor </w:t>
            </w:r>
            <w:r w:rsidRPr="00F1046E">
              <w:rPr>
                <w:rStyle w:val="hps"/>
                <w:lang w:val="en-US"/>
              </w:rPr>
              <w:t>of</w:t>
            </w:r>
            <w:r w:rsidRPr="00F1046E">
              <w:rPr>
                <w:lang w:val="en-US"/>
              </w:rPr>
              <w:t xml:space="preserve"> </w:t>
            </w:r>
            <w:r w:rsidRPr="00F1046E">
              <w:rPr>
                <w:rStyle w:val="hps"/>
                <w:lang w:val="en-US"/>
              </w:rPr>
              <w:t>the department of infectious</w:t>
            </w:r>
            <w:r w:rsidRPr="00F1046E">
              <w:rPr>
                <w:lang w:val="en-US"/>
              </w:rPr>
              <w:t xml:space="preserve"> </w:t>
            </w:r>
            <w:r w:rsidRPr="00F1046E">
              <w:rPr>
                <w:rStyle w:val="hps"/>
                <w:lang w:val="en-US"/>
              </w:rPr>
              <w:t>diseases</w:t>
            </w:r>
            <w:r w:rsidRPr="00F1046E">
              <w:rPr>
                <w:lang w:val="en-US"/>
              </w:rPr>
              <w:t xml:space="preserve"> </w:t>
            </w:r>
            <w:r w:rsidRPr="00F1046E">
              <w:rPr>
                <w:rStyle w:val="hps"/>
                <w:lang w:val="en-US"/>
              </w:rPr>
              <w:t>of Kharkiv National</w:t>
            </w:r>
            <w:r w:rsidRPr="00F1046E">
              <w:rPr>
                <w:lang w:val="en-US"/>
              </w:rPr>
              <w:t xml:space="preserve"> </w:t>
            </w:r>
            <w:r w:rsidRPr="00F1046E">
              <w:rPr>
                <w:rStyle w:val="hps"/>
                <w:lang w:val="en-US"/>
              </w:rPr>
              <w:t>Medical University</w:t>
            </w:r>
          </w:p>
          <w:p w:rsidR="00F1046E" w:rsidRPr="00F1046E" w:rsidRDefault="00F1046E" w:rsidP="0026768F">
            <w:pPr>
              <w:widowControl w:val="0"/>
              <w:tabs>
                <w:tab w:val="left" w:pos="2800"/>
              </w:tabs>
              <w:spacing w:line="240" w:lineRule="auto"/>
              <w:contextualSpacing/>
              <w:rPr>
                <w:rFonts w:eastAsia="Times New Roman"/>
                <w:lang w:val="en-US"/>
              </w:rPr>
            </w:pPr>
            <w:r w:rsidRPr="00F1046E">
              <w:rPr>
                <w:rFonts w:eastAsia="Times New Roman"/>
                <w:lang w:val="en-US"/>
              </w:rPr>
              <w:t xml:space="preserve">61022, </w:t>
            </w:r>
            <w:r w:rsidRPr="00F1046E">
              <w:rPr>
                <w:rStyle w:val="hps"/>
                <w:lang w:val="en-US"/>
              </w:rPr>
              <w:t>Kharkiv</w:t>
            </w:r>
            <w:r w:rsidRPr="00F1046E">
              <w:rPr>
                <w:lang w:val="en-US"/>
              </w:rPr>
              <w:t xml:space="preserve">, Lenin Avenue, 4, </w:t>
            </w:r>
            <w:r w:rsidRPr="00F1046E">
              <w:rPr>
                <w:rStyle w:val="hps"/>
                <w:lang w:val="en-US"/>
              </w:rPr>
              <w:t>Kharkiv National Medical University</w:t>
            </w:r>
          </w:p>
          <w:p w:rsidR="00F1046E" w:rsidRPr="00F1046E" w:rsidRDefault="00F1046E" w:rsidP="0026768F">
            <w:pPr>
              <w:widowControl w:val="0"/>
              <w:tabs>
                <w:tab w:val="left" w:pos="2800"/>
              </w:tabs>
              <w:spacing w:line="240" w:lineRule="auto"/>
              <w:contextualSpacing/>
              <w:rPr>
                <w:rFonts w:eastAsia="Times New Roman"/>
                <w:lang w:val="en-US"/>
              </w:rPr>
            </w:pPr>
            <w:r w:rsidRPr="00F1046E">
              <w:rPr>
                <w:rFonts w:eastAsia="Times New Roman"/>
                <w:lang w:val="it-IT"/>
              </w:rPr>
              <w:t xml:space="preserve">e-mail: </w:t>
            </w:r>
            <w:r w:rsidRPr="00F1046E">
              <w:rPr>
                <w:rFonts w:eastAsia="Times New Roman"/>
                <w:lang w:val="en-US"/>
              </w:rPr>
              <w:t>akhverdieva@mail.ru</w:t>
            </w:r>
            <w:r w:rsidRPr="00F1046E">
              <w:rPr>
                <w:rFonts w:eastAsia="Times New Roman"/>
                <w:lang w:val="it-IT"/>
              </w:rPr>
              <w:t xml:space="preserve">, </w:t>
            </w:r>
            <w:r w:rsidRPr="00F1046E">
              <w:rPr>
                <w:rFonts w:eastAsia="Times New Roman"/>
                <w:lang w:val="en-US"/>
              </w:rPr>
              <w:t>tel</w:t>
            </w:r>
            <w:r w:rsidRPr="00F1046E">
              <w:rPr>
                <w:rFonts w:eastAsia="Times New Roman"/>
                <w:lang w:val="it-IT"/>
              </w:rPr>
              <w:t>. (057)712-08-08</w:t>
            </w:r>
          </w:p>
          <w:p w:rsidR="00F1046E" w:rsidRPr="00F1046E" w:rsidRDefault="00F1046E" w:rsidP="0026768F">
            <w:pPr>
              <w:widowControl w:val="0"/>
              <w:tabs>
                <w:tab w:val="left" w:pos="2800"/>
              </w:tabs>
              <w:spacing w:line="240" w:lineRule="auto"/>
              <w:rPr>
                <w:rFonts w:eastAsia="Times New Roman"/>
                <w:lang w:val="en-US"/>
              </w:rPr>
            </w:pPr>
            <w:r w:rsidRPr="00F1046E">
              <w:rPr>
                <w:rFonts w:eastAsia="Times New Roman"/>
                <w:lang w:val="en-US"/>
              </w:rPr>
              <w:t> </w:t>
            </w:r>
          </w:p>
          <w:p w:rsidR="00F1046E" w:rsidRPr="00F1046E" w:rsidRDefault="00F1046E" w:rsidP="0026768F">
            <w:pPr>
              <w:widowControl w:val="0"/>
              <w:tabs>
                <w:tab w:val="left" w:pos="2800"/>
              </w:tabs>
              <w:spacing w:line="240" w:lineRule="auto"/>
              <w:rPr>
                <w:rFonts w:ascii="Georgia" w:eastAsia="Times New Roman" w:hAnsi="Georgia"/>
                <w:lang w:val="en-US"/>
              </w:rPr>
            </w:pPr>
          </w:p>
          <w:p w:rsidR="00F1046E" w:rsidRPr="00F1046E" w:rsidRDefault="00F1046E" w:rsidP="0026768F">
            <w:pPr>
              <w:widowControl w:val="0"/>
              <w:tabs>
                <w:tab w:val="left" w:pos="2800"/>
              </w:tabs>
              <w:spacing w:line="240" w:lineRule="auto"/>
              <w:rPr>
                <w:rFonts w:ascii="Georgia" w:eastAsia="Times New Roman" w:hAnsi="Georgia"/>
                <w:lang w:val="en-US"/>
              </w:rPr>
            </w:pPr>
          </w:p>
          <w:p w:rsidR="00F1046E" w:rsidRPr="00F1046E" w:rsidRDefault="00F1046E" w:rsidP="0026768F">
            <w:pPr>
              <w:widowControl w:val="0"/>
              <w:tabs>
                <w:tab w:val="left" w:pos="2800"/>
              </w:tabs>
              <w:spacing w:line="240" w:lineRule="auto"/>
              <w:rPr>
                <w:rFonts w:ascii="Georgia" w:eastAsia="Times New Roman" w:hAnsi="Georgia"/>
                <w:lang w:val="en-US"/>
              </w:rPr>
            </w:pPr>
          </w:p>
          <w:p w:rsidR="00F1046E" w:rsidRPr="006E0F63" w:rsidRDefault="00F1046E" w:rsidP="0026768F">
            <w:pPr>
              <w:widowControl w:val="0"/>
              <w:tabs>
                <w:tab w:val="left" w:pos="2800"/>
              </w:tabs>
              <w:rPr>
                <w:rFonts w:ascii="Georgia" w:hAnsi="Georgia"/>
              </w:rPr>
            </w:pPr>
          </w:p>
          <w:p w:rsidR="00F1046E" w:rsidRPr="006E0F63" w:rsidRDefault="00F1046E" w:rsidP="0026768F">
            <w:pPr>
              <w:widowControl w:val="0"/>
              <w:tabs>
                <w:tab w:val="left" w:pos="2800"/>
              </w:tabs>
              <w:rPr>
                <w:rFonts w:ascii="Georgia" w:hAnsi="Georgia"/>
              </w:rPr>
            </w:pPr>
          </w:p>
        </w:tc>
      </w:tr>
    </w:tbl>
    <w:p w:rsidR="00F1046E" w:rsidRPr="00D46712" w:rsidRDefault="00F1046E" w:rsidP="00F1046E">
      <w:pPr>
        <w:spacing w:line="240" w:lineRule="auto"/>
        <w:rPr>
          <w:rFonts w:ascii="Georgia" w:hAnsi="Georgia"/>
        </w:rPr>
      </w:pPr>
    </w:p>
    <w:p w:rsidR="00F1046E" w:rsidRPr="00F1046E" w:rsidRDefault="00F1046E" w:rsidP="004B0464">
      <w:pPr>
        <w:ind w:firstLine="567"/>
        <w:rPr>
          <w:lang w:val="uk-UA"/>
        </w:rPr>
      </w:pPr>
    </w:p>
    <w:sectPr w:rsidR="00F1046E" w:rsidRPr="00F1046E" w:rsidSect="00126934">
      <w:headerReference w:type="default" r:id="rId10"/>
      <w:pgSz w:w="11906" w:h="16838"/>
      <w:pgMar w:top="1418"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CD" w:rsidRDefault="006625CD" w:rsidP="00037287">
      <w:pPr>
        <w:spacing w:line="240" w:lineRule="auto"/>
      </w:pPr>
      <w:r>
        <w:separator/>
      </w:r>
    </w:p>
  </w:endnote>
  <w:endnote w:type="continuationSeparator" w:id="0">
    <w:p w:rsidR="006625CD" w:rsidRDefault="006625CD" w:rsidP="00037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nionPro-Regular">
    <w:altName w:val="MS Mincho"/>
    <w:panose1 w:val="00000000000000000000"/>
    <w:charset w:val="80"/>
    <w:family w:val="auto"/>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CD" w:rsidRDefault="006625CD" w:rsidP="00037287">
      <w:pPr>
        <w:spacing w:line="240" w:lineRule="auto"/>
      </w:pPr>
      <w:r>
        <w:separator/>
      </w:r>
    </w:p>
  </w:footnote>
  <w:footnote w:type="continuationSeparator" w:id="0">
    <w:p w:rsidR="006625CD" w:rsidRDefault="006625CD" w:rsidP="000372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4016"/>
      <w:docPartObj>
        <w:docPartGallery w:val="Page Numbers (Top of Page)"/>
        <w:docPartUnique/>
      </w:docPartObj>
    </w:sdtPr>
    <w:sdtEndPr/>
    <w:sdtContent>
      <w:p w:rsidR="00A7030B" w:rsidRDefault="00851A95">
        <w:pPr>
          <w:pStyle w:val="a7"/>
          <w:jc w:val="right"/>
        </w:pPr>
        <w:r>
          <w:fldChar w:fldCharType="begin"/>
        </w:r>
        <w:r>
          <w:instrText xml:space="preserve"> PAGE   \* MERGEFORMAT </w:instrText>
        </w:r>
        <w:r>
          <w:fldChar w:fldCharType="separate"/>
        </w:r>
        <w:r w:rsidR="00D22301">
          <w:rPr>
            <w:noProof/>
          </w:rPr>
          <w:t>12</w:t>
        </w:r>
        <w:r>
          <w:rPr>
            <w:noProof/>
          </w:rPr>
          <w:fldChar w:fldCharType="end"/>
        </w:r>
      </w:p>
    </w:sdtContent>
  </w:sdt>
  <w:p w:rsidR="00A7030B" w:rsidRDefault="00A703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676"/>
    <w:multiLevelType w:val="hybridMultilevel"/>
    <w:tmpl w:val="681EC4C0"/>
    <w:lvl w:ilvl="0" w:tplc="88A47A84">
      <w:start w:val="1"/>
      <w:numFmt w:val="decimal"/>
      <w:suff w:val="space"/>
      <w:lvlText w:val="%1."/>
      <w:lvlJc w:val="left"/>
      <w:pPr>
        <w:ind w:left="1701" w:hanging="283"/>
      </w:pPr>
      <w:rPr>
        <w:rFonts w:hint="default"/>
        <w:lang w:val="en-US"/>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2797C84"/>
    <w:multiLevelType w:val="hybridMultilevel"/>
    <w:tmpl w:val="681EC4C0"/>
    <w:lvl w:ilvl="0" w:tplc="88A47A84">
      <w:start w:val="1"/>
      <w:numFmt w:val="decimal"/>
      <w:suff w:val="space"/>
      <w:lvlText w:val="%1."/>
      <w:lvlJc w:val="left"/>
      <w:pPr>
        <w:ind w:left="1701" w:hanging="283"/>
      </w:pPr>
      <w:rPr>
        <w:rFonts w:hint="default"/>
        <w:lang w:val="en-US"/>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097A18"/>
    <w:multiLevelType w:val="hybridMultilevel"/>
    <w:tmpl w:val="681EC4C0"/>
    <w:lvl w:ilvl="0" w:tplc="88A47A84">
      <w:start w:val="1"/>
      <w:numFmt w:val="decimal"/>
      <w:suff w:val="space"/>
      <w:lvlText w:val="%1."/>
      <w:lvlJc w:val="left"/>
      <w:pPr>
        <w:ind w:left="1701" w:hanging="283"/>
      </w:pPr>
      <w:rPr>
        <w:rFonts w:hint="default"/>
        <w:lang w:val="en-US"/>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BB7609A"/>
    <w:multiLevelType w:val="hybridMultilevel"/>
    <w:tmpl w:val="65F83A5A"/>
    <w:lvl w:ilvl="0" w:tplc="F5BE20C6">
      <w:start w:val="1"/>
      <w:numFmt w:val="decimal"/>
      <w:suff w:val="space"/>
      <w:lvlText w:val="%1."/>
      <w:lvlJc w:val="left"/>
      <w:pPr>
        <w:ind w:left="1701" w:hanging="283"/>
      </w:pPr>
      <w:rPr>
        <w:rFonts w:hint="default"/>
        <w:lang w:val="ru-RU"/>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34"/>
    <w:rsid w:val="00005618"/>
    <w:rsid w:val="00010216"/>
    <w:rsid w:val="00011BC3"/>
    <w:rsid w:val="000136AD"/>
    <w:rsid w:val="00014330"/>
    <w:rsid w:val="000169D1"/>
    <w:rsid w:val="000174BA"/>
    <w:rsid w:val="00017824"/>
    <w:rsid w:val="00021E21"/>
    <w:rsid w:val="00023F64"/>
    <w:rsid w:val="00023FEE"/>
    <w:rsid w:val="00024305"/>
    <w:rsid w:val="00025A38"/>
    <w:rsid w:val="0002687D"/>
    <w:rsid w:val="00031C63"/>
    <w:rsid w:val="00033ACB"/>
    <w:rsid w:val="00033D7D"/>
    <w:rsid w:val="00034EC7"/>
    <w:rsid w:val="00035C97"/>
    <w:rsid w:val="00037287"/>
    <w:rsid w:val="0004187B"/>
    <w:rsid w:val="0004550A"/>
    <w:rsid w:val="00052938"/>
    <w:rsid w:val="00053210"/>
    <w:rsid w:val="00054F07"/>
    <w:rsid w:val="00061FFC"/>
    <w:rsid w:val="000657EB"/>
    <w:rsid w:val="0006682D"/>
    <w:rsid w:val="000668B2"/>
    <w:rsid w:val="00066DC6"/>
    <w:rsid w:val="00067818"/>
    <w:rsid w:val="00067956"/>
    <w:rsid w:val="00073D39"/>
    <w:rsid w:val="00074C7A"/>
    <w:rsid w:val="00076C89"/>
    <w:rsid w:val="00082C5C"/>
    <w:rsid w:val="0009059A"/>
    <w:rsid w:val="00090DC1"/>
    <w:rsid w:val="00090ECD"/>
    <w:rsid w:val="0009133E"/>
    <w:rsid w:val="00091950"/>
    <w:rsid w:val="00091CE1"/>
    <w:rsid w:val="0009245A"/>
    <w:rsid w:val="00094DF5"/>
    <w:rsid w:val="000A1EF2"/>
    <w:rsid w:val="000A5111"/>
    <w:rsid w:val="000A5745"/>
    <w:rsid w:val="000A6FBE"/>
    <w:rsid w:val="000B0F85"/>
    <w:rsid w:val="000B2882"/>
    <w:rsid w:val="000B499E"/>
    <w:rsid w:val="000B4BAD"/>
    <w:rsid w:val="000B4DC4"/>
    <w:rsid w:val="000C0830"/>
    <w:rsid w:val="000C09C2"/>
    <w:rsid w:val="000C0C4E"/>
    <w:rsid w:val="000C2034"/>
    <w:rsid w:val="000C22EE"/>
    <w:rsid w:val="000C3E10"/>
    <w:rsid w:val="000C55E5"/>
    <w:rsid w:val="000C57F7"/>
    <w:rsid w:val="000C5802"/>
    <w:rsid w:val="000C5FD1"/>
    <w:rsid w:val="000C7AE5"/>
    <w:rsid w:val="000C7D41"/>
    <w:rsid w:val="000D00D4"/>
    <w:rsid w:val="000D1251"/>
    <w:rsid w:val="000D2189"/>
    <w:rsid w:val="000D6616"/>
    <w:rsid w:val="000D682E"/>
    <w:rsid w:val="000D6AC0"/>
    <w:rsid w:val="000E0047"/>
    <w:rsid w:val="000E0926"/>
    <w:rsid w:val="000E0DED"/>
    <w:rsid w:val="000E4B34"/>
    <w:rsid w:val="000E733F"/>
    <w:rsid w:val="000E784C"/>
    <w:rsid w:val="000E7FA1"/>
    <w:rsid w:val="000F03FB"/>
    <w:rsid w:val="000F092A"/>
    <w:rsid w:val="000F106E"/>
    <w:rsid w:val="000F1705"/>
    <w:rsid w:val="000F29CF"/>
    <w:rsid w:val="000F6B34"/>
    <w:rsid w:val="000F7593"/>
    <w:rsid w:val="00105AE5"/>
    <w:rsid w:val="00105CDF"/>
    <w:rsid w:val="001068CC"/>
    <w:rsid w:val="001078A7"/>
    <w:rsid w:val="001079BE"/>
    <w:rsid w:val="0011009F"/>
    <w:rsid w:val="00110650"/>
    <w:rsid w:val="0011310D"/>
    <w:rsid w:val="00113954"/>
    <w:rsid w:val="001139FB"/>
    <w:rsid w:val="00114EE2"/>
    <w:rsid w:val="00115703"/>
    <w:rsid w:val="001176B3"/>
    <w:rsid w:val="00117B71"/>
    <w:rsid w:val="00120581"/>
    <w:rsid w:val="00120D18"/>
    <w:rsid w:val="001224D9"/>
    <w:rsid w:val="00125525"/>
    <w:rsid w:val="00125712"/>
    <w:rsid w:val="00125A94"/>
    <w:rsid w:val="00126934"/>
    <w:rsid w:val="00126C9F"/>
    <w:rsid w:val="00130D41"/>
    <w:rsid w:val="001322E3"/>
    <w:rsid w:val="00133811"/>
    <w:rsid w:val="00133CB2"/>
    <w:rsid w:val="00134CB5"/>
    <w:rsid w:val="001355CF"/>
    <w:rsid w:val="00136027"/>
    <w:rsid w:val="00141E49"/>
    <w:rsid w:val="00142C2B"/>
    <w:rsid w:val="00144A6B"/>
    <w:rsid w:val="00144E17"/>
    <w:rsid w:val="00145F86"/>
    <w:rsid w:val="00146461"/>
    <w:rsid w:val="0014652A"/>
    <w:rsid w:val="00153307"/>
    <w:rsid w:val="00153719"/>
    <w:rsid w:val="001549C2"/>
    <w:rsid w:val="001576A0"/>
    <w:rsid w:val="001664B5"/>
    <w:rsid w:val="0016743C"/>
    <w:rsid w:val="00172128"/>
    <w:rsid w:val="001725B9"/>
    <w:rsid w:val="001742BC"/>
    <w:rsid w:val="0018005E"/>
    <w:rsid w:val="001828DA"/>
    <w:rsid w:val="00184420"/>
    <w:rsid w:val="00186B3C"/>
    <w:rsid w:val="00191BF7"/>
    <w:rsid w:val="00191D0D"/>
    <w:rsid w:val="00191DEE"/>
    <w:rsid w:val="001949DD"/>
    <w:rsid w:val="00195201"/>
    <w:rsid w:val="00195D2D"/>
    <w:rsid w:val="001964A8"/>
    <w:rsid w:val="001A2227"/>
    <w:rsid w:val="001A24D1"/>
    <w:rsid w:val="001A26C8"/>
    <w:rsid w:val="001A2783"/>
    <w:rsid w:val="001A4399"/>
    <w:rsid w:val="001A707B"/>
    <w:rsid w:val="001B1998"/>
    <w:rsid w:val="001B39A0"/>
    <w:rsid w:val="001B498B"/>
    <w:rsid w:val="001C0623"/>
    <w:rsid w:val="001C0B97"/>
    <w:rsid w:val="001C1B8D"/>
    <w:rsid w:val="001C46B4"/>
    <w:rsid w:val="001C4DB0"/>
    <w:rsid w:val="001C4E1B"/>
    <w:rsid w:val="001C66C4"/>
    <w:rsid w:val="001D010D"/>
    <w:rsid w:val="001D01F4"/>
    <w:rsid w:val="001D1116"/>
    <w:rsid w:val="001D4348"/>
    <w:rsid w:val="001D4ABE"/>
    <w:rsid w:val="001D6588"/>
    <w:rsid w:val="001D734E"/>
    <w:rsid w:val="001D7C7B"/>
    <w:rsid w:val="001D7D5D"/>
    <w:rsid w:val="001E3FE3"/>
    <w:rsid w:val="001E4E7E"/>
    <w:rsid w:val="001E5A5B"/>
    <w:rsid w:val="001F14BE"/>
    <w:rsid w:val="001F6288"/>
    <w:rsid w:val="001F653E"/>
    <w:rsid w:val="001F6A3A"/>
    <w:rsid w:val="001F7417"/>
    <w:rsid w:val="00202839"/>
    <w:rsid w:val="00202D61"/>
    <w:rsid w:val="00202E7D"/>
    <w:rsid w:val="00203E7F"/>
    <w:rsid w:val="0020430A"/>
    <w:rsid w:val="00204CA2"/>
    <w:rsid w:val="002074F1"/>
    <w:rsid w:val="0021312E"/>
    <w:rsid w:val="00214932"/>
    <w:rsid w:val="0021679B"/>
    <w:rsid w:val="00216913"/>
    <w:rsid w:val="0022038E"/>
    <w:rsid w:val="00220EC2"/>
    <w:rsid w:val="00220EF1"/>
    <w:rsid w:val="002214A3"/>
    <w:rsid w:val="002217A6"/>
    <w:rsid w:val="00221D3A"/>
    <w:rsid w:val="00222810"/>
    <w:rsid w:val="002228C1"/>
    <w:rsid w:val="00222AC8"/>
    <w:rsid w:val="002236D0"/>
    <w:rsid w:val="002237BD"/>
    <w:rsid w:val="00225299"/>
    <w:rsid w:val="002255E2"/>
    <w:rsid w:val="00226DE7"/>
    <w:rsid w:val="002274B5"/>
    <w:rsid w:val="00230D00"/>
    <w:rsid w:val="002331C7"/>
    <w:rsid w:val="00237C54"/>
    <w:rsid w:val="00237FE5"/>
    <w:rsid w:val="00240110"/>
    <w:rsid w:val="00240A5D"/>
    <w:rsid w:val="00246865"/>
    <w:rsid w:val="0024688D"/>
    <w:rsid w:val="00246DE9"/>
    <w:rsid w:val="00250F7C"/>
    <w:rsid w:val="002510A9"/>
    <w:rsid w:val="00253008"/>
    <w:rsid w:val="0025520E"/>
    <w:rsid w:val="00255951"/>
    <w:rsid w:val="00260B30"/>
    <w:rsid w:val="00260C36"/>
    <w:rsid w:val="002615B2"/>
    <w:rsid w:val="00261C6F"/>
    <w:rsid w:val="00263CD2"/>
    <w:rsid w:val="0026768F"/>
    <w:rsid w:val="002678F6"/>
    <w:rsid w:val="00272F62"/>
    <w:rsid w:val="002771C2"/>
    <w:rsid w:val="00277F4E"/>
    <w:rsid w:val="00280711"/>
    <w:rsid w:val="002815FF"/>
    <w:rsid w:val="0028627C"/>
    <w:rsid w:val="002875AC"/>
    <w:rsid w:val="002905DA"/>
    <w:rsid w:val="0029320A"/>
    <w:rsid w:val="002933F1"/>
    <w:rsid w:val="00293A49"/>
    <w:rsid w:val="00294023"/>
    <w:rsid w:val="002972C2"/>
    <w:rsid w:val="002A2066"/>
    <w:rsid w:val="002A2733"/>
    <w:rsid w:val="002A4223"/>
    <w:rsid w:val="002A4280"/>
    <w:rsid w:val="002A5351"/>
    <w:rsid w:val="002A7D1B"/>
    <w:rsid w:val="002B03B7"/>
    <w:rsid w:val="002B0D9F"/>
    <w:rsid w:val="002B3179"/>
    <w:rsid w:val="002B3513"/>
    <w:rsid w:val="002B3705"/>
    <w:rsid w:val="002B4949"/>
    <w:rsid w:val="002B5FE3"/>
    <w:rsid w:val="002B707B"/>
    <w:rsid w:val="002B7FA2"/>
    <w:rsid w:val="002C22B0"/>
    <w:rsid w:val="002C2D35"/>
    <w:rsid w:val="002C5A7C"/>
    <w:rsid w:val="002C5E8A"/>
    <w:rsid w:val="002C7254"/>
    <w:rsid w:val="002C7BAA"/>
    <w:rsid w:val="002D25B4"/>
    <w:rsid w:val="002D33EA"/>
    <w:rsid w:val="002D3B77"/>
    <w:rsid w:val="002D7482"/>
    <w:rsid w:val="002E015C"/>
    <w:rsid w:val="002E11C3"/>
    <w:rsid w:val="002E18CB"/>
    <w:rsid w:val="002E2073"/>
    <w:rsid w:val="002E4806"/>
    <w:rsid w:val="002E5406"/>
    <w:rsid w:val="002E5737"/>
    <w:rsid w:val="002E5AE2"/>
    <w:rsid w:val="002E602A"/>
    <w:rsid w:val="002E6445"/>
    <w:rsid w:val="002E6D16"/>
    <w:rsid w:val="002F1527"/>
    <w:rsid w:val="002F3465"/>
    <w:rsid w:val="002F4A53"/>
    <w:rsid w:val="002F766E"/>
    <w:rsid w:val="0030058D"/>
    <w:rsid w:val="00303B8F"/>
    <w:rsid w:val="00303DA9"/>
    <w:rsid w:val="0030512E"/>
    <w:rsid w:val="0031079E"/>
    <w:rsid w:val="00310E50"/>
    <w:rsid w:val="0031578F"/>
    <w:rsid w:val="00315969"/>
    <w:rsid w:val="0032248F"/>
    <w:rsid w:val="00324D67"/>
    <w:rsid w:val="00327B79"/>
    <w:rsid w:val="00330FFD"/>
    <w:rsid w:val="00332447"/>
    <w:rsid w:val="0033259B"/>
    <w:rsid w:val="00334D32"/>
    <w:rsid w:val="00335973"/>
    <w:rsid w:val="003421E2"/>
    <w:rsid w:val="00342F5F"/>
    <w:rsid w:val="0034355C"/>
    <w:rsid w:val="00344170"/>
    <w:rsid w:val="00346D39"/>
    <w:rsid w:val="00347773"/>
    <w:rsid w:val="00347F9E"/>
    <w:rsid w:val="00353449"/>
    <w:rsid w:val="0035435D"/>
    <w:rsid w:val="003547C8"/>
    <w:rsid w:val="003556BF"/>
    <w:rsid w:val="00356C42"/>
    <w:rsid w:val="00356CB0"/>
    <w:rsid w:val="00357597"/>
    <w:rsid w:val="00362720"/>
    <w:rsid w:val="003658D7"/>
    <w:rsid w:val="0036590E"/>
    <w:rsid w:val="0036723A"/>
    <w:rsid w:val="003701EA"/>
    <w:rsid w:val="00371B40"/>
    <w:rsid w:val="003763F7"/>
    <w:rsid w:val="00377388"/>
    <w:rsid w:val="00386EB1"/>
    <w:rsid w:val="00386F6B"/>
    <w:rsid w:val="00390A41"/>
    <w:rsid w:val="00390A4B"/>
    <w:rsid w:val="00390D62"/>
    <w:rsid w:val="003910E8"/>
    <w:rsid w:val="00392444"/>
    <w:rsid w:val="00397052"/>
    <w:rsid w:val="00397116"/>
    <w:rsid w:val="003A0D9D"/>
    <w:rsid w:val="003B1294"/>
    <w:rsid w:val="003B5DFC"/>
    <w:rsid w:val="003B6942"/>
    <w:rsid w:val="003B6D1F"/>
    <w:rsid w:val="003B7A8A"/>
    <w:rsid w:val="003C1148"/>
    <w:rsid w:val="003C14BE"/>
    <w:rsid w:val="003C1D9F"/>
    <w:rsid w:val="003C34DB"/>
    <w:rsid w:val="003C392D"/>
    <w:rsid w:val="003C3DE3"/>
    <w:rsid w:val="003C71C6"/>
    <w:rsid w:val="003D0004"/>
    <w:rsid w:val="003D1F85"/>
    <w:rsid w:val="003D4DE5"/>
    <w:rsid w:val="003D5B06"/>
    <w:rsid w:val="003E0E3C"/>
    <w:rsid w:val="003E0EC9"/>
    <w:rsid w:val="003E26D4"/>
    <w:rsid w:val="003E2750"/>
    <w:rsid w:val="003E5358"/>
    <w:rsid w:val="003E6173"/>
    <w:rsid w:val="003F1369"/>
    <w:rsid w:val="003F1D78"/>
    <w:rsid w:val="003F3424"/>
    <w:rsid w:val="003F3AA8"/>
    <w:rsid w:val="003F56B3"/>
    <w:rsid w:val="003F57A1"/>
    <w:rsid w:val="00400A62"/>
    <w:rsid w:val="00400C27"/>
    <w:rsid w:val="00400D85"/>
    <w:rsid w:val="00400E9D"/>
    <w:rsid w:val="00401B3F"/>
    <w:rsid w:val="00406317"/>
    <w:rsid w:val="004067BF"/>
    <w:rsid w:val="0040717E"/>
    <w:rsid w:val="004143E1"/>
    <w:rsid w:val="00416B50"/>
    <w:rsid w:val="00416F5E"/>
    <w:rsid w:val="00417287"/>
    <w:rsid w:val="00417AC8"/>
    <w:rsid w:val="004200F8"/>
    <w:rsid w:val="0042032B"/>
    <w:rsid w:val="004207A1"/>
    <w:rsid w:val="00421878"/>
    <w:rsid w:val="00423F70"/>
    <w:rsid w:val="00424D34"/>
    <w:rsid w:val="0042508B"/>
    <w:rsid w:val="004260DC"/>
    <w:rsid w:val="00426280"/>
    <w:rsid w:val="004304E9"/>
    <w:rsid w:val="00436078"/>
    <w:rsid w:val="004378D2"/>
    <w:rsid w:val="00437F50"/>
    <w:rsid w:val="004401B8"/>
    <w:rsid w:val="004421D1"/>
    <w:rsid w:val="00442326"/>
    <w:rsid w:val="00443334"/>
    <w:rsid w:val="00446436"/>
    <w:rsid w:val="004471A6"/>
    <w:rsid w:val="00450A10"/>
    <w:rsid w:val="004535C0"/>
    <w:rsid w:val="00453764"/>
    <w:rsid w:val="00453AE8"/>
    <w:rsid w:val="0045478F"/>
    <w:rsid w:val="0045535A"/>
    <w:rsid w:val="00457706"/>
    <w:rsid w:val="0046022D"/>
    <w:rsid w:val="004613EC"/>
    <w:rsid w:val="00461774"/>
    <w:rsid w:val="00462A8D"/>
    <w:rsid w:val="004640CF"/>
    <w:rsid w:val="00466356"/>
    <w:rsid w:val="00466D17"/>
    <w:rsid w:val="00467D2C"/>
    <w:rsid w:val="00470AE3"/>
    <w:rsid w:val="00471A84"/>
    <w:rsid w:val="004737E0"/>
    <w:rsid w:val="00474369"/>
    <w:rsid w:val="00484835"/>
    <w:rsid w:val="004855DA"/>
    <w:rsid w:val="004874B2"/>
    <w:rsid w:val="00487E61"/>
    <w:rsid w:val="0049033B"/>
    <w:rsid w:val="004915B4"/>
    <w:rsid w:val="00492ACC"/>
    <w:rsid w:val="004951B8"/>
    <w:rsid w:val="004979FF"/>
    <w:rsid w:val="004A0F27"/>
    <w:rsid w:val="004A242C"/>
    <w:rsid w:val="004A2A75"/>
    <w:rsid w:val="004A2C82"/>
    <w:rsid w:val="004A43CC"/>
    <w:rsid w:val="004A4EBF"/>
    <w:rsid w:val="004B0464"/>
    <w:rsid w:val="004B1A20"/>
    <w:rsid w:val="004B4F45"/>
    <w:rsid w:val="004B5E47"/>
    <w:rsid w:val="004B5FF7"/>
    <w:rsid w:val="004C56F5"/>
    <w:rsid w:val="004C5E09"/>
    <w:rsid w:val="004C6074"/>
    <w:rsid w:val="004C6D10"/>
    <w:rsid w:val="004D0669"/>
    <w:rsid w:val="004D08CE"/>
    <w:rsid w:val="004D45A3"/>
    <w:rsid w:val="004D45A8"/>
    <w:rsid w:val="004D5943"/>
    <w:rsid w:val="004D6DF0"/>
    <w:rsid w:val="004E2F4D"/>
    <w:rsid w:val="004E3FA3"/>
    <w:rsid w:val="004E501E"/>
    <w:rsid w:val="004E555D"/>
    <w:rsid w:val="004E7CD1"/>
    <w:rsid w:val="004E7FB0"/>
    <w:rsid w:val="004F2226"/>
    <w:rsid w:val="004F3982"/>
    <w:rsid w:val="004F5AFB"/>
    <w:rsid w:val="004F6EE6"/>
    <w:rsid w:val="005020FA"/>
    <w:rsid w:val="00504D96"/>
    <w:rsid w:val="005050FE"/>
    <w:rsid w:val="00505865"/>
    <w:rsid w:val="005063C8"/>
    <w:rsid w:val="00507397"/>
    <w:rsid w:val="0050781E"/>
    <w:rsid w:val="00510DAE"/>
    <w:rsid w:val="00511DCC"/>
    <w:rsid w:val="005168A5"/>
    <w:rsid w:val="005174A3"/>
    <w:rsid w:val="00517D69"/>
    <w:rsid w:val="00521E80"/>
    <w:rsid w:val="00522C59"/>
    <w:rsid w:val="00523B74"/>
    <w:rsid w:val="00525388"/>
    <w:rsid w:val="00526D54"/>
    <w:rsid w:val="00527EBC"/>
    <w:rsid w:val="00533605"/>
    <w:rsid w:val="00535AEB"/>
    <w:rsid w:val="005364F6"/>
    <w:rsid w:val="005372D4"/>
    <w:rsid w:val="00537F9E"/>
    <w:rsid w:val="0054424D"/>
    <w:rsid w:val="00544968"/>
    <w:rsid w:val="005508DB"/>
    <w:rsid w:val="005515DA"/>
    <w:rsid w:val="005524D0"/>
    <w:rsid w:val="005524DF"/>
    <w:rsid w:val="00555067"/>
    <w:rsid w:val="005550FF"/>
    <w:rsid w:val="00555905"/>
    <w:rsid w:val="00556DBC"/>
    <w:rsid w:val="005653B5"/>
    <w:rsid w:val="005671EC"/>
    <w:rsid w:val="00567DCC"/>
    <w:rsid w:val="00567EA6"/>
    <w:rsid w:val="00570FB5"/>
    <w:rsid w:val="00572A45"/>
    <w:rsid w:val="005733E1"/>
    <w:rsid w:val="00574CFD"/>
    <w:rsid w:val="00576F47"/>
    <w:rsid w:val="00580E93"/>
    <w:rsid w:val="005836BC"/>
    <w:rsid w:val="00583DB9"/>
    <w:rsid w:val="00586CA1"/>
    <w:rsid w:val="00592DE5"/>
    <w:rsid w:val="005972EB"/>
    <w:rsid w:val="005A0E6B"/>
    <w:rsid w:val="005A2157"/>
    <w:rsid w:val="005A2998"/>
    <w:rsid w:val="005A2A5F"/>
    <w:rsid w:val="005A2C0E"/>
    <w:rsid w:val="005A43CC"/>
    <w:rsid w:val="005A53A7"/>
    <w:rsid w:val="005A5FBE"/>
    <w:rsid w:val="005B02BD"/>
    <w:rsid w:val="005B1261"/>
    <w:rsid w:val="005B177D"/>
    <w:rsid w:val="005B68D7"/>
    <w:rsid w:val="005B7561"/>
    <w:rsid w:val="005C0F8A"/>
    <w:rsid w:val="005C4510"/>
    <w:rsid w:val="005C46A2"/>
    <w:rsid w:val="005C6726"/>
    <w:rsid w:val="005C7115"/>
    <w:rsid w:val="005C7713"/>
    <w:rsid w:val="005D0C9F"/>
    <w:rsid w:val="005D20E9"/>
    <w:rsid w:val="005D420B"/>
    <w:rsid w:val="005D5311"/>
    <w:rsid w:val="005D5F13"/>
    <w:rsid w:val="005D686F"/>
    <w:rsid w:val="005D7637"/>
    <w:rsid w:val="005D7689"/>
    <w:rsid w:val="005E1696"/>
    <w:rsid w:val="005E1E5E"/>
    <w:rsid w:val="005E39D0"/>
    <w:rsid w:val="005E7A44"/>
    <w:rsid w:val="005F4150"/>
    <w:rsid w:val="005F4641"/>
    <w:rsid w:val="005F592A"/>
    <w:rsid w:val="005F639F"/>
    <w:rsid w:val="005F70F9"/>
    <w:rsid w:val="006002FA"/>
    <w:rsid w:val="00602607"/>
    <w:rsid w:val="00603110"/>
    <w:rsid w:val="00603571"/>
    <w:rsid w:val="00603A35"/>
    <w:rsid w:val="0060454A"/>
    <w:rsid w:val="00604ED1"/>
    <w:rsid w:val="00605661"/>
    <w:rsid w:val="0060673E"/>
    <w:rsid w:val="00607FD9"/>
    <w:rsid w:val="006159F5"/>
    <w:rsid w:val="00617B51"/>
    <w:rsid w:val="00623725"/>
    <w:rsid w:val="00623A13"/>
    <w:rsid w:val="0062719E"/>
    <w:rsid w:val="00627275"/>
    <w:rsid w:val="00627FB8"/>
    <w:rsid w:val="00632142"/>
    <w:rsid w:val="00632E16"/>
    <w:rsid w:val="00633FD1"/>
    <w:rsid w:val="00634C25"/>
    <w:rsid w:val="00634D46"/>
    <w:rsid w:val="006406F3"/>
    <w:rsid w:val="0064083E"/>
    <w:rsid w:val="00641883"/>
    <w:rsid w:val="006427FA"/>
    <w:rsid w:val="00643E28"/>
    <w:rsid w:val="006503EC"/>
    <w:rsid w:val="00655F50"/>
    <w:rsid w:val="00657364"/>
    <w:rsid w:val="0066118C"/>
    <w:rsid w:val="00662592"/>
    <w:rsid w:val="006625CD"/>
    <w:rsid w:val="00664DC3"/>
    <w:rsid w:val="0066541C"/>
    <w:rsid w:val="00672444"/>
    <w:rsid w:val="006755D4"/>
    <w:rsid w:val="00676286"/>
    <w:rsid w:val="006833DE"/>
    <w:rsid w:val="0068378C"/>
    <w:rsid w:val="0068590E"/>
    <w:rsid w:val="00687983"/>
    <w:rsid w:val="00687CFB"/>
    <w:rsid w:val="00687FFE"/>
    <w:rsid w:val="006909E2"/>
    <w:rsid w:val="00693446"/>
    <w:rsid w:val="00693484"/>
    <w:rsid w:val="0069434A"/>
    <w:rsid w:val="00694739"/>
    <w:rsid w:val="006963DC"/>
    <w:rsid w:val="00696EC5"/>
    <w:rsid w:val="00697BC4"/>
    <w:rsid w:val="006A01D6"/>
    <w:rsid w:val="006A638B"/>
    <w:rsid w:val="006A70F7"/>
    <w:rsid w:val="006B01A9"/>
    <w:rsid w:val="006B04EC"/>
    <w:rsid w:val="006B08C8"/>
    <w:rsid w:val="006B0B08"/>
    <w:rsid w:val="006B1765"/>
    <w:rsid w:val="006B3474"/>
    <w:rsid w:val="006B4541"/>
    <w:rsid w:val="006B74A4"/>
    <w:rsid w:val="006B7EDD"/>
    <w:rsid w:val="006C56F3"/>
    <w:rsid w:val="006D2FCC"/>
    <w:rsid w:val="006D4A1D"/>
    <w:rsid w:val="006D630E"/>
    <w:rsid w:val="006D6C56"/>
    <w:rsid w:val="006D7B33"/>
    <w:rsid w:val="006E189C"/>
    <w:rsid w:val="006E5154"/>
    <w:rsid w:val="006E6D22"/>
    <w:rsid w:val="006F1977"/>
    <w:rsid w:val="006F2E66"/>
    <w:rsid w:val="006F3480"/>
    <w:rsid w:val="006F6656"/>
    <w:rsid w:val="007002C9"/>
    <w:rsid w:val="00701DD2"/>
    <w:rsid w:val="00704FB6"/>
    <w:rsid w:val="00707504"/>
    <w:rsid w:val="00707D00"/>
    <w:rsid w:val="007101B9"/>
    <w:rsid w:val="00712506"/>
    <w:rsid w:val="00717F9C"/>
    <w:rsid w:val="00722C78"/>
    <w:rsid w:val="007247C0"/>
    <w:rsid w:val="007273FB"/>
    <w:rsid w:val="007311D7"/>
    <w:rsid w:val="00731932"/>
    <w:rsid w:val="00733AF6"/>
    <w:rsid w:val="0073483A"/>
    <w:rsid w:val="00736183"/>
    <w:rsid w:val="00737B0C"/>
    <w:rsid w:val="00740A68"/>
    <w:rsid w:val="007509BD"/>
    <w:rsid w:val="00751218"/>
    <w:rsid w:val="00751873"/>
    <w:rsid w:val="00753637"/>
    <w:rsid w:val="00754AD0"/>
    <w:rsid w:val="007554BF"/>
    <w:rsid w:val="00755C56"/>
    <w:rsid w:val="00761464"/>
    <w:rsid w:val="00762507"/>
    <w:rsid w:val="00762FD1"/>
    <w:rsid w:val="00767948"/>
    <w:rsid w:val="00770514"/>
    <w:rsid w:val="00772B7F"/>
    <w:rsid w:val="00773817"/>
    <w:rsid w:val="00775E86"/>
    <w:rsid w:val="0077658B"/>
    <w:rsid w:val="00777BB4"/>
    <w:rsid w:val="00780997"/>
    <w:rsid w:val="00780FB5"/>
    <w:rsid w:val="00781DE0"/>
    <w:rsid w:val="00783FB3"/>
    <w:rsid w:val="0078576E"/>
    <w:rsid w:val="00785794"/>
    <w:rsid w:val="00785C43"/>
    <w:rsid w:val="00786A74"/>
    <w:rsid w:val="00791FCC"/>
    <w:rsid w:val="00793BFD"/>
    <w:rsid w:val="00793E6B"/>
    <w:rsid w:val="00795D79"/>
    <w:rsid w:val="007A1BCA"/>
    <w:rsid w:val="007A23FE"/>
    <w:rsid w:val="007A29CE"/>
    <w:rsid w:val="007A4A6D"/>
    <w:rsid w:val="007A4AB7"/>
    <w:rsid w:val="007A4FBF"/>
    <w:rsid w:val="007A5AF6"/>
    <w:rsid w:val="007A6D10"/>
    <w:rsid w:val="007A717B"/>
    <w:rsid w:val="007A721D"/>
    <w:rsid w:val="007A7C6F"/>
    <w:rsid w:val="007B3024"/>
    <w:rsid w:val="007B3D75"/>
    <w:rsid w:val="007B4773"/>
    <w:rsid w:val="007B680C"/>
    <w:rsid w:val="007B7E2E"/>
    <w:rsid w:val="007C139B"/>
    <w:rsid w:val="007C28FB"/>
    <w:rsid w:val="007C3ECE"/>
    <w:rsid w:val="007C401B"/>
    <w:rsid w:val="007C5B81"/>
    <w:rsid w:val="007C7589"/>
    <w:rsid w:val="007C7F70"/>
    <w:rsid w:val="007D2106"/>
    <w:rsid w:val="007D5371"/>
    <w:rsid w:val="007D5DC4"/>
    <w:rsid w:val="007E246E"/>
    <w:rsid w:val="007E2AF0"/>
    <w:rsid w:val="007E39A8"/>
    <w:rsid w:val="007E3CF8"/>
    <w:rsid w:val="007E71E8"/>
    <w:rsid w:val="007F2267"/>
    <w:rsid w:val="007F22CB"/>
    <w:rsid w:val="007F23B0"/>
    <w:rsid w:val="007F7818"/>
    <w:rsid w:val="008007D3"/>
    <w:rsid w:val="00801193"/>
    <w:rsid w:val="00802707"/>
    <w:rsid w:val="0080440A"/>
    <w:rsid w:val="00806DA9"/>
    <w:rsid w:val="008102BE"/>
    <w:rsid w:val="008103B7"/>
    <w:rsid w:val="00815EC9"/>
    <w:rsid w:val="00815F6D"/>
    <w:rsid w:val="00820C4F"/>
    <w:rsid w:val="00823632"/>
    <w:rsid w:val="00823DF1"/>
    <w:rsid w:val="00825095"/>
    <w:rsid w:val="008250AD"/>
    <w:rsid w:val="00826CC2"/>
    <w:rsid w:val="00826F64"/>
    <w:rsid w:val="008308B3"/>
    <w:rsid w:val="00831EA5"/>
    <w:rsid w:val="00834D3C"/>
    <w:rsid w:val="00836FD3"/>
    <w:rsid w:val="00837EA5"/>
    <w:rsid w:val="00840E5D"/>
    <w:rsid w:val="00841C1B"/>
    <w:rsid w:val="0084522F"/>
    <w:rsid w:val="00846256"/>
    <w:rsid w:val="00846830"/>
    <w:rsid w:val="00847A8A"/>
    <w:rsid w:val="008501E8"/>
    <w:rsid w:val="0085127C"/>
    <w:rsid w:val="00851A95"/>
    <w:rsid w:val="00853AFD"/>
    <w:rsid w:val="008555B2"/>
    <w:rsid w:val="00855F19"/>
    <w:rsid w:val="00856D9A"/>
    <w:rsid w:val="008577E4"/>
    <w:rsid w:val="00860C87"/>
    <w:rsid w:val="00861DC0"/>
    <w:rsid w:val="00865897"/>
    <w:rsid w:val="0086750C"/>
    <w:rsid w:val="00872C60"/>
    <w:rsid w:val="008732C6"/>
    <w:rsid w:val="00873CE8"/>
    <w:rsid w:val="008747D7"/>
    <w:rsid w:val="008751F7"/>
    <w:rsid w:val="00877407"/>
    <w:rsid w:val="00877639"/>
    <w:rsid w:val="008824E4"/>
    <w:rsid w:val="00883259"/>
    <w:rsid w:val="00883672"/>
    <w:rsid w:val="008904E3"/>
    <w:rsid w:val="00890E72"/>
    <w:rsid w:val="00891B6B"/>
    <w:rsid w:val="00892604"/>
    <w:rsid w:val="00892D14"/>
    <w:rsid w:val="008A0CDA"/>
    <w:rsid w:val="008A110C"/>
    <w:rsid w:val="008A115D"/>
    <w:rsid w:val="008A31D1"/>
    <w:rsid w:val="008A332F"/>
    <w:rsid w:val="008A43D7"/>
    <w:rsid w:val="008A5872"/>
    <w:rsid w:val="008B560E"/>
    <w:rsid w:val="008B6019"/>
    <w:rsid w:val="008B72FF"/>
    <w:rsid w:val="008B74AC"/>
    <w:rsid w:val="008C06AA"/>
    <w:rsid w:val="008C21D9"/>
    <w:rsid w:val="008C4722"/>
    <w:rsid w:val="008C5193"/>
    <w:rsid w:val="008D1417"/>
    <w:rsid w:val="008D2238"/>
    <w:rsid w:val="008D36A4"/>
    <w:rsid w:val="008D68B2"/>
    <w:rsid w:val="008D71AC"/>
    <w:rsid w:val="008E074E"/>
    <w:rsid w:val="008E29BF"/>
    <w:rsid w:val="008E2D14"/>
    <w:rsid w:val="008E395C"/>
    <w:rsid w:val="008E5C57"/>
    <w:rsid w:val="008E7EC7"/>
    <w:rsid w:val="008F0453"/>
    <w:rsid w:val="008F1417"/>
    <w:rsid w:val="008F1A4A"/>
    <w:rsid w:val="008F1FE8"/>
    <w:rsid w:val="008F3943"/>
    <w:rsid w:val="008F3BC6"/>
    <w:rsid w:val="0090291D"/>
    <w:rsid w:val="009035B0"/>
    <w:rsid w:val="00906544"/>
    <w:rsid w:val="00906EDD"/>
    <w:rsid w:val="009115FB"/>
    <w:rsid w:val="00912AB7"/>
    <w:rsid w:val="00913FBA"/>
    <w:rsid w:val="009140CA"/>
    <w:rsid w:val="00914208"/>
    <w:rsid w:val="009201FA"/>
    <w:rsid w:val="00920B5B"/>
    <w:rsid w:val="0092104F"/>
    <w:rsid w:val="00921753"/>
    <w:rsid w:val="00921C1A"/>
    <w:rsid w:val="0092234B"/>
    <w:rsid w:val="00922AB7"/>
    <w:rsid w:val="00926A95"/>
    <w:rsid w:val="00927397"/>
    <w:rsid w:val="00927B07"/>
    <w:rsid w:val="009308F8"/>
    <w:rsid w:val="0093111B"/>
    <w:rsid w:val="0093126B"/>
    <w:rsid w:val="009320C5"/>
    <w:rsid w:val="00932580"/>
    <w:rsid w:val="009325FA"/>
    <w:rsid w:val="00934DC5"/>
    <w:rsid w:val="009368DD"/>
    <w:rsid w:val="009402A4"/>
    <w:rsid w:val="0094264A"/>
    <w:rsid w:val="00942A74"/>
    <w:rsid w:val="00942E7B"/>
    <w:rsid w:val="00943861"/>
    <w:rsid w:val="00944F68"/>
    <w:rsid w:val="00945F25"/>
    <w:rsid w:val="00946BD6"/>
    <w:rsid w:val="009515EA"/>
    <w:rsid w:val="009555C8"/>
    <w:rsid w:val="009572EC"/>
    <w:rsid w:val="0096145F"/>
    <w:rsid w:val="00963818"/>
    <w:rsid w:val="00963967"/>
    <w:rsid w:val="00971655"/>
    <w:rsid w:val="009725C5"/>
    <w:rsid w:val="00973F85"/>
    <w:rsid w:val="00980665"/>
    <w:rsid w:val="009815D8"/>
    <w:rsid w:val="009817D7"/>
    <w:rsid w:val="00987DFE"/>
    <w:rsid w:val="0099109C"/>
    <w:rsid w:val="00992CB4"/>
    <w:rsid w:val="00993801"/>
    <w:rsid w:val="0099491A"/>
    <w:rsid w:val="0099501D"/>
    <w:rsid w:val="009A02A8"/>
    <w:rsid w:val="009A11D2"/>
    <w:rsid w:val="009A1359"/>
    <w:rsid w:val="009A2C1D"/>
    <w:rsid w:val="009A53D5"/>
    <w:rsid w:val="009A6C30"/>
    <w:rsid w:val="009B1583"/>
    <w:rsid w:val="009B18F6"/>
    <w:rsid w:val="009B3E5C"/>
    <w:rsid w:val="009B5391"/>
    <w:rsid w:val="009B57AE"/>
    <w:rsid w:val="009B61F5"/>
    <w:rsid w:val="009B7E0E"/>
    <w:rsid w:val="009B7ED4"/>
    <w:rsid w:val="009C3C40"/>
    <w:rsid w:val="009C4735"/>
    <w:rsid w:val="009C4C4D"/>
    <w:rsid w:val="009D3F22"/>
    <w:rsid w:val="009D4185"/>
    <w:rsid w:val="009D4E57"/>
    <w:rsid w:val="009D5052"/>
    <w:rsid w:val="009D5345"/>
    <w:rsid w:val="009D6429"/>
    <w:rsid w:val="009D663D"/>
    <w:rsid w:val="009D7AB4"/>
    <w:rsid w:val="009E0B6B"/>
    <w:rsid w:val="009E18C9"/>
    <w:rsid w:val="009E6B01"/>
    <w:rsid w:val="009E7D32"/>
    <w:rsid w:val="009F1F57"/>
    <w:rsid w:val="009F3719"/>
    <w:rsid w:val="009F6386"/>
    <w:rsid w:val="009F6549"/>
    <w:rsid w:val="00A00F12"/>
    <w:rsid w:val="00A05808"/>
    <w:rsid w:val="00A05F64"/>
    <w:rsid w:val="00A07E2E"/>
    <w:rsid w:val="00A119B9"/>
    <w:rsid w:val="00A122BF"/>
    <w:rsid w:val="00A16567"/>
    <w:rsid w:val="00A176C0"/>
    <w:rsid w:val="00A217AA"/>
    <w:rsid w:val="00A22A4F"/>
    <w:rsid w:val="00A2501F"/>
    <w:rsid w:val="00A313DC"/>
    <w:rsid w:val="00A322E1"/>
    <w:rsid w:val="00A35235"/>
    <w:rsid w:val="00A3545F"/>
    <w:rsid w:val="00A370F0"/>
    <w:rsid w:val="00A372E2"/>
    <w:rsid w:val="00A44004"/>
    <w:rsid w:val="00A454EC"/>
    <w:rsid w:val="00A47284"/>
    <w:rsid w:val="00A52D91"/>
    <w:rsid w:val="00A53A80"/>
    <w:rsid w:val="00A5625E"/>
    <w:rsid w:val="00A567EE"/>
    <w:rsid w:val="00A60559"/>
    <w:rsid w:val="00A60A65"/>
    <w:rsid w:val="00A611EA"/>
    <w:rsid w:val="00A627C1"/>
    <w:rsid w:val="00A6361B"/>
    <w:rsid w:val="00A64445"/>
    <w:rsid w:val="00A64742"/>
    <w:rsid w:val="00A6614B"/>
    <w:rsid w:val="00A668CB"/>
    <w:rsid w:val="00A66BB1"/>
    <w:rsid w:val="00A7030B"/>
    <w:rsid w:val="00A70C44"/>
    <w:rsid w:val="00A76062"/>
    <w:rsid w:val="00A77F81"/>
    <w:rsid w:val="00A8458F"/>
    <w:rsid w:val="00A87E16"/>
    <w:rsid w:val="00A91350"/>
    <w:rsid w:val="00A91CF1"/>
    <w:rsid w:val="00A92DB3"/>
    <w:rsid w:val="00A93E68"/>
    <w:rsid w:val="00A94B57"/>
    <w:rsid w:val="00A94B64"/>
    <w:rsid w:val="00A9569F"/>
    <w:rsid w:val="00AA2835"/>
    <w:rsid w:val="00AA2BF0"/>
    <w:rsid w:val="00AA70AC"/>
    <w:rsid w:val="00AA7C0C"/>
    <w:rsid w:val="00AB1044"/>
    <w:rsid w:val="00AB187E"/>
    <w:rsid w:val="00AB251B"/>
    <w:rsid w:val="00AB279C"/>
    <w:rsid w:val="00AB3FA9"/>
    <w:rsid w:val="00AB4DC3"/>
    <w:rsid w:val="00AB6F94"/>
    <w:rsid w:val="00AC0279"/>
    <w:rsid w:val="00AC1F69"/>
    <w:rsid w:val="00AC276A"/>
    <w:rsid w:val="00AC358D"/>
    <w:rsid w:val="00AC35BF"/>
    <w:rsid w:val="00AC4058"/>
    <w:rsid w:val="00AC432A"/>
    <w:rsid w:val="00AC4573"/>
    <w:rsid w:val="00AC4A7C"/>
    <w:rsid w:val="00AD0B31"/>
    <w:rsid w:val="00AD2428"/>
    <w:rsid w:val="00AD417E"/>
    <w:rsid w:val="00AD5D3C"/>
    <w:rsid w:val="00AD6EC7"/>
    <w:rsid w:val="00AD7252"/>
    <w:rsid w:val="00AD73D7"/>
    <w:rsid w:val="00AE1005"/>
    <w:rsid w:val="00AE2CB3"/>
    <w:rsid w:val="00AE30C5"/>
    <w:rsid w:val="00AE33DF"/>
    <w:rsid w:val="00AE34AF"/>
    <w:rsid w:val="00AE3B4D"/>
    <w:rsid w:val="00AE6118"/>
    <w:rsid w:val="00AF1040"/>
    <w:rsid w:val="00AF2385"/>
    <w:rsid w:val="00AF3EE3"/>
    <w:rsid w:val="00AF69FF"/>
    <w:rsid w:val="00B04DCA"/>
    <w:rsid w:val="00B05BAF"/>
    <w:rsid w:val="00B10FD6"/>
    <w:rsid w:val="00B11016"/>
    <w:rsid w:val="00B12A69"/>
    <w:rsid w:val="00B14BF5"/>
    <w:rsid w:val="00B2103E"/>
    <w:rsid w:val="00B234CC"/>
    <w:rsid w:val="00B2522A"/>
    <w:rsid w:val="00B253CB"/>
    <w:rsid w:val="00B25721"/>
    <w:rsid w:val="00B262DB"/>
    <w:rsid w:val="00B27E74"/>
    <w:rsid w:val="00B3142D"/>
    <w:rsid w:val="00B31BA4"/>
    <w:rsid w:val="00B33DE2"/>
    <w:rsid w:val="00B343E0"/>
    <w:rsid w:val="00B34B80"/>
    <w:rsid w:val="00B35E2D"/>
    <w:rsid w:val="00B42DFE"/>
    <w:rsid w:val="00B42FCC"/>
    <w:rsid w:val="00B43206"/>
    <w:rsid w:val="00B467AB"/>
    <w:rsid w:val="00B47B31"/>
    <w:rsid w:val="00B53132"/>
    <w:rsid w:val="00B53EC2"/>
    <w:rsid w:val="00B57A08"/>
    <w:rsid w:val="00B57E88"/>
    <w:rsid w:val="00B600C6"/>
    <w:rsid w:val="00B67B42"/>
    <w:rsid w:val="00B73C80"/>
    <w:rsid w:val="00B743C6"/>
    <w:rsid w:val="00B76AE3"/>
    <w:rsid w:val="00B8008D"/>
    <w:rsid w:val="00B80272"/>
    <w:rsid w:val="00B80C03"/>
    <w:rsid w:val="00B828A6"/>
    <w:rsid w:val="00B83B24"/>
    <w:rsid w:val="00B83D11"/>
    <w:rsid w:val="00B85CDF"/>
    <w:rsid w:val="00B86343"/>
    <w:rsid w:val="00B9588E"/>
    <w:rsid w:val="00B9669F"/>
    <w:rsid w:val="00B977CA"/>
    <w:rsid w:val="00B97B3F"/>
    <w:rsid w:val="00B97D71"/>
    <w:rsid w:val="00BA12BC"/>
    <w:rsid w:val="00BA283E"/>
    <w:rsid w:val="00BA3C05"/>
    <w:rsid w:val="00BA5936"/>
    <w:rsid w:val="00BA6B89"/>
    <w:rsid w:val="00BA7AA0"/>
    <w:rsid w:val="00BB176D"/>
    <w:rsid w:val="00BB2452"/>
    <w:rsid w:val="00BB3B33"/>
    <w:rsid w:val="00BB4B7B"/>
    <w:rsid w:val="00BC32EF"/>
    <w:rsid w:val="00BC381B"/>
    <w:rsid w:val="00BC4220"/>
    <w:rsid w:val="00BC550A"/>
    <w:rsid w:val="00BD10D9"/>
    <w:rsid w:val="00BD4D92"/>
    <w:rsid w:val="00BD54E0"/>
    <w:rsid w:val="00BD639B"/>
    <w:rsid w:val="00BD7A9D"/>
    <w:rsid w:val="00BE1BFB"/>
    <w:rsid w:val="00BE486C"/>
    <w:rsid w:val="00BE4F5D"/>
    <w:rsid w:val="00BE5BC5"/>
    <w:rsid w:val="00BE6393"/>
    <w:rsid w:val="00BE6621"/>
    <w:rsid w:val="00BE6960"/>
    <w:rsid w:val="00BE7AC5"/>
    <w:rsid w:val="00BF00F2"/>
    <w:rsid w:val="00BF39DB"/>
    <w:rsid w:val="00BF42FA"/>
    <w:rsid w:val="00BF446F"/>
    <w:rsid w:val="00BF5D20"/>
    <w:rsid w:val="00BF7518"/>
    <w:rsid w:val="00C0001D"/>
    <w:rsid w:val="00C01168"/>
    <w:rsid w:val="00C01381"/>
    <w:rsid w:val="00C035AF"/>
    <w:rsid w:val="00C03667"/>
    <w:rsid w:val="00C0441B"/>
    <w:rsid w:val="00C04B3D"/>
    <w:rsid w:val="00C05135"/>
    <w:rsid w:val="00C07424"/>
    <w:rsid w:val="00C07FA3"/>
    <w:rsid w:val="00C11110"/>
    <w:rsid w:val="00C128E1"/>
    <w:rsid w:val="00C13477"/>
    <w:rsid w:val="00C15B78"/>
    <w:rsid w:val="00C2228E"/>
    <w:rsid w:val="00C241FD"/>
    <w:rsid w:val="00C2569D"/>
    <w:rsid w:val="00C27F68"/>
    <w:rsid w:val="00C3115F"/>
    <w:rsid w:val="00C31253"/>
    <w:rsid w:val="00C32DCC"/>
    <w:rsid w:val="00C3317D"/>
    <w:rsid w:val="00C356E3"/>
    <w:rsid w:val="00C35CDC"/>
    <w:rsid w:val="00C37671"/>
    <w:rsid w:val="00C37AEA"/>
    <w:rsid w:val="00C40343"/>
    <w:rsid w:val="00C42AF2"/>
    <w:rsid w:val="00C44378"/>
    <w:rsid w:val="00C4638D"/>
    <w:rsid w:val="00C5195E"/>
    <w:rsid w:val="00C6073E"/>
    <w:rsid w:val="00C61555"/>
    <w:rsid w:val="00C627FD"/>
    <w:rsid w:val="00C63ACC"/>
    <w:rsid w:val="00C64126"/>
    <w:rsid w:val="00C646C0"/>
    <w:rsid w:val="00C67707"/>
    <w:rsid w:val="00C711E2"/>
    <w:rsid w:val="00C72EB7"/>
    <w:rsid w:val="00C72F5C"/>
    <w:rsid w:val="00C81362"/>
    <w:rsid w:val="00C81826"/>
    <w:rsid w:val="00C818E2"/>
    <w:rsid w:val="00C839D8"/>
    <w:rsid w:val="00C8539D"/>
    <w:rsid w:val="00C9175B"/>
    <w:rsid w:val="00C91E03"/>
    <w:rsid w:val="00C97078"/>
    <w:rsid w:val="00C970BB"/>
    <w:rsid w:val="00C9734A"/>
    <w:rsid w:val="00C9797D"/>
    <w:rsid w:val="00C97E46"/>
    <w:rsid w:val="00CA18A6"/>
    <w:rsid w:val="00CA6E02"/>
    <w:rsid w:val="00CA7899"/>
    <w:rsid w:val="00CB2661"/>
    <w:rsid w:val="00CB34CB"/>
    <w:rsid w:val="00CB4944"/>
    <w:rsid w:val="00CB4A4E"/>
    <w:rsid w:val="00CB7EEB"/>
    <w:rsid w:val="00CC0087"/>
    <w:rsid w:val="00CC038E"/>
    <w:rsid w:val="00CC2767"/>
    <w:rsid w:val="00CC2941"/>
    <w:rsid w:val="00CC2CDF"/>
    <w:rsid w:val="00CC3015"/>
    <w:rsid w:val="00CC3444"/>
    <w:rsid w:val="00CC5753"/>
    <w:rsid w:val="00CD0149"/>
    <w:rsid w:val="00CD073B"/>
    <w:rsid w:val="00CD1B08"/>
    <w:rsid w:val="00CD542E"/>
    <w:rsid w:val="00CD572C"/>
    <w:rsid w:val="00CD62D2"/>
    <w:rsid w:val="00CD74AD"/>
    <w:rsid w:val="00CD7D9E"/>
    <w:rsid w:val="00CE04C0"/>
    <w:rsid w:val="00CE1FEF"/>
    <w:rsid w:val="00CE4CB7"/>
    <w:rsid w:val="00CE6705"/>
    <w:rsid w:val="00CF1481"/>
    <w:rsid w:val="00CF14F1"/>
    <w:rsid w:val="00CF1DD8"/>
    <w:rsid w:val="00CF2604"/>
    <w:rsid w:val="00CF4B58"/>
    <w:rsid w:val="00D0412B"/>
    <w:rsid w:val="00D05270"/>
    <w:rsid w:val="00D069CF"/>
    <w:rsid w:val="00D078EB"/>
    <w:rsid w:val="00D10144"/>
    <w:rsid w:val="00D10449"/>
    <w:rsid w:val="00D109DB"/>
    <w:rsid w:val="00D10AAD"/>
    <w:rsid w:val="00D116D2"/>
    <w:rsid w:val="00D121CB"/>
    <w:rsid w:val="00D13992"/>
    <w:rsid w:val="00D1699F"/>
    <w:rsid w:val="00D22301"/>
    <w:rsid w:val="00D22372"/>
    <w:rsid w:val="00D22C7F"/>
    <w:rsid w:val="00D23263"/>
    <w:rsid w:val="00D24D9D"/>
    <w:rsid w:val="00D30881"/>
    <w:rsid w:val="00D31C38"/>
    <w:rsid w:val="00D31D18"/>
    <w:rsid w:val="00D32C4B"/>
    <w:rsid w:val="00D32E5D"/>
    <w:rsid w:val="00D3539D"/>
    <w:rsid w:val="00D37D79"/>
    <w:rsid w:val="00D42490"/>
    <w:rsid w:val="00D4553A"/>
    <w:rsid w:val="00D47278"/>
    <w:rsid w:val="00D51DC1"/>
    <w:rsid w:val="00D526DF"/>
    <w:rsid w:val="00D52DF9"/>
    <w:rsid w:val="00D5329A"/>
    <w:rsid w:val="00D54EAB"/>
    <w:rsid w:val="00D55306"/>
    <w:rsid w:val="00D5714C"/>
    <w:rsid w:val="00D57DB7"/>
    <w:rsid w:val="00D57E45"/>
    <w:rsid w:val="00D57FC8"/>
    <w:rsid w:val="00D57FEA"/>
    <w:rsid w:val="00D60D75"/>
    <w:rsid w:val="00D61899"/>
    <w:rsid w:val="00D61A1C"/>
    <w:rsid w:val="00D62E68"/>
    <w:rsid w:val="00D63B00"/>
    <w:rsid w:val="00D650A0"/>
    <w:rsid w:val="00D6648F"/>
    <w:rsid w:val="00D72F1B"/>
    <w:rsid w:val="00D74127"/>
    <w:rsid w:val="00D75D7F"/>
    <w:rsid w:val="00D7659A"/>
    <w:rsid w:val="00D809E4"/>
    <w:rsid w:val="00D81AF0"/>
    <w:rsid w:val="00D822CA"/>
    <w:rsid w:val="00D848B6"/>
    <w:rsid w:val="00D84BB1"/>
    <w:rsid w:val="00D85513"/>
    <w:rsid w:val="00D870E0"/>
    <w:rsid w:val="00D8768E"/>
    <w:rsid w:val="00D91D32"/>
    <w:rsid w:val="00D92D78"/>
    <w:rsid w:val="00D94B03"/>
    <w:rsid w:val="00D96BFA"/>
    <w:rsid w:val="00D97653"/>
    <w:rsid w:val="00D97D90"/>
    <w:rsid w:val="00DA1847"/>
    <w:rsid w:val="00DA1C6D"/>
    <w:rsid w:val="00DA35AA"/>
    <w:rsid w:val="00DA3A01"/>
    <w:rsid w:val="00DA3A7D"/>
    <w:rsid w:val="00DA3EC6"/>
    <w:rsid w:val="00DA6B8F"/>
    <w:rsid w:val="00DA79C1"/>
    <w:rsid w:val="00DA7BA7"/>
    <w:rsid w:val="00DB0CC6"/>
    <w:rsid w:val="00DB1620"/>
    <w:rsid w:val="00DB381C"/>
    <w:rsid w:val="00DB7989"/>
    <w:rsid w:val="00DC1AF9"/>
    <w:rsid w:val="00DC2E68"/>
    <w:rsid w:val="00DC6682"/>
    <w:rsid w:val="00DC7976"/>
    <w:rsid w:val="00DD4C1A"/>
    <w:rsid w:val="00DD5D7F"/>
    <w:rsid w:val="00DD6FF1"/>
    <w:rsid w:val="00DE131C"/>
    <w:rsid w:val="00DE1502"/>
    <w:rsid w:val="00DE1CF0"/>
    <w:rsid w:val="00DE2BEE"/>
    <w:rsid w:val="00DE3437"/>
    <w:rsid w:val="00DE3612"/>
    <w:rsid w:val="00DE48AD"/>
    <w:rsid w:val="00DE4C78"/>
    <w:rsid w:val="00DE4ED2"/>
    <w:rsid w:val="00DE772B"/>
    <w:rsid w:val="00DF2991"/>
    <w:rsid w:val="00DF362A"/>
    <w:rsid w:val="00DF40C0"/>
    <w:rsid w:val="00DF71B0"/>
    <w:rsid w:val="00DF79A3"/>
    <w:rsid w:val="00E0066D"/>
    <w:rsid w:val="00E00F74"/>
    <w:rsid w:val="00E0147D"/>
    <w:rsid w:val="00E01C40"/>
    <w:rsid w:val="00E01E0E"/>
    <w:rsid w:val="00E03A55"/>
    <w:rsid w:val="00E0559A"/>
    <w:rsid w:val="00E06075"/>
    <w:rsid w:val="00E13487"/>
    <w:rsid w:val="00E14C77"/>
    <w:rsid w:val="00E15159"/>
    <w:rsid w:val="00E20AF5"/>
    <w:rsid w:val="00E2145F"/>
    <w:rsid w:val="00E23D0F"/>
    <w:rsid w:val="00E25FDC"/>
    <w:rsid w:val="00E26104"/>
    <w:rsid w:val="00E27583"/>
    <w:rsid w:val="00E30A6C"/>
    <w:rsid w:val="00E31784"/>
    <w:rsid w:val="00E32AEC"/>
    <w:rsid w:val="00E34149"/>
    <w:rsid w:val="00E36672"/>
    <w:rsid w:val="00E371E9"/>
    <w:rsid w:val="00E37771"/>
    <w:rsid w:val="00E42335"/>
    <w:rsid w:val="00E43557"/>
    <w:rsid w:val="00E44D2B"/>
    <w:rsid w:val="00E4585D"/>
    <w:rsid w:val="00E46004"/>
    <w:rsid w:val="00E50011"/>
    <w:rsid w:val="00E61020"/>
    <w:rsid w:val="00E61966"/>
    <w:rsid w:val="00E6298D"/>
    <w:rsid w:val="00E65534"/>
    <w:rsid w:val="00E679B9"/>
    <w:rsid w:val="00E67E4B"/>
    <w:rsid w:val="00E703F6"/>
    <w:rsid w:val="00E70C99"/>
    <w:rsid w:val="00E7264B"/>
    <w:rsid w:val="00E73405"/>
    <w:rsid w:val="00E74BF2"/>
    <w:rsid w:val="00E7557E"/>
    <w:rsid w:val="00E75E52"/>
    <w:rsid w:val="00E763DC"/>
    <w:rsid w:val="00E77DBD"/>
    <w:rsid w:val="00E80342"/>
    <w:rsid w:val="00E81A00"/>
    <w:rsid w:val="00E833E5"/>
    <w:rsid w:val="00E85CE7"/>
    <w:rsid w:val="00E87EF4"/>
    <w:rsid w:val="00E9076F"/>
    <w:rsid w:val="00E90D26"/>
    <w:rsid w:val="00E952A7"/>
    <w:rsid w:val="00E96525"/>
    <w:rsid w:val="00E976B7"/>
    <w:rsid w:val="00EA0DB7"/>
    <w:rsid w:val="00EA39E7"/>
    <w:rsid w:val="00EA3AB1"/>
    <w:rsid w:val="00EA4DD1"/>
    <w:rsid w:val="00EA528F"/>
    <w:rsid w:val="00EB417F"/>
    <w:rsid w:val="00EB56D7"/>
    <w:rsid w:val="00EC38CD"/>
    <w:rsid w:val="00EC752D"/>
    <w:rsid w:val="00ED0521"/>
    <w:rsid w:val="00ED219F"/>
    <w:rsid w:val="00ED547A"/>
    <w:rsid w:val="00ED5694"/>
    <w:rsid w:val="00ED7AC0"/>
    <w:rsid w:val="00EE03D5"/>
    <w:rsid w:val="00EE272A"/>
    <w:rsid w:val="00EE3A18"/>
    <w:rsid w:val="00EE649C"/>
    <w:rsid w:val="00EE7381"/>
    <w:rsid w:val="00EF020B"/>
    <w:rsid w:val="00EF2BE1"/>
    <w:rsid w:val="00EF33AA"/>
    <w:rsid w:val="00EF56C7"/>
    <w:rsid w:val="00EF7B18"/>
    <w:rsid w:val="00F03717"/>
    <w:rsid w:val="00F05162"/>
    <w:rsid w:val="00F055B6"/>
    <w:rsid w:val="00F1046E"/>
    <w:rsid w:val="00F1103D"/>
    <w:rsid w:val="00F118CF"/>
    <w:rsid w:val="00F1195B"/>
    <w:rsid w:val="00F12727"/>
    <w:rsid w:val="00F154FC"/>
    <w:rsid w:val="00F2104D"/>
    <w:rsid w:val="00F2221B"/>
    <w:rsid w:val="00F238CB"/>
    <w:rsid w:val="00F2401F"/>
    <w:rsid w:val="00F25E95"/>
    <w:rsid w:val="00F2758D"/>
    <w:rsid w:val="00F277A1"/>
    <w:rsid w:val="00F31066"/>
    <w:rsid w:val="00F3148D"/>
    <w:rsid w:val="00F36540"/>
    <w:rsid w:val="00F3673A"/>
    <w:rsid w:val="00F37FA7"/>
    <w:rsid w:val="00F423DD"/>
    <w:rsid w:val="00F42FD5"/>
    <w:rsid w:val="00F436E5"/>
    <w:rsid w:val="00F442EF"/>
    <w:rsid w:val="00F46E51"/>
    <w:rsid w:val="00F4705E"/>
    <w:rsid w:val="00F53972"/>
    <w:rsid w:val="00F54B7B"/>
    <w:rsid w:val="00F558EF"/>
    <w:rsid w:val="00F55AD0"/>
    <w:rsid w:val="00F55CDB"/>
    <w:rsid w:val="00F56B57"/>
    <w:rsid w:val="00F57D54"/>
    <w:rsid w:val="00F61C62"/>
    <w:rsid w:val="00F64446"/>
    <w:rsid w:val="00F652D4"/>
    <w:rsid w:val="00F70475"/>
    <w:rsid w:val="00F71488"/>
    <w:rsid w:val="00F73305"/>
    <w:rsid w:val="00F747F7"/>
    <w:rsid w:val="00F754A2"/>
    <w:rsid w:val="00F77F5B"/>
    <w:rsid w:val="00F824DC"/>
    <w:rsid w:val="00F84C3F"/>
    <w:rsid w:val="00F850FA"/>
    <w:rsid w:val="00F856C9"/>
    <w:rsid w:val="00F904D8"/>
    <w:rsid w:val="00F909DE"/>
    <w:rsid w:val="00F94AC2"/>
    <w:rsid w:val="00F95E7D"/>
    <w:rsid w:val="00F9602E"/>
    <w:rsid w:val="00FA0A91"/>
    <w:rsid w:val="00FA2CE6"/>
    <w:rsid w:val="00FA2F3E"/>
    <w:rsid w:val="00FA36F1"/>
    <w:rsid w:val="00FA77D8"/>
    <w:rsid w:val="00FB2BA4"/>
    <w:rsid w:val="00FB4090"/>
    <w:rsid w:val="00FB6FB0"/>
    <w:rsid w:val="00FC05D7"/>
    <w:rsid w:val="00FC0D49"/>
    <w:rsid w:val="00FC0E08"/>
    <w:rsid w:val="00FC18F1"/>
    <w:rsid w:val="00FC1A74"/>
    <w:rsid w:val="00FC29C5"/>
    <w:rsid w:val="00FC2AEC"/>
    <w:rsid w:val="00FC4096"/>
    <w:rsid w:val="00FC647C"/>
    <w:rsid w:val="00FC65B1"/>
    <w:rsid w:val="00FD0542"/>
    <w:rsid w:val="00FD23FF"/>
    <w:rsid w:val="00FD384A"/>
    <w:rsid w:val="00FD5562"/>
    <w:rsid w:val="00FD6B8A"/>
    <w:rsid w:val="00FE01E8"/>
    <w:rsid w:val="00FE0AA5"/>
    <w:rsid w:val="00FE48D6"/>
    <w:rsid w:val="00FE510D"/>
    <w:rsid w:val="00FE7E96"/>
    <w:rsid w:val="00FF04E3"/>
    <w:rsid w:val="00FF1FB9"/>
    <w:rsid w:val="00FF3A46"/>
    <w:rsid w:val="00FF3F95"/>
    <w:rsid w:val="00FF5462"/>
    <w:rsid w:val="00FF559F"/>
    <w:rsid w:val="00FF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AD0"/>
    <w:pPr>
      <w:spacing w:after="200" w:line="276" w:lineRule="auto"/>
      <w:ind w:left="720" w:firstLine="0"/>
      <w:contextualSpacing/>
      <w:jc w:val="left"/>
    </w:pPr>
    <w:rPr>
      <w:rFonts w:ascii="Calibri" w:eastAsia="Times New Roman" w:hAnsi="Calibri"/>
      <w:sz w:val="22"/>
      <w:szCs w:val="22"/>
      <w:lang w:val="en-US" w:bidi="en-US"/>
    </w:rPr>
  </w:style>
  <w:style w:type="paragraph" w:styleId="a4">
    <w:name w:val="Body Text Indent"/>
    <w:basedOn w:val="a"/>
    <w:link w:val="a5"/>
    <w:rsid w:val="00754AD0"/>
    <w:pPr>
      <w:spacing w:after="120"/>
      <w:ind w:left="283" w:firstLine="0"/>
      <w:jc w:val="left"/>
    </w:pPr>
    <w:rPr>
      <w:rFonts w:eastAsia="Times New Roman"/>
      <w:color w:val="000000"/>
      <w:spacing w:val="2"/>
      <w:szCs w:val="30"/>
      <w:lang w:val="uk-UA" w:eastAsia="ru-RU"/>
    </w:rPr>
  </w:style>
  <w:style w:type="character" w:customStyle="1" w:styleId="a5">
    <w:name w:val="Основной текст с отступом Знак"/>
    <w:basedOn w:val="a0"/>
    <w:link w:val="a4"/>
    <w:rsid w:val="00754AD0"/>
    <w:rPr>
      <w:rFonts w:eastAsia="Times New Roman"/>
      <w:color w:val="000000"/>
      <w:spacing w:val="2"/>
      <w:szCs w:val="30"/>
      <w:lang w:val="uk-UA" w:eastAsia="ru-RU"/>
    </w:rPr>
  </w:style>
  <w:style w:type="paragraph" w:styleId="a6">
    <w:name w:val="Normal (Web)"/>
    <w:basedOn w:val="a"/>
    <w:uiPriority w:val="99"/>
    <w:unhideWhenUsed/>
    <w:rsid w:val="002E5AE2"/>
    <w:pPr>
      <w:spacing w:before="100" w:beforeAutospacing="1" w:after="100" w:afterAutospacing="1"/>
      <w:ind w:firstLine="0"/>
      <w:jc w:val="left"/>
    </w:pPr>
    <w:rPr>
      <w:rFonts w:eastAsia="Times New Roman"/>
      <w:sz w:val="24"/>
      <w:szCs w:val="24"/>
      <w:lang w:val="en-US"/>
    </w:rPr>
  </w:style>
  <w:style w:type="character" w:customStyle="1" w:styleId="hps">
    <w:name w:val="hps"/>
    <w:basedOn w:val="a0"/>
    <w:rsid w:val="00F1046E"/>
  </w:style>
  <w:style w:type="paragraph" w:styleId="a7">
    <w:name w:val="header"/>
    <w:basedOn w:val="a"/>
    <w:link w:val="a8"/>
    <w:uiPriority w:val="99"/>
    <w:unhideWhenUsed/>
    <w:rsid w:val="00037287"/>
    <w:pPr>
      <w:tabs>
        <w:tab w:val="center" w:pos="4677"/>
        <w:tab w:val="right" w:pos="9355"/>
      </w:tabs>
      <w:spacing w:line="240" w:lineRule="auto"/>
    </w:pPr>
  </w:style>
  <w:style w:type="character" w:customStyle="1" w:styleId="a8">
    <w:name w:val="Верхний колонтитул Знак"/>
    <w:basedOn w:val="a0"/>
    <w:link w:val="a7"/>
    <w:uiPriority w:val="99"/>
    <w:rsid w:val="00037287"/>
  </w:style>
  <w:style w:type="paragraph" w:styleId="a9">
    <w:name w:val="footer"/>
    <w:basedOn w:val="a"/>
    <w:link w:val="aa"/>
    <w:uiPriority w:val="99"/>
    <w:semiHidden/>
    <w:unhideWhenUsed/>
    <w:rsid w:val="00037287"/>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037287"/>
  </w:style>
  <w:style w:type="character" w:styleId="ab">
    <w:name w:val="Hyperlink"/>
    <w:basedOn w:val="a0"/>
    <w:uiPriority w:val="99"/>
    <w:unhideWhenUsed/>
    <w:rsid w:val="007536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AD0"/>
    <w:pPr>
      <w:spacing w:after="200" w:line="276" w:lineRule="auto"/>
      <w:ind w:left="720" w:firstLine="0"/>
      <w:contextualSpacing/>
      <w:jc w:val="left"/>
    </w:pPr>
    <w:rPr>
      <w:rFonts w:ascii="Calibri" w:eastAsia="Times New Roman" w:hAnsi="Calibri"/>
      <w:sz w:val="22"/>
      <w:szCs w:val="22"/>
      <w:lang w:val="en-US" w:bidi="en-US"/>
    </w:rPr>
  </w:style>
  <w:style w:type="paragraph" w:styleId="a4">
    <w:name w:val="Body Text Indent"/>
    <w:basedOn w:val="a"/>
    <w:link w:val="a5"/>
    <w:rsid w:val="00754AD0"/>
    <w:pPr>
      <w:spacing w:after="120"/>
      <w:ind w:left="283" w:firstLine="0"/>
      <w:jc w:val="left"/>
    </w:pPr>
    <w:rPr>
      <w:rFonts w:eastAsia="Times New Roman"/>
      <w:color w:val="000000"/>
      <w:spacing w:val="2"/>
      <w:szCs w:val="30"/>
      <w:lang w:val="uk-UA" w:eastAsia="ru-RU"/>
    </w:rPr>
  </w:style>
  <w:style w:type="character" w:customStyle="1" w:styleId="a5">
    <w:name w:val="Основной текст с отступом Знак"/>
    <w:basedOn w:val="a0"/>
    <w:link w:val="a4"/>
    <w:rsid w:val="00754AD0"/>
    <w:rPr>
      <w:rFonts w:eastAsia="Times New Roman"/>
      <w:color w:val="000000"/>
      <w:spacing w:val="2"/>
      <w:szCs w:val="30"/>
      <w:lang w:val="uk-UA" w:eastAsia="ru-RU"/>
    </w:rPr>
  </w:style>
  <w:style w:type="paragraph" w:styleId="a6">
    <w:name w:val="Normal (Web)"/>
    <w:basedOn w:val="a"/>
    <w:uiPriority w:val="99"/>
    <w:unhideWhenUsed/>
    <w:rsid w:val="002E5AE2"/>
    <w:pPr>
      <w:spacing w:before="100" w:beforeAutospacing="1" w:after="100" w:afterAutospacing="1"/>
      <w:ind w:firstLine="0"/>
      <w:jc w:val="left"/>
    </w:pPr>
    <w:rPr>
      <w:rFonts w:eastAsia="Times New Roman"/>
      <w:sz w:val="24"/>
      <w:szCs w:val="24"/>
      <w:lang w:val="en-US"/>
    </w:rPr>
  </w:style>
  <w:style w:type="character" w:customStyle="1" w:styleId="hps">
    <w:name w:val="hps"/>
    <w:basedOn w:val="a0"/>
    <w:rsid w:val="00F1046E"/>
  </w:style>
  <w:style w:type="paragraph" w:styleId="a7">
    <w:name w:val="header"/>
    <w:basedOn w:val="a"/>
    <w:link w:val="a8"/>
    <w:uiPriority w:val="99"/>
    <w:unhideWhenUsed/>
    <w:rsid w:val="00037287"/>
    <w:pPr>
      <w:tabs>
        <w:tab w:val="center" w:pos="4677"/>
        <w:tab w:val="right" w:pos="9355"/>
      </w:tabs>
      <w:spacing w:line="240" w:lineRule="auto"/>
    </w:pPr>
  </w:style>
  <w:style w:type="character" w:customStyle="1" w:styleId="a8">
    <w:name w:val="Верхний колонтитул Знак"/>
    <w:basedOn w:val="a0"/>
    <w:link w:val="a7"/>
    <w:uiPriority w:val="99"/>
    <w:rsid w:val="00037287"/>
  </w:style>
  <w:style w:type="paragraph" w:styleId="a9">
    <w:name w:val="footer"/>
    <w:basedOn w:val="a"/>
    <w:link w:val="aa"/>
    <w:uiPriority w:val="99"/>
    <w:semiHidden/>
    <w:unhideWhenUsed/>
    <w:rsid w:val="00037287"/>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037287"/>
  </w:style>
  <w:style w:type="character" w:styleId="ab">
    <w:name w:val="Hyperlink"/>
    <w:basedOn w:val="a0"/>
    <w:uiPriority w:val="99"/>
    <w:unhideWhenUsed/>
    <w:rsid w:val="00753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50711">
      <w:bodyDiv w:val="1"/>
      <w:marLeft w:val="0"/>
      <w:marRight w:val="0"/>
      <w:marTop w:val="0"/>
      <w:marBottom w:val="0"/>
      <w:divBdr>
        <w:top w:val="none" w:sz="0" w:space="0" w:color="auto"/>
        <w:left w:val="none" w:sz="0" w:space="0" w:color="auto"/>
        <w:bottom w:val="none" w:sz="0" w:space="0" w:color="auto"/>
        <w:right w:val="none" w:sz="0" w:space="0" w:color="auto"/>
      </w:divBdr>
      <w:divsChild>
        <w:div w:id="49883433">
          <w:marLeft w:val="0"/>
          <w:marRight w:val="0"/>
          <w:marTop w:val="0"/>
          <w:marBottom w:val="0"/>
          <w:divBdr>
            <w:top w:val="none" w:sz="0" w:space="0" w:color="auto"/>
            <w:left w:val="none" w:sz="0" w:space="0" w:color="auto"/>
            <w:bottom w:val="none" w:sz="0" w:space="0" w:color="auto"/>
            <w:right w:val="none" w:sz="0" w:space="0" w:color="auto"/>
          </w:divBdr>
          <w:divsChild>
            <w:div w:id="2035619391">
              <w:marLeft w:val="0"/>
              <w:marRight w:val="0"/>
              <w:marTop w:val="0"/>
              <w:marBottom w:val="0"/>
              <w:divBdr>
                <w:top w:val="none" w:sz="0" w:space="0" w:color="auto"/>
                <w:left w:val="none" w:sz="0" w:space="0" w:color="auto"/>
                <w:bottom w:val="none" w:sz="0" w:space="0" w:color="auto"/>
                <w:right w:val="none" w:sz="0" w:space="0" w:color="auto"/>
              </w:divBdr>
              <w:divsChild>
                <w:div w:id="1825508459">
                  <w:marLeft w:val="0"/>
                  <w:marRight w:val="0"/>
                  <w:marTop w:val="0"/>
                  <w:marBottom w:val="0"/>
                  <w:divBdr>
                    <w:top w:val="none" w:sz="0" w:space="0" w:color="auto"/>
                    <w:left w:val="none" w:sz="0" w:space="0" w:color="auto"/>
                    <w:bottom w:val="none" w:sz="0" w:space="0" w:color="auto"/>
                    <w:right w:val="none" w:sz="0" w:space="0" w:color="auto"/>
                  </w:divBdr>
                  <w:divsChild>
                    <w:div w:id="1011447212">
                      <w:marLeft w:val="0"/>
                      <w:marRight w:val="0"/>
                      <w:marTop w:val="0"/>
                      <w:marBottom w:val="0"/>
                      <w:divBdr>
                        <w:top w:val="none" w:sz="0" w:space="0" w:color="auto"/>
                        <w:left w:val="none" w:sz="0" w:space="0" w:color="auto"/>
                        <w:bottom w:val="none" w:sz="0" w:space="0" w:color="auto"/>
                        <w:right w:val="none" w:sz="0" w:space="0" w:color="auto"/>
                      </w:divBdr>
                      <w:divsChild>
                        <w:div w:id="625240423">
                          <w:marLeft w:val="0"/>
                          <w:marRight w:val="0"/>
                          <w:marTop w:val="0"/>
                          <w:marBottom w:val="0"/>
                          <w:divBdr>
                            <w:top w:val="none" w:sz="0" w:space="0" w:color="auto"/>
                            <w:left w:val="none" w:sz="0" w:space="0" w:color="auto"/>
                            <w:bottom w:val="none" w:sz="0" w:space="0" w:color="auto"/>
                            <w:right w:val="none" w:sz="0" w:space="0" w:color="auto"/>
                          </w:divBdr>
                          <w:divsChild>
                            <w:div w:id="1490439851">
                              <w:marLeft w:val="0"/>
                              <w:marRight w:val="0"/>
                              <w:marTop w:val="0"/>
                              <w:marBottom w:val="0"/>
                              <w:divBdr>
                                <w:top w:val="none" w:sz="0" w:space="0" w:color="auto"/>
                                <w:left w:val="none" w:sz="0" w:space="0" w:color="auto"/>
                                <w:bottom w:val="none" w:sz="0" w:space="0" w:color="auto"/>
                                <w:right w:val="none" w:sz="0" w:space="0" w:color="auto"/>
                              </w:divBdr>
                              <w:divsChild>
                                <w:div w:id="935483577">
                                  <w:marLeft w:val="0"/>
                                  <w:marRight w:val="0"/>
                                  <w:marTop w:val="0"/>
                                  <w:marBottom w:val="0"/>
                                  <w:divBdr>
                                    <w:top w:val="none" w:sz="0" w:space="0" w:color="auto"/>
                                    <w:left w:val="none" w:sz="0" w:space="0" w:color="auto"/>
                                    <w:bottom w:val="none" w:sz="0" w:space="0" w:color="auto"/>
                                    <w:right w:val="none" w:sz="0" w:space="0" w:color="auto"/>
                                  </w:divBdr>
                                  <w:divsChild>
                                    <w:div w:id="1505436999">
                                      <w:marLeft w:val="96"/>
                                      <w:marRight w:val="0"/>
                                      <w:marTop w:val="0"/>
                                      <w:marBottom w:val="0"/>
                                      <w:divBdr>
                                        <w:top w:val="none" w:sz="0" w:space="0" w:color="auto"/>
                                        <w:left w:val="none" w:sz="0" w:space="0" w:color="auto"/>
                                        <w:bottom w:val="none" w:sz="0" w:space="0" w:color="auto"/>
                                        <w:right w:val="none" w:sz="0" w:space="0" w:color="auto"/>
                                      </w:divBdr>
                                      <w:divsChild>
                                        <w:div w:id="1064914218">
                                          <w:marLeft w:val="0"/>
                                          <w:marRight w:val="0"/>
                                          <w:marTop w:val="0"/>
                                          <w:marBottom w:val="0"/>
                                          <w:divBdr>
                                            <w:top w:val="none" w:sz="0" w:space="0" w:color="auto"/>
                                            <w:left w:val="none" w:sz="0" w:space="0" w:color="auto"/>
                                            <w:bottom w:val="none" w:sz="0" w:space="0" w:color="auto"/>
                                            <w:right w:val="none" w:sz="0" w:space="0" w:color="auto"/>
                                          </w:divBdr>
                                          <w:divsChild>
                                            <w:div w:id="232660889">
                                              <w:marLeft w:val="0"/>
                                              <w:marRight w:val="0"/>
                                              <w:marTop w:val="0"/>
                                              <w:marBottom w:val="192"/>
                                              <w:divBdr>
                                                <w:top w:val="single" w:sz="12" w:space="0" w:color="F5F5F5"/>
                                                <w:left w:val="single" w:sz="12" w:space="0" w:color="F5F5F5"/>
                                                <w:bottom w:val="single" w:sz="12" w:space="0" w:color="F5F5F5"/>
                                                <w:right w:val="single" w:sz="12" w:space="0" w:color="F5F5F5"/>
                                              </w:divBdr>
                                              <w:divsChild>
                                                <w:div w:id="1483082886">
                                                  <w:marLeft w:val="0"/>
                                                  <w:marRight w:val="0"/>
                                                  <w:marTop w:val="0"/>
                                                  <w:marBottom w:val="0"/>
                                                  <w:divBdr>
                                                    <w:top w:val="none" w:sz="0" w:space="0" w:color="auto"/>
                                                    <w:left w:val="none" w:sz="0" w:space="0" w:color="auto"/>
                                                    <w:bottom w:val="none" w:sz="0" w:space="0" w:color="auto"/>
                                                    <w:right w:val="none" w:sz="0" w:space="0" w:color="auto"/>
                                                  </w:divBdr>
                                                  <w:divsChild>
                                                    <w:div w:id="21260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dtsu.tula.ru/VNMT/Bulletin/E2012-1/380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9018-FE31-43C8-B236-06855885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3850</Words>
  <Characters>21949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Anatoliy</cp:lastModifiedBy>
  <cp:revision>4</cp:revision>
  <dcterms:created xsi:type="dcterms:W3CDTF">2013-12-19T18:33:00Z</dcterms:created>
  <dcterms:modified xsi:type="dcterms:W3CDTF">2013-12-19T19:33:00Z</dcterms:modified>
</cp:coreProperties>
</file>