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0" w:rsidRPr="00355B00" w:rsidRDefault="00355B00" w:rsidP="00355B00">
      <w:pPr>
        <w:pStyle w:val="a3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057D">
        <w:rPr>
          <w:rFonts w:ascii="Times New Roman" w:hAnsi="Times New Roman" w:cs="Times New Roman"/>
          <w:sz w:val="28"/>
          <w:szCs w:val="28"/>
          <w:lang w:val="ru-RU"/>
        </w:rPr>
        <w:t>УДК 617.7-0</w:t>
      </w:r>
      <w:r w:rsidR="00F0057D">
        <w:rPr>
          <w:rFonts w:ascii="Times New Roman" w:hAnsi="Times New Roman" w:cs="Times New Roman"/>
          <w:sz w:val="28"/>
          <w:szCs w:val="28"/>
          <w:lang w:val="ru-RU"/>
        </w:rPr>
        <w:t>07.681</w:t>
      </w:r>
      <w:r w:rsidR="001C1230">
        <w:rPr>
          <w:rFonts w:ascii="Times New Roman" w:hAnsi="Times New Roman" w:cs="Times New Roman"/>
          <w:sz w:val="28"/>
          <w:szCs w:val="28"/>
          <w:lang w:val="ru-RU"/>
        </w:rPr>
        <w:t>-073.178</w:t>
      </w:r>
      <w:r w:rsidR="00F0057D">
        <w:rPr>
          <w:rFonts w:ascii="Times New Roman" w:hAnsi="Times New Roman" w:cs="Times New Roman"/>
          <w:sz w:val="28"/>
          <w:szCs w:val="28"/>
          <w:lang w:val="ru-RU"/>
        </w:rPr>
        <w:t>:617.753.4:617.7</w:t>
      </w:r>
      <w:r w:rsidR="001C1230">
        <w:rPr>
          <w:rFonts w:ascii="Times New Roman" w:hAnsi="Times New Roman" w:cs="Times New Roman"/>
          <w:sz w:val="28"/>
          <w:szCs w:val="28"/>
          <w:lang w:val="ru-RU"/>
        </w:rPr>
        <w:t>26-009.17</w:t>
      </w:r>
    </w:p>
    <w:p w:rsidR="009E14AA" w:rsidRPr="00BA50F8" w:rsidRDefault="00F0057D" w:rsidP="009960DD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Зависимость морфометрических и функциональных характеристик</w:t>
      </w:r>
      <w:r w:rsidR="00A73378" w:rsidRPr="00BA50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аккомодационного аппарата</w:t>
      </w:r>
      <w:r w:rsidRPr="00F00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Pr="00BA50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уровня внутриглазного давления и стадии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развития </w:t>
      </w:r>
      <w:r w:rsidRPr="00BA50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первич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открытоугольной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глаукомы</w:t>
      </w:r>
    </w:p>
    <w:p w:rsidR="00F0057D" w:rsidRPr="00854F9A" w:rsidRDefault="00F0057D" w:rsidP="00854F9A">
      <w:pPr>
        <w:pStyle w:val="a3"/>
        <w:spacing w:after="0" w:line="48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50F8">
        <w:rPr>
          <w:rFonts w:ascii="Times New Roman" w:hAnsi="Times New Roman"/>
          <w:sz w:val="28"/>
          <w:szCs w:val="28"/>
          <w:lang w:val="ru-RU"/>
        </w:rPr>
        <w:t>П.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0F8">
        <w:rPr>
          <w:rFonts w:ascii="Times New Roman" w:hAnsi="Times New Roman"/>
          <w:sz w:val="28"/>
          <w:szCs w:val="28"/>
          <w:lang w:val="ru-RU"/>
        </w:rPr>
        <w:t>Бездетко, д. мед</w:t>
      </w:r>
      <w:proofErr w:type="gramStart"/>
      <w:r w:rsidRPr="00BA50F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A50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A50F8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BA50F8">
        <w:rPr>
          <w:rFonts w:ascii="Times New Roman" w:hAnsi="Times New Roman"/>
          <w:sz w:val="28"/>
          <w:szCs w:val="28"/>
          <w:lang w:val="ru-RU"/>
        </w:rPr>
        <w:t xml:space="preserve">., </w:t>
      </w:r>
      <w:r w:rsidR="00854F9A">
        <w:rPr>
          <w:rFonts w:ascii="Times New Roman" w:hAnsi="Times New Roman"/>
          <w:sz w:val="28"/>
          <w:szCs w:val="28"/>
          <w:lang w:val="ru-RU"/>
        </w:rPr>
        <w:t>проф.</w:t>
      </w:r>
      <w:r w:rsidRPr="00BA50F8">
        <w:rPr>
          <w:rFonts w:ascii="Times New Roman" w:hAnsi="Times New Roman"/>
          <w:sz w:val="28"/>
          <w:szCs w:val="28"/>
          <w:lang w:val="ru-RU"/>
        </w:rPr>
        <w:t>,</w:t>
      </w:r>
      <w:r w:rsidR="00854F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0F8">
        <w:rPr>
          <w:rFonts w:ascii="Times New Roman" w:hAnsi="Times New Roman"/>
          <w:sz w:val="28"/>
          <w:szCs w:val="28"/>
          <w:lang w:val="ru-RU"/>
        </w:rPr>
        <w:t>А. М. Д. Абдула, асп</w:t>
      </w:r>
      <w:r w:rsidR="00854F9A">
        <w:rPr>
          <w:rFonts w:ascii="Times New Roman" w:hAnsi="Times New Roman"/>
          <w:sz w:val="28"/>
          <w:szCs w:val="28"/>
          <w:lang w:val="ru-RU"/>
        </w:rPr>
        <w:t>ирант</w:t>
      </w:r>
      <w:r w:rsidRPr="00BA50F8">
        <w:rPr>
          <w:rFonts w:ascii="Times New Roman" w:hAnsi="Times New Roman"/>
          <w:sz w:val="28"/>
          <w:szCs w:val="28"/>
          <w:lang w:val="ru-RU"/>
        </w:rPr>
        <w:t>,</w:t>
      </w:r>
      <w:r w:rsidR="00854F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0F8">
        <w:rPr>
          <w:rFonts w:ascii="Times New Roman" w:hAnsi="Times New Roman"/>
          <w:sz w:val="28"/>
          <w:szCs w:val="28"/>
          <w:lang w:val="ru-RU"/>
        </w:rPr>
        <w:t>М.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4F9A">
        <w:rPr>
          <w:rFonts w:ascii="Times New Roman" w:hAnsi="Times New Roman"/>
          <w:sz w:val="28"/>
          <w:szCs w:val="28"/>
          <w:lang w:val="ru-RU"/>
        </w:rPr>
        <w:t>Щадных</w:t>
      </w:r>
      <w:proofErr w:type="spellEnd"/>
      <w:r w:rsidR="00854F9A">
        <w:rPr>
          <w:rFonts w:ascii="Times New Roman" w:hAnsi="Times New Roman"/>
          <w:sz w:val="28"/>
          <w:szCs w:val="28"/>
          <w:lang w:val="ru-RU"/>
        </w:rPr>
        <w:t>, ассистент</w:t>
      </w:r>
    </w:p>
    <w:p w:rsidR="00A73378" w:rsidRDefault="00A73378" w:rsidP="009960DD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6334">
        <w:rPr>
          <w:rFonts w:ascii="Times New Roman" w:hAnsi="Times New Roman"/>
          <w:sz w:val="28"/>
          <w:szCs w:val="28"/>
          <w:lang w:val="ru-RU"/>
        </w:rPr>
        <w:t>Харьковский национальный медицинский университет</w:t>
      </w:r>
    </w:p>
    <w:p w:rsidR="004B0FA2" w:rsidRPr="004B0FA2" w:rsidRDefault="004B0FA2" w:rsidP="003F0645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shd w:val="clear" w:color="auto" w:fill="F5F5F5"/>
        </w:rPr>
      </w:pPr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На підставі обстеження 128 очей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пресбіопів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з ПВКГ </w:t>
      </w:r>
      <w:r w:rsidRPr="004B0FA2">
        <w:rPr>
          <w:rFonts w:ascii="Times New Roman" w:hAnsi="Times New Roman" w:cs="Times New Roman"/>
          <w:i/>
          <w:sz w:val="20"/>
          <w:szCs w:val="20"/>
        </w:rPr>
        <w:t xml:space="preserve">та 139 очей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</w:rPr>
        <w:t>пресбіопів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</w:rPr>
        <w:t xml:space="preserve"> без </w:t>
      </w:r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ПВКГ </w:t>
      </w:r>
      <w:r w:rsidRPr="004B0FA2">
        <w:rPr>
          <w:rFonts w:ascii="Times New Roman" w:hAnsi="Times New Roman" w:cs="Times New Roman"/>
          <w:i/>
          <w:sz w:val="20"/>
          <w:szCs w:val="20"/>
        </w:rPr>
        <w:t xml:space="preserve">(контроль) </w:t>
      </w:r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за допомогою ультразвукової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біомікроскопії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(УБМ) з визначенням резервів та обсягу акомодації в залежності від стадії глаукоми не було виявлено достовірного взаємозв'язку.</w:t>
      </w:r>
      <w:r w:rsidRPr="004B0FA2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</w:t>
      </w:r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Спостерігався зв'язок досліджуваних даних від рівня ВОТ.</w:t>
      </w:r>
      <w:r w:rsidRPr="004B0FA2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</w:t>
      </w:r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Товщина кришталика зменшувалася від 3,8 мм в контрольній групі</w:t>
      </w:r>
      <w:r w:rsidRPr="004B0FA2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</w:t>
      </w:r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до 3,6 мм при ВОТ вище 21 мм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рт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.</w:t>
      </w:r>
      <w:r w:rsidRPr="004B0FA2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</w:t>
      </w:r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ст., глибина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перізонулярного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простору збільшувалася від 0,6 мм до 0,7 мм відповідно. Корекція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пресбіопії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збільшувалася від 2,0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дптр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в групі контролю до 2,63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дптр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при ВОТ більш ніж 32 мм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рт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. ст., обсяг і резерви акомодації знижувалися від 2,23 і 0,61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дптр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до 1,4 і 0,33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дптр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відповідно. Сплощення кришталика та зниження його акомодаційної спроможності, а також збільшення глибини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перізонулярного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простору у хворих на ПВКГ в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пресбіопічному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періоді пов’язано зі зростанням ВОТ більш ніж 21 мм </w:t>
      </w:r>
      <w:proofErr w:type="spellStart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рт</w:t>
      </w:r>
      <w:proofErr w:type="spellEnd"/>
      <w:r w:rsidRPr="004B0FA2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. ст..</w:t>
      </w:r>
    </w:p>
    <w:p w:rsidR="003F0645" w:rsidRPr="003F0645" w:rsidRDefault="003F0645" w:rsidP="003F0645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shd w:val="clear" w:color="auto" w:fill="F5F5F5"/>
        </w:rPr>
      </w:pPr>
      <w:r w:rsidRPr="003F0645">
        <w:rPr>
          <w:rFonts w:ascii="Times New Roman" w:hAnsi="Times New Roman" w:cs="Times New Roman"/>
          <w:i/>
          <w:sz w:val="20"/>
          <w:szCs w:val="20"/>
          <w:u w:val="single"/>
          <w:shd w:val="clear" w:color="auto" w:fill="F5F5F5"/>
        </w:rPr>
        <w:t>Ключові слова</w:t>
      </w:r>
      <w:r w:rsidRPr="003F0645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: первинна </w:t>
      </w:r>
      <w:proofErr w:type="spellStart"/>
      <w:r w:rsidRPr="003F0645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відкритокутова</w:t>
      </w:r>
      <w:proofErr w:type="spellEnd"/>
      <w:r w:rsidRPr="003F0645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глаукома, </w:t>
      </w:r>
      <w:proofErr w:type="spellStart"/>
      <w:r w:rsidRPr="003F0645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пресбіопія</w:t>
      </w:r>
      <w:proofErr w:type="spellEnd"/>
      <w:r w:rsidRPr="003F0645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, </w:t>
      </w:r>
      <w:proofErr w:type="spellStart"/>
      <w:r w:rsidRPr="003F0645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>морфометричні</w:t>
      </w:r>
      <w:proofErr w:type="spellEnd"/>
      <w:r w:rsidRPr="003F0645">
        <w:rPr>
          <w:rFonts w:ascii="Times New Roman" w:hAnsi="Times New Roman" w:cs="Times New Roman"/>
          <w:i/>
          <w:sz w:val="20"/>
          <w:szCs w:val="20"/>
          <w:shd w:val="clear" w:color="auto" w:fill="F5F5F5"/>
        </w:rPr>
        <w:t xml:space="preserve"> характеристики, резерви акомодації, обсяг акомодації.</w:t>
      </w:r>
    </w:p>
    <w:p w:rsidR="003F0645" w:rsidRPr="00854F9A" w:rsidRDefault="003F0645" w:rsidP="003F0645">
      <w:pPr>
        <w:spacing w:after="0" w:line="48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54F9A">
        <w:rPr>
          <w:rFonts w:ascii="Times New Roman" w:hAnsi="Times New Roman" w:cs="Times New Roman"/>
          <w:bCs/>
          <w:i/>
          <w:sz w:val="20"/>
          <w:szCs w:val="20"/>
          <w:u w:val="single"/>
          <w:lang w:val="ru-RU"/>
        </w:rPr>
        <w:t>Ключевые слова</w:t>
      </w:r>
      <w:r w:rsidRPr="00854F9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: первичная </w:t>
      </w:r>
      <w:proofErr w:type="spellStart"/>
      <w:r w:rsidRPr="00854F9A">
        <w:rPr>
          <w:rFonts w:ascii="Times New Roman" w:hAnsi="Times New Roman" w:cs="Times New Roman"/>
          <w:bCs/>
          <w:i/>
          <w:sz w:val="20"/>
          <w:szCs w:val="20"/>
          <w:lang w:val="ru-RU"/>
        </w:rPr>
        <w:t>открытоугольная</w:t>
      </w:r>
      <w:proofErr w:type="spellEnd"/>
      <w:r w:rsidRPr="00854F9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глаукома, пресбиопия, морфометрические характеристики, резервы аккомодации, объем аккомодации.</w:t>
      </w:r>
    </w:p>
    <w:p w:rsidR="008B5668" w:rsidRPr="00F96334" w:rsidRDefault="00BA50F8" w:rsidP="009960D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50F8">
        <w:rPr>
          <w:rFonts w:ascii="Times New Roman" w:hAnsi="Times New Roman"/>
          <w:b/>
          <w:sz w:val="28"/>
          <w:szCs w:val="28"/>
          <w:lang w:val="ru-RU"/>
        </w:rPr>
        <w:t>Введение.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7321" w:rsidRPr="00F96334">
        <w:rPr>
          <w:rFonts w:ascii="Times New Roman" w:hAnsi="Times New Roman"/>
          <w:sz w:val="28"/>
          <w:szCs w:val="28"/>
          <w:lang w:val="ru-RU"/>
        </w:rPr>
        <w:t xml:space="preserve">Рефракционный механизм формирования глаукомы в настоящее время активно обсуждается в литературе и признается многими авторами </w:t>
      </w:r>
      <w:r w:rsidR="006F7321" w:rsidRPr="00F9633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E4E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F7321" w:rsidRPr="00F963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4E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7321" w:rsidRPr="00F9633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F7321" w:rsidRPr="00F96334">
        <w:rPr>
          <w:rFonts w:ascii="Times New Roman" w:hAnsi="Times New Roman"/>
          <w:sz w:val="28"/>
          <w:szCs w:val="28"/>
          <w:lang w:val="ru-RU"/>
        </w:rPr>
        <w:t xml:space="preserve">. Этими же авторами утверждается принцип приоритета регуляции четкости изображения на сетчатки (по средствам аккомодации) над управлением </w:t>
      </w:r>
      <w:proofErr w:type="spellStart"/>
      <w:r w:rsidR="006F7321" w:rsidRPr="00F96334">
        <w:rPr>
          <w:rFonts w:ascii="Times New Roman" w:hAnsi="Times New Roman"/>
          <w:sz w:val="28"/>
          <w:szCs w:val="28"/>
          <w:lang w:val="ru-RU"/>
        </w:rPr>
        <w:t>офтальмотонусом</w:t>
      </w:r>
      <w:proofErr w:type="spellEnd"/>
      <w:r w:rsidR="006F7321" w:rsidRPr="00F963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EBE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6F7321" w:rsidRPr="00F9633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F7321" w:rsidRPr="00F96334">
        <w:rPr>
          <w:rFonts w:ascii="Times New Roman" w:hAnsi="Times New Roman"/>
          <w:sz w:val="28"/>
          <w:szCs w:val="28"/>
          <w:lang w:val="ru-RU"/>
        </w:rPr>
        <w:t xml:space="preserve">. Наряду с этим существует энергосберегающая теория аккомодации </w:t>
      </w:r>
      <w:r w:rsidR="001C1230">
        <w:rPr>
          <w:rFonts w:ascii="Times New Roman" w:hAnsi="Times New Roman"/>
          <w:sz w:val="28"/>
          <w:szCs w:val="28"/>
          <w:lang w:val="ru-RU"/>
        </w:rPr>
        <w:t xml:space="preserve">И. М. </w:t>
      </w:r>
      <w:proofErr w:type="spellStart"/>
      <w:r w:rsidR="006F7321" w:rsidRPr="00F96334">
        <w:rPr>
          <w:rFonts w:ascii="Times New Roman" w:hAnsi="Times New Roman"/>
          <w:sz w:val="28"/>
          <w:szCs w:val="28"/>
          <w:lang w:val="ru-RU"/>
        </w:rPr>
        <w:t>Корниловского</w:t>
      </w:r>
      <w:proofErr w:type="spellEnd"/>
      <w:r w:rsidR="00F963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7321" w:rsidRPr="00F9633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E4EB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7321" w:rsidRPr="00F9633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F7321" w:rsidRPr="00F96334">
        <w:rPr>
          <w:rFonts w:ascii="Times New Roman" w:hAnsi="Times New Roman"/>
          <w:sz w:val="28"/>
          <w:szCs w:val="28"/>
          <w:lang w:val="ru-RU"/>
        </w:rPr>
        <w:t xml:space="preserve">, согласно </w:t>
      </w:r>
      <w:r w:rsidR="006F7321" w:rsidRPr="00F96334">
        <w:rPr>
          <w:rFonts w:ascii="Times New Roman" w:hAnsi="Times New Roman"/>
          <w:sz w:val="28"/>
          <w:szCs w:val="28"/>
          <w:lang w:val="ru-RU"/>
        </w:rPr>
        <w:lastRenderedPageBreak/>
        <w:t xml:space="preserve">которой аккомодация осуществляется посредствам быстрого подъема или снижения внутриглазного давления. В соответствии с выдвигаемой автором гипотезой напряжение цилиарной мышцы в процессе аккомодации передается хрусталику не через </w:t>
      </w:r>
      <w:proofErr w:type="spellStart"/>
      <w:r w:rsidR="006F7321" w:rsidRPr="00F96334">
        <w:rPr>
          <w:rFonts w:ascii="Times New Roman" w:hAnsi="Times New Roman"/>
          <w:sz w:val="28"/>
          <w:szCs w:val="28"/>
          <w:lang w:val="ru-RU"/>
        </w:rPr>
        <w:t>циннову</w:t>
      </w:r>
      <w:proofErr w:type="spellEnd"/>
      <w:r w:rsidR="006F7321" w:rsidRPr="00F96334">
        <w:rPr>
          <w:rFonts w:ascii="Times New Roman" w:hAnsi="Times New Roman"/>
          <w:sz w:val="28"/>
          <w:szCs w:val="28"/>
          <w:lang w:val="ru-RU"/>
        </w:rPr>
        <w:t xml:space="preserve"> связку, а опосредовано </w:t>
      </w:r>
      <w:r w:rsidR="001C123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F7321" w:rsidRPr="00F96334">
        <w:rPr>
          <w:rFonts w:ascii="Times New Roman" w:hAnsi="Times New Roman"/>
          <w:sz w:val="28"/>
          <w:szCs w:val="28"/>
          <w:lang w:val="ru-RU"/>
        </w:rPr>
        <w:t>через изменение уровня продукции и оттока водянистой влаги.</w:t>
      </w:r>
    </w:p>
    <w:p w:rsidR="006F7321" w:rsidRPr="00F96334" w:rsidRDefault="006F7321" w:rsidP="009960DD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6334">
        <w:rPr>
          <w:rFonts w:ascii="Times New Roman" w:hAnsi="Times New Roman"/>
          <w:sz w:val="28"/>
          <w:szCs w:val="28"/>
          <w:lang w:val="ru-RU"/>
        </w:rPr>
        <w:t>В свете вышесказанного особенно актуальным</w:t>
      </w:r>
      <w:r w:rsidR="001C1230">
        <w:rPr>
          <w:rFonts w:ascii="Times New Roman" w:hAnsi="Times New Roman"/>
          <w:sz w:val="28"/>
          <w:szCs w:val="28"/>
          <w:lang w:val="ru-RU"/>
        </w:rPr>
        <w:t>и</w:t>
      </w:r>
      <w:r w:rsidRPr="00F96334">
        <w:rPr>
          <w:rFonts w:ascii="Times New Roman" w:hAnsi="Times New Roman"/>
          <w:sz w:val="28"/>
          <w:szCs w:val="28"/>
          <w:lang w:val="ru-RU"/>
        </w:rPr>
        <w:t xml:space="preserve"> являются вопросы в</w:t>
      </w:r>
      <w:r w:rsidR="001C1230">
        <w:rPr>
          <w:rFonts w:ascii="Times New Roman" w:hAnsi="Times New Roman"/>
          <w:sz w:val="28"/>
          <w:szCs w:val="28"/>
          <w:lang w:val="ru-RU"/>
        </w:rPr>
        <w:t>заимосвязи</w:t>
      </w:r>
      <w:r w:rsidRPr="00F96334">
        <w:rPr>
          <w:rFonts w:ascii="Times New Roman" w:hAnsi="Times New Roman"/>
          <w:sz w:val="28"/>
          <w:szCs w:val="28"/>
          <w:lang w:val="ru-RU"/>
        </w:rPr>
        <w:t xml:space="preserve"> пресбиопии и первичной </w:t>
      </w:r>
      <w:proofErr w:type="spellStart"/>
      <w:r w:rsidRPr="00F96334">
        <w:rPr>
          <w:rFonts w:ascii="Times New Roman" w:hAnsi="Times New Roman"/>
          <w:sz w:val="28"/>
          <w:szCs w:val="28"/>
          <w:lang w:val="ru-RU"/>
        </w:rPr>
        <w:t>открытоугольной</w:t>
      </w:r>
      <w:proofErr w:type="spellEnd"/>
      <w:r w:rsidRPr="00F96334">
        <w:rPr>
          <w:rFonts w:ascii="Times New Roman" w:hAnsi="Times New Roman"/>
          <w:sz w:val="28"/>
          <w:szCs w:val="28"/>
          <w:lang w:val="ru-RU"/>
        </w:rPr>
        <w:t xml:space="preserve"> глаукомы, которые </w:t>
      </w:r>
      <w:r w:rsidR="001C1230">
        <w:rPr>
          <w:rFonts w:ascii="Times New Roman" w:hAnsi="Times New Roman"/>
          <w:sz w:val="28"/>
          <w:szCs w:val="28"/>
          <w:lang w:val="ru-RU"/>
        </w:rPr>
        <w:t>проявляются в одинаковом</w:t>
      </w:r>
      <w:r w:rsidRPr="00F96334">
        <w:rPr>
          <w:rFonts w:ascii="Times New Roman" w:hAnsi="Times New Roman"/>
          <w:sz w:val="28"/>
          <w:szCs w:val="28"/>
          <w:lang w:val="ru-RU"/>
        </w:rPr>
        <w:t xml:space="preserve"> возраст</w:t>
      </w:r>
      <w:r w:rsidR="001C1230">
        <w:rPr>
          <w:rFonts w:ascii="Times New Roman" w:hAnsi="Times New Roman"/>
          <w:sz w:val="28"/>
          <w:szCs w:val="28"/>
          <w:lang w:val="ru-RU"/>
        </w:rPr>
        <w:t>е,</w:t>
      </w:r>
      <w:r w:rsidRPr="00F963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230">
        <w:rPr>
          <w:rFonts w:ascii="Times New Roman" w:hAnsi="Times New Roman"/>
          <w:sz w:val="28"/>
          <w:szCs w:val="28"/>
          <w:lang w:val="ru-RU"/>
        </w:rPr>
        <w:t xml:space="preserve">имеют </w:t>
      </w:r>
      <w:r w:rsidRPr="00F96334">
        <w:rPr>
          <w:rFonts w:ascii="Times New Roman" w:hAnsi="Times New Roman"/>
          <w:sz w:val="28"/>
          <w:szCs w:val="28"/>
          <w:lang w:val="ru-RU"/>
        </w:rPr>
        <w:t xml:space="preserve">общий анатомический субстрат и отражают </w:t>
      </w:r>
      <w:r w:rsidR="001C1230">
        <w:rPr>
          <w:rFonts w:ascii="Times New Roman" w:hAnsi="Times New Roman"/>
          <w:sz w:val="28"/>
          <w:szCs w:val="28"/>
          <w:lang w:val="ru-RU"/>
        </w:rPr>
        <w:t>зависимость между нарушениями</w:t>
      </w:r>
      <w:r w:rsidRPr="00F96334">
        <w:rPr>
          <w:rFonts w:ascii="Times New Roman" w:hAnsi="Times New Roman"/>
          <w:sz w:val="28"/>
          <w:szCs w:val="28"/>
          <w:lang w:val="ru-RU"/>
        </w:rPr>
        <w:t xml:space="preserve"> аккомодации и </w:t>
      </w:r>
      <w:proofErr w:type="spellStart"/>
      <w:r w:rsidRPr="00F96334">
        <w:rPr>
          <w:rFonts w:ascii="Times New Roman" w:hAnsi="Times New Roman"/>
          <w:sz w:val="28"/>
          <w:szCs w:val="28"/>
          <w:lang w:val="ru-RU"/>
        </w:rPr>
        <w:t>офтальмотонуса</w:t>
      </w:r>
      <w:proofErr w:type="spellEnd"/>
      <w:r w:rsidRPr="00F96334">
        <w:rPr>
          <w:rFonts w:ascii="Times New Roman" w:hAnsi="Times New Roman"/>
          <w:sz w:val="28"/>
          <w:szCs w:val="28"/>
          <w:lang w:val="ru-RU"/>
        </w:rPr>
        <w:t>. Малоизученным является воздействие уровня ВГД и стадии глаукомы на аккомодационную функцию и строение переднего отрезка глаза.</w:t>
      </w:r>
    </w:p>
    <w:p w:rsidR="006F7321" w:rsidRPr="00F96334" w:rsidRDefault="006F7321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6334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Pr="001C1230">
        <w:rPr>
          <w:rFonts w:ascii="Times New Roman" w:hAnsi="Times New Roman"/>
          <w:sz w:val="28"/>
          <w:szCs w:val="28"/>
          <w:lang w:val="ru-RU"/>
        </w:rPr>
        <w:t>целью</w:t>
      </w:r>
      <w:r w:rsidRPr="00F96334">
        <w:rPr>
          <w:rFonts w:ascii="Times New Roman" w:hAnsi="Times New Roman"/>
          <w:sz w:val="28"/>
          <w:szCs w:val="28"/>
          <w:lang w:val="ru-RU"/>
        </w:rPr>
        <w:t xml:space="preserve"> нашего исследования стала </w:t>
      </w:r>
      <w:r w:rsidRPr="00F96334">
        <w:rPr>
          <w:rFonts w:ascii="Times New Roman" w:hAnsi="Times New Roman" w:cs="Times New Roman"/>
          <w:sz w:val="28"/>
          <w:szCs w:val="28"/>
          <w:lang w:val="ru-RU"/>
        </w:rPr>
        <w:t xml:space="preserve">оценка </w:t>
      </w:r>
      <w:r w:rsidRPr="00F963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влияния уровня внутриглазного давления и стадии первичной открытоугольной глаукомы на морфометрические и функциональные характеристики </w:t>
      </w:r>
      <w:r w:rsidR="000F7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(объем и резервы аккомодации) </w:t>
      </w:r>
      <w:r w:rsidRPr="00F9633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аккомодационного аппарата.</w:t>
      </w:r>
    </w:p>
    <w:p w:rsidR="00F96334" w:rsidRPr="003F0645" w:rsidRDefault="003F0645" w:rsidP="009960DD">
      <w:pPr>
        <w:pStyle w:val="a3"/>
        <w:spacing w:after="0" w:line="480" w:lineRule="auto"/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="006F7321" w:rsidRPr="00BA50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методы.</w:t>
      </w:r>
      <w:r w:rsidR="006F7321" w:rsidRPr="00F963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334" w:rsidRPr="003F0645">
        <w:rPr>
          <w:rFonts w:ascii="Times New Roman" w:hAnsi="Times New Roman"/>
          <w:b/>
          <w:sz w:val="16"/>
          <w:szCs w:val="16"/>
          <w:lang w:val="ru-RU"/>
        </w:rPr>
        <w:t>Клинические исследования проведены на 108 пациентах (128 глазах) с впервые выявленной первичной открытоугольной глаукомой взрослого глазного и поликлинического отделений Харьковской</w:t>
      </w:r>
      <w:r w:rsidR="001C1230" w:rsidRPr="003F0645">
        <w:rPr>
          <w:rFonts w:ascii="Times New Roman" w:hAnsi="Times New Roman"/>
          <w:b/>
          <w:sz w:val="16"/>
          <w:szCs w:val="16"/>
          <w:lang w:val="ru-RU"/>
        </w:rPr>
        <w:t xml:space="preserve"> областной клинической больницы</w:t>
      </w:r>
      <w:r w:rsidR="00F96334" w:rsidRPr="003F0645">
        <w:rPr>
          <w:rFonts w:ascii="Times New Roman" w:hAnsi="Times New Roman"/>
          <w:b/>
          <w:sz w:val="16"/>
          <w:szCs w:val="16"/>
          <w:lang w:val="ru-RU"/>
        </w:rPr>
        <w:t xml:space="preserve">. </w:t>
      </w:r>
    </w:p>
    <w:p w:rsidR="00F96334" w:rsidRPr="003F0645" w:rsidRDefault="00F96334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Отбор пациентов проводился по следующим критериям: возраст от 45 до 60 лет, наличие начальной (І стадия), развитой (ІІ стадия) и далеко зашедшей (ІІІ стадия) первичной открытоугольной </w:t>
      </w:r>
      <w:proofErr w:type="gram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глаукомы</w:t>
      </w:r>
      <w:proofErr w:type="gram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впервые выявленной на основании данных клинического обследования (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визометрии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, тонометрии с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пахиметрией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, периметрии, офтальмоскопии и ультразвуковой биомикроскопии), отсутствие или начальная стадия катаракты, без оперативных вмешательств в анамнезе, включая лазерные процедуры, эмметропическая, слабая (до 3 дптр) гиперметропическая и миопическая рефракция, включая наличие физиологического астигматизма, наличие информированного согласия на участие в исследовании. </w:t>
      </w:r>
    </w:p>
    <w:p w:rsidR="00F96334" w:rsidRPr="003F0645" w:rsidRDefault="00F96334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Больные имели три вида рефракции: 36 пациентов (44 глаза) </w:t>
      </w:r>
      <w:proofErr w:type="gram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–э</w:t>
      </w:r>
      <w:proofErr w:type="gram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мметропическую с прямым физиологическим астигматизмом 0,5 дптр и менее; 43 пациента (49 глаз) – гиперметропическую рефракцию и прямой физиологический астигматизм 0,5 дптр и менее; 29 пациентов (35 глаз) – миопическую рефракцию и прямой физиологический астигматизм 0,5 дптр и менее.</w:t>
      </w:r>
    </w:p>
    <w:p w:rsidR="00F96334" w:rsidRPr="003F0645" w:rsidRDefault="00F96334" w:rsidP="009960DD">
      <w:pPr>
        <w:pStyle w:val="a3"/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val="ru-RU" w:eastAsia="ar-SA"/>
        </w:rPr>
      </w:pPr>
      <w:r w:rsidRPr="003F0645">
        <w:rPr>
          <w:rFonts w:ascii="Times New Roman" w:hAnsi="Times New Roman"/>
          <w:b/>
          <w:sz w:val="16"/>
          <w:szCs w:val="16"/>
          <w:lang w:val="ru-RU"/>
        </w:rPr>
        <w:t xml:space="preserve">Возраст обследуемых пациентов был в диапазоне от 45 до </w:t>
      </w:r>
      <w:r w:rsidR="009D2BE2">
        <w:rPr>
          <w:rFonts w:ascii="Times New Roman" w:hAnsi="Times New Roman"/>
          <w:b/>
          <w:sz w:val="16"/>
          <w:szCs w:val="16"/>
          <w:lang w:val="ru-RU"/>
        </w:rPr>
        <w:t>60 лет, составив в среднем 53,1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±</w:t>
      </w:r>
      <w:r w:rsidRPr="003F0645">
        <w:rPr>
          <w:rFonts w:ascii="Times New Roman" w:hAnsi="Times New Roman"/>
          <w:b/>
          <w:sz w:val="16"/>
          <w:szCs w:val="16"/>
          <w:lang w:val="ru-RU"/>
        </w:rPr>
        <w:t xml:space="preserve">3,78 лет. В возрастном аспекте </w:t>
      </w:r>
      <w:r w:rsidRPr="003F0645">
        <w:rPr>
          <w:rFonts w:ascii="Times New Roman" w:hAnsi="Times New Roman"/>
          <w:b/>
          <w:sz w:val="16"/>
          <w:szCs w:val="16"/>
          <w:lang w:val="ru-RU"/>
        </w:rPr>
        <w:lastRenderedPageBreak/>
        <w:t xml:space="preserve">наибольшее количество пациентов были в промежутке 50-60 лет – 72 больных (86 глаз), в возрасте до 50 лет было 36 пациентов (42 глаза). </w:t>
      </w:r>
    </w:p>
    <w:p w:rsidR="00F96334" w:rsidRDefault="00F96334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Первичная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открытоугольная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глаукома была предст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>авлена у обследуемых пациентов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начальной (78 глаз), развитой (40 глаз) и д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>алеко зашедшей (10 глаз) стадиями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</w:p>
    <w:p w:rsidR="009D2BE2" w:rsidRPr="009D2BE2" w:rsidRDefault="009D2BE2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D2BE2">
        <w:rPr>
          <w:rFonts w:ascii="Times New Roman" w:hAnsi="Times New Roman" w:cs="Times New Roman"/>
          <w:b/>
          <w:sz w:val="16"/>
          <w:szCs w:val="16"/>
        </w:rPr>
        <w:t xml:space="preserve">84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пациента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(139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глаз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составили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группу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контроля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, в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которую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вошли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пациенты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пресбиопического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возраста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без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первичной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открытоугольной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глаукомы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. 39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пациентов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(64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глаза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были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женского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пола, 45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пациентов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(75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глаз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мужского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пола,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что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составляло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 xml:space="preserve"> 46,4% и 53,6% </w:t>
      </w:r>
      <w:proofErr w:type="spellStart"/>
      <w:r w:rsidRPr="009D2BE2">
        <w:rPr>
          <w:rFonts w:ascii="Times New Roman" w:hAnsi="Times New Roman" w:cs="Times New Roman"/>
          <w:b/>
          <w:sz w:val="16"/>
          <w:szCs w:val="16"/>
        </w:rPr>
        <w:t>соответственно</w:t>
      </w:r>
      <w:proofErr w:type="spellEnd"/>
      <w:r w:rsidRPr="009D2BE2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Эмметропическая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гиперметропическая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миопическая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рефракции были представлены в 47, 56 и 36 глазах соответственно. </w:t>
      </w:r>
      <w:r w:rsidRPr="009D2BE2">
        <w:rPr>
          <w:rFonts w:ascii="Times New Roman" w:hAnsi="Times New Roman" w:cs="Times New Roman"/>
          <w:b/>
          <w:sz w:val="16"/>
          <w:szCs w:val="16"/>
          <w:lang w:val="ru-RU"/>
        </w:rPr>
        <w:t xml:space="preserve">Возраст пациентов контрольной группы колебался в пределах 40 –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60 лет, составив в среднем 53,4</w:t>
      </w:r>
      <w:r w:rsidRPr="009D2BE2">
        <w:rPr>
          <w:rFonts w:ascii="Times New Roman" w:hAnsi="Times New Roman" w:cs="Times New Roman"/>
          <w:b/>
          <w:sz w:val="16"/>
          <w:szCs w:val="16"/>
          <w:lang w:val="ru-RU"/>
        </w:rPr>
        <w:t>±4,59 лет</w:t>
      </w:r>
    </w:p>
    <w:p w:rsidR="00F96334" w:rsidRPr="003F0645" w:rsidRDefault="00F96334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 xml:space="preserve">С целью определения пространственного взаимоотношения </w:t>
      </w:r>
      <w:r w:rsidR="001C1230" w:rsidRPr="003F0645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 xml:space="preserve">между </w:t>
      </w:r>
      <w:r w:rsidRPr="003F0645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>структур</w:t>
      </w:r>
      <w:r w:rsidR="001C1230" w:rsidRPr="003F0645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>ами</w:t>
      </w:r>
      <w:r w:rsidRPr="003F0645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 xml:space="preserve"> переднего отрезка глаза всем пациентам была проведена ультразвуковая биомикроскопия (УБМ). 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Для выполнения УБМ использовался аппарат VuMax SONOMED (США). УБМ позволяет атравматично с высокой разрешающей способностью получить изображение тончайших структур переднего сегмента глаза, недоступных при биомикроскопии и гониоскопии. Для исследования использовался датчик с частотой генерируемого звука 50 МГц, разрешающей способностью 50 мкм и глубиной сканирования 5,0 мм. </w:t>
      </w:r>
    </w:p>
    <w:p w:rsidR="006F7321" w:rsidRPr="003F0645" w:rsidRDefault="00F96334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 w:eastAsia="uk-UA"/>
        </w:rPr>
      </w:pPr>
      <w:proofErr w:type="gram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При исследовании определялись следующие параметры: 1) толщина хрусталика – расстояние между передним и задним полюсами хрусталика;   2) глубина передней камеры – по перпендикуляру от эндотелия роговицы в центральной зоне до передней поверхности хрусталика; 3) угол передней камеры, образованный пересечением линии, проходящей по касательной к эндотелию роговицы в зоне трабекулы, и линии, проходящей по передней поверхности радужки;</w:t>
      </w:r>
      <w:proofErr w:type="gram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4) глубину перизонулярного пространства – по перпендикуляру от задней поверхности радужки до первого визуализируемого волокна цинновой связки; 5) толщину цилиарного тела – на расстоянии 1500 мкм (Т</w:t>
      </w:r>
      <w:proofErr w:type="gram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1</w:t>
      </w:r>
      <w:proofErr w:type="gram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), 2000 мкм (Т2) и 2500 мкм (Т3) от склеральной шпоры; форма орбикулярного пространства, ограниченного</w:t>
      </w:r>
      <w:r w:rsidRPr="003F0645">
        <w:rPr>
          <w:rFonts w:ascii="Times New Roman" w:hAnsi="Times New Roman" w:cs="Times New Roman"/>
          <w:b/>
          <w:sz w:val="16"/>
          <w:szCs w:val="16"/>
          <w:lang w:val="ru-RU" w:eastAsia="uk-UA"/>
        </w:rPr>
        <w:t xml:space="preserve"> спереди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 w:eastAsia="uk-UA"/>
        </w:rPr>
        <w:t>перизонулярными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 w:eastAsia="uk-UA"/>
        </w:rPr>
        <w:t xml:space="preserve"> связками, с латеральной стороны – плоской частью цилиарного тела, а сзади и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 w:eastAsia="uk-UA"/>
        </w:rPr>
        <w:t>медиально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 w:eastAsia="uk-UA"/>
        </w:rPr>
        <w:t xml:space="preserve"> – пограничной мембраной стекловидного тела.</w:t>
      </w:r>
    </w:p>
    <w:p w:rsidR="000F7745" w:rsidRPr="003F0645" w:rsidRDefault="000F774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Определение ближайшей точки ясного з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>рения (проксиметрия) производило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сь с помощью таблицы для ближнего зрения Снеллена с расстояния 70 см при 40-W освещении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лампой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. Пациенты 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должны 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были найти наименьший различимый символ на таблице и приближать текст до тех пор, пока 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очертания 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символ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>а не станут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размытым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>и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. Расстояние от наружного уг</w:t>
      </w:r>
      <w:r w:rsidR="001C1230" w:rsidRPr="003F0645">
        <w:rPr>
          <w:rFonts w:ascii="Times New Roman" w:hAnsi="Times New Roman" w:cs="Times New Roman"/>
          <w:b/>
          <w:sz w:val="16"/>
          <w:szCs w:val="16"/>
          <w:lang w:val="ru-RU"/>
        </w:rPr>
        <w:t>ла глазной щели до текста является искомой ближайшей точкой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ясного зрения.</w:t>
      </w:r>
    </w:p>
    <w:p w:rsidR="000F7745" w:rsidRPr="003F0645" w:rsidRDefault="000F774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Объем аккомодации определялась по формуле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Дондерса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. </w:t>
      </w:r>
    </w:p>
    <w:p w:rsidR="000F7745" w:rsidRPr="003F0645" w:rsidRDefault="000F774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noProof/>
          <w:sz w:val="16"/>
          <w:szCs w:val="16"/>
          <w:lang w:val="ru-RU" w:eastAsia="uk-UA"/>
        </w:rPr>
        <w:t>ОА=pp-pr</w:t>
      </w:r>
      <w:r w:rsidRPr="003F0645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>,</w:t>
      </w:r>
    </w:p>
    <w:p w:rsidR="000F7745" w:rsidRPr="003F0645" w:rsidRDefault="000F774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где OA – объем аккомодации (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дптр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),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pp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– ближайшая точка ясного зрения (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дптр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),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pr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– дальнейшая точка ясного зрения</w:t>
      </w:r>
      <w:r w:rsidR="00BC224D" w:rsidRPr="003F0645">
        <w:rPr>
          <w:rFonts w:ascii="Times New Roman" w:hAnsi="Times New Roman" w:cs="Times New Roman"/>
          <w:b/>
          <w:sz w:val="16"/>
          <w:szCs w:val="16"/>
          <w:lang w:val="ru-RU"/>
        </w:rPr>
        <w:t>, соответствующая величине объективной рефракции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(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дптр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).</w:t>
      </w:r>
    </w:p>
    <w:p w:rsidR="000F7745" w:rsidRPr="003F0645" w:rsidRDefault="000F774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Исследование аккомодационных резервов проводилось с целью </w:t>
      </w:r>
      <w:r w:rsidR="00BC224D" w:rsidRPr="003F0645">
        <w:rPr>
          <w:rFonts w:ascii="Times New Roman" w:hAnsi="Times New Roman" w:cs="Times New Roman"/>
          <w:b/>
          <w:sz w:val="16"/>
          <w:szCs w:val="16"/>
          <w:lang w:val="ru-RU"/>
        </w:rPr>
        <w:t>определения лёгкости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, с которой пациенты способны самостоятельно аккомодировать и расслабл</w:t>
      </w:r>
      <w:r w:rsidR="00BC224D" w:rsidRPr="003F0645">
        <w:rPr>
          <w:rFonts w:ascii="Times New Roman" w:hAnsi="Times New Roman" w:cs="Times New Roman"/>
          <w:b/>
          <w:sz w:val="16"/>
          <w:szCs w:val="16"/>
          <w:lang w:val="ru-RU"/>
        </w:rPr>
        <w:t>ять механизм фокусировки, а также их способности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удерживать цель какое-то время, </w:t>
      </w:r>
      <w:r w:rsidR="00BC224D" w:rsidRPr="003F0645">
        <w:rPr>
          <w:rFonts w:ascii="Times New Roman" w:hAnsi="Times New Roman" w:cs="Times New Roman"/>
          <w:b/>
          <w:sz w:val="16"/>
          <w:szCs w:val="16"/>
          <w:lang w:val="ru-RU"/>
        </w:rPr>
        <w:t>что характеризует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аккомодационный тонус </w:t>
      </w:r>
      <w:proofErr w:type="spellStart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рефракционно-аккомодационного</w:t>
      </w:r>
      <w:proofErr w:type="spellEnd"/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аппарата глаза.</w:t>
      </w:r>
    </w:p>
    <w:p w:rsidR="00F96334" w:rsidRDefault="000F774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>Исследование резервов аккомодации проводилось на расстоянии 70 см, поскольку эта точка находится в середине диапазона аккомодации [4]. Пациенту поочередно правым и левым глазом предлагалось найти в таблице Снеллена для близкого расстояния минимальный четко различимый шрифт, с последующим приставлением к исследуемому глазу нарастающих по силе, рассеивающих линз. Линза с наибольшим значением в диоптриях, при котором пациент еще мог различать за</w:t>
      </w:r>
      <w:r w:rsidR="00BC224D" w:rsidRPr="003F0645">
        <w:rPr>
          <w:rFonts w:ascii="Times New Roman" w:hAnsi="Times New Roman" w:cs="Times New Roman"/>
          <w:b/>
          <w:sz w:val="16"/>
          <w:szCs w:val="16"/>
          <w:lang w:val="ru-RU"/>
        </w:rPr>
        <w:t>данный шрифт,</w:t>
      </w:r>
      <w:r w:rsidRPr="003F0645">
        <w:rPr>
          <w:rFonts w:ascii="Times New Roman" w:hAnsi="Times New Roman" w:cs="Times New Roman"/>
          <w:b/>
          <w:sz w:val="16"/>
          <w:szCs w:val="16"/>
          <w:lang w:val="ru-RU"/>
        </w:rPr>
        <w:t xml:space="preserve"> соответствовала величине аккомодационных резервов.</w:t>
      </w:r>
    </w:p>
    <w:p w:rsidR="003F0645" w:rsidRPr="007624B6" w:rsidRDefault="003F064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 w:eastAsia="uk-UA"/>
        </w:rPr>
      </w:pPr>
      <w:r w:rsidRPr="003F0645">
        <w:rPr>
          <w:rFonts w:ascii="Times New Roman" w:hAnsi="Times New Roman"/>
          <w:b/>
          <w:sz w:val="16"/>
          <w:szCs w:val="16"/>
        </w:rPr>
        <w:t xml:space="preserve">Для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обработки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полученных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данных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использовали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методы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вариационной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статистики с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оценкой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достоверности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разницы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результатов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с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помощью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критерия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Стъюдента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Рассчитывали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среднюю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арифметическую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величину (M),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стандартную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ошибку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D67775">
        <w:rPr>
          <w:rFonts w:ascii="Times New Roman" w:hAnsi="Times New Roman"/>
          <w:b/>
          <w:sz w:val="16"/>
          <w:szCs w:val="16"/>
        </w:rPr>
        <w:lastRenderedPageBreak/>
        <w:t>среднего</w:t>
      </w:r>
      <w:proofErr w:type="spellEnd"/>
      <w:r w:rsidR="00D67775">
        <w:rPr>
          <w:rFonts w:ascii="Times New Roman" w:hAnsi="Times New Roman"/>
          <w:b/>
          <w:sz w:val="16"/>
          <w:szCs w:val="16"/>
        </w:rPr>
        <w:t xml:space="preserve"> (m)</w:t>
      </w:r>
      <w:r w:rsidRPr="003F0645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показатель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достоверности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645">
        <w:rPr>
          <w:rFonts w:ascii="Times New Roman" w:hAnsi="Times New Roman"/>
          <w:b/>
          <w:sz w:val="16"/>
          <w:szCs w:val="16"/>
        </w:rPr>
        <w:t>отличий</w:t>
      </w:r>
      <w:proofErr w:type="spellEnd"/>
      <w:r w:rsidRPr="003F0645">
        <w:rPr>
          <w:rFonts w:ascii="Times New Roman" w:hAnsi="Times New Roman"/>
          <w:b/>
          <w:sz w:val="16"/>
          <w:szCs w:val="16"/>
        </w:rPr>
        <w:t xml:space="preserve"> (p).</w:t>
      </w:r>
      <w:r w:rsidR="007624B6" w:rsidRPr="007624B6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proofErr w:type="gramStart"/>
      <w:r w:rsidR="007624B6">
        <w:rPr>
          <w:rFonts w:ascii="Times New Roman" w:hAnsi="Times New Roman"/>
          <w:b/>
          <w:sz w:val="16"/>
          <w:szCs w:val="16"/>
          <w:lang w:val="ru-RU"/>
        </w:rPr>
        <w:t xml:space="preserve">Для описания непараметрических показателей (величина коррекции пресбиопии использовались медиана (МЕ), 25 и 75 </w:t>
      </w:r>
      <w:proofErr w:type="spellStart"/>
      <w:r w:rsidR="007624B6">
        <w:rPr>
          <w:rFonts w:ascii="Times New Roman" w:hAnsi="Times New Roman"/>
          <w:b/>
          <w:sz w:val="16"/>
          <w:szCs w:val="16"/>
          <w:lang w:val="ru-RU"/>
        </w:rPr>
        <w:t>процентили</w:t>
      </w:r>
      <w:proofErr w:type="spellEnd"/>
      <w:r w:rsidR="007624B6">
        <w:rPr>
          <w:rFonts w:ascii="Times New Roman" w:hAnsi="Times New Roman"/>
          <w:b/>
          <w:sz w:val="16"/>
          <w:szCs w:val="16"/>
          <w:lang w:val="ru-RU"/>
        </w:rPr>
        <w:t>.</w:t>
      </w:r>
      <w:proofErr w:type="gramEnd"/>
    </w:p>
    <w:p w:rsidR="003611BA" w:rsidRPr="003611BA" w:rsidRDefault="00E36926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0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и </w:t>
      </w:r>
      <w:r w:rsidR="00BC2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их </w:t>
      </w:r>
      <w:r w:rsidRPr="00BA50F8">
        <w:rPr>
          <w:rFonts w:ascii="Times New Roman" w:hAnsi="Times New Roman" w:cs="Times New Roman"/>
          <w:b/>
          <w:sz w:val="28"/>
          <w:szCs w:val="28"/>
          <w:lang w:val="ru-RU"/>
        </w:rPr>
        <w:t>обсуждение.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1BA"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3611BA">
        <w:rPr>
          <w:rFonts w:ascii="Times New Roman" w:hAnsi="Times New Roman" w:cs="Times New Roman"/>
          <w:sz w:val="28"/>
          <w:szCs w:val="28"/>
          <w:lang w:val="ru-RU"/>
        </w:rPr>
        <w:t>полученным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 xml:space="preserve"> данным,</w:t>
      </w:r>
      <w:r w:rsidR="00361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1BA"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статистически значимых отличий в исследуемых параметрах переднего отрезка глаза в зависимости от стадии глаукомы не наблюдалось. </w:t>
      </w:r>
    </w:p>
    <w:p w:rsidR="003611BA" w:rsidRDefault="003611BA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1BA">
        <w:rPr>
          <w:rFonts w:ascii="Times New Roman" w:hAnsi="Times New Roman" w:cs="Times New Roman"/>
          <w:sz w:val="28"/>
          <w:szCs w:val="28"/>
          <w:lang w:val="ru-RU"/>
        </w:rPr>
        <w:t>При оценке параметров в зависимости от уровня внутриглазного давления наблюдалось статистически значимое уменьшение толщины</w:t>
      </w:r>
      <w:r w:rsidR="0015127C">
        <w:rPr>
          <w:rFonts w:ascii="Times New Roman" w:hAnsi="Times New Roman" w:cs="Times New Roman"/>
          <w:sz w:val="28"/>
          <w:szCs w:val="28"/>
          <w:lang w:val="ru-RU"/>
        </w:rPr>
        <w:t xml:space="preserve"> хрусталика при повышении ВГД. 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при умеренном повышении </w:t>
      </w:r>
      <w:proofErr w:type="spellStart"/>
      <w:r w:rsidRPr="003611BA">
        <w:rPr>
          <w:rFonts w:ascii="Times New Roman" w:hAnsi="Times New Roman" w:cs="Times New Roman"/>
          <w:sz w:val="28"/>
          <w:szCs w:val="28"/>
          <w:lang w:val="ru-RU"/>
        </w:rPr>
        <w:t>офтальмотонуса</w:t>
      </w:r>
      <w:proofErr w:type="spellEnd"/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27C">
        <w:rPr>
          <w:rFonts w:ascii="Times New Roman" w:hAnsi="Times New Roman" w:cs="Times New Roman"/>
          <w:sz w:val="28"/>
          <w:szCs w:val="28"/>
          <w:lang w:val="ru-RU"/>
        </w:rPr>
        <w:t xml:space="preserve">и высоком давлении 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>этот показатель</w:t>
      </w:r>
      <w:r w:rsidR="0015127C">
        <w:rPr>
          <w:rFonts w:ascii="Times New Roman" w:hAnsi="Times New Roman" w:cs="Times New Roman"/>
          <w:sz w:val="28"/>
          <w:szCs w:val="28"/>
          <w:lang w:val="ru-RU"/>
        </w:rPr>
        <w:t xml:space="preserve"> снижался до 3,6 мм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, сравнительно с показателями у </w:t>
      </w:r>
      <w:proofErr w:type="spellStart"/>
      <w:r w:rsidR="00D4465F">
        <w:rPr>
          <w:rFonts w:ascii="Times New Roman" w:hAnsi="Times New Roman" w:cs="Times New Roman"/>
          <w:sz w:val="28"/>
          <w:szCs w:val="28"/>
          <w:lang w:val="ru-RU"/>
        </w:rPr>
        <w:t>пресбиопов</w:t>
      </w:r>
      <w:proofErr w:type="spellEnd"/>
      <w:r w:rsidR="00D4465F">
        <w:rPr>
          <w:rFonts w:ascii="Times New Roman" w:hAnsi="Times New Roman" w:cs="Times New Roman"/>
          <w:sz w:val="28"/>
          <w:szCs w:val="28"/>
          <w:lang w:val="ru-RU"/>
        </w:rPr>
        <w:t xml:space="preserve"> без ПОУГ – 3,8 мм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. При этом отличия были 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>статистически значимы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≤0,05 (табл. 1)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7775" w:rsidRPr="008A4D86" w:rsidRDefault="00D67775" w:rsidP="00D67775">
      <w:pPr>
        <w:spacing w:line="48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Таблица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8A4D86">
        <w:rPr>
          <w:rFonts w:ascii="Times New Roman" w:hAnsi="Times New Roman" w:cs="Times New Roman"/>
          <w:i/>
          <w:sz w:val="28"/>
          <w:szCs w:val="28"/>
        </w:rPr>
        <w:t>.</w:t>
      </w:r>
    </w:p>
    <w:p w:rsidR="00D67775" w:rsidRPr="008A4D86" w:rsidRDefault="00D67775" w:rsidP="00D6777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морфометрических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параметров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переднего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отрезка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глаза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пресбиопов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с ПОУГ в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зависимости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8A4D86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spellEnd"/>
      <w:r w:rsidRPr="008A4D86">
        <w:rPr>
          <w:rFonts w:ascii="Times New Roman" w:hAnsi="Times New Roman" w:cs="Times New Roman"/>
          <w:b/>
          <w:sz w:val="28"/>
          <w:szCs w:val="28"/>
        </w:rPr>
        <w:t xml:space="preserve"> ВГД</w:t>
      </w:r>
    </w:p>
    <w:tbl>
      <w:tblPr>
        <w:tblStyle w:val="a8"/>
        <w:tblW w:w="9747" w:type="dxa"/>
        <w:tblLayout w:type="fixed"/>
        <w:tblLook w:val="04A0"/>
      </w:tblPr>
      <w:tblGrid>
        <w:gridCol w:w="817"/>
        <w:gridCol w:w="2552"/>
        <w:gridCol w:w="1842"/>
        <w:gridCol w:w="1560"/>
        <w:gridCol w:w="1559"/>
        <w:gridCol w:w="1417"/>
      </w:tblGrid>
      <w:tr w:rsidR="00D4465F" w:rsidRPr="00E36926" w:rsidTr="009D2BE2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E36926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65F" w:rsidRPr="009D2BE2" w:rsidRDefault="00D4465F" w:rsidP="009D2BE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E36926" w:rsidRDefault="00D4465F" w:rsidP="00854F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 xml:space="preserve"> ВГД</w:t>
            </w:r>
          </w:p>
        </w:tc>
      </w:tr>
      <w:tr w:rsidR="00D4465F" w:rsidRPr="00E36926" w:rsidTr="009D2BE2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E36926" w:rsidRDefault="00D4465F" w:rsidP="00854F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Pr="00D4465F" w:rsidRDefault="00D4465F" w:rsidP="009D2B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5F" w:rsidRPr="00E36926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5F" w:rsidRPr="00E36926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(n=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5F" w:rsidRPr="00E36926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(n=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D2BE2" w:rsidRPr="00E36926" w:rsidTr="009D2BE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D67775" w:rsidRDefault="009D2BE2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хрусталика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9D2BE2" w:rsidRDefault="00D4465F" w:rsidP="009D2BE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3,83</w:t>
            </w:r>
            <w:r w:rsidR="009D2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9E14AA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±0,3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±0,3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9D2BE2" w:rsidRPr="00E36926" w:rsidTr="009D2BE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D67775" w:rsidRDefault="009D2BE2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9D2BE2" w:rsidRDefault="009D2BE2" w:rsidP="009D2BE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2,24±0,24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2BE2" w:rsidRPr="00E36926" w:rsidTr="009D2BE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D67775" w:rsidRDefault="009D2BE2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44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градусы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9D2BE2" w:rsidRDefault="009D2BE2" w:rsidP="009D2BE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23,4±2,42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  <w:tr w:rsidR="009D2BE2" w:rsidRPr="00E36926" w:rsidTr="009D2BE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D67775" w:rsidRDefault="009D2BE2" w:rsidP="00854F9A">
            <w:pPr>
              <w:spacing w:line="36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  <w:proofErr w:type="spellEnd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еризонулярного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9D2BE2" w:rsidRDefault="00D4465F" w:rsidP="009D2BE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0,61±0,06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674D17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065DCE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9D2BE2" w:rsidRPr="00E36926" w:rsidTr="009D2BE2">
        <w:trPr>
          <w:trHeight w:val="10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Толщина</w:t>
            </w:r>
            <w:proofErr w:type="spellEnd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цилиарного</w:t>
            </w:r>
            <w:proofErr w:type="spellEnd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D67775" w:rsidRDefault="009D2BE2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1500 мкм от СШ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D4465F" w:rsidRDefault="00D4465F" w:rsidP="009D2BE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0,43±0,05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BE2" w:rsidRPr="00E36926" w:rsidTr="009D2BE2">
        <w:trPr>
          <w:trHeight w:val="11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D67775" w:rsidRDefault="009D2BE2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2000 мкм от СШ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D4465F" w:rsidRDefault="00D4465F" w:rsidP="009D2BE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0,26±0,03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BE2" w:rsidRPr="00E36926" w:rsidTr="009D2BE2">
        <w:trPr>
          <w:trHeight w:val="1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D67775" w:rsidRDefault="009D2BE2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2500 мкм от СШ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E2" w:rsidRPr="00D4465F" w:rsidRDefault="00D4465F" w:rsidP="009D2BE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0,27±0,03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E2" w:rsidRPr="00E36926" w:rsidRDefault="009D2BE2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3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±0,0</w:t>
            </w:r>
            <w:r w:rsidRPr="00E36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7775" w:rsidRPr="003611BA" w:rsidRDefault="00D67775" w:rsidP="00D6777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1BA">
        <w:rPr>
          <w:rFonts w:ascii="Times New Roman" w:hAnsi="Times New Roman" w:cs="Times New Roman"/>
          <w:sz w:val="28"/>
          <w:szCs w:val="28"/>
        </w:rPr>
        <w:t>Примечание</w:t>
      </w:r>
      <w:proofErr w:type="spellEnd"/>
      <w:r w:rsidRPr="003611BA">
        <w:rPr>
          <w:rFonts w:ascii="Times New Roman" w:hAnsi="Times New Roman" w:cs="Times New Roman"/>
          <w:sz w:val="28"/>
          <w:szCs w:val="28"/>
        </w:rPr>
        <w:t xml:space="preserve">: 1. </w:t>
      </w:r>
      <w:proofErr w:type="gramStart"/>
      <w:r w:rsidRPr="003611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11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11BA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3611BA">
        <w:rPr>
          <w:rFonts w:ascii="Times New Roman" w:hAnsi="Times New Roman" w:cs="Times New Roman"/>
          <w:sz w:val="28"/>
          <w:szCs w:val="28"/>
        </w:rPr>
        <w:t xml:space="preserve"> ВГД </w:t>
      </w:r>
      <w:proofErr w:type="spellStart"/>
      <w:r w:rsidRPr="003611BA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361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B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61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BA">
        <w:rPr>
          <w:rFonts w:ascii="Times New Roman" w:hAnsi="Times New Roman" w:cs="Times New Roman"/>
          <w:sz w:val="28"/>
          <w:szCs w:val="28"/>
        </w:rPr>
        <w:t>равен</w:t>
      </w:r>
      <w:proofErr w:type="spellEnd"/>
      <w:r w:rsidRPr="003611BA">
        <w:rPr>
          <w:rFonts w:ascii="Times New Roman" w:hAnsi="Times New Roman" w:cs="Times New Roman"/>
          <w:sz w:val="28"/>
          <w:szCs w:val="28"/>
        </w:rPr>
        <w:t xml:space="preserve"> 21 мм </w:t>
      </w:r>
      <w:proofErr w:type="spellStart"/>
      <w:r w:rsidRPr="003611B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61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1BA">
        <w:rPr>
          <w:rFonts w:ascii="Times New Roman" w:hAnsi="Times New Roman" w:cs="Times New Roman"/>
          <w:sz w:val="28"/>
          <w:szCs w:val="28"/>
        </w:rPr>
        <w:t xml:space="preserve"> ст.;</w:t>
      </w:r>
    </w:p>
    <w:p w:rsidR="00D67775" w:rsidRPr="003611BA" w:rsidRDefault="00D67775" w:rsidP="00D67775">
      <w:pPr>
        <w:spacing w:after="0" w:line="480" w:lineRule="auto"/>
        <w:ind w:left="360" w:firstLine="2050"/>
        <w:jc w:val="both"/>
        <w:rPr>
          <w:rFonts w:ascii="Times New Roman" w:hAnsi="Times New Roman" w:cs="Times New Roman"/>
          <w:sz w:val="28"/>
          <w:szCs w:val="28"/>
        </w:rPr>
      </w:pPr>
      <w:r w:rsidRPr="003611BA">
        <w:rPr>
          <w:rFonts w:ascii="Times New Roman" w:hAnsi="Times New Roman" w:cs="Times New Roman"/>
          <w:sz w:val="28"/>
          <w:szCs w:val="28"/>
        </w:rPr>
        <w:t xml:space="preserve">2. </w:t>
      </w:r>
      <w:r w:rsidRPr="003611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11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611BA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proofErr w:type="gramEnd"/>
      <w:r w:rsidRPr="003611BA">
        <w:rPr>
          <w:rFonts w:ascii="Times New Roman" w:hAnsi="Times New Roman" w:cs="Times New Roman"/>
          <w:sz w:val="28"/>
          <w:szCs w:val="28"/>
        </w:rPr>
        <w:t xml:space="preserve"> ВГД от 22 до 32 мм </w:t>
      </w:r>
      <w:proofErr w:type="spellStart"/>
      <w:r w:rsidRPr="003611B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611BA">
        <w:rPr>
          <w:rFonts w:ascii="Times New Roman" w:hAnsi="Times New Roman" w:cs="Times New Roman"/>
          <w:sz w:val="28"/>
          <w:szCs w:val="28"/>
        </w:rPr>
        <w:t>. ст.;</w:t>
      </w:r>
    </w:p>
    <w:p w:rsidR="00D67775" w:rsidRPr="003611BA" w:rsidRDefault="00D67775" w:rsidP="00D67775">
      <w:pPr>
        <w:pStyle w:val="ab"/>
        <w:numPr>
          <w:ilvl w:val="0"/>
          <w:numId w:val="1"/>
        </w:numPr>
        <w:suppressAutoHyphens w:val="0"/>
        <w:spacing w:line="480" w:lineRule="auto"/>
        <w:ind w:firstLine="1690"/>
        <w:jc w:val="both"/>
        <w:rPr>
          <w:sz w:val="28"/>
          <w:szCs w:val="28"/>
        </w:rPr>
      </w:pPr>
      <w:r w:rsidRPr="003611BA">
        <w:rPr>
          <w:sz w:val="28"/>
          <w:szCs w:val="28"/>
          <w:lang w:val="en-US"/>
        </w:rPr>
        <w:t>c</w:t>
      </w:r>
      <w:r w:rsidRPr="003611BA">
        <w:rPr>
          <w:sz w:val="28"/>
          <w:szCs w:val="28"/>
        </w:rPr>
        <w:t xml:space="preserve"> – </w:t>
      </w:r>
      <w:proofErr w:type="gramStart"/>
      <w:r w:rsidRPr="003611BA">
        <w:rPr>
          <w:sz w:val="28"/>
          <w:szCs w:val="28"/>
        </w:rPr>
        <w:t>уровень</w:t>
      </w:r>
      <w:proofErr w:type="gramEnd"/>
      <w:r w:rsidRPr="003611BA">
        <w:rPr>
          <w:sz w:val="28"/>
          <w:szCs w:val="28"/>
        </w:rPr>
        <w:t xml:space="preserve"> ВГД 32 мм </w:t>
      </w:r>
      <w:proofErr w:type="spellStart"/>
      <w:r w:rsidRPr="003611BA">
        <w:rPr>
          <w:sz w:val="28"/>
          <w:szCs w:val="28"/>
        </w:rPr>
        <w:t>рт</w:t>
      </w:r>
      <w:proofErr w:type="spellEnd"/>
      <w:r w:rsidRPr="003611BA">
        <w:rPr>
          <w:sz w:val="28"/>
          <w:szCs w:val="28"/>
        </w:rPr>
        <w:t>. ст. и выше;</w:t>
      </w:r>
    </w:p>
    <w:p w:rsidR="00D67775" w:rsidRPr="008A4D86" w:rsidRDefault="00D67775" w:rsidP="00D67775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4D86">
        <w:rPr>
          <w:rFonts w:ascii="Times New Roman" w:hAnsi="Times New Roman" w:cs="Times New Roman"/>
          <w:sz w:val="28"/>
          <w:szCs w:val="28"/>
        </w:rPr>
        <w:t xml:space="preserve">* -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отли</w:t>
      </w:r>
      <w:r w:rsidR="00D4465F">
        <w:rPr>
          <w:rFonts w:ascii="Times New Roman" w:hAnsi="Times New Roman" w:cs="Times New Roman"/>
          <w:sz w:val="28"/>
          <w:szCs w:val="28"/>
        </w:rPr>
        <w:t>чия</w:t>
      </w:r>
      <w:proofErr w:type="spellEnd"/>
      <w:r w:rsidR="00D4465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4465F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="00D4465F">
        <w:rPr>
          <w:rFonts w:ascii="Times New Roman" w:hAnsi="Times New Roman" w:cs="Times New Roman"/>
          <w:sz w:val="28"/>
          <w:szCs w:val="28"/>
        </w:rPr>
        <w:t xml:space="preserve"> </w:t>
      </w:r>
      <w:r w:rsidR="00D4465F">
        <w:rPr>
          <w:rFonts w:ascii="Times New Roman" w:hAnsi="Times New Roman" w:cs="Times New Roman"/>
          <w:sz w:val="28"/>
          <w:szCs w:val="28"/>
          <w:lang w:val="ru-RU"/>
        </w:rPr>
        <w:t>контрольной группы</w:t>
      </w:r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r w:rsidR="0015127C">
        <w:rPr>
          <w:rFonts w:ascii="Times New Roman" w:hAnsi="Times New Roman" w:cs="Times New Roman"/>
          <w:sz w:val="28"/>
          <w:szCs w:val="28"/>
          <w:lang w:val="ru-RU"/>
        </w:rPr>
        <w:t>статистически значимы</w:t>
      </w:r>
      <w:r w:rsidRPr="008A4D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р≤0,05.</w:t>
      </w:r>
    </w:p>
    <w:p w:rsidR="00D67775" w:rsidRPr="003611BA" w:rsidRDefault="00D6777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11BA" w:rsidRPr="003611BA" w:rsidRDefault="003611BA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1BA">
        <w:rPr>
          <w:rFonts w:ascii="Times New Roman" w:hAnsi="Times New Roman" w:cs="Times New Roman"/>
          <w:sz w:val="28"/>
          <w:szCs w:val="28"/>
          <w:lang w:val="ru-RU"/>
        </w:rPr>
        <w:t>Глубина перизонулярного пространства повышалась с увеличением уровня внутриглазного давлени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>я. Данный п</w:t>
      </w:r>
      <w:r w:rsidR="0015127C">
        <w:rPr>
          <w:rFonts w:ascii="Times New Roman" w:hAnsi="Times New Roman" w:cs="Times New Roman"/>
          <w:sz w:val="28"/>
          <w:szCs w:val="28"/>
          <w:lang w:val="ru-RU"/>
        </w:rPr>
        <w:t>оказатель возрастал до 0,7 мм</w:t>
      </w:r>
      <w:r w:rsidR="008A4D86">
        <w:rPr>
          <w:rFonts w:ascii="Times New Roman" w:hAnsi="Times New Roman" w:cs="Times New Roman"/>
          <w:sz w:val="28"/>
          <w:szCs w:val="28"/>
          <w:lang w:val="ru-RU"/>
        </w:rPr>
        <w:t xml:space="preserve"> при умеренно повышенном ВГД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и при высоком </w:t>
      </w:r>
      <w:proofErr w:type="spellStart"/>
      <w:r w:rsidRPr="003611BA">
        <w:rPr>
          <w:rFonts w:ascii="Times New Roman" w:hAnsi="Times New Roman" w:cs="Times New Roman"/>
          <w:sz w:val="28"/>
          <w:szCs w:val="28"/>
          <w:lang w:val="ru-RU"/>
        </w:rPr>
        <w:t>офтальмотонусе</w:t>
      </w:r>
      <w:proofErr w:type="spellEnd"/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D86" w:rsidRPr="003611B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8A4D86" w:rsidRPr="003611B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A4D86" w:rsidRPr="003611BA">
        <w:rPr>
          <w:rFonts w:ascii="Times New Roman" w:hAnsi="Times New Roman" w:cs="Times New Roman"/>
          <w:sz w:val="28"/>
          <w:szCs w:val="28"/>
          <w:lang w:val="ru-RU"/>
        </w:rPr>
        <w:t>≤0,05)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сравнительно с данными у </w:t>
      </w:r>
      <w:proofErr w:type="spellStart"/>
      <w:r w:rsidR="00D4465F">
        <w:rPr>
          <w:rFonts w:ascii="Times New Roman" w:hAnsi="Times New Roman" w:cs="Times New Roman"/>
          <w:sz w:val="28"/>
          <w:szCs w:val="28"/>
          <w:lang w:val="ru-RU"/>
        </w:rPr>
        <w:t>пресбиопов</w:t>
      </w:r>
      <w:proofErr w:type="spellEnd"/>
      <w:r w:rsidR="00D4465F">
        <w:rPr>
          <w:rFonts w:ascii="Times New Roman" w:hAnsi="Times New Roman" w:cs="Times New Roman"/>
          <w:sz w:val="28"/>
          <w:szCs w:val="28"/>
          <w:lang w:val="ru-RU"/>
        </w:rPr>
        <w:t xml:space="preserve"> без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ПОУГ при нормальном 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утриглазном давлении </w:t>
      </w:r>
      <w:r w:rsidR="0015127C">
        <w:rPr>
          <w:rFonts w:ascii="Times New Roman" w:hAnsi="Times New Roman" w:cs="Times New Roman"/>
          <w:sz w:val="28"/>
          <w:szCs w:val="28"/>
          <w:lang w:val="ru-RU"/>
        </w:rPr>
        <w:t xml:space="preserve">– 0,6 мм </w:t>
      </w:r>
      <w:r>
        <w:rPr>
          <w:rFonts w:ascii="Times New Roman" w:hAnsi="Times New Roman" w:cs="Times New Roman"/>
          <w:sz w:val="28"/>
          <w:szCs w:val="28"/>
          <w:lang w:val="ru-RU"/>
        </w:rPr>
        <w:t>(табл. 1)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0875" w:rsidRPr="00926BD7" w:rsidRDefault="003611BA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Остальные показатели не </w:t>
      </w:r>
      <w:r w:rsidR="00BC224D">
        <w:rPr>
          <w:rFonts w:ascii="Times New Roman" w:hAnsi="Times New Roman" w:cs="Times New Roman"/>
          <w:sz w:val="28"/>
          <w:szCs w:val="28"/>
          <w:lang w:val="ru-RU"/>
        </w:rPr>
        <w:t>зависели</w:t>
      </w:r>
      <w:r w:rsidRPr="003611BA">
        <w:rPr>
          <w:rFonts w:ascii="Times New Roman" w:hAnsi="Times New Roman" w:cs="Times New Roman"/>
          <w:sz w:val="28"/>
          <w:szCs w:val="28"/>
          <w:lang w:val="ru-RU"/>
        </w:rPr>
        <w:t xml:space="preserve"> от уровня внутриглазного давления.</w:t>
      </w:r>
    </w:p>
    <w:p w:rsidR="00E60875" w:rsidRPr="00E60875" w:rsidRDefault="00E6087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875">
        <w:rPr>
          <w:rFonts w:ascii="Times New Roman" w:hAnsi="Times New Roman" w:cs="Times New Roman"/>
          <w:sz w:val="28"/>
          <w:szCs w:val="28"/>
          <w:lang w:val="ru-RU"/>
        </w:rPr>
        <w:t xml:space="preserve">Анализ показателей величины пресбиопии, объема и резервов аккомодации не выявил </w:t>
      </w:r>
      <w:r w:rsidR="00F26CA9">
        <w:rPr>
          <w:rFonts w:ascii="Times New Roman" w:hAnsi="Times New Roman" w:cs="Times New Roman"/>
          <w:sz w:val="28"/>
          <w:szCs w:val="28"/>
          <w:lang w:val="ru-RU"/>
        </w:rPr>
        <w:t>статистически значимых</w:t>
      </w:r>
      <w:r w:rsidRPr="00E60875">
        <w:rPr>
          <w:rFonts w:ascii="Times New Roman" w:hAnsi="Times New Roman" w:cs="Times New Roman"/>
          <w:sz w:val="28"/>
          <w:szCs w:val="28"/>
          <w:lang w:val="ru-RU"/>
        </w:rPr>
        <w:t xml:space="preserve"> отличий </w:t>
      </w:r>
      <w:r w:rsidR="00F26CA9">
        <w:rPr>
          <w:rFonts w:ascii="Times New Roman" w:hAnsi="Times New Roman" w:cs="Times New Roman"/>
          <w:sz w:val="28"/>
          <w:szCs w:val="28"/>
          <w:lang w:val="ru-RU"/>
        </w:rPr>
        <w:t>при р</w:t>
      </w:r>
      <w:r w:rsidR="0072515F">
        <w:rPr>
          <w:rFonts w:ascii="Times New Roman" w:hAnsi="Times New Roman" w:cs="Times New Roman"/>
          <w:sz w:val="28"/>
          <w:szCs w:val="28"/>
          <w:lang w:val="ru-RU"/>
        </w:rPr>
        <w:t>азных стадиях</w:t>
      </w:r>
      <w:r w:rsidRPr="00E60875">
        <w:rPr>
          <w:rFonts w:ascii="Times New Roman" w:hAnsi="Times New Roman" w:cs="Times New Roman"/>
          <w:sz w:val="28"/>
          <w:szCs w:val="28"/>
          <w:lang w:val="ru-RU"/>
        </w:rPr>
        <w:t xml:space="preserve"> первичной </w:t>
      </w:r>
      <w:proofErr w:type="spellStart"/>
      <w:r w:rsidRPr="00E60875">
        <w:rPr>
          <w:rFonts w:ascii="Times New Roman" w:hAnsi="Times New Roman" w:cs="Times New Roman"/>
          <w:sz w:val="28"/>
          <w:szCs w:val="28"/>
          <w:lang w:val="ru-RU"/>
        </w:rPr>
        <w:t>откр</w:t>
      </w:r>
      <w:r>
        <w:rPr>
          <w:rFonts w:ascii="Times New Roman" w:hAnsi="Times New Roman" w:cs="Times New Roman"/>
          <w:sz w:val="28"/>
          <w:szCs w:val="28"/>
          <w:lang w:val="ru-RU"/>
        </w:rPr>
        <w:t>ытоугольной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глаукомы</w:t>
      </w:r>
      <w:r w:rsidRPr="00E60875">
        <w:rPr>
          <w:rFonts w:ascii="Times New Roman" w:hAnsi="Times New Roman" w:cs="Times New Roman"/>
          <w:sz w:val="28"/>
          <w:szCs w:val="28"/>
          <w:lang w:val="ru-RU"/>
        </w:rPr>
        <w:t xml:space="preserve">. При этом прослеживалась четкая зависимость указанных показателей от уровня внутриглазного давления. Наблюдалось статистически значимое увеличение величины </w:t>
      </w:r>
      <w:r w:rsidR="0015127C">
        <w:rPr>
          <w:rFonts w:ascii="Times New Roman" w:hAnsi="Times New Roman" w:cs="Times New Roman"/>
          <w:sz w:val="28"/>
          <w:szCs w:val="28"/>
          <w:lang w:val="ru-RU"/>
        </w:rPr>
        <w:t xml:space="preserve">коррекции </w:t>
      </w:r>
      <w:r w:rsidRPr="00E6087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пресбиопии в подгруппах с умеренно повышенным (</w:t>
      </w:r>
      <w:proofErr w:type="gramStart"/>
      <w:r w:rsidRPr="00E6087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60875">
        <w:rPr>
          <w:rFonts w:ascii="Times New Roman" w:hAnsi="Times New Roman" w:cs="Times New Roman"/>
          <w:sz w:val="28"/>
          <w:szCs w:val="28"/>
          <w:lang w:val="ru-RU"/>
        </w:rPr>
        <w:t>=0,46) и высоким внутриглазным давлением (р=0,35).</w:t>
      </w:r>
    </w:p>
    <w:p w:rsidR="00E60875" w:rsidRDefault="00E60875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875">
        <w:rPr>
          <w:rFonts w:ascii="Times New Roman" w:hAnsi="Times New Roman" w:cs="Times New Roman"/>
          <w:sz w:val="28"/>
          <w:szCs w:val="28"/>
          <w:lang w:val="ru-RU"/>
        </w:rPr>
        <w:t xml:space="preserve">Объем и резервы аккомодации снижались с увеличением внутриглазного давления. Причем отличия показателей при умеренно повышенном ВГД от данных в </w:t>
      </w:r>
      <w:r w:rsidR="007624B6">
        <w:rPr>
          <w:rFonts w:ascii="Times New Roman" w:hAnsi="Times New Roman" w:cs="Times New Roman"/>
          <w:sz w:val="28"/>
          <w:szCs w:val="28"/>
          <w:lang w:val="ru-RU"/>
        </w:rPr>
        <w:t>контрольной группе</w:t>
      </w:r>
      <w:r w:rsidRPr="00E60875">
        <w:rPr>
          <w:rFonts w:ascii="Times New Roman" w:hAnsi="Times New Roman" w:cs="Times New Roman"/>
          <w:sz w:val="28"/>
          <w:szCs w:val="28"/>
          <w:lang w:val="ru-RU"/>
        </w:rPr>
        <w:t xml:space="preserve"> были на </w:t>
      </w:r>
      <w:r w:rsidR="0072515F">
        <w:rPr>
          <w:rFonts w:ascii="Times New Roman" w:hAnsi="Times New Roman" w:cs="Times New Roman"/>
          <w:sz w:val="28"/>
          <w:szCs w:val="28"/>
          <w:lang w:val="ru-RU"/>
        </w:rPr>
        <w:t xml:space="preserve">уровне значимости </w:t>
      </w:r>
      <w:proofErr w:type="spellStart"/>
      <w:proofErr w:type="gramStart"/>
      <w:r w:rsidR="0072515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72515F">
        <w:rPr>
          <w:rFonts w:ascii="Times New Roman" w:hAnsi="Times New Roman" w:cs="Times New Roman"/>
          <w:sz w:val="28"/>
          <w:szCs w:val="28"/>
          <w:lang w:val="ru-RU"/>
        </w:rPr>
        <w:t>&lt;0,05</w:t>
      </w:r>
      <w:r w:rsidRPr="00E60875">
        <w:rPr>
          <w:rFonts w:ascii="Times New Roman" w:hAnsi="Times New Roman" w:cs="Times New Roman"/>
          <w:sz w:val="28"/>
          <w:szCs w:val="28"/>
          <w:lang w:val="ru-RU"/>
        </w:rPr>
        <w:t xml:space="preserve">. Средние значения объема и резервов аккомодации в подгруппе с высоким ВГД отличились от показателей у </w:t>
      </w:r>
      <w:proofErr w:type="spellStart"/>
      <w:r w:rsidR="007624B6">
        <w:rPr>
          <w:rFonts w:ascii="Times New Roman" w:hAnsi="Times New Roman" w:cs="Times New Roman"/>
          <w:sz w:val="28"/>
          <w:szCs w:val="28"/>
          <w:lang w:val="ru-RU"/>
        </w:rPr>
        <w:t>пресбиопов</w:t>
      </w:r>
      <w:proofErr w:type="spellEnd"/>
      <w:r w:rsidR="007624B6">
        <w:rPr>
          <w:rFonts w:ascii="Times New Roman" w:hAnsi="Times New Roman" w:cs="Times New Roman"/>
          <w:sz w:val="28"/>
          <w:szCs w:val="28"/>
          <w:lang w:val="ru-RU"/>
        </w:rPr>
        <w:t xml:space="preserve"> без ПОУГ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уровне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≤0,01</w:t>
      </w:r>
      <w:r w:rsidR="00926BD7">
        <w:rPr>
          <w:rFonts w:ascii="Times New Roman" w:hAnsi="Times New Roman" w:cs="Times New Roman"/>
          <w:sz w:val="28"/>
          <w:szCs w:val="28"/>
          <w:lang w:val="ru-RU"/>
        </w:rPr>
        <w:t xml:space="preserve"> (табл. 2)</w:t>
      </w:r>
      <w:r w:rsidRPr="00E608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27C" w:rsidRPr="00926BD7" w:rsidRDefault="0015127C" w:rsidP="0015127C">
      <w:pPr>
        <w:spacing w:line="48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Таблица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5127C" w:rsidRPr="00C211A1" w:rsidRDefault="0015127C" w:rsidP="0015127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1A1">
        <w:rPr>
          <w:rFonts w:ascii="Times New Roman" w:hAnsi="Times New Roman" w:cs="Times New Roman"/>
          <w:b/>
          <w:sz w:val="28"/>
          <w:szCs w:val="28"/>
          <w:lang w:val="ru-RU"/>
        </w:rPr>
        <w:t>Результаты оценки величины пресбиопии, объема и резервов аккомодации у больных с ПОУГ в зависимости от уровня ВГД</w:t>
      </w:r>
    </w:p>
    <w:tbl>
      <w:tblPr>
        <w:tblStyle w:val="a8"/>
        <w:tblW w:w="9889" w:type="dxa"/>
        <w:tblLayout w:type="fixed"/>
        <w:tblLook w:val="04A0"/>
      </w:tblPr>
      <w:tblGrid>
        <w:gridCol w:w="2943"/>
        <w:gridCol w:w="1843"/>
        <w:gridCol w:w="1559"/>
        <w:gridCol w:w="1701"/>
        <w:gridCol w:w="1843"/>
      </w:tblGrid>
      <w:tr w:rsidR="00D4465F" w:rsidRPr="00C211A1" w:rsidTr="007624B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Pr="00D4465F" w:rsidRDefault="00D4465F" w:rsidP="007624B6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ВГД</w:t>
            </w:r>
          </w:p>
        </w:tc>
      </w:tr>
      <w:tr w:rsidR="00D4465F" w:rsidRPr="00C211A1" w:rsidTr="007624B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Pr="00D4465F" w:rsidRDefault="00D4465F" w:rsidP="007624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5F" w:rsidRPr="00C211A1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</w:t>
            </w:r>
            <w:proofErr w:type="spellEnd"/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(n=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5F" w:rsidRPr="00C211A1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</w:t>
            </w:r>
            <w:proofErr w:type="spellEnd"/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(n=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5F" w:rsidRPr="00C211A1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(n=30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4465F" w:rsidRPr="00C211A1" w:rsidTr="007624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Pr="007624B6" w:rsidRDefault="007624B6" w:rsidP="007624B6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2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53,4±4,59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53,7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±4,27</w:t>
            </w:r>
          </w:p>
        </w:tc>
      </w:tr>
      <w:tr w:rsidR="00D4465F" w:rsidRPr="00C211A1" w:rsidTr="007624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15127C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коррекции 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пресбиопии (SE) (МЕ(25%;75%))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B6" w:rsidRDefault="007624B6" w:rsidP="007624B6">
            <w:pPr>
              <w:spacing w:line="36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D20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  <w:p w:rsidR="00D4465F" w:rsidRPr="003A7D20" w:rsidRDefault="007624B6" w:rsidP="007624B6">
            <w:pPr>
              <w:spacing w:line="36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20">
              <w:rPr>
                <w:rFonts w:ascii="Times New Roman" w:hAnsi="Times New Roman" w:cs="Times New Roman"/>
                <w:sz w:val="28"/>
                <w:szCs w:val="28"/>
              </w:rPr>
              <w:t>(2,0;2,125)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3A7D20" w:rsidRDefault="00D4465F" w:rsidP="00854F9A">
            <w:pPr>
              <w:spacing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D20">
              <w:rPr>
                <w:rFonts w:ascii="Times New Roman" w:hAnsi="Times New Roman" w:cs="Times New Roman"/>
                <w:sz w:val="28"/>
                <w:szCs w:val="28"/>
              </w:rPr>
              <w:t>2,0 (2,0;2,125)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3A7D20" w:rsidRDefault="00D4465F" w:rsidP="00854F9A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D20">
              <w:rPr>
                <w:rFonts w:ascii="Times New Roman" w:hAnsi="Times New Roman" w:cs="Times New Roman"/>
                <w:sz w:val="28"/>
                <w:szCs w:val="28"/>
              </w:rPr>
              <w:t>2,25 (2,25;2,38)*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1C37D2" w:rsidRDefault="00D4465F" w:rsidP="00854F9A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D20">
              <w:rPr>
                <w:rFonts w:ascii="Times New Roman" w:hAnsi="Times New Roman" w:cs="Times New Roman"/>
                <w:sz w:val="28"/>
                <w:szCs w:val="28"/>
              </w:rPr>
              <w:t>2,625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(2,5;</w:t>
            </w:r>
            <w:r w:rsidRPr="003A7D20">
              <w:rPr>
                <w:rFonts w:ascii="Times New Roman" w:hAnsi="Times New Roman" w:cs="Times New Roman"/>
                <w:sz w:val="28"/>
                <w:szCs w:val="28"/>
              </w:rPr>
              <w:t>2,625)*</w:t>
            </w:r>
          </w:p>
        </w:tc>
      </w:tr>
      <w:tr w:rsidR="00D4465F" w:rsidRPr="00C211A1" w:rsidTr="007624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аккомодации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Pr="00C211A1" w:rsidRDefault="007624B6" w:rsidP="007624B6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2,23±0,</w:t>
            </w:r>
            <w:r w:rsidR="00F55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±0,18*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±0,14**</w:t>
            </w:r>
          </w:p>
        </w:tc>
      </w:tr>
      <w:tr w:rsidR="00D4465F" w:rsidRPr="00C211A1" w:rsidTr="007624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Резервы аккомодации (M±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Default="00F55DAF" w:rsidP="007624B6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0,61±0,04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0,57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0,42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±0,05*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F" w:rsidRPr="00C211A1" w:rsidRDefault="00D4465F" w:rsidP="00854F9A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0,33</w:t>
            </w:r>
            <w:r w:rsidRPr="00C21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±0,04**</w:t>
            </w:r>
          </w:p>
        </w:tc>
      </w:tr>
    </w:tbl>
    <w:p w:rsidR="0015127C" w:rsidRPr="008A4D86" w:rsidRDefault="0015127C" w:rsidP="0015127C">
      <w:pPr>
        <w:spacing w:after="0" w:line="48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Примечание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: 1. * -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отличия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статистически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значимы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сравнительно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показателями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>группы контроля</w:t>
      </w:r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 xml:space="preserve">на уровне </w:t>
      </w:r>
      <w:r w:rsidRPr="008A4D86">
        <w:rPr>
          <w:rFonts w:ascii="Times New Roman" w:hAnsi="Times New Roman" w:cs="Times New Roman"/>
          <w:sz w:val="28"/>
          <w:szCs w:val="28"/>
        </w:rPr>
        <w:t>р≤0,05;</w:t>
      </w:r>
    </w:p>
    <w:p w:rsidR="0015127C" w:rsidRPr="00377D10" w:rsidRDefault="0015127C" w:rsidP="0015127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4D86">
        <w:rPr>
          <w:rFonts w:ascii="Times New Roman" w:hAnsi="Times New Roman" w:cs="Times New Roman"/>
          <w:sz w:val="28"/>
          <w:szCs w:val="28"/>
        </w:rPr>
        <w:t xml:space="preserve">2. **-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отличия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статистически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значимы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сравнительно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A4D86">
        <w:rPr>
          <w:rFonts w:ascii="Times New Roman" w:hAnsi="Times New Roman" w:cs="Times New Roman"/>
          <w:sz w:val="28"/>
          <w:szCs w:val="28"/>
        </w:rPr>
        <w:t>показателями</w:t>
      </w:r>
      <w:proofErr w:type="spellEnd"/>
      <w:r w:rsidRPr="008A4D86">
        <w:rPr>
          <w:rFonts w:ascii="Times New Roman" w:hAnsi="Times New Roman" w:cs="Times New Roman"/>
          <w:sz w:val="28"/>
          <w:szCs w:val="28"/>
        </w:rPr>
        <w:t xml:space="preserve">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>группы контроля</w:t>
      </w:r>
      <w:r w:rsidR="00377D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7D10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="00377D10">
        <w:rPr>
          <w:rFonts w:ascii="Times New Roman" w:hAnsi="Times New Roman" w:cs="Times New Roman"/>
          <w:sz w:val="28"/>
          <w:szCs w:val="28"/>
        </w:rPr>
        <w:t xml:space="preserve"> р≤0,01</w:t>
      </w:r>
      <w:r w:rsidR="00377D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7D10" w:rsidRPr="00377D10" w:rsidRDefault="00377D10" w:rsidP="0015127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F9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4F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54F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4F9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см. табл. 1.</w:t>
      </w:r>
    </w:p>
    <w:p w:rsidR="00377D10" w:rsidRPr="00854F9A" w:rsidRDefault="00377D10" w:rsidP="0015127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127C" w:rsidRPr="0015127C" w:rsidRDefault="0015127C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81" w:rsidRDefault="00E22D81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Такие изменения могут свидетельствовать о модифицирующем влиянии внутриглазного давления на хрусталик, что согласуется с теорией аккомодации И.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По-видимому, увеличение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офтальмотонуса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5F">
        <w:rPr>
          <w:rFonts w:ascii="Times New Roman" w:hAnsi="Times New Roman" w:cs="Times New Roman"/>
          <w:sz w:val="28"/>
          <w:szCs w:val="28"/>
          <w:lang w:val="ru-RU"/>
        </w:rPr>
        <w:t>сверх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21 мм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ст. приводит к уплощению хрусталика, что сопровождается уменьшением объема и резервов аккомодации, а также увеличением величины </w:t>
      </w:r>
      <w:r w:rsidR="00377D10">
        <w:rPr>
          <w:rFonts w:ascii="Times New Roman" w:hAnsi="Times New Roman" w:cs="Times New Roman"/>
          <w:sz w:val="28"/>
          <w:szCs w:val="28"/>
          <w:lang w:val="ru-RU"/>
        </w:rPr>
        <w:t xml:space="preserve">коррекции </w:t>
      </w:r>
      <w:r>
        <w:rPr>
          <w:rFonts w:ascii="Times New Roman" w:hAnsi="Times New Roman" w:cs="Times New Roman"/>
          <w:sz w:val="28"/>
          <w:szCs w:val="28"/>
          <w:lang w:val="ru-RU"/>
        </w:rPr>
        <w:t>пресбиопии</w:t>
      </w:r>
      <w:r w:rsidR="00377D1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перизонулярного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 при увеличении уровня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офтальмотонуса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связано, вероятно, с повышением ВГД в задней камере за счет усиления выработки водянистой влаги, причиной которого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 xml:space="preserve">вероятно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повышение тонуса цилиарного тела при пресбиопии.</w:t>
      </w:r>
    </w:p>
    <w:p w:rsidR="00A04A53" w:rsidRPr="00BA50F8" w:rsidRDefault="00E22D81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0F8">
        <w:rPr>
          <w:rFonts w:ascii="Times New Roman" w:hAnsi="Times New Roman" w:cs="Times New Roman"/>
          <w:b/>
          <w:sz w:val="28"/>
          <w:szCs w:val="28"/>
          <w:lang w:val="ru-RU"/>
        </w:rPr>
        <w:t>Выводы</w:t>
      </w:r>
      <w:r w:rsidR="00A04A53" w:rsidRPr="00BA50F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50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22D81" w:rsidRPr="00A04A53" w:rsidRDefault="00377D10" w:rsidP="009960DD">
      <w:pPr>
        <w:pStyle w:val="ab"/>
        <w:numPr>
          <w:ilvl w:val="0"/>
          <w:numId w:val="2"/>
        </w:numPr>
        <w:spacing w:line="48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Уплощение хрусталика и снижение его аккомодационной способности у </w:t>
      </w:r>
      <w:proofErr w:type="spellStart"/>
      <w:r>
        <w:rPr>
          <w:sz w:val="28"/>
          <w:szCs w:val="28"/>
        </w:rPr>
        <w:t>пресбиопов</w:t>
      </w:r>
      <w:proofErr w:type="spellEnd"/>
      <w:r>
        <w:rPr>
          <w:sz w:val="28"/>
          <w:szCs w:val="28"/>
        </w:rPr>
        <w:t xml:space="preserve"> с ПОУГ связано со стойким</w:t>
      </w:r>
      <w:r w:rsidR="00A04A53" w:rsidRPr="00A04A53">
        <w:rPr>
          <w:sz w:val="28"/>
          <w:szCs w:val="28"/>
        </w:rPr>
        <w:t xml:space="preserve"> повышение</w:t>
      </w:r>
      <w:r>
        <w:rPr>
          <w:sz w:val="28"/>
          <w:szCs w:val="28"/>
        </w:rPr>
        <w:t>м</w:t>
      </w:r>
      <w:r w:rsidR="00A04A53" w:rsidRPr="00A04A53">
        <w:rPr>
          <w:sz w:val="28"/>
          <w:szCs w:val="28"/>
        </w:rPr>
        <w:t xml:space="preserve"> внутриглазно</w:t>
      </w:r>
      <w:r>
        <w:rPr>
          <w:sz w:val="28"/>
          <w:szCs w:val="28"/>
        </w:rPr>
        <w:t>го давления более 21 мм рт. ст.</w:t>
      </w:r>
    </w:p>
    <w:p w:rsidR="00A04A53" w:rsidRPr="00A04A53" w:rsidRDefault="00F55DAF" w:rsidP="009960DD">
      <w:pPr>
        <w:pStyle w:val="ab"/>
        <w:numPr>
          <w:ilvl w:val="0"/>
          <w:numId w:val="2"/>
        </w:numPr>
        <w:spacing w:line="48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внутриглазного давления выше нормальных показателей (21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ст.) приводит к увеличению</w:t>
      </w:r>
      <w:r w:rsidR="00A04A53">
        <w:rPr>
          <w:sz w:val="28"/>
          <w:szCs w:val="28"/>
        </w:rPr>
        <w:t xml:space="preserve"> </w:t>
      </w:r>
      <w:proofErr w:type="spellStart"/>
      <w:r w:rsidR="00A04A53">
        <w:rPr>
          <w:sz w:val="28"/>
          <w:szCs w:val="28"/>
        </w:rPr>
        <w:t>перизонулярного</w:t>
      </w:r>
      <w:proofErr w:type="spellEnd"/>
      <w:r w:rsidR="00A04A53">
        <w:rPr>
          <w:sz w:val="28"/>
          <w:szCs w:val="28"/>
        </w:rPr>
        <w:t xml:space="preserve"> пространства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пресбиопов</w:t>
      </w:r>
      <w:proofErr w:type="spellEnd"/>
      <w:r>
        <w:rPr>
          <w:sz w:val="28"/>
          <w:szCs w:val="28"/>
        </w:rPr>
        <w:t xml:space="preserve"> с ПОУГ</w:t>
      </w:r>
      <w:r w:rsidR="00A04A53">
        <w:rPr>
          <w:sz w:val="28"/>
          <w:szCs w:val="28"/>
        </w:rPr>
        <w:t>.</w:t>
      </w:r>
    </w:p>
    <w:p w:rsidR="00CE4DCC" w:rsidRDefault="00CE4DCC" w:rsidP="009960D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50F8" w:rsidRDefault="00BA50F8" w:rsidP="009960D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E4EBE" w:rsidRDefault="00BA50F8" w:rsidP="009960D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</w:p>
    <w:p w:rsidR="000E4EBE" w:rsidRPr="000E4EBE" w:rsidRDefault="000E4EBE" w:rsidP="009960DD">
      <w:pPr>
        <w:pStyle w:val="a5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4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  <w:lang w:val="ru-RU"/>
        </w:rPr>
        <w:t>Корниловский</w:t>
      </w:r>
      <w:proofErr w:type="spellEnd"/>
      <w:r w:rsidRPr="000E4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  <w:lang w:val="ru-RU"/>
        </w:rPr>
        <w:t xml:space="preserve"> И. М. Новая энергосберегающая </w:t>
      </w:r>
      <w:proofErr w:type="spellStart"/>
      <w:r w:rsidRPr="000E4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  <w:lang w:val="ru-RU"/>
        </w:rPr>
        <w:t>гидрогемодинамическая</w:t>
      </w:r>
      <w:proofErr w:type="spellEnd"/>
      <w:r w:rsidRPr="000E4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  <w:lang w:val="ru-RU"/>
        </w:rPr>
        <w:t xml:space="preserve"> теория  аккомодации / И. М. </w:t>
      </w:r>
      <w:proofErr w:type="spellStart"/>
      <w:r w:rsidRPr="000E4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  <w:lang w:val="ru-RU"/>
        </w:rPr>
        <w:t>Корниловский</w:t>
      </w:r>
      <w:proofErr w:type="spellEnd"/>
      <w:r w:rsidRPr="000E4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CF9"/>
          <w:lang w:val="ru-RU"/>
        </w:rPr>
        <w:t xml:space="preserve"> // Рефракционная хирургия и офтальмология. – 2010. – Т.10. – №3 – С.16-22.</w:t>
      </w:r>
    </w:p>
    <w:p w:rsidR="000E4EBE" w:rsidRPr="000E4EBE" w:rsidRDefault="000E4EBE" w:rsidP="009960DD">
      <w:pPr>
        <w:pStyle w:val="a5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Кошиц</w:t>
      </w:r>
      <w:proofErr w:type="spellEnd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И. Н. </w:t>
      </w:r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>Физиологические принципы гипотензивной терапии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>открытоугольной</w:t>
      </w:r>
      <w:proofErr w:type="spellEnd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 глаукомы в </w:t>
      </w:r>
      <w:proofErr w:type="spellStart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>пресбиопическом</w:t>
      </w:r>
      <w:proofErr w:type="spellEnd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 периоде.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Часть І: Исходные теоретические предпосылки, гипотезы и факты / 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И. Н. </w:t>
      </w:r>
      <w:proofErr w:type="spellStart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Кошиц</w:t>
      </w:r>
      <w:proofErr w:type="spellEnd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, О. В. Светлова, М. В. </w:t>
      </w:r>
      <w:proofErr w:type="spellStart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Засеева</w:t>
      </w:r>
      <w:proofErr w:type="spellEnd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6BD7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[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и др.</w:t>
      </w:r>
      <w:r w:rsidR="00926BD7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]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E4EB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// Глаукома. – №3. – 2006. – С. 35-53.</w:t>
      </w:r>
    </w:p>
    <w:p w:rsidR="000E4EBE" w:rsidRPr="000E4EBE" w:rsidRDefault="000E4EBE" w:rsidP="009960DD">
      <w:pPr>
        <w:pStyle w:val="a5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Кошиц</w:t>
      </w:r>
      <w:proofErr w:type="spellEnd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И. Н. </w:t>
      </w:r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>Физиологические принципы гипотензивной терапии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>открытоугольной</w:t>
      </w:r>
      <w:proofErr w:type="spellEnd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 глаукомы в </w:t>
      </w:r>
      <w:proofErr w:type="spellStart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>пресбиопическом</w:t>
      </w:r>
      <w:proofErr w:type="spellEnd"/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 периоде.</w:t>
      </w:r>
      <w:r w:rsidRPr="000E4E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</w:t>
      </w:r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асть 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ІІ</w:t>
      </w:r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0E4EBE">
        <w:rPr>
          <w:rFonts w:ascii="Times New Roman" w:eastAsia="YanusC" w:hAnsi="Times New Roman" w:cs="Times New Roman"/>
          <w:bCs/>
          <w:color w:val="000000" w:themeColor="text1"/>
          <w:sz w:val="28"/>
          <w:szCs w:val="28"/>
          <w:lang w:val="ru-RU"/>
        </w:rPr>
        <w:t xml:space="preserve">ерспективные алгоритмы практических щадящих воздействий/ 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И. Н. </w:t>
      </w:r>
      <w:proofErr w:type="spellStart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Кошиц</w:t>
      </w:r>
      <w:proofErr w:type="spellEnd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, О. В. Светлова, М. В. </w:t>
      </w:r>
      <w:proofErr w:type="spellStart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Засеева</w:t>
      </w:r>
      <w:proofErr w:type="spellEnd"/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6BD7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[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и др.</w:t>
      </w:r>
      <w:r w:rsidR="00926BD7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>]</w:t>
      </w:r>
      <w:r w:rsidRPr="000E4EBE">
        <w:rPr>
          <w:rFonts w:ascii="Times New Roman" w:eastAsia="Yanus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E4EB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// Глаукома. – №4. – 2006. – С. 51-70.</w:t>
      </w:r>
    </w:p>
    <w:p w:rsidR="000E4EBE" w:rsidRPr="00043166" w:rsidRDefault="000E4EBE" w:rsidP="009960DD">
      <w:pPr>
        <w:pStyle w:val="a5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Abraham L. M. Amplitude of accommodation and its relation to refractive errors / L. M. Abraham, T. </w:t>
      </w:r>
      <w:proofErr w:type="spellStart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Kuriakose</w:t>
      </w:r>
      <w:proofErr w:type="spellEnd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V. </w:t>
      </w:r>
      <w:proofErr w:type="spellStart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Sivanandam</w:t>
      </w:r>
      <w:proofErr w:type="spellEnd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Indian J. </w:t>
      </w:r>
      <w:proofErr w:type="spellStart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Ophthalmol</w:t>
      </w:r>
      <w:proofErr w:type="spellEnd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– 2005. – </w:t>
      </w:r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№</w:t>
      </w:r>
      <w:proofErr w:type="gramStart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53(</w:t>
      </w:r>
      <w:proofErr w:type="gramEnd"/>
      <w:r w:rsidRPr="000431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2) – Р. 105-108.</w:t>
      </w:r>
    </w:p>
    <w:p w:rsidR="00F22C53" w:rsidRDefault="00F22C53" w:rsidP="009960DD">
      <w:p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F22C53" w:rsidRPr="00BA50F8" w:rsidRDefault="00BA50F8" w:rsidP="009960D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0F8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72515F" w:rsidRPr="00BA50F8" w:rsidRDefault="0072515F" w:rsidP="0072515F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Зависимость морфометрических и функциональных характеристик</w:t>
      </w:r>
      <w:r w:rsidRPr="00BA50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аккомодационного аппарата</w:t>
      </w:r>
      <w:r w:rsidRPr="00F00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Pr="00BA50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уровня внутриглазного давления и стадии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развития </w:t>
      </w:r>
      <w:r w:rsidRPr="00BA50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первич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открытоугольной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глаукомы</w:t>
      </w:r>
    </w:p>
    <w:p w:rsidR="00F22C53" w:rsidRPr="00F96334" w:rsidRDefault="00F22C53" w:rsidP="009960DD">
      <w:pPr>
        <w:pStyle w:val="a3"/>
        <w:spacing w:after="0"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6334">
        <w:rPr>
          <w:rFonts w:ascii="Times New Roman" w:hAnsi="Times New Roman"/>
          <w:sz w:val="28"/>
          <w:szCs w:val="28"/>
          <w:lang w:val="ru-RU"/>
        </w:rPr>
        <w:t>Бездетко</w:t>
      </w:r>
      <w:proofErr w:type="spellEnd"/>
      <w:r w:rsidRPr="00F96334">
        <w:rPr>
          <w:rFonts w:ascii="Times New Roman" w:hAnsi="Times New Roman"/>
          <w:sz w:val="28"/>
          <w:szCs w:val="28"/>
          <w:lang w:val="ru-RU"/>
        </w:rPr>
        <w:t xml:space="preserve"> П.А., Абдула А. М. Д., Щадных М.А.</w:t>
      </w:r>
    </w:p>
    <w:p w:rsidR="000E4EBE" w:rsidRPr="000B696F" w:rsidRDefault="00F22C53" w:rsidP="009960D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696F">
        <w:rPr>
          <w:rFonts w:ascii="Times New Roman" w:hAnsi="Times New Roman" w:cs="Times New Roman"/>
          <w:sz w:val="28"/>
          <w:szCs w:val="28"/>
          <w:lang w:val="ru-RU"/>
        </w:rPr>
        <w:t>Харьковский национальный медицинский университет</w:t>
      </w:r>
    </w:p>
    <w:p w:rsidR="000B696F" w:rsidRPr="000B696F" w:rsidRDefault="000B696F" w:rsidP="009960DD">
      <w:pPr>
        <w:spacing w:after="0" w:line="48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0B696F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обследования 128 глаз </w:t>
      </w:r>
      <w:proofErr w:type="spellStart"/>
      <w:r w:rsidRPr="000B696F">
        <w:rPr>
          <w:rFonts w:ascii="Times New Roman" w:hAnsi="Times New Roman" w:cs="Times New Roman"/>
          <w:sz w:val="28"/>
          <w:szCs w:val="28"/>
          <w:lang w:val="ru-RU"/>
        </w:rPr>
        <w:t>пресбиопов</w:t>
      </w:r>
      <w:proofErr w:type="spellEnd"/>
      <w:r w:rsidRPr="000B696F">
        <w:rPr>
          <w:rFonts w:ascii="Times New Roman" w:hAnsi="Times New Roman" w:cs="Times New Roman"/>
          <w:sz w:val="28"/>
          <w:szCs w:val="28"/>
          <w:lang w:val="ru-RU"/>
        </w:rPr>
        <w:t xml:space="preserve"> с ПОУГ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 xml:space="preserve">и 139 глаз </w:t>
      </w:r>
      <w:proofErr w:type="spellStart"/>
      <w:r w:rsidR="00F55DAF">
        <w:rPr>
          <w:rFonts w:ascii="Times New Roman" w:hAnsi="Times New Roman" w:cs="Times New Roman"/>
          <w:sz w:val="28"/>
          <w:szCs w:val="28"/>
          <w:lang w:val="ru-RU"/>
        </w:rPr>
        <w:t>пресбиопов</w:t>
      </w:r>
      <w:proofErr w:type="spellEnd"/>
      <w:r w:rsidR="00F55DAF">
        <w:rPr>
          <w:rFonts w:ascii="Times New Roman" w:hAnsi="Times New Roman" w:cs="Times New Roman"/>
          <w:sz w:val="28"/>
          <w:szCs w:val="28"/>
          <w:lang w:val="ru-RU"/>
        </w:rPr>
        <w:t xml:space="preserve"> без ПОУГ (контроль) </w:t>
      </w:r>
      <w:r w:rsidRPr="000B696F">
        <w:rPr>
          <w:rFonts w:ascii="Times New Roman" w:hAnsi="Times New Roman" w:cs="Times New Roman"/>
          <w:sz w:val="28"/>
          <w:szCs w:val="28"/>
          <w:lang w:val="ru-RU"/>
        </w:rPr>
        <w:t>с помощью ульт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развуковой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биомикроскопии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(УБМ) с определением резервов и объема аккомодации в зависимости от стадии глаукомы 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>не было выявлено достоверной взаимосвязи</w:t>
      </w:r>
      <w:r w:rsidRPr="000B69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60D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аблюдалась связь исследуемых данных </w:t>
      </w:r>
      <w:r w:rsidR="009960DD">
        <w:rPr>
          <w:rFonts w:ascii="Times New Roman" w:hAnsi="Times New Roman" w:cs="Times New Roman"/>
          <w:sz w:val="28"/>
          <w:szCs w:val="28"/>
          <w:lang w:val="ru-RU"/>
        </w:rPr>
        <w:t>с уровнем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 ВГД. </w:t>
      </w:r>
      <w:r w:rsidR="009960D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>олщин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>а хрусталика уменьшалась от 3,8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 мм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>в контрольной группе</w:t>
      </w:r>
      <w:r w:rsidR="009960D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>3,6 мм при ВГД выше 21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 мм </w:t>
      </w:r>
      <w:proofErr w:type="spellStart"/>
      <w:r w:rsidR="00250EE4">
        <w:rPr>
          <w:rFonts w:ascii="Times New Roman" w:hAnsi="Times New Roman" w:cs="Times New Roman"/>
          <w:sz w:val="28"/>
          <w:szCs w:val="28"/>
          <w:lang w:val="ru-RU"/>
        </w:rPr>
        <w:t>рт</w:t>
      </w:r>
      <w:proofErr w:type="spellEnd"/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. ст., глубина </w:t>
      </w:r>
      <w:proofErr w:type="spellStart"/>
      <w:r w:rsidR="00250EE4">
        <w:rPr>
          <w:rFonts w:ascii="Times New Roman" w:hAnsi="Times New Roman" w:cs="Times New Roman"/>
          <w:sz w:val="28"/>
          <w:szCs w:val="28"/>
          <w:lang w:val="ru-RU"/>
        </w:rPr>
        <w:t>перизонулярного</w:t>
      </w:r>
      <w:proofErr w:type="spellEnd"/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>странства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увеличивалась от 0,6 мм до 0,7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 мм соответственно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 xml:space="preserve">. Коррекция </w:t>
      </w:r>
      <w:r w:rsidR="00250EE4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пресбиопии увеличивалась от 2,0 </w:t>
      </w:r>
      <w:proofErr w:type="spellStart"/>
      <w:r w:rsidR="00250EE4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дптр</w:t>
      </w:r>
      <w:proofErr w:type="spellEnd"/>
      <w:r w:rsidR="00250EE4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r w:rsidR="00F55D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в группе контроля </w:t>
      </w:r>
      <w:r w:rsidR="009960DD">
        <w:rPr>
          <w:rFonts w:ascii="Times New Roman" w:hAnsi="Times New Roman" w:cs="Times New Roman"/>
          <w:sz w:val="28"/>
          <w:szCs w:val="28"/>
          <w:lang w:val="ru-RU"/>
        </w:rPr>
        <w:t xml:space="preserve">до 2,63 </w:t>
      </w:r>
      <w:proofErr w:type="spellStart"/>
      <w:r w:rsidR="009960DD">
        <w:rPr>
          <w:rFonts w:ascii="Times New Roman" w:hAnsi="Times New Roman" w:cs="Times New Roman"/>
          <w:sz w:val="28"/>
          <w:szCs w:val="28"/>
          <w:lang w:val="ru-RU"/>
        </w:rPr>
        <w:t>дптр</w:t>
      </w:r>
      <w:proofErr w:type="spellEnd"/>
      <w:r w:rsidR="00F55DAF">
        <w:rPr>
          <w:rFonts w:ascii="Times New Roman" w:hAnsi="Times New Roman" w:cs="Times New Roman"/>
          <w:sz w:val="28"/>
          <w:szCs w:val="28"/>
          <w:lang w:val="ru-RU"/>
        </w:rPr>
        <w:t xml:space="preserve"> при ВГД более 32 мм </w:t>
      </w:r>
      <w:proofErr w:type="spellStart"/>
      <w:r w:rsidR="00F55DAF">
        <w:rPr>
          <w:rFonts w:ascii="Times New Roman" w:hAnsi="Times New Roman" w:cs="Times New Roman"/>
          <w:sz w:val="28"/>
          <w:szCs w:val="28"/>
          <w:lang w:val="ru-RU"/>
        </w:rPr>
        <w:t>рт</w:t>
      </w:r>
      <w:proofErr w:type="spellEnd"/>
      <w:r w:rsidR="00F55DAF">
        <w:rPr>
          <w:rFonts w:ascii="Times New Roman" w:hAnsi="Times New Roman" w:cs="Times New Roman"/>
          <w:sz w:val="28"/>
          <w:szCs w:val="28"/>
          <w:lang w:val="ru-RU"/>
        </w:rPr>
        <w:t>. ст.</w:t>
      </w:r>
      <w:r w:rsidR="009960DD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250EE4">
        <w:rPr>
          <w:rFonts w:ascii="Times New Roman" w:hAnsi="Times New Roman" w:cs="Times New Roman"/>
          <w:sz w:val="28"/>
          <w:szCs w:val="28"/>
          <w:lang w:val="ru-RU"/>
        </w:rPr>
        <w:t xml:space="preserve">бъем и резервы аккомодации снижались от </w:t>
      </w:r>
      <w:r w:rsidR="00F55DAF">
        <w:rPr>
          <w:rFonts w:ascii="Times New Roman" w:hAnsi="Times New Roman" w:cs="Times New Roman"/>
          <w:sz w:val="28"/>
          <w:szCs w:val="28"/>
          <w:lang w:val="ru-RU"/>
        </w:rPr>
        <w:t>2,23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 xml:space="preserve"> и 0,61</w:t>
      </w:r>
      <w:r w:rsidR="00996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0DD">
        <w:rPr>
          <w:rFonts w:ascii="Times New Roman" w:hAnsi="Times New Roman" w:cs="Times New Roman"/>
          <w:sz w:val="28"/>
          <w:szCs w:val="28"/>
          <w:lang w:val="ru-RU"/>
        </w:rPr>
        <w:t>дптр</w:t>
      </w:r>
      <w:proofErr w:type="spellEnd"/>
      <w:r w:rsidR="00996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C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91355C">
        <w:rPr>
          <w:rFonts w:ascii="Times New Roman" w:hAnsi="Times New Roman" w:cs="Times New Roman"/>
          <w:sz w:val="28"/>
          <w:szCs w:val="28"/>
          <w:lang w:val="ru-RU"/>
        </w:rPr>
        <w:t xml:space="preserve">1,4 и 0,33 дптр </w:t>
      </w:r>
      <w:r w:rsidR="00B154CB">
        <w:rPr>
          <w:rFonts w:ascii="Times New Roman" w:hAnsi="Times New Roman" w:cs="Times New Roman"/>
          <w:sz w:val="28"/>
          <w:szCs w:val="28"/>
          <w:lang w:val="ru-RU"/>
        </w:rPr>
        <w:t>соответственно.</w:t>
      </w:r>
      <w:r w:rsidR="009960DD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>Уплощение хрусталика и снижение</w:t>
      </w:r>
      <w:r w:rsidR="008E761F" w:rsidRPr="00B154CB">
        <w:rPr>
          <w:rFonts w:ascii="Times New Roman" w:hAnsi="Times New Roman" w:cs="Times New Roman"/>
          <w:sz w:val="28"/>
          <w:szCs w:val="28"/>
          <w:lang w:val="ru-RU"/>
        </w:rPr>
        <w:t xml:space="preserve"> его аккомодационной способности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8E761F" w:rsidRPr="000B696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r w:rsidR="008E761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также 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E761F" w:rsidRPr="00B154CB">
        <w:rPr>
          <w:rFonts w:ascii="Times New Roman" w:hAnsi="Times New Roman" w:cs="Times New Roman"/>
          <w:sz w:val="28"/>
          <w:szCs w:val="28"/>
          <w:lang w:val="ru-RU"/>
        </w:rPr>
        <w:t xml:space="preserve">величение 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 xml:space="preserve">глубины </w:t>
      </w:r>
      <w:proofErr w:type="spellStart"/>
      <w:r w:rsidR="008E761F" w:rsidRPr="00B154CB">
        <w:rPr>
          <w:rFonts w:ascii="Times New Roman" w:hAnsi="Times New Roman" w:cs="Times New Roman"/>
          <w:sz w:val="28"/>
          <w:szCs w:val="28"/>
          <w:lang w:val="ru-RU"/>
        </w:rPr>
        <w:t>перизонулярного</w:t>
      </w:r>
      <w:proofErr w:type="spellEnd"/>
      <w:r w:rsidR="008E761F" w:rsidRPr="00B154CB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</w:t>
      </w:r>
      <w:r w:rsidR="008E761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у больных с ПОУГ в </w:t>
      </w:r>
      <w:proofErr w:type="spellStart"/>
      <w:r w:rsidR="008E761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пресбиопическом</w:t>
      </w:r>
      <w:proofErr w:type="spellEnd"/>
      <w:r w:rsidR="008E761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периоде 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>связано с</w:t>
      </w:r>
      <w:r w:rsidR="00B154CB" w:rsidRPr="00B154CB">
        <w:rPr>
          <w:rFonts w:ascii="Times New Roman" w:hAnsi="Times New Roman" w:cs="Times New Roman"/>
          <w:sz w:val="28"/>
          <w:szCs w:val="28"/>
          <w:lang w:val="ru-RU"/>
        </w:rPr>
        <w:t xml:space="preserve"> ростом ВГД</w:t>
      </w:r>
      <w:r w:rsidR="008E761F">
        <w:rPr>
          <w:rFonts w:ascii="Times New Roman" w:hAnsi="Times New Roman" w:cs="Times New Roman"/>
          <w:sz w:val="28"/>
          <w:szCs w:val="28"/>
          <w:lang w:val="ru-RU"/>
        </w:rPr>
        <w:t xml:space="preserve"> более 21 мм </w:t>
      </w:r>
      <w:proofErr w:type="spellStart"/>
      <w:r w:rsidR="008E761F">
        <w:rPr>
          <w:rFonts w:ascii="Times New Roman" w:hAnsi="Times New Roman" w:cs="Times New Roman"/>
          <w:sz w:val="28"/>
          <w:szCs w:val="28"/>
          <w:lang w:val="ru-RU"/>
        </w:rPr>
        <w:t>рт</w:t>
      </w:r>
      <w:proofErr w:type="spellEnd"/>
      <w:r w:rsidR="008E761F">
        <w:rPr>
          <w:rFonts w:ascii="Times New Roman" w:hAnsi="Times New Roman" w:cs="Times New Roman"/>
          <w:sz w:val="28"/>
          <w:szCs w:val="28"/>
          <w:lang w:val="ru-RU"/>
        </w:rPr>
        <w:t>. ст</w:t>
      </w:r>
      <w:proofErr w:type="gramStart"/>
      <w:r w:rsidR="008E76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4CB" w:rsidRPr="00B154C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B696F" w:rsidRPr="00926BD7" w:rsidRDefault="000B696F" w:rsidP="009960DD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8"/>
          <w:szCs w:val="34"/>
          <w:lang w:val="ru-RU"/>
        </w:rPr>
      </w:pPr>
      <w:r w:rsidRPr="00926BD7">
        <w:rPr>
          <w:rFonts w:ascii="Times New Roman" w:hAnsi="Times New Roman" w:cs="Times New Roman"/>
          <w:bCs/>
          <w:sz w:val="28"/>
          <w:szCs w:val="34"/>
          <w:lang w:val="ru-RU"/>
        </w:rPr>
        <w:t>Ключевые слова:</w:t>
      </w:r>
      <w:r w:rsidRPr="000B696F">
        <w:rPr>
          <w:rFonts w:ascii="Times New Roman" w:hAnsi="Times New Roman" w:cs="Times New Roman"/>
          <w:bCs/>
          <w:sz w:val="28"/>
          <w:szCs w:val="34"/>
          <w:lang w:val="ru-RU"/>
        </w:rPr>
        <w:t xml:space="preserve"> </w:t>
      </w:r>
      <w:r w:rsidRPr="00926BD7">
        <w:rPr>
          <w:rFonts w:ascii="Times New Roman" w:hAnsi="Times New Roman" w:cs="Times New Roman"/>
          <w:bCs/>
          <w:sz w:val="28"/>
          <w:szCs w:val="34"/>
          <w:lang w:val="ru-RU"/>
        </w:rPr>
        <w:t xml:space="preserve">первичная </w:t>
      </w:r>
      <w:proofErr w:type="spellStart"/>
      <w:r w:rsidRPr="00926BD7">
        <w:rPr>
          <w:rFonts w:ascii="Times New Roman" w:hAnsi="Times New Roman" w:cs="Times New Roman"/>
          <w:bCs/>
          <w:sz w:val="28"/>
          <w:szCs w:val="34"/>
          <w:lang w:val="ru-RU"/>
        </w:rPr>
        <w:t>открытоугольная</w:t>
      </w:r>
      <w:proofErr w:type="spellEnd"/>
      <w:r w:rsidRPr="00926BD7">
        <w:rPr>
          <w:rFonts w:ascii="Times New Roman" w:hAnsi="Times New Roman" w:cs="Times New Roman"/>
          <w:bCs/>
          <w:sz w:val="28"/>
          <w:szCs w:val="34"/>
          <w:lang w:val="ru-RU"/>
        </w:rPr>
        <w:t xml:space="preserve"> глаукома, пресбиопия, морфометрические характеристики, </w:t>
      </w:r>
      <w:r w:rsidR="00B154CB" w:rsidRPr="00926BD7">
        <w:rPr>
          <w:rFonts w:ascii="Times New Roman" w:hAnsi="Times New Roman" w:cs="Times New Roman"/>
          <w:bCs/>
          <w:sz w:val="28"/>
          <w:szCs w:val="34"/>
          <w:lang w:val="ru-RU"/>
        </w:rPr>
        <w:t>резервы аккомодации, объем аккомодации.</w:t>
      </w:r>
    </w:p>
    <w:p w:rsidR="00B154CB" w:rsidRPr="000B696F" w:rsidRDefault="00B154CB" w:rsidP="009960DD">
      <w:pPr>
        <w:spacing w:after="0" w:line="480" w:lineRule="auto"/>
        <w:jc w:val="both"/>
        <w:rPr>
          <w:rFonts w:ascii="Times New Roman" w:hAnsi="Times New Roman" w:cs="Times New Roman"/>
          <w:bCs/>
          <w:i/>
          <w:sz w:val="28"/>
          <w:szCs w:val="34"/>
          <w:lang w:val="ru-RU"/>
        </w:rPr>
      </w:pPr>
    </w:p>
    <w:p w:rsidR="0072515F" w:rsidRPr="0072515F" w:rsidRDefault="00BA50F8" w:rsidP="0072515F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0F8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РЕЗЮМЕ</w:t>
      </w:r>
      <w:r w:rsidR="00B154CB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br/>
      </w:r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Залежність </w:t>
      </w:r>
      <w:proofErr w:type="spellStart"/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>морфометрічних</w:t>
      </w:r>
      <w:proofErr w:type="spellEnd"/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функціональних характеристик акомодаційного </w:t>
      </w:r>
      <w:r w:rsidR="0072515F">
        <w:rPr>
          <w:rFonts w:ascii="Times New Roman" w:hAnsi="Times New Roman" w:cs="Times New Roman"/>
          <w:b/>
          <w:color w:val="000000"/>
          <w:sz w:val="28"/>
          <w:szCs w:val="28"/>
        </w:rPr>
        <w:t>ап</w:t>
      </w:r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арату від рівня </w:t>
      </w:r>
      <w:proofErr w:type="spellStart"/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>внутришньоочного</w:t>
      </w:r>
      <w:proofErr w:type="spellEnd"/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тиску та стадії розвитку первинної </w:t>
      </w:r>
      <w:proofErr w:type="spellStart"/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>відкритокутової</w:t>
      </w:r>
      <w:proofErr w:type="spellEnd"/>
      <w:r w:rsidR="0072515F" w:rsidRPr="00725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глаукоми</w:t>
      </w:r>
    </w:p>
    <w:p w:rsidR="00B154CB" w:rsidRPr="0091355C" w:rsidRDefault="00B154CB" w:rsidP="009960D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Бездітко</w:t>
      </w:r>
      <w:proofErr w:type="spellEnd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П.А., </w:t>
      </w:r>
      <w:proofErr w:type="spellStart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Абдула</w:t>
      </w:r>
      <w:proofErr w:type="spellEnd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А. М. Д., Щадних М.О.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br/>
        <w:t>Харківський національний медичний університет</w:t>
      </w:r>
    </w:p>
    <w:p w:rsidR="0091355C" w:rsidRPr="0091355C" w:rsidRDefault="00B154CB" w:rsidP="00041C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На підстав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і обстеження 128 очей </w:t>
      </w:r>
      <w:proofErr w:type="spellStart"/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>пресбіопів</w:t>
      </w:r>
      <w:proofErr w:type="spellEnd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з ПВКГ </w:t>
      </w:r>
      <w:r w:rsidR="008E761F" w:rsidRPr="008E761F">
        <w:rPr>
          <w:rFonts w:ascii="Times New Roman" w:hAnsi="Times New Roman" w:cs="Times New Roman"/>
          <w:sz w:val="28"/>
          <w:szCs w:val="28"/>
        </w:rPr>
        <w:t>та 139 очей</w:t>
      </w:r>
      <w:r w:rsidR="008E7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61F">
        <w:rPr>
          <w:rFonts w:ascii="Times New Roman" w:hAnsi="Times New Roman" w:cs="Times New Roman"/>
          <w:sz w:val="28"/>
          <w:szCs w:val="28"/>
        </w:rPr>
        <w:t>пресбіопі</w:t>
      </w:r>
      <w:r w:rsidR="008E761F" w:rsidRPr="008E76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E761F" w:rsidRPr="008E761F">
        <w:rPr>
          <w:rFonts w:ascii="Times New Roman" w:hAnsi="Times New Roman" w:cs="Times New Roman"/>
          <w:sz w:val="28"/>
          <w:szCs w:val="28"/>
        </w:rPr>
        <w:t xml:space="preserve"> без </w:t>
      </w:r>
      <w:r w:rsidR="008E761F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ПВКГ </w:t>
      </w:r>
      <w:r w:rsidR="008E761F" w:rsidRPr="008E761F">
        <w:rPr>
          <w:rFonts w:ascii="Times New Roman" w:hAnsi="Times New Roman" w:cs="Times New Roman"/>
          <w:sz w:val="28"/>
          <w:szCs w:val="28"/>
        </w:rPr>
        <w:t xml:space="preserve">(контроль) 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за допомогою ультразвукової </w:t>
      </w:r>
      <w:proofErr w:type="spellStart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біомікроскопії</w:t>
      </w:r>
      <w:proofErr w:type="spellEnd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(УБМ) з визначенням резервів та обсягу акомодації в залежності від стадії глаук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оми не було виявлено достовірного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взаємозв'язку.</w:t>
      </w:r>
      <w:r w:rsidR="00041C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>С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постерігався 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зв'язок д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осліджуваних даних від рівня ВОТ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041C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>Т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овщина кришталика зменшувалас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я від 3,8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мм 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в контрольній групі</w:t>
      </w:r>
      <w:r w:rsidR="00041C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до 3,6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мм при ВОТ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вище 21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мм </w:t>
      </w:r>
      <w:proofErr w:type="spellStart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рт</w:t>
      </w:r>
      <w:proofErr w:type="spellEnd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041C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ст., глибина </w:t>
      </w:r>
      <w:proofErr w:type="spellStart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перізонулярного</w:t>
      </w:r>
      <w:proofErr w:type="spellEnd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простору збільшувалася від 0,6 мм до 0,7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мм відповідно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Корекція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пресбіопії</w:t>
      </w:r>
      <w:proofErr w:type="spellEnd"/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збільшувалася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від 2,0 </w:t>
      </w:r>
      <w:proofErr w:type="spellStart"/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дптр</w:t>
      </w:r>
      <w:proofErr w:type="spellEnd"/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групі контролю 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до 2,63 </w:t>
      </w:r>
      <w:proofErr w:type="spellStart"/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дптр</w:t>
      </w:r>
      <w:proofErr w:type="spellEnd"/>
      <w:r w:rsidR="008E761F" w:rsidRP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при ВОТ більш ніж 32 мм </w:t>
      </w:r>
      <w:proofErr w:type="spellStart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рт</w:t>
      </w:r>
      <w:proofErr w:type="spellEnd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. ст.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>о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бсяг і резерви акомодації знижува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лися від 2,23 і 0,61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дптр 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до </w:t>
      </w:r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1,4 і 0,33 </w:t>
      </w:r>
      <w:proofErr w:type="spellStart"/>
      <w:r w:rsidR="0091355C"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дптр</w:t>
      </w:r>
      <w:proofErr w:type="spellEnd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відповідно</w:t>
      </w: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041C7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Сплощення кришталика та зниження його акомодаційної спроможності, а також збільшення глибини </w:t>
      </w:r>
      <w:proofErr w:type="spellStart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перізонулярного</w:t>
      </w:r>
      <w:proofErr w:type="spellEnd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простору у хворих на ПВКГ в </w:t>
      </w:r>
      <w:proofErr w:type="spellStart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пресбіопічному</w:t>
      </w:r>
      <w:proofErr w:type="spellEnd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періоді пов’язано зі зростанням ВОТ більш ніж 21 мм </w:t>
      </w:r>
      <w:proofErr w:type="spellStart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рт</w:t>
      </w:r>
      <w:proofErr w:type="spellEnd"/>
      <w:r w:rsidR="008E761F">
        <w:rPr>
          <w:rFonts w:ascii="Times New Roman" w:hAnsi="Times New Roman" w:cs="Times New Roman"/>
          <w:sz w:val="28"/>
          <w:szCs w:val="28"/>
          <w:shd w:val="clear" w:color="auto" w:fill="F5F5F5"/>
        </w:rPr>
        <w:t>. ст..</w:t>
      </w:r>
    </w:p>
    <w:p w:rsidR="000B696F" w:rsidRPr="00926BD7" w:rsidRDefault="00B154CB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1355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Ключові слова: </w:t>
      </w:r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первинна </w:t>
      </w:r>
      <w:proofErr w:type="spellStart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</w:rPr>
        <w:t>відкритокутова</w:t>
      </w:r>
      <w:proofErr w:type="spellEnd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глаукома, </w:t>
      </w:r>
      <w:proofErr w:type="spellStart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</w:rPr>
        <w:t>пресбіопія</w:t>
      </w:r>
      <w:proofErr w:type="spellEnd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  <w:proofErr w:type="spellStart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</w:rPr>
        <w:t>морфометричні</w:t>
      </w:r>
      <w:proofErr w:type="spellEnd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характеристики, резерви акомодації, обсяг акомодації.</w:t>
      </w:r>
    </w:p>
    <w:p w:rsidR="0091355C" w:rsidRDefault="0091355C" w:rsidP="00ED6142">
      <w:pPr>
        <w:spacing w:line="480" w:lineRule="auto"/>
        <w:rPr>
          <w:rFonts w:ascii="Arial" w:hAnsi="Arial" w:cs="Arial"/>
          <w:color w:val="333333"/>
          <w:shd w:val="clear" w:color="auto" w:fill="F5F5F5"/>
          <w:lang w:val="ru-RU"/>
        </w:rPr>
      </w:pPr>
    </w:p>
    <w:p w:rsidR="0091355C" w:rsidRPr="00405568" w:rsidRDefault="00BA50F8" w:rsidP="009960D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 w:rsidRPr="00BA50F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lastRenderedPageBreak/>
        <w:t>SUMMARY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br/>
      </w:r>
      <w:r w:rsidR="00B154CB" w:rsidRPr="00BA50F8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Assessing the impact of the level of intraocular pressure and the stage </w:t>
      </w:r>
      <w:r w:rsidR="0091355C" w:rsidRPr="00BA50F8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of primary open-angle glaucoma </w:t>
      </w:r>
      <w:r w:rsidR="0091355C" w:rsidRPr="00BA50F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о</w:t>
      </w:r>
      <w:r w:rsidR="00B154CB" w:rsidRPr="00BA50F8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n the </w:t>
      </w:r>
      <w:proofErr w:type="spellStart"/>
      <w:r w:rsidR="00B154CB" w:rsidRPr="00BA50F8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>morphometric</w:t>
      </w:r>
      <w:proofErr w:type="spellEnd"/>
      <w:r w:rsidR="00B154CB" w:rsidRPr="00BA50F8">
        <w:rPr>
          <w:rFonts w:ascii="Times New Roman" w:hAnsi="Times New Roman" w:cs="Times New Roman"/>
          <w:b/>
          <w:sz w:val="28"/>
          <w:szCs w:val="28"/>
          <w:shd w:val="clear" w:color="auto" w:fill="F5F5F5"/>
          <w:lang w:val="en-US"/>
        </w:rPr>
        <w:t xml:space="preserve"> and functional characteristics of the accommodative apparatus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br/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Bezdetko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P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A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, A. 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M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D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proofErr w:type="spellStart"/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Abd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</w:rPr>
        <w:t>оо</w:t>
      </w:r>
      <w:proofErr w:type="spellEnd"/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la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, M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A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S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h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chadny</w:t>
      </w:r>
      <w:r w:rsidR="0091355C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k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h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br/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Kharkiv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National Medical University</w:t>
      </w:r>
    </w:p>
    <w:p w:rsidR="00ED6142" w:rsidRDefault="0091355C" w:rsidP="00ED61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On a basis of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a survey of 128 eyes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of </w:t>
      </w:r>
      <w:proofErr w:type="spellStart"/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presbyopes</w:t>
      </w:r>
      <w:proofErr w:type="spellEnd"/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with POAG using ultrasound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biomicroscopy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(UBM) with the definition of reserves and the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volume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of accommodation depending on the stage of glaucoma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it was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found no reliable relationship.</w:t>
      </w:r>
      <w:r w:rsidR="00ED6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here was a clear link data on the level of IOP.</w:t>
      </w:r>
      <w:r w:rsidR="00ED6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he thickness of the lens decreased from 3.79 mm for IOP less than 21 mm Hg.</w:t>
      </w:r>
      <w:r w:rsidR="00ED6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to 3.57 mm with IOP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over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32 mm Hg., depth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of </w:t>
      </w:r>
      <w:proofErr w:type="spellStart"/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perizonul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ar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space, increased from 0.63 mm to 0.73 m</w:t>
      </w:r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m, respectively, t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he value of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presbyopia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increased from 2.0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diopters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to 2.63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diopters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with</w:t>
      </w:r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, t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he volume and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reserves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of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accommodation decreased from 2.1 and 0.57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diopters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to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1.4 and 0.33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diopters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respectively.</w:t>
      </w:r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E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levation of intraocular pressure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at</w:t>
      </w:r>
      <w:r w:rsidR="00ED6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</w:t>
      </w:r>
      <w:proofErr w:type="spellStart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presbyopes</w:t>
      </w:r>
      <w:proofErr w:type="spellEnd"/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with POAG have lead to a flattening of the lens and reduce its accommodative ability</w:t>
      </w:r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, </w:t>
      </w:r>
      <w:proofErr w:type="spellStart"/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and</w:t>
      </w:r>
      <w:proofErr w:type="spellEnd"/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i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ncrease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of </w:t>
      </w:r>
      <w:proofErr w:type="spellStart"/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perizonular</w:t>
      </w:r>
      <w:proofErr w:type="spellEnd"/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space with growing of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IOP indicates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on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a significant role in the pathogenesis of POAG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of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increase of aqueous humor </w:t>
      </w:r>
      <w:r w:rsidR="001D7226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production 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through t</w:t>
      </w:r>
      <w:r w:rsidR="00405568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he </w:t>
      </w:r>
      <w:proofErr w:type="spellStart"/>
      <w:r w:rsidR="00405568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ciliary</w:t>
      </w:r>
      <w:proofErr w:type="spellEnd"/>
      <w:r w:rsidR="00405568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muscle tone increasing</w:t>
      </w:r>
      <w:r w:rsidR="00B154CB"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with </w:t>
      </w:r>
      <w:proofErr w:type="spellStart"/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presbyopia</w:t>
      </w:r>
      <w:proofErr w:type="spellEnd"/>
      <w:r w:rsidR="00ED6142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.</w:t>
      </w:r>
    </w:p>
    <w:p w:rsidR="00BA50F8" w:rsidRPr="00926BD7" w:rsidRDefault="00B154CB" w:rsidP="00ED61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 w:rsidRPr="0040556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Key words: </w:t>
      </w:r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primary open-angle glaucoma, </w:t>
      </w:r>
      <w:proofErr w:type="spellStart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presbyopia</w:t>
      </w:r>
      <w:proofErr w:type="spellEnd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, </w:t>
      </w:r>
      <w:proofErr w:type="spellStart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morphometric</w:t>
      </w:r>
      <w:proofErr w:type="spellEnd"/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characteristics, the reserves of accommodation, the </w:t>
      </w:r>
      <w:r w:rsidR="00405568" w:rsidRPr="00926B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volume</w:t>
      </w:r>
      <w:r w:rsidRPr="00926BD7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of accommodation.</w:t>
      </w:r>
    </w:p>
    <w:p w:rsidR="00906D73" w:rsidRPr="00854F9A" w:rsidRDefault="00BA50F8" w:rsidP="009960DD">
      <w:pPr>
        <w:spacing w:line="480" w:lineRule="auto"/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5F5F5"/>
          <w:lang w:val="en-US"/>
        </w:rPr>
        <w:br w:type="page"/>
      </w:r>
    </w:p>
    <w:p w:rsidR="00906D73" w:rsidRPr="00906D73" w:rsidRDefault="00906D73" w:rsidP="009960D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D73">
        <w:rPr>
          <w:rFonts w:ascii="Times New Roman" w:hAnsi="Times New Roman" w:cs="Times New Roman"/>
          <w:sz w:val="28"/>
          <w:szCs w:val="28"/>
        </w:rPr>
        <w:lastRenderedPageBreak/>
        <w:t>СВЕДЕНИЯ ОБ АВТОРАХ</w:t>
      </w:r>
    </w:p>
    <w:p w:rsidR="00906D73" w:rsidRDefault="00906D73" w:rsidP="009960DD">
      <w:pPr>
        <w:pStyle w:val="ab"/>
        <w:numPr>
          <w:ilvl w:val="0"/>
          <w:numId w:val="5"/>
        </w:numPr>
        <w:suppressAutoHyphens w:val="0"/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Бездетко Павел Андреевич, заведующий кафедрой офтальмологии ХНМУ, профессор, д.мед.н.</w:t>
      </w:r>
    </w:p>
    <w:p w:rsidR="00906D73" w:rsidRDefault="00906D73" w:rsidP="009960DD">
      <w:pPr>
        <w:pStyle w:val="ab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61002 г. Харьков, ул. </w:t>
      </w:r>
      <w:proofErr w:type="spellStart"/>
      <w:r>
        <w:rPr>
          <w:sz w:val="28"/>
          <w:szCs w:val="28"/>
        </w:rPr>
        <w:t>Гиршмана</w:t>
      </w:r>
      <w:proofErr w:type="spellEnd"/>
      <w:r>
        <w:rPr>
          <w:sz w:val="28"/>
          <w:szCs w:val="28"/>
        </w:rPr>
        <w:t xml:space="preserve"> 17, кв. 103</w:t>
      </w:r>
    </w:p>
    <w:p w:rsidR="00906D73" w:rsidRDefault="00906D73" w:rsidP="009960DD">
      <w:pPr>
        <w:pStyle w:val="ab"/>
        <w:suppressAutoHyphens w:val="0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Тел. 80503016126</w:t>
      </w:r>
    </w:p>
    <w:p w:rsidR="00906D73" w:rsidRPr="00210B1A" w:rsidRDefault="00906D73" w:rsidP="009960DD">
      <w:pPr>
        <w:pStyle w:val="ab"/>
        <w:numPr>
          <w:ilvl w:val="0"/>
          <w:numId w:val="5"/>
        </w:numPr>
        <w:suppressAutoHyphens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Абдула </w:t>
      </w:r>
      <w:proofErr w:type="spellStart"/>
      <w:r>
        <w:rPr>
          <w:sz w:val="28"/>
          <w:szCs w:val="28"/>
        </w:rPr>
        <w:t>Абдулсатар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Джамшит</w:t>
      </w:r>
      <w:proofErr w:type="spellEnd"/>
      <w:r>
        <w:rPr>
          <w:sz w:val="28"/>
          <w:szCs w:val="28"/>
        </w:rPr>
        <w:t>, аспирант кафедры офтальмологии ХНМУ</w:t>
      </w:r>
    </w:p>
    <w:p w:rsidR="00906D73" w:rsidRDefault="00906D73" w:rsidP="009960DD">
      <w:pPr>
        <w:pStyle w:val="ab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210B1A">
        <w:rPr>
          <w:color w:val="000000"/>
          <w:sz w:val="28"/>
          <w:szCs w:val="28"/>
          <w:shd w:val="clear" w:color="auto" w:fill="FFFFFF"/>
          <w:lang w:val="uk-UA"/>
        </w:rPr>
        <w:t xml:space="preserve">61145 </w:t>
      </w:r>
      <w:proofErr w:type="spellStart"/>
      <w:r w:rsidRPr="00210B1A">
        <w:rPr>
          <w:color w:val="000000"/>
          <w:sz w:val="28"/>
          <w:szCs w:val="28"/>
          <w:shd w:val="clear" w:color="auto" w:fill="FFFFFF"/>
          <w:lang w:val="uk-UA"/>
        </w:rPr>
        <w:t>Харьков</w:t>
      </w:r>
      <w:proofErr w:type="spellEnd"/>
      <w:r w:rsidRPr="00210B1A">
        <w:rPr>
          <w:color w:val="000000"/>
          <w:sz w:val="28"/>
          <w:szCs w:val="28"/>
          <w:shd w:val="clear" w:color="auto" w:fill="FFFFFF"/>
          <w:lang w:val="uk-UA"/>
        </w:rPr>
        <w:t xml:space="preserve"> пр. Ленина 21 А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10B1A">
        <w:rPr>
          <w:color w:val="000000"/>
          <w:sz w:val="28"/>
          <w:szCs w:val="28"/>
          <w:shd w:val="clear" w:color="auto" w:fill="FFFFFF"/>
          <w:lang w:val="uk-UA"/>
        </w:rPr>
        <w:t xml:space="preserve"> кв. 157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06D73" w:rsidRPr="00210B1A" w:rsidRDefault="00906D73" w:rsidP="009960DD">
      <w:pPr>
        <w:pStyle w:val="ab"/>
        <w:suppressAutoHyphens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Pr="00210B1A">
        <w:rPr>
          <w:sz w:val="28"/>
          <w:szCs w:val="28"/>
          <w:lang w:val="uk-UA"/>
        </w:rPr>
        <w:t>+380979546140</w:t>
      </w:r>
    </w:p>
    <w:p w:rsidR="00906D73" w:rsidRDefault="00906D73" w:rsidP="009960DD">
      <w:pPr>
        <w:pStyle w:val="ab"/>
        <w:numPr>
          <w:ilvl w:val="0"/>
          <w:numId w:val="5"/>
        </w:numPr>
        <w:suppressAutoHyphens w:val="0"/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Щадных Марина Александровна, ассистент кафедры офтальмологи ХНМУ</w:t>
      </w:r>
    </w:p>
    <w:p w:rsidR="00906D73" w:rsidRDefault="00906D73" w:rsidP="009960DD">
      <w:pPr>
        <w:pStyle w:val="ab"/>
        <w:suppressAutoHyphens w:val="0"/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 61118 г. Харьков, пр. 50-летия ВЛКСМ, д. 61 а, кв. 36</w:t>
      </w:r>
      <w:proofErr w:type="gramEnd"/>
    </w:p>
    <w:p w:rsidR="00906D73" w:rsidRDefault="00906D73" w:rsidP="009960DD">
      <w:pPr>
        <w:pStyle w:val="ab"/>
        <w:suppressAutoHyphens w:val="0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Тел. 80972306788</w:t>
      </w:r>
    </w:p>
    <w:p w:rsidR="00906D73" w:rsidRPr="00210B1A" w:rsidRDefault="00906D73" w:rsidP="009960DD">
      <w:pPr>
        <w:spacing w:line="480" w:lineRule="auto"/>
        <w:ind w:firstLine="709"/>
        <w:jc w:val="both"/>
        <w:rPr>
          <w:sz w:val="28"/>
          <w:szCs w:val="28"/>
          <w:shd w:val="clear" w:color="auto" w:fill="F5F5F5"/>
          <w:lang w:val="en-US"/>
        </w:rPr>
      </w:pPr>
    </w:p>
    <w:p w:rsidR="00B154CB" w:rsidRPr="00405568" w:rsidRDefault="00B154CB" w:rsidP="009960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154CB" w:rsidRPr="00405568" w:rsidSect="009960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CA" w:rsidRDefault="00C96BCA" w:rsidP="006F7321">
      <w:pPr>
        <w:spacing w:after="0" w:line="240" w:lineRule="auto"/>
      </w:pPr>
      <w:r>
        <w:separator/>
      </w:r>
    </w:p>
  </w:endnote>
  <w:endnote w:type="continuationSeparator" w:id="0">
    <w:p w:rsidR="00C96BCA" w:rsidRDefault="00C96BCA" w:rsidP="006F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u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CA" w:rsidRDefault="00C96BCA" w:rsidP="006F7321">
      <w:pPr>
        <w:spacing w:after="0" w:line="240" w:lineRule="auto"/>
      </w:pPr>
      <w:r>
        <w:separator/>
      </w:r>
    </w:p>
  </w:footnote>
  <w:footnote w:type="continuationSeparator" w:id="0">
    <w:p w:rsidR="00C96BCA" w:rsidRDefault="00C96BCA" w:rsidP="006F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4D1"/>
    <w:multiLevelType w:val="hybridMultilevel"/>
    <w:tmpl w:val="C7A0DD98"/>
    <w:lvl w:ilvl="0" w:tplc="D4344C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994"/>
    <w:multiLevelType w:val="hybridMultilevel"/>
    <w:tmpl w:val="3436620C"/>
    <w:lvl w:ilvl="0" w:tplc="D4344C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A91760"/>
    <w:multiLevelType w:val="multilevel"/>
    <w:tmpl w:val="52F88EB0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96A0E1F"/>
    <w:multiLevelType w:val="hybridMultilevel"/>
    <w:tmpl w:val="E8B62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11267"/>
    <w:multiLevelType w:val="hybridMultilevel"/>
    <w:tmpl w:val="489030D4"/>
    <w:lvl w:ilvl="0" w:tplc="D4344C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378"/>
    <w:rsid w:val="00041C72"/>
    <w:rsid w:val="00043166"/>
    <w:rsid w:val="00065DCE"/>
    <w:rsid w:val="000B696F"/>
    <w:rsid w:val="000E4EBE"/>
    <w:rsid w:val="000F7745"/>
    <w:rsid w:val="0015127C"/>
    <w:rsid w:val="001B0E79"/>
    <w:rsid w:val="001C1230"/>
    <w:rsid w:val="001C37D2"/>
    <w:rsid w:val="001D7226"/>
    <w:rsid w:val="00204299"/>
    <w:rsid w:val="00250EE4"/>
    <w:rsid w:val="002F7EEE"/>
    <w:rsid w:val="00333413"/>
    <w:rsid w:val="0035580D"/>
    <w:rsid w:val="00355B00"/>
    <w:rsid w:val="003611BA"/>
    <w:rsid w:val="00377D10"/>
    <w:rsid w:val="003A7D20"/>
    <w:rsid w:val="003C356F"/>
    <w:rsid w:val="003F0645"/>
    <w:rsid w:val="00405568"/>
    <w:rsid w:val="004109D3"/>
    <w:rsid w:val="00462E0C"/>
    <w:rsid w:val="004B0FA2"/>
    <w:rsid w:val="00540F8A"/>
    <w:rsid w:val="00673CF4"/>
    <w:rsid w:val="00674D17"/>
    <w:rsid w:val="006B4377"/>
    <w:rsid w:val="006F7321"/>
    <w:rsid w:val="00723B0B"/>
    <w:rsid w:val="0072515F"/>
    <w:rsid w:val="007624B6"/>
    <w:rsid w:val="00807D49"/>
    <w:rsid w:val="00826904"/>
    <w:rsid w:val="008321CB"/>
    <w:rsid w:val="00854F9A"/>
    <w:rsid w:val="008A4D86"/>
    <w:rsid w:val="008B5668"/>
    <w:rsid w:val="008E761F"/>
    <w:rsid w:val="00906D73"/>
    <w:rsid w:val="0091355C"/>
    <w:rsid w:val="00926BD7"/>
    <w:rsid w:val="009960DD"/>
    <w:rsid w:val="009C6C95"/>
    <w:rsid w:val="009D2BE2"/>
    <w:rsid w:val="009E14AA"/>
    <w:rsid w:val="00A04A53"/>
    <w:rsid w:val="00A73378"/>
    <w:rsid w:val="00A76108"/>
    <w:rsid w:val="00AD41D2"/>
    <w:rsid w:val="00B00BAC"/>
    <w:rsid w:val="00B154CB"/>
    <w:rsid w:val="00BA50F8"/>
    <w:rsid w:val="00BC224D"/>
    <w:rsid w:val="00BC5B35"/>
    <w:rsid w:val="00C211A1"/>
    <w:rsid w:val="00C96BCA"/>
    <w:rsid w:val="00CE4DCC"/>
    <w:rsid w:val="00CE7F54"/>
    <w:rsid w:val="00D4465F"/>
    <w:rsid w:val="00D67775"/>
    <w:rsid w:val="00D90EC7"/>
    <w:rsid w:val="00D92461"/>
    <w:rsid w:val="00E22D81"/>
    <w:rsid w:val="00E31088"/>
    <w:rsid w:val="00E36926"/>
    <w:rsid w:val="00E60875"/>
    <w:rsid w:val="00ED6142"/>
    <w:rsid w:val="00F0057D"/>
    <w:rsid w:val="00F071BC"/>
    <w:rsid w:val="00F22C53"/>
    <w:rsid w:val="00F26CA9"/>
    <w:rsid w:val="00F55DAF"/>
    <w:rsid w:val="00F96334"/>
    <w:rsid w:val="00FB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3378"/>
    <w:pPr>
      <w:widowControl w:val="0"/>
      <w:suppressAutoHyphens/>
      <w:autoSpaceDE w:val="0"/>
      <w:spacing w:after="120" w:line="240" w:lineRule="auto"/>
    </w:pPr>
    <w:rPr>
      <w:rFonts w:ascii="Arial CYR" w:eastAsia="Arial Unicode MS" w:hAnsi="Arial CYR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A73378"/>
    <w:rPr>
      <w:rFonts w:ascii="Arial CYR" w:eastAsia="Arial Unicode MS" w:hAnsi="Arial CYR" w:cs="Tahoma"/>
      <w:color w:val="000000"/>
      <w:sz w:val="24"/>
      <w:szCs w:val="24"/>
      <w:lang w:val="en-US" w:bidi="en-US"/>
    </w:rPr>
  </w:style>
  <w:style w:type="paragraph" w:styleId="a5">
    <w:name w:val="endnote text"/>
    <w:basedOn w:val="a"/>
    <w:link w:val="a6"/>
    <w:uiPriority w:val="99"/>
    <w:semiHidden/>
    <w:unhideWhenUsed/>
    <w:rsid w:val="006F732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F732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F7321"/>
    <w:rPr>
      <w:vertAlign w:val="superscript"/>
    </w:rPr>
  </w:style>
  <w:style w:type="table" w:styleId="a8">
    <w:name w:val="Table Grid"/>
    <w:basedOn w:val="a1"/>
    <w:uiPriority w:val="59"/>
    <w:rsid w:val="00E3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3611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B1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AF55-66F6-4894-806D-9A717A65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6695</TotalTime>
  <Pages>12</Pages>
  <Words>11554</Words>
  <Characters>6586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2012-03-16T00:10:00Z</dcterms:created>
  <dcterms:modified xsi:type="dcterms:W3CDTF">2012-12-04T06:26:00Z</dcterms:modified>
</cp:coreProperties>
</file>