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23" w:rsidRPr="00756723" w:rsidRDefault="00756723" w:rsidP="00756723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23">
        <w:rPr>
          <w:rFonts w:ascii="Times New Roman" w:hAnsi="Times New Roman" w:cs="Times New Roman"/>
          <w:b/>
          <w:sz w:val="28"/>
          <w:szCs w:val="28"/>
        </w:rPr>
        <w:t xml:space="preserve">ФУНКЦІОНАЛЬНИЙ СТАН ПЕЧІНКИ  </w:t>
      </w:r>
    </w:p>
    <w:p w:rsidR="00756723" w:rsidRPr="00756723" w:rsidRDefault="00756723" w:rsidP="00756723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23">
        <w:rPr>
          <w:rFonts w:ascii="Times New Roman" w:hAnsi="Times New Roman" w:cs="Times New Roman"/>
          <w:b/>
          <w:sz w:val="28"/>
          <w:szCs w:val="28"/>
        </w:rPr>
        <w:t>У ДІТЕЙ З ГОСТРИМ ЛЕЙКОЗОМ</w:t>
      </w:r>
    </w:p>
    <w:p w:rsidR="00756723" w:rsidRPr="00756723" w:rsidRDefault="00756723" w:rsidP="00756723">
      <w:pPr>
        <w:suppressAutoHyphens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6723">
        <w:rPr>
          <w:rFonts w:ascii="Times New Roman" w:hAnsi="Times New Roman" w:cs="Times New Roman"/>
          <w:i/>
          <w:sz w:val="28"/>
          <w:szCs w:val="28"/>
        </w:rPr>
        <w:t xml:space="preserve">Одинець Ю.В.,  Ручко А.Ф., </w:t>
      </w:r>
      <w:proofErr w:type="spellStart"/>
      <w:r w:rsidRPr="00756723">
        <w:rPr>
          <w:rFonts w:ascii="Times New Roman" w:hAnsi="Times New Roman" w:cs="Times New Roman"/>
          <w:i/>
          <w:sz w:val="28"/>
          <w:szCs w:val="28"/>
        </w:rPr>
        <w:t>Алєксєєва</w:t>
      </w:r>
      <w:proofErr w:type="spellEnd"/>
      <w:r w:rsidRPr="00756723">
        <w:rPr>
          <w:rFonts w:ascii="Times New Roman" w:hAnsi="Times New Roman" w:cs="Times New Roman"/>
          <w:i/>
          <w:sz w:val="28"/>
          <w:szCs w:val="28"/>
        </w:rPr>
        <w:t xml:space="preserve">  Н.П., Ярова К.К., Панфілова О.О., </w:t>
      </w:r>
      <w:proofErr w:type="spellStart"/>
      <w:r w:rsidRPr="00756723">
        <w:rPr>
          <w:rFonts w:ascii="Times New Roman" w:hAnsi="Times New Roman" w:cs="Times New Roman"/>
          <w:i/>
          <w:sz w:val="28"/>
          <w:szCs w:val="28"/>
        </w:rPr>
        <w:t>Піддубна</w:t>
      </w:r>
      <w:proofErr w:type="spellEnd"/>
      <w:r w:rsidRPr="00756723">
        <w:rPr>
          <w:rFonts w:ascii="Times New Roman" w:hAnsi="Times New Roman" w:cs="Times New Roman"/>
          <w:i/>
          <w:sz w:val="28"/>
          <w:szCs w:val="28"/>
        </w:rPr>
        <w:t xml:space="preserve"> І.М., </w:t>
      </w:r>
      <w:proofErr w:type="spellStart"/>
      <w:r w:rsidRPr="00756723">
        <w:rPr>
          <w:rFonts w:ascii="Times New Roman" w:hAnsi="Times New Roman" w:cs="Times New Roman"/>
          <w:i/>
          <w:sz w:val="28"/>
          <w:szCs w:val="28"/>
        </w:rPr>
        <w:t>Губар</w:t>
      </w:r>
      <w:proofErr w:type="spellEnd"/>
      <w:r w:rsidRPr="00756723">
        <w:rPr>
          <w:rFonts w:ascii="Times New Roman" w:hAnsi="Times New Roman" w:cs="Times New Roman"/>
          <w:i/>
          <w:sz w:val="28"/>
          <w:szCs w:val="28"/>
        </w:rPr>
        <w:t xml:space="preserve"> С.О., </w:t>
      </w:r>
      <w:proofErr w:type="spellStart"/>
      <w:r w:rsidRPr="00756723">
        <w:rPr>
          <w:rFonts w:ascii="Times New Roman" w:hAnsi="Times New Roman" w:cs="Times New Roman"/>
          <w:i/>
          <w:sz w:val="28"/>
          <w:szCs w:val="28"/>
        </w:rPr>
        <w:t>Головачова</w:t>
      </w:r>
      <w:proofErr w:type="spellEnd"/>
      <w:r w:rsidRPr="00756723">
        <w:rPr>
          <w:rFonts w:ascii="Times New Roman" w:hAnsi="Times New Roman" w:cs="Times New Roman"/>
          <w:i/>
          <w:sz w:val="28"/>
          <w:szCs w:val="28"/>
        </w:rPr>
        <w:t xml:space="preserve"> В.О., Саратов В.М., </w:t>
      </w:r>
      <w:proofErr w:type="spellStart"/>
      <w:r w:rsidRPr="00756723">
        <w:rPr>
          <w:rFonts w:ascii="Times New Roman" w:hAnsi="Times New Roman" w:cs="Times New Roman"/>
          <w:i/>
          <w:sz w:val="28"/>
          <w:szCs w:val="28"/>
        </w:rPr>
        <w:t>Казанов</w:t>
      </w:r>
      <w:proofErr w:type="spellEnd"/>
      <w:r w:rsidRPr="00756723">
        <w:rPr>
          <w:rFonts w:ascii="Times New Roman" w:hAnsi="Times New Roman" w:cs="Times New Roman"/>
          <w:i/>
          <w:sz w:val="28"/>
          <w:szCs w:val="28"/>
        </w:rPr>
        <w:t xml:space="preserve"> В.Я., Осьмачко И.Е.*</w:t>
      </w:r>
    </w:p>
    <w:p w:rsidR="00756723" w:rsidRPr="00756723" w:rsidRDefault="00756723" w:rsidP="00756723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Харківський національний медичний університет </w:t>
      </w:r>
    </w:p>
    <w:p w:rsidR="00756723" w:rsidRPr="00756723" w:rsidRDefault="00756723" w:rsidP="00756723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>Кафедра педіатрії №2</w:t>
      </w:r>
    </w:p>
    <w:p w:rsidR="00756723" w:rsidRPr="00756723" w:rsidRDefault="00756723" w:rsidP="00756723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>*КЗОЗ «Харківська міська клінічна дитяча лікарня №16»</w:t>
      </w:r>
    </w:p>
    <w:p w:rsidR="00756723" w:rsidRPr="00756723" w:rsidRDefault="00756723" w:rsidP="00756723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Гострі лейкози (ГЛ) у дітей дотепер залишаються одними з найтяжких та несприятливих захворювань. Застосування сучасних протоколів хіміотерапії призвело до покращання результатів лікування окремих форм гострої лейкемії.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У 90-і роки в Україні в практику дитячих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онкогематологічних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відділень впроваджені нові підходи в лікуванні хворих на ГЛ.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Онкогематологічне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ві</w:t>
      </w:r>
      <w:r w:rsidRPr="00756723">
        <w:rPr>
          <w:rFonts w:ascii="Times New Roman" w:hAnsi="Times New Roman" w:cs="Times New Roman"/>
          <w:sz w:val="28"/>
          <w:szCs w:val="28"/>
        </w:rPr>
        <w:t>д</w:t>
      </w:r>
      <w:r w:rsidRPr="00756723">
        <w:rPr>
          <w:rFonts w:ascii="Times New Roman" w:hAnsi="Times New Roman" w:cs="Times New Roman"/>
          <w:sz w:val="28"/>
          <w:szCs w:val="28"/>
        </w:rPr>
        <w:t xml:space="preserve">ділення міської дитячої клінічної лікарні №16 м. Харкова з 1993 року здійснює лікування хворих на ГЛ дітей за протоколами BFM (Berlin-Frankfurt-Munster). Особливістю протоколів є використання багатокомпонентної,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високодозної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(«жорсткої», «агресивної»), пролонгованої за часом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поліхіміотерапії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(ПХТ)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цитостатичними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препаратами та спрямованість такої терапії на повну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ерадикацію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пухлинного клону клітин, досягнення стійкої ремісії і покращання кінцевого результату лікування – одужування. Такий підхід до лікування ГЛ дозволив у 85-90% дітей, хворих на гостру лейкемію, досягти ранньої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кістковомозкової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ремісії. У випадках резистентності пухлини, рецидиву захворювання (20-23%) призначають ще більш «агресивні» схеми ПХТ.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Певний успіх в лікуванні ГЛ у дітей на сучасному етапі, проте, поставив цілу низку нових проблем, пов’язаних у першу чергу з ростом ускладнень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високодозної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ПХТ. Збільшилась кількість ускладнень, обумовлених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пошкоджуючою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дією медикаментів на різні органи та системи, перш за все на ті, які швидко ростуть та регенерують. Серед цих ускладнень ураження серцево-судинної,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гепатобіліарної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систем у дітей займають окреме важливе місце.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>Проблема ураження печінки у хворих на ГЛ актуальна у всьому світі [1,4,6]. За своєю архітектонікою, анатомією – печінка є судинним органом (70% судин і 30% паренхіми), за кровообігом цей орган отримує змішану кров (75-</w:t>
      </w:r>
      <w:r w:rsidRPr="00756723">
        <w:rPr>
          <w:rFonts w:ascii="Times New Roman" w:hAnsi="Times New Roman" w:cs="Times New Roman"/>
          <w:sz w:val="28"/>
          <w:szCs w:val="28"/>
        </w:rPr>
        <w:lastRenderedPageBreak/>
        <w:t>80% - вено</w:t>
      </w:r>
      <w:r w:rsidRPr="00756723">
        <w:rPr>
          <w:rFonts w:ascii="Times New Roman" w:hAnsi="Times New Roman" w:cs="Times New Roman"/>
          <w:sz w:val="28"/>
          <w:szCs w:val="28"/>
        </w:rPr>
        <w:t>з</w:t>
      </w:r>
      <w:r w:rsidRPr="00756723">
        <w:rPr>
          <w:rFonts w:ascii="Times New Roman" w:hAnsi="Times New Roman" w:cs="Times New Roman"/>
          <w:sz w:val="28"/>
          <w:szCs w:val="28"/>
        </w:rPr>
        <w:t xml:space="preserve">на, 20-25% - артеріальна) і тому при багатьох захворюваннях, серцево-судинних розладах, кишкових, легеневих, значною мірою порушується печінковий кровообіг. З іншого боку, ураження печінки при ГЛ порушує її архітектоніку, що спричиняє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гемодинамічні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розлади. В обох варіантах страждає перфузія органу, метаболізм, функція. Питання взаємозв’язку центральної гемодинаміки, печінкового кровообігу, системи гемостазу, функції печінки при її ушкодженні у дітей, хворих на ГЛ в різні періоди захворювання вивчені недостатньо. Проведення прижиттєвого морфологічного до</w:t>
      </w:r>
      <w:r w:rsidRPr="00756723">
        <w:rPr>
          <w:rFonts w:ascii="Times New Roman" w:hAnsi="Times New Roman" w:cs="Times New Roman"/>
          <w:sz w:val="28"/>
          <w:szCs w:val="28"/>
        </w:rPr>
        <w:t>с</w:t>
      </w:r>
      <w:r w:rsidRPr="00756723">
        <w:rPr>
          <w:rFonts w:ascii="Times New Roman" w:hAnsi="Times New Roman" w:cs="Times New Roman"/>
          <w:sz w:val="28"/>
          <w:szCs w:val="28"/>
        </w:rPr>
        <w:t>лідження печінки у хворих з лейкемією обмежено у зв’язку з можл</w:t>
      </w:r>
      <w:r w:rsidRPr="00756723">
        <w:rPr>
          <w:rFonts w:ascii="Times New Roman" w:hAnsi="Times New Roman" w:cs="Times New Roman"/>
          <w:sz w:val="28"/>
          <w:szCs w:val="28"/>
        </w:rPr>
        <w:t>и</w:t>
      </w:r>
      <w:r w:rsidRPr="00756723">
        <w:rPr>
          <w:rFonts w:ascii="Times New Roman" w:hAnsi="Times New Roman" w:cs="Times New Roman"/>
          <w:sz w:val="28"/>
          <w:szCs w:val="28"/>
        </w:rPr>
        <w:t xml:space="preserve">вими ускладненнями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пункційної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біопсії у вигляді фатальної кровотечі, септичних ускладнень на тлі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імуносупресії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. Внаслідок чого використання безпечних та високоінформативних методів, в тому числі, комплексного ультразвукового дослідження (В-режим,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доплерографія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з кольоровим картуванням потоку в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імпульснохвиль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вому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режимі) на різних етапах пухлинного процесу у дітей може бути надзвичайно к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рисним для виявлення ранніх ознак ураження печінки. При дослідженні кровообігу печінки у дорослих, хворих на ГЛ, за даними літератури, виявляли ознаки портальної гіпертензії, зниження лінійної швидкості кровообігу у печінковій та селезінковій артеріях, розширення печінк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 xml:space="preserve">вих вен, зниження лінійної та об’ємної  швидкості кровообігу у ворітній вені. Виявлені зміни пов’язують з розвитком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шунтуючого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крово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бігу у хворих на гепатит та фіброзними змінами у печінці. Ультразв</w:t>
      </w:r>
      <w:r w:rsidRPr="00756723">
        <w:rPr>
          <w:rFonts w:ascii="Times New Roman" w:hAnsi="Times New Roman" w:cs="Times New Roman"/>
          <w:sz w:val="28"/>
          <w:szCs w:val="28"/>
        </w:rPr>
        <w:t>у</w:t>
      </w:r>
      <w:r w:rsidRPr="00756723">
        <w:rPr>
          <w:rFonts w:ascii="Times New Roman" w:hAnsi="Times New Roman" w:cs="Times New Roman"/>
          <w:sz w:val="28"/>
          <w:szCs w:val="28"/>
        </w:rPr>
        <w:t xml:space="preserve">кове дослідження, мабуть, єдиний метод, за допомогою якого можливо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неінвазивно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дослідити стан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гепатолієнальн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кровообігу.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За даними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патоморфологічного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дослідження, патологія печінки при ГЛ та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лімфопроліферативних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захворюваннях виявляється у 85-95% пацієнтів[2,4,6]. Найбільш поширеною причиною ураження печінки  у дорослих  хворих на ГЛ є пухлинна інфільтрація печінки. До вагомих причин ураження печінки слід також віднести наявність синдрому ендогенної інтоксикації – комплексу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проявлень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, обумовлених накопиченням в тканях, біологічних рідинах організму продуктів патологічного катаболізму, деструкції клітин та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біомол</w:t>
      </w:r>
      <w:r w:rsidRPr="00756723">
        <w:rPr>
          <w:rFonts w:ascii="Times New Roman" w:hAnsi="Times New Roman" w:cs="Times New Roman"/>
          <w:sz w:val="28"/>
          <w:szCs w:val="28"/>
        </w:rPr>
        <w:t>е</w:t>
      </w:r>
      <w:r w:rsidRPr="00756723">
        <w:rPr>
          <w:rFonts w:ascii="Times New Roman" w:hAnsi="Times New Roman" w:cs="Times New Roman"/>
          <w:sz w:val="28"/>
          <w:szCs w:val="28"/>
        </w:rPr>
        <w:t>кул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. На тлі ендогенної інтоксикації розвивається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гепатотоксичний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вплив препар</w:t>
      </w:r>
      <w:r w:rsidRPr="00756723">
        <w:rPr>
          <w:rFonts w:ascii="Times New Roman" w:hAnsi="Times New Roman" w:cs="Times New Roman"/>
          <w:sz w:val="28"/>
          <w:szCs w:val="28"/>
        </w:rPr>
        <w:t>а</w:t>
      </w:r>
      <w:r w:rsidRPr="00756723">
        <w:rPr>
          <w:rFonts w:ascii="Times New Roman" w:hAnsi="Times New Roman" w:cs="Times New Roman"/>
          <w:sz w:val="28"/>
          <w:szCs w:val="28"/>
        </w:rPr>
        <w:t>тів ПХТ.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У зв’язку з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імуносупрессією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нейтропенією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, у пацієнтів з ГЛ занадто часто виникає ураження печінки бактеріальної, грибкової, вірусної етіології, що супроводжується порушенням функціонального стану печінки та вираженими морф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логічними змінами органу.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У пацієнтів з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лімфопроліферативними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захворюваннями спостерігається високий рівень інфікування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гепатотропними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вірусами внаслідок значного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гемотрансфузійного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навантаження, великої кількості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парентеральних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втручань.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lastRenderedPageBreak/>
        <w:t xml:space="preserve">За даними проведеного нами науково-дослідної роботи, що виконана співробітниками кафедри педіатрії №2 ХНМУ м. Харкова (зав. кафедри – проф.. Одинець Ю.В.) частота розвитку гепатиту у хворих на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онкогематологічні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захворювання зростала в залежності від терміну лікування. На етапі встановлення основного діагнозу до призначення хім</w:t>
      </w:r>
      <w:r w:rsidRPr="00756723">
        <w:rPr>
          <w:rFonts w:ascii="Times New Roman" w:hAnsi="Times New Roman" w:cs="Times New Roman"/>
          <w:sz w:val="28"/>
          <w:szCs w:val="28"/>
        </w:rPr>
        <w:t>і</w:t>
      </w:r>
      <w:r w:rsidRPr="00756723">
        <w:rPr>
          <w:rFonts w:ascii="Times New Roman" w:hAnsi="Times New Roman" w:cs="Times New Roman"/>
          <w:sz w:val="28"/>
          <w:szCs w:val="28"/>
        </w:rPr>
        <w:t xml:space="preserve">отерапії,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гепатолієнальний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синдром різного ступеню реєстрували у всіх хворих і розцінювали його як прояв лейкозу (негативні результати на маркери гепатитів, показники функціональних проб печінки без відхилень від нормативних). В період індукції прояви гепатиту реєстрували у 31% хворих, в період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реіндукції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та консолідації – у 42%, на етапі підтримуючої терапії – у 77,7%. Така сумна прогресія розвитку уражень печінки у хворих на ГЛ на різних етапах лікування суттєво впливає на можливість повноцінної реалізації протокольного лікування ПХТ, обмежує можливість застосування цілого ряду препаратів (у зв’язку з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гепатотоксичністю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), порушує строки застосування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високод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зної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ПХТ.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Існує багато факторів, які призводять до патології печінки при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гемобластозах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. Встановлено, що терапевтичні підходи відрізняються в залежності від характеру ураження печінки. Кінцева ідентифікація етіології та механізму ураження печінки можлива після морфологічного дослідження печінки, здійснити яке у хворих на ГЛ дуже часто неможливо, тому що проведення біопсії печінки поєднано з високим ризиком розвитку. Тому актуальними є дослідження структурних змін печінки при ГЛ та пошук клінічних критеріїв, які асоційовані з різними патогенетичними механізмами ураження печінки.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>Цікавими є дослідження вмісту катодних ізоферментів лактатдегідрогенази  у хворих на злоякісні новоутворення. Відомо, що загальна а</w:t>
      </w:r>
      <w:r w:rsidRPr="00756723">
        <w:rPr>
          <w:rFonts w:ascii="Times New Roman" w:hAnsi="Times New Roman" w:cs="Times New Roman"/>
          <w:sz w:val="28"/>
          <w:szCs w:val="28"/>
        </w:rPr>
        <w:t>к</w:t>
      </w:r>
      <w:r w:rsidRPr="00756723">
        <w:rPr>
          <w:rFonts w:ascii="Times New Roman" w:hAnsi="Times New Roman" w:cs="Times New Roman"/>
          <w:sz w:val="28"/>
          <w:szCs w:val="28"/>
        </w:rPr>
        <w:t xml:space="preserve">тивність ферменту в крові онкологічних хворих підвищена. Особлива увага приділяється зміну спектру лактатдегідрогенази (ЛДГ) для диференційної діагностики злоякісних пухлин. Дослідженнями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Горожанської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Шапот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В.С. було показано, що в злоякісних пухлинах людини різко підвищується вміст катодних ізоферментів, головним чином ЛДГ5 (М-форми, «анаеробної») поряд зі зменшенням ЛДГ1 (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Н-форми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), а співвідношення між цими фракціями незалежно від гістологічної будови  пухлини завжди більше 1. У хворих на ГЛ підвищується активність ізоферментів ЛДГ2 та ЛДГ3, тоді як пухлинні ткан</w:t>
      </w:r>
      <w:r w:rsidRPr="00756723">
        <w:rPr>
          <w:rFonts w:ascii="Times New Roman" w:hAnsi="Times New Roman" w:cs="Times New Roman"/>
          <w:sz w:val="28"/>
          <w:szCs w:val="28"/>
        </w:rPr>
        <w:t>и</w:t>
      </w:r>
      <w:r w:rsidRPr="00756723">
        <w:rPr>
          <w:rFonts w:ascii="Times New Roman" w:hAnsi="Times New Roman" w:cs="Times New Roman"/>
          <w:sz w:val="28"/>
          <w:szCs w:val="28"/>
        </w:rPr>
        <w:t>ни відзначаються значною активністю ізоферментів ЛДГ3, ЛДГ4, ЛДГ5.  При захворюваннях печінки підвищується активність ЛДГ5 и ЛДГ4 та зменшується акти</w:t>
      </w:r>
      <w:r w:rsidRPr="00756723">
        <w:rPr>
          <w:rFonts w:ascii="Times New Roman" w:hAnsi="Times New Roman" w:cs="Times New Roman"/>
          <w:sz w:val="28"/>
          <w:szCs w:val="28"/>
        </w:rPr>
        <w:t>в</w:t>
      </w:r>
      <w:r w:rsidRPr="00756723">
        <w:rPr>
          <w:rFonts w:ascii="Times New Roman" w:hAnsi="Times New Roman" w:cs="Times New Roman"/>
          <w:sz w:val="28"/>
          <w:szCs w:val="28"/>
        </w:rPr>
        <w:t xml:space="preserve">ність ЛДГ1 и ЛДГ2. При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нейролейкемії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у дорослих, хворих на ГЛ, типовим є наявність ЛДГ5 в лікворі. На тлі успішного лікування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нейролейкемії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ізофермент ЛДГ5 в лікворі не виявляється. Обговорюється можливість використання ЛДГ5 як додаткового критерію для уточнення результатів цитологічного дослідження при </w:t>
      </w:r>
      <w:r w:rsidRPr="00756723">
        <w:rPr>
          <w:rFonts w:ascii="Times New Roman" w:hAnsi="Times New Roman" w:cs="Times New Roman"/>
          <w:sz w:val="28"/>
          <w:szCs w:val="28"/>
        </w:rPr>
        <w:lastRenderedPageBreak/>
        <w:t xml:space="preserve">діагностиці та прогнозуванні розвитку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нейролейкемії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у дорослих, хворих на ГЛ. Загальновідомо, що загальна активність ферменту ЛДГ в крові онкологічних хворих підвищена[1,4]. Особлива увага звертається на зміни спектру ЛДГ для диференційної діагностики злоякісних новоутворень. Відмічено, що в сиров</w:t>
      </w:r>
      <w:r w:rsidRPr="00756723">
        <w:rPr>
          <w:rFonts w:ascii="Times New Roman" w:hAnsi="Times New Roman" w:cs="Times New Roman"/>
          <w:sz w:val="28"/>
          <w:szCs w:val="28"/>
        </w:rPr>
        <w:t>а</w:t>
      </w:r>
      <w:r w:rsidRPr="00756723">
        <w:rPr>
          <w:rFonts w:ascii="Times New Roman" w:hAnsi="Times New Roman" w:cs="Times New Roman"/>
          <w:sz w:val="28"/>
          <w:szCs w:val="28"/>
        </w:rPr>
        <w:t xml:space="preserve">тці крові онкологічних хворих підвищується доля М-форми і зменшується ЛДГ, в зрівнянні з їх активністю у хворих на доброякісні пухлини та здорових людей. Результати визначення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ізоферментного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спектру ЛДГ, який змінюється ще до появи морфологічних ознак злоякісності, пропонується використовувати для диференційної діагностики багатьох злоякісних пухлин гострих лейкозів – за даними змінами профілю ЛДГ ще до появи рец</w:t>
      </w:r>
      <w:r w:rsidRPr="00756723">
        <w:rPr>
          <w:rFonts w:ascii="Times New Roman" w:hAnsi="Times New Roman" w:cs="Times New Roman"/>
          <w:sz w:val="28"/>
          <w:szCs w:val="28"/>
        </w:rPr>
        <w:t>и</w:t>
      </w:r>
      <w:r w:rsidRPr="00756723">
        <w:rPr>
          <w:rFonts w:ascii="Times New Roman" w:hAnsi="Times New Roman" w:cs="Times New Roman"/>
          <w:sz w:val="28"/>
          <w:szCs w:val="28"/>
        </w:rPr>
        <w:t>диву хвороби, метастазів до печінки, а також для прогнозу хвороби та ефективності лікування. Результати визначення активності ЛДГ використовуються для діагностики: в спинномозковій  рідині – метастазів у мо</w:t>
      </w:r>
      <w:r w:rsidRPr="00756723">
        <w:rPr>
          <w:rFonts w:ascii="Times New Roman" w:hAnsi="Times New Roman" w:cs="Times New Roman"/>
          <w:sz w:val="28"/>
          <w:szCs w:val="28"/>
        </w:rPr>
        <w:t>з</w:t>
      </w:r>
      <w:r w:rsidRPr="00756723">
        <w:rPr>
          <w:rFonts w:ascii="Times New Roman" w:hAnsi="Times New Roman" w:cs="Times New Roman"/>
          <w:sz w:val="28"/>
          <w:szCs w:val="28"/>
        </w:rPr>
        <w:t>ку, в плевральному ексудаті – рака легень, в змивах з порожнини матки – раку матки. До того ж, зміни активності ферменту більш інформативні, ніж результати цитологічного дослідження. Зміни активності ЛДГ у шлунковому соку придатні для диференційної діагностики в</w:t>
      </w:r>
      <w:r w:rsidRPr="00756723">
        <w:rPr>
          <w:rFonts w:ascii="Times New Roman" w:hAnsi="Times New Roman" w:cs="Times New Roman"/>
          <w:sz w:val="28"/>
          <w:szCs w:val="28"/>
        </w:rPr>
        <w:t>и</w:t>
      </w:r>
      <w:r w:rsidRPr="00756723">
        <w:rPr>
          <w:rFonts w:ascii="Times New Roman" w:hAnsi="Times New Roman" w:cs="Times New Roman"/>
          <w:sz w:val="28"/>
          <w:szCs w:val="28"/>
        </w:rPr>
        <w:t xml:space="preserve">разкової хвороби  та раку шлунку. На думку  Грицаєва С.В., Гринько И.В., збільшення активності ЛДГ обумовлене не тільки «виходом» ферменту з пухлини, але і вивільненням його з тканин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пухл</w:t>
      </w:r>
      <w:r w:rsidRPr="00756723">
        <w:rPr>
          <w:rFonts w:ascii="Times New Roman" w:hAnsi="Times New Roman" w:cs="Times New Roman"/>
          <w:sz w:val="28"/>
          <w:szCs w:val="28"/>
        </w:rPr>
        <w:t>и</w:t>
      </w:r>
      <w:r w:rsidRPr="00756723">
        <w:rPr>
          <w:rFonts w:ascii="Times New Roman" w:hAnsi="Times New Roman" w:cs="Times New Roman"/>
          <w:sz w:val="28"/>
          <w:szCs w:val="28"/>
        </w:rPr>
        <w:t>ноносія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до кров’яного руслу [1,4]. Також доведено, що співвідношення ЛДГ5/ЛДГ1 змінюється ще до появи злоякісної пухлини у мишей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високорак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вої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лінії. Підвищення загальної активності ЛДГ та її М-форми, особливо підвищення молочної кислоти и співвідношення лактат/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піруват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, відображають інтенсифікацію анаеробних процесів ене</w:t>
      </w:r>
      <w:r w:rsidRPr="00756723">
        <w:rPr>
          <w:rFonts w:ascii="Times New Roman" w:hAnsi="Times New Roman" w:cs="Times New Roman"/>
          <w:sz w:val="28"/>
          <w:szCs w:val="28"/>
        </w:rPr>
        <w:t>р</w:t>
      </w:r>
      <w:r w:rsidRPr="00756723">
        <w:rPr>
          <w:rFonts w:ascii="Times New Roman" w:hAnsi="Times New Roman" w:cs="Times New Roman"/>
          <w:sz w:val="28"/>
          <w:szCs w:val="28"/>
        </w:rPr>
        <w:t xml:space="preserve">гетичного метаболізму. В свою чергу, доля аеробної фракції (ЛДГ) в мітохондріях печінки тварин з пухлинами зменшується. Цей факт свідчить про загальне пригнічення аеробного метаболізму у хворих на рак, що підтверджується зниженням напруження кисню у тканях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пухлиноносіїв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. Відзначають, що при високому напруженні кисню в тканях складаються сприятливі умови для синтезу ЛДГ, а при низькому напруженні – для синтезу ЛДГ5.  Дослідження ЛДГ у дітей, хворих на ГЛ з ураженням печінки,  у вітчизняній літературі відсутні. Тому визначення катодних ізоферментів ЛДГ у дітей з гострою лейкемією дозволить більш повно розуміти деякі патогенетичні механізми прогресування, розвитку ускладнень захворювання,  що має безперечне зн</w:t>
      </w:r>
      <w:r w:rsidRPr="00756723">
        <w:rPr>
          <w:rFonts w:ascii="Times New Roman" w:hAnsi="Times New Roman" w:cs="Times New Roman"/>
          <w:sz w:val="28"/>
          <w:szCs w:val="28"/>
        </w:rPr>
        <w:t>а</w:t>
      </w:r>
      <w:r w:rsidRPr="00756723">
        <w:rPr>
          <w:rFonts w:ascii="Times New Roman" w:hAnsi="Times New Roman" w:cs="Times New Roman"/>
          <w:sz w:val="28"/>
          <w:szCs w:val="28"/>
        </w:rPr>
        <w:t>чення для клінічної медицини. До того ж, проведення дорівнюючої оцінки функції, структури та гемодинаміки печінки, дозволить виявити особливості функціонального стану печінки, її кровообігу у дітей хворих на ГЛ у різні періоди захворювання. Подібних досліджень у доступній вітчизняній та зарубіжній літературі ми не зустрічали,  що свідчить про актуальність та необхідність проведення оцінки центральної та печінкової гемодинаміки у дітей хворих на гос</w:t>
      </w:r>
      <w:r w:rsidRPr="00756723">
        <w:rPr>
          <w:rFonts w:ascii="Times New Roman" w:hAnsi="Times New Roman" w:cs="Times New Roman"/>
          <w:sz w:val="28"/>
          <w:szCs w:val="28"/>
        </w:rPr>
        <w:t>т</w:t>
      </w:r>
      <w:r w:rsidRPr="00756723">
        <w:rPr>
          <w:rFonts w:ascii="Times New Roman" w:hAnsi="Times New Roman" w:cs="Times New Roman"/>
          <w:sz w:val="28"/>
          <w:szCs w:val="28"/>
        </w:rPr>
        <w:t>рий лейкоз в різні періоди захворювання.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lastRenderedPageBreak/>
        <w:t xml:space="preserve">Нами проведено обстеження 37 хворих дітей з гострим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лімфобластним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лейкозом у віці від 3-ох років до 18 років. У всіх обстежених визначали рівень ЛДГ, ЛДГ1, ЛДГ4, ЛДГ5 до початку лікування,  на фоні проведення індукційної терапії та при досягненні ремісії процесу. Також проведена оцінка центральної та печінкової гемодинаміки у дітей з гострою лейкемією у різні періоди захворювання.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До початку лікування було виявлене підвищення рівню загальної ЛДГ 357,93±61,75 Од/л у більшості (76%) хворих дітей  при нормальних рівнях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АЛТ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та інших показників функціональних проб печінки. Виявлені зміни ЛДГ можуть свідчити про зсув в бік анаеробного метаболізму та посилення гліколізу в цитоплазмі злоякісних клітин, що пов’язано з активацією клітинної проліферації. Це було підтверджено виявленням позитивних кореляційних зв’язків між рівнями ЛДГ та лейкоц</w:t>
      </w:r>
      <w:r w:rsidRPr="00756723">
        <w:rPr>
          <w:rFonts w:ascii="Times New Roman" w:hAnsi="Times New Roman" w:cs="Times New Roman"/>
          <w:sz w:val="28"/>
          <w:szCs w:val="28"/>
        </w:rPr>
        <w:t>и</w:t>
      </w:r>
      <w:r w:rsidRPr="00756723">
        <w:rPr>
          <w:rFonts w:ascii="Times New Roman" w:hAnsi="Times New Roman" w:cs="Times New Roman"/>
          <w:sz w:val="28"/>
          <w:szCs w:val="28"/>
        </w:rPr>
        <w:t xml:space="preserve">тозу, ЛДГ та рівнем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бластних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клітин в крові. Окрім того, у всіх обстежених хворих спостерігались анемія (гемоглобін 83,6±10,3 г/л),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тромбоцитопенія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(68,3±32,7х10</w:t>
      </w:r>
      <w:r w:rsidRPr="00756723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756723">
        <w:rPr>
          <w:rFonts w:ascii="Times New Roman" w:hAnsi="Times New Roman" w:cs="Times New Roman"/>
          <w:sz w:val="28"/>
          <w:szCs w:val="28"/>
        </w:rPr>
        <w:t xml:space="preserve">/л), що також може бути причиною підвищення ЛДГ. Цікавим є виявлення порушення співвідношення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ізоформ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ЛДГ. У хв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рих   спостерігалось підвищення відсотку ЛДГ1, зниження відсотку ЛДГ4 та порушення співві</w:t>
      </w:r>
      <w:r w:rsidRPr="00756723">
        <w:rPr>
          <w:rFonts w:ascii="Times New Roman" w:hAnsi="Times New Roman" w:cs="Times New Roman"/>
          <w:sz w:val="28"/>
          <w:szCs w:val="28"/>
        </w:rPr>
        <w:t>д</w:t>
      </w:r>
      <w:r w:rsidRPr="00756723">
        <w:rPr>
          <w:rFonts w:ascii="Times New Roman" w:hAnsi="Times New Roman" w:cs="Times New Roman"/>
          <w:sz w:val="28"/>
          <w:szCs w:val="28"/>
        </w:rPr>
        <w:t xml:space="preserve">ношення ЛДГ4/ЛДГ5 в бік останнього.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>На фоні проведення індукційної терапії у 28 хворих було виявлене ушкодження печінки, розвиток токсичного гепатиту, що було підтвердж</w:t>
      </w:r>
      <w:r w:rsidRPr="00756723">
        <w:rPr>
          <w:rFonts w:ascii="Times New Roman" w:hAnsi="Times New Roman" w:cs="Times New Roman"/>
          <w:sz w:val="28"/>
          <w:szCs w:val="28"/>
        </w:rPr>
        <w:t>е</w:t>
      </w:r>
      <w:r w:rsidRPr="00756723">
        <w:rPr>
          <w:rFonts w:ascii="Times New Roman" w:hAnsi="Times New Roman" w:cs="Times New Roman"/>
          <w:sz w:val="28"/>
          <w:szCs w:val="28"/>
        </w:rPr>
        <w:t>но клінічними (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гепатомегалія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) та лабораторно-інструментальними даними (підвищення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АЛТ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– 2,05±0,23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/л, ознаки гепатиту при УЗД, у декількох хворих –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гіпербілірубінемія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). У 9 хворих без клінічних ознак ураження печінки рівень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АЛТ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достовірно був нижчим (0,7±0,12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/л). Рівень загальної ЛДГ в період індукційної терапії  у дітей з ураженням печінки достовірно був вище (457,84±93,3 ОД/л) ніж до початку лікування та недостовірно вище ніж у дітей без ознак ураження печінки  - 435,14±60,78 ОД/л. У дітей з ураженням печінки в періоді індукції ремісії спостерігалося більш суттєве збільшення рівню ЛДГ5, який був у 1,5 рази вищим ніж до лікування та після ліквідації ознак ураження печінки. Ступінь підвищення ЛДГ5 корелював зі збільшенням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АЛТ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та УЗД ознаками токсичного гепатиту.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При досягненні ремісії вміст загальної ЛДГ та її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ізоформ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 в середньому знизився, але у частини хворих залишався на підвищеному рівні, що може бути свідоцтвом  поганої відповіді на проведену хіміотерапію та несприятливою прогности</w:t>
      </w:r>
      <w:r w:rsidRPr="00756723">
        <w:rPr>
          <w:rFonts w:ascii="Times New Roman" w:hAnsi="Times New Roman" w:cs="Times New Roman"/>
          <w:sz w:val="28"/>
          <w:szCs w:val="28"/>
        </w:rPr>
        <w:t>ч</w:t>
      </w:r>
      <w:r w:rsidRPr="00756723">
        <w:rPr>
          <w:rFonts w:ascii="Times New Roman" w:hAnsi="Times New Roman" w:cs="Times New Roman"/>
          <w:sz w:val="28"/>
          <w:szCs w:val="28"/>
        </w:rPr>
        <w:t xml:space="preserve">ною ознакою.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Ультразвукове дослідження печінки  з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доплерографією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судин проведено обстеженим дітям на різних етапах спостереження. Вже до початку лікування на момент встановлення діагнозу у всіх дітей були знайдені зміни. У всіх </w:t>
      </w:r>
      <w:r w:rsidRPr="00756723">
        <w:rPr>
          <w:rFonts w:ascii="Times New Roman" w:hAnsi="Times New Roman" w:cs="Times New Roman"/>
          <w:sz w:val="28"/>
          <w:szCs w:val="28"/>
        </w:rPr>
        <w:lastRenderedPageBreak/>
        <w:t xml:space="preserve">обстежених печінка була збільшеною, переважно за рахунок правої та лівої долі, що у 94% супроводжувалося підвищенням її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ехогенності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. Судинний малюнок та діаметри судин не змінювалися. У більшості дітей (61%) швидкісні характеристики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воротній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та печінкових венах не відрізнялися від норми. У 39% хворих швидкість 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воротній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вені на рівні воріт печінки збільшувалася (26-38 см/с), що супроводжувалося й підвищенням індексу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объємної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швидкості портального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. Майже у половини обст</w:t>
      </w:r>
      <w:r w:rsidRPr="00756723">
        <w:rPr>
          <w:rFonts w:ascii="Times New Roman" w:hAnsi="Times New Roman" w:cs="Times New Roman"/>
          <w:sz w:val="28"/>
          <w:szCs w:val="28"/>
        </w:rPr>
        <w:t>е</w:t>
      </w:r>
      <w:r w:rsidRPr="00756723">
        <w:rPr>
          <w:rFonts w:ascii="Times New Roman" w:hAnsi="Times New Roman" w:cs="Times New Roman"/>
          <w:sz w:val="28"/>
          <w:szCs w:val="28"/>
        </w:rPr>
        <w:t xml:space="preserve">жених (44%) нормальний 3-фазний спектр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 печінкових венах змінювався на 2- та 1-фазний. У більшості дітей (69%) зміни стосувалися й артеріального ланцюга кровообігу у вигляді збільшення індексу резистентності у печінковій артерії (0,69-0,82). В гострий період захворювання до початку лікування ці зміни можна було пояснити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бластною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інфільтрацією печінки, порушенням реологічних властивостей крові (за рахунок інтоксикації, анемії,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гіперлейкоцитозу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тромбоцитопенії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). Підвищення швидкісних характеристик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, ймовірно, було обумовлено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гіперкінетичним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кардіальним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синдромом, який мав місце у більшості дітей на першому етапі сп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 xml:space="preserve">стереження.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Дослідження, проведені під час активної хіміотерапії, показали деяку позитивну динаміку щодо розмірів та структури печінки. На 5% зменшилась кількість дітей зі збільшеними розмірами печінки, у 8% дітей нормалізувалась її структура. Але у 1,7 рази виросла кількість дітей зі збільшеними швидкісними характеристиками портального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та патологічним спектром печінкового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. При цьому ні в кого не було знайдено класичних ознак портальної гіпертензії. Отримані результати на цьому етапі можна пояснити ліквідацією основної пухлинної маси, з одного боку, з іншого боку, збереження структурних змін печінки у 86% дітей були обумовлені токсичною дією протипухлинних препаратів. Подібна тенденція зберігалася й на етапі підтримуючої терапії.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Ультразвукові дослідження групи дітей після повного закінчення лікування, з ремісією протягом 2,5-4 років, показали, що у 61% дітей зберігається збільшення печінки, що у 57% супроводжується підвищенням її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ехогенності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. Кількість дітей зі збільшеними швидкісними параметрами портального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зменшилася до 30%, а з патологічним спектром печінкового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– до 32%. Резистентність печінкової артерії була збільшеною у 64,7% обстежених. При чому, з ч</w:t>
      </w:r>
      <w:r w:rsidRPr="00756723">
        <w:rPr>
          <w:rFonts w:ascii="Times New Roman" w:hAnsi="Times New Roman" w:cs="Times New Roman"/>
          <w:sz w:val="28"/>
          <w:szCs w:val="28"/>
        </w:rPr>
        <w:t>а</w:t>
      </w:r>
      <w:r w:rsidRPr="00756723">
        <w:rPr>
          <w:rFonts w:ascii="Times New Roman" w:hAnsi="Times New Roman" w:cs="Times New Roman"/>
          <w:sz w:val="28"/>
          <w:szCs w:val="28"/>
        </w:rPr>
        <w:t xml:space="preserve">сом, всі показники покращувалися.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>Висновки: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1. Морфологічні зміни печінки присутні у всіх дітей, хворих на ГЛ, в гострий період захворювання до початку лікування, що обумовлено пухлинною </w:t>
      </w:r>
      <w:r w:rsidRPr="00756723">
        <w:rPr>
          <w:rFonts w:ascii="Times New Roman" w:hAnsi="Times New Roman" w:cs="Times New Roman"/>
          <w:sz w:val="28"/>
          <w:szCs w:val="28"/>
        </w:rPr>
        <w:lastRenderedPageBreak/>
        <w:t>інфільтрацією паренхіматозних орг</w:t>
      </w:r>
      <w:r w:rsidRPr="00756723">
        <w:rPr>
          <w:rFonts w:ascii="Times New Roman" w:hAnsi="Times New Roman" w:cs="Times New Roman"/>
          <w:sz w:val="28"/>
          <w:szCs w:val="28"/>
        </w:rPr>
        <w:t>а</w:t>
      </w:r>
      <w:r w:rsidRPr="00756723">
        <w:rPr>
          <w:rFonts w:ascii="Times New Roman" w:hAnsi="Times New Roman" w:cs="Times New Roman"/>
          <w:sz w:val="28"/>
          <w:szCs w:val="28"/>
        </w:rPr>
        <w:t xml:space="preserve">нів. Ці зміни зберігаються у 86-95% хворих на етапах активної та підтримуючої ПХТ, що пов’язано з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гепатотоксичністю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протипухлинних препаратів, а у частини дітей – з інфікуванням вірусними гепатитами. Через 2,5-4 роки стійкої ремісії морфологічні зміни структури печінки залишаються у 57% дітей та мають позитивну тенде</w:t>
      </w:r>
      <w:r w:rsidRPr="00756723">
        <w:rPr>
          <w:rFonts w:ascii="Times New Roman" w:hAnsi="Times New Roman" w:cs="Times New Roman"/>
          <w:sz w:val="28"/>
          <w:szCs w:val="28"/>
        </w:rPr>
        <w:t>н</w:t>
      </w:r>
      <w:r w:rsidRPr="00756723">
        <w:rPr>
          <w:rFonts w:ascii="Times New Roman" w:hAnsi="Times New Roman" w:cs="Times New Roman"/>
          <w:sz w:val="28"/>
          <w:szCs w:val="28"/>
        </w:rPr>
        <w:t xml:space="preserve">цію з часом. 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sz w:val="28"/>
          <w:szCs w:val="28"/>
        </w:rPr>
        <w:t xml:space="preserve">2. У значної частини дітей вже на першому етапі підвищуються швидкісні характеристики портального (у 39%) та порушується спектр печінкового (у 44%)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, зростає резистентність печінкової артерії (у 69%). На тлі ПХТ показники погіршуються в 1,5-1,7 рази. Цей факт можна пояснити змінами реологічних властивостей крові на фоні анемії, інтоксикації, масивної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інфузійної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терапії, а також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гіперкінетичним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режимом центральної гемодинаміки, зареєстрованим у більшості цих дітей. Порушення показників портального та печінкового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кровопливу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зберігаються у 30-32% дітей після закінчення повного курсу ПХТ та потребують подальшої уваги.  </w:t>
      </w:r>
    </w:p>
    <w:p w:rsidR="00756723" w:rsidRPr="00756723" w:rsidRDefault="00756723" w:rsidP="00756723">
      <w:pPr>
        <w:tabs>
          <w:tab w:val="left" w:pos="284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56723">
        <w:rPr>
          <w:rFonts w:ascii="Times New Roman" w:hAnsi="Times New Roman" w:cs="Times New Roman"/>
          <w:i/>
          <w:sz w:val="28"/>
          <w:szCs w:val="28"/>
        </w:rPr>
        <w:t>Література:</w:t>
      </w:r>
    </w:p>
    <w:p w:rsidR="00756723" w:rsidRPr="00756723" w:rsidRDefault="00756723" w:rsidP="0075672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Борисевич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Белевцев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О.В.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Иммунологическая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характеристика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первых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рецидивов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острого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лимфобластного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лейкоза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эволюции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иммунофенотипа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бластных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клеток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рецидиве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Гематология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трансфузиол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гия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. 2004. - №6. – С.10-13.</w:t>
      </w:r>
    </w:p>
    <w:p w:rsidR="00756723" w:rsidRPr="00756723" w:rsidRDefault="00756723" w:rsidP="0075672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Высоцкая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Гусева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Л.Н.,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Варфоломеева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С.Р. и др.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Основные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причины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поражения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печени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остром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лимфобластном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лейкозе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Педиатрия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. 1999.-№3. – С. 34-38.</w:t>
      </w:r>
    </w:p>
    <w:p w:rsidR="00756723" w:rsidRPr="00756723" w:rsidRDefault="00756723" w:rsidP="0075672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Гершанович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М.Л., Тихонова В.В.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Применение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метадоксила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коррекции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гепатотоксического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действия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химиотерапии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онкологических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Вопр.онкол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. 2002. – Т. 48. - № 4-5. – С. 598-600.</w:t>
      </w:r>
    </w:p>
    <w:p w:rsidR="00756723" w:rsidRPr="00756723" w:rsidRDefault="00756723" w:rsidP="0075672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Грицаев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Блинов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М.Н.,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Губаренко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Н.К. и др.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Исследование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состава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изоферментов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лактатдегидрогеназы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спинномозговой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жидкости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острым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лимфобластным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лейкозом. //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онкологии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>. 2008. - №1. – С. 59-61.</w:t>
      </w:r>
    </w:p>
    <w:p w:rsidR="00756723" w:rsidRPr="00756723" w:rsidRDefault="00756723" w:rsidP="0075672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Ермаков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Б.Л.,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О.В.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Индукция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второй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ремиссии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использования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высокодозной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терапии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с рецидивами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ОЛЛ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Вопросы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гематологии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онкологии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имунн</w:t>
      </w:r>
      <w:r w:rsidRPr="00756723">
        <w:rPr>
          <w:rFonts w:ascii="Times New Roman" w:hAnsi="Times New Roman" w:cs="Times New Roman"/>
          <w:sz w:val="28"/>
          <w:szCs w:val="28"/>
        </w:rPr>
        <w:t>о</w:t>
      </w:r>
      <w:r w:rsidRPr="00756723">
        <w:rPr>
          <w:rFonts w:ascii="Times New Roman" w:hAnsi="Times New Roman" w:cs="Times New Roman"/>
          <w:sz w:val="28"/>
          <w:szCs w:val="28"/>
        </w:rPr>
        <w:t>логии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56723">
        <w:rPr>
          <w:rFonts w:ascii="Times New Roman" w:hAnsi="Times New Roman" w:cs="Times New Roman"/>
          <w:sz w:val="28"/>
          <w:szCs w:val="28"/>
        </w:rPr>
        <w:t>педиатрии</w:t>
      </w:r>
      <w:proofErr w:type="spellEnd"/>
      <w:r w:rsidRPr="00756723">
        <w:rPr>
          <w:rFonts w:ascii="Times New Roman" w:hAnsi="Times New Roman" w:cs="Times New Roman"/>
          <w:sz w:val="28"/>
          <w:szCs w:val="28"/>
        </w:rPr>
        <w:t xml:space="preserve">. – 2002. – Т.1.- №1.- С.79-82. </w:t>
      </w:r>
    </w:p>
    <w:p w:rsidR="00756723" w:rsidRPr="00756723" w:rsidRDefault="00756723" w:rsidP="00756723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56723">
        <w:rPr>
          <w:rFonts w:ascii="Times New Roman" w:hAnsi="Times New Roman"/>
          <w:sz w:val="28"/>
          <w:szCs w:val="28"/>
        </w:rPr>
        <w:t>Коленкова</w:t>
      </w:r>
      <w:proofErr w:type="spellEnd"/>
      <w:r w:rsidRPr="00756723">
        <w:rPr>
          <w:rFonts w:ascii="Times New Roman" w:hAnsi="Times New Roman"/>
          <w:sz w:val="28"/>
          <w:szCs w:val="28"/>
        </w:rPr>
        <w:t xml:space="preserve"> Г.В. Маркеры ОЛ в диагностике и прогнозе заболевания у детей // Гематология и трансфузиология. – 2001. – Т.47. - №3. – С.27-29.</w:t>
      </w:r>
    </w:p>
    <w:p w:rsidR="00756723" w:rsidRPr="00756723" w:rsidRDefault="00756723" w:rsidP="00756723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6723">
        <w:rPr>
          <w:rFonts w:ascii="Times New Roman" w:hAnsi="Times New Roman"/>
          <w:sz w:val="28"/>
          <w:szCs w:val="28"/>
        </w:rPr>
        <w:t>Лелюк</w:t>
      </w:r>
      <w:proofErr w:type="spellEnd"/>
      <w:r w:rsidRPr="00756723">
        <w:rPr>
          <w:rFonts w:ascii="Times New Roman" w:hAnsi="Times New Roman"/>
          <w:sz w:val="28"/>
          <w:szCs w:val="28"/>
        </w:rPr>
        <w:t xml:space="preserve"> В.Г., </w:t>
      </w:r>
      <w:proofErr w:type="spellStart"/>
      <w:r w:rsidRPr="00756723">
        <w:rPr>
          <w:rFonts w:ascii="Times New Roman" w:hAnsi="Times New Roman"/>
          <w:sz w:val="28"/>
          <w:szCs w:val="28"/>
        </w:rPr>
        <w:t>Лелюк</w:t>
      </w:r>
      <w:proofErr w:type="spellEnd"/>
      <w:r w:rsidRPr="00756723">
        <w:rPr>
          <w:rFonts w:ascii="Times New Roman" w:hAnsi="Times New Roman"/>
          <w:sz w:val="28"/>
          <w:szCs w:val="28"/>
        </w:rPr>
        <w:t xml:space="preserve"> С.Э. Состояние гемодинамики при очаговых поражениях печени//  </w:t>
      </w:r>
      <w:proofErr w:type="spellStart"/>
      <w:r w:rsidRPr="00756723">
        <w:rPr>
          <w:rFonts w:ascii="Times New Roman" w:hAnsi="Times New Roman"/>
          <w:sz w:val="28"/>
          <w:szCs w:val="28"/>
          <w:lang w:val="en-US"/>
        </w:rPr>
        <w:t>SonoAce</w:t>
      </w:r>
      <w:proofErr w:type="spellEnd"/>
      <w:r w:rsidRPr="00756723">
        <w:rPr>
          <w:rFonts w:ascii="Times New Roman" w:hAnsi="Times New Roman"/>
          <w:sz w:val="28"/>
          <w:szCs w:val="28"/>
        </w:rPr>
        <w:t xml:space="preserve"> </w:t>
      </w:r>
      <w:r w:rsidRPr="00756723">
        <w:rPr>
          <w:rFonts w:ascii="Times New Roman" w:hAnsi="Times New Roman"/>
          <w:sz w:val="28"/>
          <w:szCs w:val="28"/>
          <w:lang w:val="en-US"/>
        </w:rPr>
        <w:t>International</w:t>
      </w:r>
      <w:r w:rsidRPr="00756723">
        <w:rPr>
          <w:rFonts w:ascii="Times New Roman" w:hAnsi="Times New Roman"/>
          <w:sz w:val="28"/>
          <w:szCs w:val="28"/>
        </w:rPr>
        <w:t>. – 200</w:t>
      </w:r>
      <w:r w:rsidRPr="00756723">
        <w:rPr>
          <w:rFonts w:ascii="Times New Roman" w:hAnsi="Times New Roman"/>
          <w:sz w:val="28"/>
          <w:szCs w:val="28"/>
          <w:lang w:val="uk-UA"/>
        </w:rPr>
        <w:t>2</w:t>
      </w:r>
      <w:r w:rsidRPr="00756723">
        <w:rPr>
          <w:rFonts w:ascii="Times New Roman" w:hAnsi="Times New Roman"/>
          <w:sz w:val="28"/>
          <w:szCs w:val="28"/>
        </w:rPr>
        <w:t>. - №6. – С. 3-14.</w:t>
      </w:r>
    </w:p>
    <w:p w:rsidR="00756723" w:rsidRPr="00756723" w:rsidRDefault="00756723" w:rsidP="00756723">
      <w:pPr>
        <w:pStyle w:val="a3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 w:rsidRPr="00756723">
        <w:rPr>
          <w:rFonts w:ascii="Times New Roman" w:hAnsi="Times New Roman"/>
          <w:sz w:val="28"/>
          <w:szCs w:val="28"/>
          <w:lang w:val="de-DE"/>
        </w:rPr>
        <w:t>Alexopoulou</w:t>
      </w:r>
      <w:proofErr w:type="spellEnd"/>
      <w:r w:rsidRPr="00756723">
        <w:rPr>
          <w:rFonts w:ascii="Times New Roman" w:hAnsi="Times New Roman"/>
          <w:sz w:val="28"/>
          <w:szCs w:val="28"/>
          <w:lang w:val="de-DE"/>
        </w:rPr>
        <w:t xml:space="preserve"> A., Deutsch M., </w:t>
      </w:r>
      <w:proofErr w:type="spellStart"/>
      <w:r w:rsidRPr="00756723">
        <w:rPr>
          <w:rFonts w:ascii="Times New Roman" w:hAnsi="Times New Roman"/>
          <w:sz w:val="28"/>
          <w:szCs w:val="28"/>
          <w:lang w:val="de-DE"/>
        </w:rPr>
        <w:t>Ageletopoulou</w:t>
      </w:r>
      <w:proofErr w:type="spellEnd"/>
      <w:r w:rsidRPr="00756723">
        <w:rPr>
          <w:rFonts w:ascii="Times New Roman" w:hAnsi="Times New Roman"/>
          <w:sz w:val="28"/>
          <w:szCs w:val="28"/>
          <w:lang w:val="de-DE"/>
        </w:rPr>
        <w:t xml:space="preserve"> J. et al. </w:t>
      </w:r>
      <w:r w:rsidRPr="00756723">
        <w:rPr>
          <w:rFonts w:ascii="Times New Roman" w:hAnsi="Times New Roman"/>
          <w:sz w:val="28"/>
          <w:szCs w:val="28"/>
          <w:lang w:val="en-US"/>
        </w:rPr>
        <w:t xml:space="preserve">A fatal case of </w:t>
      </w:r>
      <w:proofErr w:type="spellStart"/>
      <w:r w:rsidRPr="00756723">
        <w:rPr>
          <w:rFonts w:ascii="Times New Roman" w:hAnsi="Times New Roman"/>
          <w:sz w:val="28"/>
          <w:szCs w:val="28"/>
          <w:lang w:val="en-US"/>
        </w:rPr>
        <w:t>postinfantile</w:t>
      </w:r>
      <w:proofErr w:type="spellEnd"/>
      <w:r w:rsidRPr="00756723">
        <w:rPr>
          <w:rFonts w:ascii="Times New Roman" w:hAnsi="Times New Roman"/>
          <w:sz w:val="28"/>
          <w:szCs w:val="28"/>
          <w:lang w:val="en-US"/>
        </w:rPr>
        <w:t xml:space="preserve"> giant cell hepatitis in a patients with chronic lymphocytic </w:t>
      </w:r>
      <w:proofErr w:type="spellStart"/>
      <w:r w:rsidRPr="00756723">
        <w:rPr>
          <w:rFonts w:ascii="Times New Roman" w:hAnsi="Times New Roman"/>
          <w:sz w:val="28"/>
          <w:szCs w:val="28"/>
          <w:lang w:val="en-US"/>
        </w:rPr>
        <w:t>leukaemia</w:t>
      </w:r>
      <w:proofErr w:type="spellEnd"/>
      <w:r w:rsidRPr="00756723">
        <w:rPr>
          <w:rFonts w:ascii="Times New Roman" w:hAnsi="Times New Roman"/>
          <w:sz w:val="28"/>
          <w:szCs w:val="28"/>
          <w:lang w:val="en-US"/>
        </w:rPr>
        <w:t xml:space="preserve"> // Eur. J. </w:t>
      </w:r>
      <w:proofErr w:type="spellStart"/>
      <w:r w:rsidRPr="00756723">
        <w:rPr>
          <w:rFonts w:ascii="Times New Roman" w:hAnsi="Times New Roman"/>
          <w:sz w:val="28"/>
          <w:szCs w:val="28"/>
          <w:lang w:val="en-US"/>
        </w:rPr>
        <w:t>Gastroenterol</w:t>
      </w:r>
      <w:proofErr w:type="spellEnd"/>
      <w:r w:rsidRPr="00756723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756723">
        <w:rPr>
          <w:rFonts w:ascii="Times New Roman" w:hAnsi="Times New Roman"/>
          <w:sz w:val="28"/>
          <w:szCs w:val="28"/>
          <w:lang w:val="en-US"/>
        </w:rPr>
        <w:t>Hepatol</w:t>
      </w:r>
      <w:proofErr w:type="spellEnd"/>
      <w:r w:rsidRPr="00756723">
        <w:rPr>
          <w:rFonts w:ascii="Times New Roman" w:hAnsi="Times New Roman"/>
          <w:sz w:val="28"/>
          <w:szCs w:val="28"/>
          <w:lang w:val="en-US"/>
        </w:rPr>
        <w:t>. 2003. – V. 15. – N 5. – P. 551-555.</w:t>
      </w: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56723" w:rsidRPr="00756723" w:rsidRDefault="00756723" w:rsidP="00756723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00000" w:rsidRPr="00756723" w:rsidRDefault="00756723">
      <w:pPr>
        <w:rPr>
          <w:rFonts w:ascii="Times New Roman" w:hAnsi="Times New Roman" w:cs="Times New Roman"/>
          <w:sz w:val="28"/>
          <w:szCs w:val="28"/>
        </w:rPr>
      </w:pPr>
    </w:p>
    <w:sectPr w:rsidR="00000000" w:rsidRPr="007567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91C96"/>
    <w:multiLevelType w:val="hybridMultilevel"/>
    <w:tmpl w:val="99B42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>
    <w:useFELayout/>
  </w:compat>
  <w:rsids>
    <w:rsidRoot w:val="00756723"/>
    <w:rsid w:val="0075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723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11533</Words>
  <Characters>6574</Characters>
  <Application>Microsoft Office Word</Application>
  <DocSecurity>0</DocSecurity>
  <Lines>54</Lines>
  <Paragraphs>36</Paragraphs>
  <ScaleCrop>false</ScaleCrop>
  <Company>Hewlett-Packard</Company>
  <LinksUpToDate>false</LinksUpToDate>
  <CharactersWithSpaces>18071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2013-11-17T19:57:00Z</dcterms:created>
  <dcterms:modified xsi:type="dcterms:W3CDTF">2013-11-17T19:58:00Z</dcterms:modified>
</cp:coreProperties>
</file>