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0B" w:rsidRPr="00E7760B" w:rsidRDefault="00E7760B" w:rsidP="00E7760B">
      <w:pPr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760B">
        <w:rPr>
          <w:rFonts w:ascii="Times New Roman" w:hAnsi="Times New Roman" w:cs="Times New Roman"/>
          <w:b/>
          <w:bCs/>
          <w:caps/>
          <w:sz w:val="28"/>
          <w:szCs w:val="28"/>
        </w:rPr>
        <w:t>Нарушения фосфорно-кальциевого обмена при программном гем</w:t>
      </w:r>
      <w:r w:rsidRPr="00E7760B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Pr="00E7760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диализе у детей </w:t>
      </w:r>
      <w:r w:rsidRPr="00E7760B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хронической почечной недост</w:t>
      </w:r>
      <w:r w:rsidRPr="00E7760B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E7760B">
        <w:rPr>
          <w:rFonts w:ascii="Times New Roman" w:hAnsi="Times New Roman" w:cs="Times New Roman"/>
          <w:b/>
          <w:bCs/>
          <w:caps/>
          <w:sz w:val="28"/>
          <w:szCs w:val="28"/>
        </w:rPr>
        <w:t>точностью</w:t>
      </w:r>
    </w:p>
    <w:p w:rsidR="00E7760B" w:rsidRPr="00E7760B" w:rsidRDefault="00E7760B" w:rsidP="00E7760B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760B">
        <w:rPr>
          <w:rFonts w:ascii="Times New Roman" w:hAnsi="Times New Roman" w:cs="Times New Roman"/>
          <w:bCs/>
          <w:i/>
          <w:sz w:val="28"/>
          <w:szCs w:val="28"/>
        </w:rPr>
        <w:t>Одинец</w:t>
      </w:r>
      <w:proofErr w:type="spellEnd"/>
      <w:r w:rsidRPr="00E7760B">
        <w:rPr>
          <w:rFonts w:ascii="Times New Roman" w:hAnsi="Times New Roman" w:cs="Times New Roman"/>
          <w:bCs/>
          <w:i/>
          <w:sz w:val="28"/>
          <w:szCs w:val="28"/>
        </w:rPr>
        <w:t xml:space="preserve"> Ю.В., </w:t>
      </w:r>
      <w:proofErr w:type="spellStart"/>
      <w:r w:rsidRPr="00E7760B">
        <w:rPr>
          <w:rFonts w:ascii="Times New Roman" w:hAnsi="Times New Roman" w:cs="Times New Roman"/>
          <w:bCs/>
          <w:i/>
          <w:sz w:val="28"/>
          <w:szCs w:val="28"/>
        </w:rPr>
        <w:t>Яровая</w:t>
      </w:r>
      <w:proofErr w:type="spellEnd"/>
      <w:r w:rsidRPr="00E7760B">
        <w:rPr>
          <w:rFonts w:ascii="Times New Roman" w:hAnsi="Times New Roman" w:cs="Times New Roman"/>
          <w:bCs/>
          <w:i/>
          <w:sz w:val="28"/>
          <w:szCs w:val="28"/>
        </w:rPr>
        <w:t xml:space="preserve"> Е.К., Макаренко Р.И.*, Кучеренко М.В.*, Соколова В.А.*, </w:t>
      </w:r>
      <w:proofErr w:type="spellStart"/>
      <w:r w:rsidRPr="00E7760B">
        <w:rPr>
          <w:rFonts w:ascii="Times New Roman" w:hAnsi="Times New Roman" w:cs="Times New Roman"/>
          <w:bCs/>
          <w:i/>
          <w:sz w:val="28"/>
          <w:szCs w:val="28"/>
        </w:rPr>
        <w:t>Сивых</w:t>
      </w:r>
      <w:proofErr w:type="spellEnd"/>
      <w:r w:rsidRPr="00E7760B">
        <w:rPr>
          <w:rFonts w:ascii="Times New Roman" w:hAnsi="Times New Roman" w:cs="Times New Roman"/>
          <w:bCs/>
          <w:i/>
          <w:sz w:val="28"/>
          <w:szCs w:val="28"/>
        </w:rPr>
        <w:t xml:space="preserve"> О.М.*, </w:t>
      </w:r>
      <w:proofErr w:type="spellStart"/>
      <w:r w:rsidRPr="00E7760B">
        <w:rPr>
          <w:rFonts w:ascii="Times New Roman" w:hAnsi="Times New Roman" w:cs="Times New Roman"/>
          <w:bCs/>
          <w:i/>
          <w:sz w:val="28"/>
          <w:szCs w:val="28"/>
        </w:rPr>
        <w:t>Семеренко</w:t>
      </w:r>
      <w:proofErr w:type="spellEnd"/>
      <w:r w:rsidRPr="00E7760B">
        <w:rPr>
          <w:rFonts w:ascii="Times New Roman" w:hAnsi="Times New Roman" w:cs="Times New Roman"/>
          <w:bCs/>
          <w:i/>
          <w:sz w:val="28"/>
          <w:szCs w:val="28"/>
        </w:rPr>
        <w:t xml:space="preserve"> А.И.*, </w:t>
      </w:r>
      <w:proofErr w:type="spellStart"/>
      <w:r w:rsidRPr="00E7760B">
        <w:rPr>
          <w:rFonts w:ascii="Times New Roman" w:hAnsi="Times New Roman" w:cs="Times New Roman"/>
          <w:bCs/>
          <w:i/>
          <w:sz w:val="28"/>
          <w:szCs w:val="28"/>
        </w:rPr>
        <w:t>Яворович</w:t>
      </w:r>
      <w:proofErr w:type="spellEnd"/>
      <w:r w:rsidRPr="00E7760B">
        <w:rPr>
          <w:rFonts w:ascii="Times New Roman" w:hAnsi="Times New Roman" w:cs="Times New Roman"/>
          <w:bCs/>
          <w:i/>
          <w:sz w:val="28"/>
          <w:szCs w:val="28"/>
        </w:rPr>
        <w:t xml:space="preserve"> В.А.*, Королева В.Э.*, </w:t>
      </w:r>
      <w:proofErr w:type="spellStart"/>
      <w:r w:rsidRPr="00E7760B">
        <w:rPr>
          <w:rFonts w:ascii="Times New Roman" w:hAnsi="Times New Roman" w:cs="Times New Roman"/>
          <w:bCs/>
          <w:i/>
          <w:sz w:val="28"/>
          <w:szCs w:val="28"/>
        </w:rPr>
        <w:t>Мешков</w:t>
      </w:r>
      <w:proofErr w:type="spellEnd"/>
      <w:r w:rsidRPr="00E7760B">
        <w:rPr>
          <w:rFonts w:ascii="Times New Roman" w:hAnsi="Times New Roman" w:cs="Times New Roman"/>
          <w:bCs/>
          <w:i/>
          <w:sz w:val="28"/>
          <w:szCs w:val="28"/>
        </w:rPr>
        <w:t> А.В.*</w:t>
      </w:r>
    </w:p>
    <w:p w:rsidR="00E7760B" w:rsidRPr="00E7760B" w:rsidRDefault="00E7760B" w:rsidP="00E7760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Харьковский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национальный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медицинский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униве</w:t>
      </w:r>
      <w:r w:rsidRPr="00E7760B">
        <w:rPr>
          <w:rFonts w:ascii="Times New Roman" w:hAnsi="Times New Roman" w:cs="Times New Roman"/>
          <w:bCs/>
          <w:sz w:val="28"/>
          <w:szCs w:val="28"/>
        </w:rPr>
        <w:t>р</w:t>
      </w:r>
      <w:r w:rsidRPr="00E7760B">
        <w:rPr>
          <w:rFonts w:ascii="Times New Roman" w:hAnsi="Times New Roman" w:cs="Times New Roman"/>
          <w:bCs/>
          <w:sz w:val="28"/>
          <w:szCs w:val="28"/>
        </w:rPr>
        <w:t>ситет</w:t>
      </w:r>
      <w:proofErr w:type="spellEnd"/>
    </w:p>
    <w:p w:rsidR="00E7760B" w:rsidRPr="00E7760B" w:rsidRDefault="00E7760B" w:rsidP="00E7760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60B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педиатрии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7760B" w:rsidRPr="00E7760B" w:rsidRDefault="00E7760B" w:rsidP="00E7760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60B">
        <w:rPr>
          <w:rFonts w:ascii="Times New Roman" w:hAnsi="Times New Roman" w:cs="Times New Roman"/>
          <w:bCs/>
          <w:sz w:val="28"/>
          <w:szCs w:val="28"/>
        </w:rPr>
        <w:t>*КУОЗ «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Харьковская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городская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клинич</w:t>
      </w:r>
      <w:r w:rsidRPr="00E7760B">
        <w:rPr>
          <w:rFonts w:ascii="Times New Roman" w:hAnsi="Times New Roman" w:cs="Times New Roman"/>
          <w:bCs/>
          <w:sz w:val="28"/>
          <w:szCs w:val="28"/>
        </w:rPr>
        <w:t>е</w:t>
      </w:r>
      <w:r w:rsidRPr="00E7760B">
        <w:rPr>
          <w:rFonts w:ascii="Times New Roman" w:hAnsi="Times New Roman" w:cs="Times New Roman"/>
          <w:bCs/>
          <w:sz w:val="28"/>
          <w:szCs w:val="28"/>
        </w:rPr>
        <w:t>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больница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№16»</w:t>
      </w: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Хроническая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почечная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(ХПН) -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вызванный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необратимой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гибелью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нефронов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вследствие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первичного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вторичного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хронического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клинически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проявляющийся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снижении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функционирующих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нефр</w:t>
      </w:r>
      <w:r w:rsidRPr="00E7760B">
        <w:rPr>
          <w:rFonts w:ascii="Times New Roman" w:hAnsi="Times New Roman" w:cs="Times New Roman"/>
          <w:sz w:val="28"/>
          <w:szCs w:val="28"/>
        </w:rPr>
        <w:t>о</w:t>
      </w:r>
      <w:r w:rsidRPr="00E7760B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до 30%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Терминальная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стадия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ХПН у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встречается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относительно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не часто.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у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сра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нению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взрослыми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ХПН 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имеет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более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неблагоприятное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течение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что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связано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преоблад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нием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структуре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причин ХПН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врожденных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урологических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заболеваний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наследственной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патологии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неоднократных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оперативных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вмеш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тельств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наличием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хронических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инфекций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мочевыводящих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путей,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быстрого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осложнений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неблагоприятным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прогнозом при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несвоевременной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трансплантации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. Одним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из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факторов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неблагоприятно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влияющих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течение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заболевания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нарушение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фосфорно-кальциевого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обмена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способствующего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развитию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переломов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нарушению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качества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жизни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высокому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риску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кардиоваскулярных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неконтролируемая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артериальная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гипертензия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), тем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самым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повышая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риск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смерти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сердечно-сосудистой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патологии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. С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другой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стороны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патология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почек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фактором риска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вторичного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гипе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>паратиреоза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Это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связано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с тем,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что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почки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являются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органом-мишенью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местом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деградации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паратиреоидного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гормона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>;</w:t>
      </w:r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участием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почек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bCs/>
          <w:iCs/>
          <w:sz w:val="28"/>
          <w:szCs w:val="28"/>
        </w:rPr>
        <w:t>поддержании</w:t>
      </w:r>
      <w:proofErr w:type="spellEnd"/>
      <w:r w:rsidRPr="00E776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гомеостаза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кальция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</w:t>
      </w:r>
      <w:r w:rsidRPr="00E7760B">
        <w:rPr>
          <w:rFonts w:ascii="Times New Roman" w:hAnsi="Times New Roman" w:cs="Times New Roman"/>
          <w:sz w:val="28"/>
          <w:szCs w:val="28"/>
        </w:rPr>
        <w:t>о</w:t>
      </w:r>
      <w:r w:rsidRPr="00E7760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метаболизма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витамина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D;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применением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гломерулопатий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трансплантации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того, начало ХПН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заместительной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почечной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усугубляет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делает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актуальным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фосфорно-кальциевого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обмена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с ХПН.</w:t>
      </w: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Обследовано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мальчиков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7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девочек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терминальной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ХПН,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получали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заместительную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гемодиализом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базе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r w:rsidRPr="00E7760B">
        <w:rPr>
          <w:rFonts w:ascii="Times New Roman" w:hAnsi="Times New Roman" w:cs="Times New Roman"/>
          <w:bCs/>
          <w:sz w:val="28"/>
          <w:szCs w:val="28"/>
        </w:rPr>
        <w:t>КУОЗ «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Харьковская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городская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клинич</w:t>
      </w:r>
      <w:r w:rsidRPr="00E7760B">
        <w:rPr>
          <w:rFonts w:ascii="Times New Roman" w:hAnsi="Times New Roman" w:cs="Times New Roman"/>
          <w:bCs/>
          <w:sz w:val="28"/>
          <w:szCs w:val="28"/>
        </w:rPr>
        <w:t>е</w:t>
      </w:r>
      <w:r w:rsidRPr="00E7760B">
        <w:rPr>
          <w:rFonts w:ascii="Times New Roman" w:hAnsi="Times New Roman" w:cs="Times New Roman"/>
          <w:bCs/>
          <w:sz w:val="28"/>
          <w:szCs w:val="28"/>
        </w:rPr>
        <w:t>ская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больница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№16» с 2006 по </w:t>
      </w:r>
      <w:smartTag w:uri="urn:schemas-microsoft-com:office:smarttags" w:element="metricconverter">
        <w:smartTagPr>
          <w:attr w:name="ProductID" w:val="2012 г"/>
        </w:smartTagPr>
        <w:r w:rsidRPr="00E7760B">
          <w:rPr>
            <w:rFonts w:ascii="Times New Roman" w:hAnsi="Times New Roman" w:cs="Times New Roman"/>
            <w:bCs/>
            <w:sz w:val="28"/>
            <w:szCs w:val="28"/>
          </w:rPr>
          <w:t xml:space="preserve">2012 </w:t>
        </w:r>
        <w:proofErr w:type="spellStart"/>
        <w:r w:rsidRPr="00E7760B"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r w:rsidRPr="00E7760B">
        <w:rPr>
          <w:rFonts w:ascii="Times New Roman" w:hAnsi="Times New Roman" w:cs="Times New Roman"/>
          <w:bCs/>
          <w:sz w:val="28"/>
          <w:szCs w:val="28"/>
        </w:rPr>
        <w:t>.г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Верификация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диагноза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проводилась при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общепринятых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lastRenderedPageBreak/>
        <w:t>обследования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стадий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ХПН,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 проводились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с протоколом №365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(2005г.).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причин ХПН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преобладали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тяжелые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врожденные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мочевыделительной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гипоплазия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дисплазия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нефропатии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др.),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реже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(у 30%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отмечались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приобретенные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первичные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вторичные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гломерулопатии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Программный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гемодиализ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проводился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аппаратов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Fresenius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2008A и 4008H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колонок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Вaxter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(PSN-140),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Fresenius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(F6,F8)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площадью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мембраны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около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диализ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бикарбонатный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применением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BiBag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Сос</w:t>
      </w:r>
      <w:r w:rsidRPr="00E7760B">
        <w:rPr>
          <w:rFonts w:ascii="Times New Roman" w:hAnsi="Times New Roman" w:cs="Times New Roman"/>
          <w:sz w:val="28"/>
          <w:szCs w:val="28"/>
        </w:rPr>
        <w:t>у</w:t>
      </w:r>
      <w:r w:rsidRPr="00E7760B">
        <w:rPr>
          <w:rFonts w:ascii="Times New Roman" w:hAnsi="Times New Roman" w:cs="Times New Roman"/>
          <w:sz w:val="28"/>
          <w:szCs w:val="28"/>
        </w:rPr>
        <w:t>дистый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обеспечивался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артерио-венозной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фистулой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кратность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(2-5 раз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сеансов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гемодиализа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(3-4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определялись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клиническими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лабораторными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показателями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Длительность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программного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гемодиализа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составила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от 1,5 мес до 3,5 лет. 2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трансплантация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почки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У 5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констатирован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летальный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исход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вследствие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>.</w:t>
      </w: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рекомендациям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KDIGO® (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Kidney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Outcomes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минеральные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костные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хроническом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заболевании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констатировать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комбинации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признаков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отклонения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биохимических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метаболизма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кальция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фосфатов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витамина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D;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аномалии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скорости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костного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обмена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минерализации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кости,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линейного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и/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прочности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кальцификация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сосудов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мягких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тканей. </w:t>
      </w:r>
      <w:r w:rsidRPr="00E7760B">
        <w:rPr>
          <w:rFonts w:ascii="Times New Roman" w:hAnsi="Times New Roman" w:cs="Times New Roman"/>
          <w:bCs/>
          <w:sz w:val="28"/>
          <w:szCs w:val="28"/>
        </w:rPr>
        <w:t>Фа</w:t>
      </w:r>
      <w:r w:rsidRPr="00E7760B">
        <w:rPr>
          <w:rFonts w:ascii="Times New Roman" w:hAnsi="Times New Roman" w:cs="Times New Roman"/>
          <w:bCs/>
          <w:sz w:val="28"/>
          <w:szCs w:val="28"/>
        </w:rPr>
        <w:t>к</w:t>
      </w:r>
      <w:r w:rsidRPr="00E7760B">
        <w:rPr>
          <w:rFonts w:ascii="Times New Roman" w:hAnsi="Times New Roman" w:cs="Times New Roman"/>
          <w:bCs/>
          <w:sz w:val="28"/>
          <w:szCs w:val="28"/>
        </w:rPr>
        <w:t xml:space="preserve">торами риска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минеральных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костных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 с ХПН </w:t>
      </w:r>
      <w:proofErr w:type="spellStart"/>
      <w:r w:rsidRPr="00E7760B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spellEnd"/>
      <w:r w:rsidRPr="00E7760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тубуло-интерстициальные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физиологическим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дозам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витамина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D –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остеомаляция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доазотемической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стадии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скорости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клубочковой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фильтрации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(задержка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фосфора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активация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синтеза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чувствительности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рецепторов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витамина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D;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ограничение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гемиплегия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парезы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индекса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массы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задержка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противосудорожных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алюминия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заместительной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почечной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</w:t>
      </w:r>
      <w:r w:rsidRPr="00E7760B">
        <w:rPr>
          <w:rFonts w:ascii="Times New Roman" w:hAnsi="Times New Roman" w:cs="Times New Roman"/>
          <w:sz w:val="28"/>
          <w:szCs w:val="28"/>
        </w:rPr>
        <w:t>а</w:t>
      </w:r>
      <w:r w:rsidRPr="00E7760B">
        <w:rPr>
          <w:rFonts w:ascii="Times New Roman" w:hAnsi="Times New Roman" w:cs="Times New Roman"/>
          <w:sz w:val="28"/>
          <w:szCs w:val="28"/>
        </w:rPr>
        <w:t>пии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60B" w:rsidRPr="00E7760B" w:rsidRDefault="00E7760B" w:rsidP="00E7760B">
      <w:pPr>
        <w:tabs>
          <w:tab w:val="num" w:pos="72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терминальной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ХПН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отмечались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разной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нормальном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умеренно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повышенном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фосфора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крови. Задержка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Х-образная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деформация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нижних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конечностей,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дефекты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эмали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коричневый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цвет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зубов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щелочной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фосфатазы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проявления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костных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констатировались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комбинациях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почти у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половины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Свидетельством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во</w:t>
      </w:r>
      <w:r w:rsidRPr="00E7760B">
        <w:rPr>
          <w:rFonts w:ascii="Times New Roman" w:hAnsi="Times New Roman" w:cs="Times New Roman"/>
          <w:sz w:val="28"/>
          <w:szCs w:val="28"/>
        </w:rPr>
        <w:t>з</w:t>
      </w:r>
      <w:r w:rsidRPr="00E7760B">
        <w:rPr>
          <w:rFonts w:ascii="Times New Roman" w:hAnsi="Times New Roman" w:cs="Times New Roman"/>
          <w:sz w:val="28"/>
          <w:szCs w:val="28"/>
        </w:rPr>
        <w:t>можной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кальцификации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сосудов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мягких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тканей у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терминальной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ХПН являлось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злокачественной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артериальной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гиперте</w:t>
      </w:r>
      <w:r w:rsidRPr="00E7760B">
        <w:rPr>
          <w:rFonts w:ascii="Times New Roman" w:hAnsi="Times New Roman" w:cs="Times New Roman"/>
          <w:sz w:val="28"/>
          <w:szCs w:val="28"/>
        </w:rPr>
        <w:t>н</w:t>
      </w:r>
      <w:r w:rsidRPr="00E7760B">
        <w:rPr>
          <w:rFonts w:ascii="Times New Roman" w:hAnsi="Times New Roman" w:cs="Times New Roman"/>
          <w:sz w:val="28"/>
          <w:szCs w:val="28"/>
        </w:rPr>
        <w:t>зии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0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наличия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фосфорно-кальциевого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обмена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назначались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диета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препараты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витамина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r w:rsidRPr="00E7760B">
        <w:rPr>
          <w:rFonts w:ascii="Times New Roman" w:hAnsi="Times New Roman" w:cs="Times New Roman"/>
          <w:sz w:val="28"/>
          <w:szCs w:val="28"/>
          <w:lang w:val="fi-FI"/>
        </w:rPr>
        <w:t>D</w:t>
      </w:r>
      <w:r w:rsidRPr="00E7760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кальцием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гиперпаратиреоидизма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у одного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потребовало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пров</w:t>
      </w:r>
      <w:r w:rsidRPr="00E7760B">
        <w:rPr>
          <w:rFonts w:ascii="Times New Roman" w:hAnsi="Times New Roman" w:cs="Times New Roman"/>
          <w:sz w:val="28"/>
          <w:szCs w:val="28"/>
        </w:rPr>
        <w:t>е</w:t>
      </w:r>
      <w:r w:rsidRPr="00E7760B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субтотальной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паратиреоидэктомии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диагностике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костных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с ХПН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нерешенных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обусловленных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в первую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дороговизной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остеокальцина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др.)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медикаментов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фосфатные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биндеры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отсутствии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полноценного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Невозможность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своевременного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регулярного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выявления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костных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адекватной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усугубляет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последних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ухудшает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прогноз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>.</w:t>
      </w: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0B">
        <w:rPr>
          <w:rFonts w:ascii="Times New Roman" w:hAnsi="Times New Roman" w:cs="Times New Roman"/>
          <w:sz w:val="28"/>
          <w:szCs w:val="28"/>
        </w:rPr>
        <w:t xml:space="preserve">Таким образом, у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терминальной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ХПН до начала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гемодиализа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регистрировались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минеральные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костные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обусловленные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снижением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скорости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клубочковой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фильтрации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развитием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вторичного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ограничением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снижением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индекса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массы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задержкой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диагн</w:t>
      </w:r>
      <w:r w:rsidRPr="00E7760B">
        <w:rPr>
          <w:rFonts w:ascii="Times New Roman" w:hAnsi="Times New Roman" w:cs="Times New Roman"/>
          <w:sz w:val="28"/>
          <w:szCs w:val="28"/>
        </w:rPr>
        <w:t>о</w:t>
      </w:r>
      <w:r w:rsidRPr="00E7760B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костных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додиализном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периоде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так на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гемодиализа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фосфорно-кальциевого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обмена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минеральной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плотности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кости (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денситометрия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рентгенография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риска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переломов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тактики  и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0B">
        <w:rPr>
          <w:rFonts w:ascii="Times New Roman" w:hAnsi="Times New Roman" w:cs="Times New Roman"/>
          <w:sz w:val="28"/>
          <w:szCs w:val="28"/>
        </w:rPr>
        <w:t>л</w:t>
      </w:r>
      <w:r w:rsidRPr="00E7760B">
        <w:rPr>
          <w:rFonts w:ascii="Times New Roman" w:hAnsi="Times New Roman" w:cs="Times New Roman"/>
          <w:sz w:val="28"/>
          <w:szCs w:val="28"/>
        </w:rPr>
        <w:t>е</w:t>
      </w:r>
      <w:r w:rsidRPr="00E7760B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E7760B">
        <w:rPr>
          <w:rFonts w:ascii="Times New Roman" w:hAnsi="Times New Roman" w:cs="Times New Roman"/>
          <w:sz w:val="28"/>
          <w:szCs w:val="28"/>
        </w:rPr>
        <w:t>.</w:t>
      </w: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0B" w:rsidRPr="00E7760B" w:rsidRDefault="00E7760B" w:rsidP="00E7760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7760B" w:rsidRDefault="00E7760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77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7760B"/>
    <w:rsid w:val="00E7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3994</Words>
  <Characters>2277</Characters>
  <Application>Microsoft Office Word</Application>
  <DocSecurity>0</DocSecurity>
  <Lines>18</Lines>
  <Paragraphs>12</Paragraphs>
  <ScaleCrop>false</ScaleCrop>
  <Company>Hewlett-Packard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2013-11-17T19:30:00Z</dcterms:created>
  <dcterms:modified xsi:type="dcterms:W3CDTF">2013-11-17T19:31:00Z</dcterms:modified>
</cp:coreProperties>
</file>