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DD" w:rsidRDefault="00955EDD" w:rsidP="00955E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А.В.</w:t>
      </w:r>
    </w:p>
    <w:p w:rsidR="00274E16" w:rsidRPr="001F5E69" w:rsidRDefault="002A0161" w:rsidP="002A0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Клинико-диагностические особенности </w:t>
      </w:r>
      <w:r w:rsidR="00202A05">
        <w:rPr>
          <w:rFonts w:ascii="Times New Roman" w:hAnsi="Times New Roman" w:cs="Times New Roman"/>
          <w:b/>
          <w:sz w:val="24"/>
          <w:szCs w:val="24"/>
        </w:rPr>
        <w:t xml:space="preserve">инфекционных </w:t>
      </w:r>
      <w:r>
        <w:rPr>
          <w:rFonts w:ascii="Times New Roman" w:hAnsi="Times New Roman" w:cs="Times New Roman"/>
          <w:b/>
          <w:sz w:val="24"/>
          <w:szCs w:val="24"/>
        </w:rPr>
        <w:t>поражен</w:t>
      </w:r>
      <w:r w:rsidR="001F5E69">
        <w:rPr>
          <w:rFonts w:ascii="Times New Roman" w:hAnsi="Times New Roman" w:cs="Times New Roman"/>
          <w:b/>
          <w:sz w:val="24"/>
          <w:szCs w:val="24"/>
        </w:rPr>
        <w:t xml:space="preserve">ий ЦНС у </w:t>
      </w:r>
      <w:proofErr w:type="gramStart"/>
      <w:r w:rsidR="001F5E69">
        <w:rPr>
          <w:rFonts w:ascii="Times New Roman" w:hAnsi="Times New Roman" w:cs="Times New Roman"/>
          <w:b/>
          <w:sz w:val="24"/>
          <w:szCs w:val="24"/>
        </w:rPr>
        <w:t>ВИЧ-позитивных</w:t>
      </w:r>
      <w:proofErr w:type="gramEnd"/>
      <w:r w:rsidR="001F5E69">
        <w:rPr>
          <w:rFonts w:ascii="Times New Roman" w:hAnsi="Times New Roman" w:cs="Times New Roman"/>
          <w:b/>
          <w:sz w:val="24"/>
          <w:szCs w:val="24"/>
        </w:rPr>
        <w:t xml:space="preserve"> больных</w:t>
      </w:r>
    </w:p>
    <w:p w:rsidR="002A0161" w:rsidRDefault="002A0161" w:rsidP="002A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Украина</w:t>
      </w:r>
    </w:p>
    <w:p w:rsidR="00916D68" w:rsidRDefault="00916D68" w:rsidP="002A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6EF" w:rsidRPr="002146EF" w:rsidRDefault="002A0161" w:rsidP="002146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D68">
        <w:rPr>
          <w:rFonts w:ascii="Times New Roman" w:hAnsi="Times New Roman" w:cs="Times New Roman"/>
          <w:b/>
          <w:sz w:val="24"/>
          <w:szCs w:val="24"/>
        </w:rPr>
        <w:t>Резюме.</w:t>
      </w:r>
      <w:r w:rsidR="00916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>ВИЧ-инфекция приобрела в мире характер пандемии.</w:t>
      </w:r>
      <w:r w:rsidR="002146EF" w:rsidRPr="002146EF">
        <w:rPr>
          <w:rFonts w:ascii="Times New Roman" w:hAnsi="Times New Roman" w:cs="Times New Roman"/>
          <w:sz w:val="24"/>
          <w:szCs w:val="24"/>
        </w:rPr>
        <w:t xml:space="preserve"> 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 xml:space="preserve">Поражение центральной нервной системы у ВИЧ-инфицированных людей проявляется психической или (и) неврологической симптоматикой, которая, к сожалению, становится очевидной в терминальном периоде развития заболевания. </w:t>
      </w:r>
      <w:r w:rsidR="00916D68" w:rsidRPr="007F39B9">
        <w:rPr>
          <w:rFonts w:ascii="Times New Roman" w:hAnsi="Times New Roman" w:cs="Times New Roman"/>
          <w:i/>
          <w:sz w:val="24"/>
          <w:szCs w:val="24"/>
        </w:rPr>
        <w:t>Под</w:t>
      </w:r>
      <w:r w:rsidR="00916D68" w:rsidRPr="002146EF">
        <w:rPr>
          <w:rFonts w:ascii="Times New Roman" w:hAnsi="Times New Roman" w:cs="Times New Roman"/>
          <w:i/>
          <w:sz w:val="24"/>
          <w:szCs w:val="24"/>
        </w:rPr>
        <w:t xml:space="preserve"> наблюдением находилось 475 </w:t>
      </w:r>
      <w:proofErr w:type="gramStart"/>
      <w:r w:rsidR="00916D68" w:rsidRPr="002146EF">
        <w:rPr>
          <w:rFonts w:ascii="Times New Roman" w:hAnsi="Times New Roman" w:cs="Times New Roman"/>
          <w:i/>
          <w:sz w:val="24"/>
          <w:szCs w:val="24"/>
        </w:rPr>
        <w:t>ВИЧ-позитивных</w:t>
      </w:r>
      <w:proofErr w:type="gramEnd"/>
      <w:r w:rsidR="00916D68" w:rsidRPr="002146EF">
        <w:rPr>
          <w:rFonts w:ascii="Times New Roman" w:hAnsi="Times New Roman" w:cs="Times New Roman"/>
          <w:i/>
          <w:sz w:val="24"/>
          <w:szCs w:val="24"/>
        </w:rPr>
        <w:t xml:space="preserve"> больных. Поражение ЦНС наблюдалось у 197 (41,5%) больных в возрасте 23</w:t>
      </w:r>
      <w:r w:rsidR="007F39B9">
        <w:rPr>
          <w:rFonts w:ascii="Times New Roman" w:hAnsi="Times New Roman" w:cs="Times New Roman"/>
          <w:i/>
          <w:sz w:val="24"/>
          <w:szCs w:val="24"/>
        </w:rPr>
        <w:t>-51 лет, среди которых было</w:t>
      </w:r>
      <w:r w:rsidR="007F39B9" w:rsidRPr="007F3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D68" w:rsidRPr="002146EF">
        <w:rPr>
          <w:rFonts w:ascii="Times New Roman" w:hAnsi="Times New Roman" w:cs="Times New Roman"/>
          <w:i/>
          <w:sz w:val="24"/>
          <w:szCs w:val="24"/>
        </w:rPr>
        <w:t>59,4% м</w:t>
      </w:r>
      <w:r w:rsidR="007F39B9">
        <w:rPr>
          <w:rFonts w:ascii="Times New Roman" w:hAnsi="Times New Roman" w:cs="Times New Roman"/>
          <w:i/>
          <w:sz w:val="24"/>
          <w:szCs w:val="24"/>
        </w:rPr>
        <w:t>ужчины и 40,6%</w:t>
      </w:r>
      <w:r w:rsidR="00916D68" w:rsidRPr="002146EF">
        <w:rPr>
          <w:rFonts w:ascii="Times New Roman" w:hAnsi="Times New Roman" w:cs="Times New Roman"/>
          <w:i/>
          <w:sz w:val="24"/>
          <w:szCs w:val="24"/>
        </w:rPr>
        <w:t xml:space="preserve"> женщины. </w:t>
      </w:r>
      <w:r w:rsidR="002146EF">
        <w:rPr>
          <w:rFonts w:ascii="Times New Roman" w:hAnsi="Times New Roman" w:cs="Times New Roman"/>
          <w:i/>
          <w:sz w:val="24"/>
          <w:szCs w:val="24"/>
        </w:rPr>
        <w:t>Наиболее часто регистрировались менингиты (</w:t>
      </w:r>
      <w:proofErr w:type="spellStart"/>
      <w:r w:rsidR="002146EF">
        <w:rPr>
          <w:rFonts w:ascii="Times New Roman" w:hAnsi="Times New Roman" w:cs="Times New Roman"/>
          <w:i/>
          <w:sz w:val="24"/>
          <w:szCs w:val="24"/>
        </w:rPr>
        <w:t>менингоэнцефалиты</w:t>
      </w:r>
      <w:proofErr w:type="spellEnd"/>
      <w:r w:rsidR="002146EF">
        <w:rPr>
          <w:rFonts w:ascii="Times New Roman" w:hAnsi="Times New Roman" w:cs="Times New Roman"/>
          <w:i/>
          <w:sz w:val="24"/>
          <w:szCs w:val="24"/>
        </w:rPr>
        <w:t>) вызванные вирусом Эпштейн-</w:t>
      </w:r>
      <w:proofErr w:type="spellStart"/>
      <w:r w:rsidR="002146EF">
        <w:rPr>
          <w:rFonts w:ascii="Times New Roman" w:hAnsi="Times New Roman" w:cs="Times New Roman"/>
          <w:i/>
          <w:sz w:val="24"/>
          <w:szCs w:val="24"/>
        </w:rPr>
        <w:t>Барра</w:t>
      </w:r>
      <w:proofErr w:type="spellEnd"/>
      <w:r w:rsidR="00214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>(34%)</w:t>
      </w:r>
      <w:r w:rsidR="002146E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46EF">
        <w:rPr>
          <w:rFonts w:ascii="Times New Roman" w:hAnsi="Times New Roman" w:cs="Times New Roman"/>
          <w:i/>
          <w:sz w:val="24"/>
          <w:szCs w:val="24"/>
        </w:rPr>
        <w:t xml:space="preserve">микобактерией туберкулеза 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>(27,6%)</w:t>
      </w:r>
      <w:r w:rsidR="00741E6D">
        <w:rPr>
          <w:rFonts w:ascii="Times New Roman" w:hAnsi="Times New Roman" w:cs="Times New Roman"/>
          <w:i/>
          <w:sz w:val="24"/>
          <w:szCs w:val="24"/>
        </w:rPr>
        <w:t>;</w:t>
      </w:r>
      <w:r w:rsidR="002146EF">
        <w:rPr>
          <w:rFonts w:ascii="Times New Roman" w:hAnsi="Times New Roman" w:cs="Times New Roman"/>
          <w:i/>
          <w:sz w:val="24"/>
          <w:szCs w:val="24"/>
        </w:rPr>
        <w:t xml:space="preserve"> энцефалиты вызванные токсоплазмой</w:t>
      </w:r>
      <w:r w:rsidR="002146EF" w:rsidRPr="002146EF">
        <w:rPr>
          <w:rFonts w:ascii="Times New Roman" w:hAnsi="Times New Roman" w:cs="Times New Roman"/>
          <w:i/>
          <w:sz w:val="24"/>
          <w:szCs w:val="24"/>
        </w:rPr>
        <w:t xml:space="preserve"> (28,4%)</w:t>
      </w:r>
      <w:r w:rsidR="002146EF">
        <w:rPr>
          <w:rFonts w:ascii="Times New Roman" w:hAnsi="Times New Roman" w:cs="Times New Roman"/>
          <w:i/>
          <w:sz w:val="24"/>
          <w:szCs w:val="24"/>
        </w:rPr>
        <w:t xml:space="preserve">. Исследование показало, что </w:t>
      </w:r>
      <w:r w:rsidR="0029771B">
        <w:rPr>
          <w:rFonts w:ascii="Times New Roman" w:hAnsi="Times New Roman" w:cs="Times New Roman"/>
          <w:i/>
          <w:sz w:val="24"/>
          <w:szCs w:val="24"/>
        </w:rPr>
        <w:t>в неврологическом статусе данных больных имеются свои особенности,</w:t>
      </w:r>
      <w:r w:rsidR="00741E6D">
        <w:rPr>
          <w:rFonts w:ascii="Times New Roman" w:hAnsi="Times New Roman" w:cs="Times New Roman"/>
          <w:i/>
          <w:sz w:val="24"/>
          <w:szCs w:val="24"/>
        </w:rPr>
        <w:t xml:space="preserve"> знание</w:t>
      </w:r>
      <w:r w:rsidR="00297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6D">
        <w:rPr>
          <w:rFonts w:ascii="Times New Roman" w:hAnsi="Times New Roman" w:cs="Times New Roman"/>
          <w:i/>
          <w:sz w:val="24"/>
          <w:szCs w:val="24"/>
        </w:rPr>
        <w:t>которых</w:t>
      </w:r>
      <w:r w:rsidR="002977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E6D">
        <w:rPr>
          <w:rFonts w:ascii="Times New Roman" w:hAnsi="Times New Roman" w:cs="Times New Roman"/>
          <w:i/>
          <w:sz w:val="24"/>
          <w:szCs w:val="24"/>
        </w:rPr>
        <w:t>поможет</w:t>
      </w:r>
      <w:r w:rsidR="0029771B">
        <w:rPr>
          <w:rFonts w:ascii="Times New Roman" w:hAnsi="Times New Roman" w:cs="Times New Roman"/>
          <w:i/>
          <w:sz w:val="24"/>
          <w:szCs w:val="24"/>
        </w:rPr>
        <w:t xml:space="preserve"> врачу в ранней постановке диагноза и назначении адекватной этиотропной терапии.</w:t>
      </w:r>
    </w:p>
    <w:p w:rsidR="00916D68" w:rsidRPr="002146EF" w:rsidRDefault="00916D68" w:rsidP="00916D6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161" w:rsidRDefault="002A0161" w:rsidP="002A01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2A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D68">
        <w:rPr>
          <w:rFonts w:ascii="Times New Roman" w:hAnsi="Times New Roman" w:cs="Times New Roman"/>
          <w:i/>
          <w:sz w:val="24"/>
          <w:szCs w:val="24"/>
        </w:rPr>
        <w:t>ВИЧ-</w:t>
      </w:r>
      <w:proofErr w:type="spellStart"/>
      <w:r w:rsidRPr="00916D68">
        <w:rPr>
          <w:rFonts w:ascii="Times New Roman" w:hAnsi="Times New Roman" w:cs="Times New Roman"/>
          <w:i/>
          <w:sz w:val="24"/>
          <w:szCs w:val="24"/>
        </w:rPr>
        <w:t>инфекция</w:t>
      </w:r>
      <w:proofErr w:type="gramStart"/>
      <w:r w:rsidRPr="00916D68">
        <w:rPr>
          <w:rFonts w:ascii="Times New Roman" w:hAnsi="Times New Roman" w:cs="Times New Roman"/>
          <w:i/>
          <w:sz w:val="24"/>
          <w:szCs w:val="24"/>
        </w:rPr>
        <w:t>,</w:t>
      </w:r>
      <w:r w:rsidR="00600340" w:rsidRPr="00916D6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00340" w:rsidRPr="00916D68">
        <w:rPr>
          <w:rFonts w:ascii="Times New Roman" w:hAnsi="Times New Roman" w:cs="Times New Roman"/>
          <w:i/>
          <w:sz w:val="24"/>
          <w:szCs w:val="24"/>
        </w:rPr>
        <w:t>ПИД</w:t>
      </w:r>
      <w:proofErr w:type="spellEnd"/>
      <w:r w:rsidR="00600340" w:rsidRPr="00916D68">
        <w:rPr>
          <w:rFonts w:ascii="Times New Roman" w:hAnsi="Times New Roman" w:cs="Times New Roman"/>
          <w:i/>
          <w:sz w:val="24"/>
          <w:szCs w:val="24"/>
        </w:rPr>
        <w:t>,</w:t>
      </w:r>
      <w:r w:rsidRPr="00916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B72">
        <w:rPr>
          <w:rFonts w:ascii="Times New Roman" w:hAnsi="Times New Roman" w:cs="Times New Roman"/>
          <w:i/>
          <w:sz w:val="24"/>
          <w:szCs w:val="24"/>
        </w:rPr>
        <w:t>вирус Эпштейн-</w:t>
      </w:r>
      <w:proofErr w:type="spellStart"/>
      <w:r w:rsidR="002C7B72">
        <w:rPr>
          <w:rFonts w:ascii="Times New Roman" w:hAnsi="Times New Roman" w:cs="Times New Roman"/>
          <w:i/>
          <w:sz w:val="24"/>
          <w:szCs w:val="24"/>
        </w:rPr>
        <w:t>Барра</w:t>
      </w:r>
      <w:proofErr w:type="spellEnd"/>
      <w:r w:rsidR="002C7B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6D68">
        <w:rPr>
          <w:rFonts w:ascii="Times New Roman" w:hAnsi="Times New Roman" w:cs="Times New Roman"/>
          <w:i/>
          <w:sz w:val="24"/>
          <w:szCs w:val="24"/>
        </w:rPr>
        <w:t xml:space="preserve">токсоплазма, </w:t>
      </w:r>
      <w:r w:rsidR="002C7B72">
        <w:rPr>
          <w:rFonts w:ascii="Times New Roman" w:hAnsi="Times New Roman" w:cs="Times New Roman"/>
          <w:i/>
          <w:sz w:val="24"/>
          <w:szCs w:val="24"/>
        </w:rPr>
        <w:t xml:space="preserve">микобактерия </w:t>
      </w:r>
      <w:r w:rsidRPr="00916D68">
        <w:rPr>
          <w:rFonts w:ascii="Times New Roman" w:hAnsi="Times New Roman" w:cs="Times New Roman"/>
          <w:i/>
          <w:sz w:val="24"/>
          <w:szCs w:val="24"/>
        </w:rPr>
        <w:t>туберкулез</w:t>
      </w:r>
      <w:r w:rsidR="002C7B72">
        <w:rPr>
          <w:rFonts w:ascii="Times New Roman" w:hAnsi="Times New Roman" w:cs="Times New Roman"/>
          <w:i/>
          <w:sz w:val="24"/>
          <w:szCs w:val="24"/>
        </w:rPr>
        <w:t>а</w:t>
      </w:r>
      <w:r w:rsidRPr="00916D68">
        <w:rPr>
          <w:rFonts w:ascii="Times New Roman" w:hAnsi="Times New Roman" w:cs="Times New Roman"/>
          <w:i/>
          <w:sz w:val="24"/>
          <w:szCs w:val="24"/>
        </w:rPr>
        <w:t xml:space="preserve">, энцефалит, менингит, </w:t>
      </w:r>
      <w:proofErr w:type="spellStart"/>
      <w:r w:rsidRPr="00916D68">
        <w:rPr>
          <w:rFonts w:ascii="Times New Roman" w:hAnsi="Times New Roman" w:cs="Times New Roman"/>
          <w:i/>
          <w:sz w:val="24"/>
          <w:szCs w:val="24"/>
        </w:rPr>
        <w:t>менингоэнцефалит</w:t>
      </w:r>
      <w:proofErr w:type="spellEnd"/>
      <w:r w:rsidRPr="00916D68">
        <w:rPr>
          <w:rFonts w:ascii="Times New Roman" w:hAnsi="Times New Roman" w:cs="Times New Roman"/>
          <w:i/>
          <w:sz w:val="24"/>
          <w:szCs w:val="24"/>
        </w:rPr>
        <w:t>.</w:t>
      </w:r>
    </w:p>
    <w:p w:rsidR="00916D68" w:rsidRPr="002A0161" w:rsidRDefault="00916D68" w:rsidP="002A0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A9" w:rsidRPr="003013A9" w:rsidRDefault="002A0161" w:rsidP="00B172F2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  <w:proofErr w:type="gramStart"/>
      <w:r w:rsidRPr="0029771B">
        <w:rPr>
          <w:rFonts w:ascii="Times New Roman" w:hAnsi="Times New Roman" w:cs="Times New Roman"/>
          <w:b/>
          <w:sz w:val="24"/>
          <w:szCs w:val="24"/>
          <w:lang w:val="en-US"/>
        </w:rPr>
        <w:t>Summary.</w:t>
      </w:r>
      <w:proofErr w:type="gramEnd"/>
      <w:r w:rsidR="0029771B" w:rsidRPr="0029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HIV infection has become a pandemic in the world. Involvement of the central nervous system in HIV-infected individuals manifest mental or (and) neurological symptoms, which, unfortunately, is evident in the terminal period of the disease. We observed 475 HIV-positive patients. CNS disease was observed in 197 (41</w:t>
      </w:r>
      <w:proofErr w:type="gramStart"/>
      <w:r w:rsidR="00B172F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proofErr w:type="gramEnd"/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%) patients aged 23-51 ye</w:t>
      </w:r>
      <w:r w:rsidR="00D04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ars, of which there were </w:t>
      </w:r>
      <w:r w:rsidR="000B0982">
        <w:rPr>
          <w:rFonts w:ascii="Times New Roman" w:hAnsi="Times New Roman" w:cs="Times New Roman"/>
          <w:i/>
          <w:sz w:val="24"/>
          <w:szCs w:val="24"/>
          <w:lang w:val="en-US"/>
        </w:rPr>
        <w:t>59</w:t>
      </w:r>
      <w:r w:rsidR="000B0982" w:rsidRPr="000B098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B0982">
        <w:rPr>
          <w:rFonts w:ascii="Times New Roman" w:hAnsi="Times New Roman" w:cs="Times New Roman"/>
          <w:i/>
          <w:sz w:val="24"/>
          <w:szCs w:val="24"/>
          <w:lang w:val="en-US"/>
        </w:rPr>
        <w:t>4%</w:t>
      </w:r>
      <w:r w:rsidR="00D04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 and </w:t>
      </w:r>
      <w:r w:rsidR="000B0982">
        <w:rPr>
          <w:rFonts w:ascii="Times New Roman" w:hAnsi="Times New Roman" w:cs="Times New Roman"/>
          <w:i/>
          <w:sz w:val="24"/>
          <w:szCs w:val="24"/>
          <w:lang w:val="en-US"/>
        </w:rPr>
        <w:t>40</w:t>
      </w:r>
      <w:r w:rsidR="000B0982" w:rsidRPr="000B098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04B49">
        <w:rPr>
          <w:rFonts w:ascii="Times New Roman" w:hAnsi="Times New Roman" w:cs="Times New Roman"/>
          <w:i/>
          <w:sz w:val="24"/>
          <w:szCs w:val="24"/>
          <w:lang w:val="en-US"/>
        </w:rPr>
        <w:t>6%</w:t>
      </w:r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were women. The most frequently reported meningitis (</w:t>
      </w:r>
      <w:proofErr w:type="spellStart"/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meningoencephalitis</w:t>
      </w:r>
      <w:proofErr w:type="spellEnd"/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) caused by the Epstein-Barr virus (34%) and</w:t>
      </w:r>
      <w:r w:rsidR="000B0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Mycobacterium tuberculosis (27</w:t>
      </w:r>
      <w:proofErr w:type="gramStart"/>
      <w:r w:rsidR="000B0982" w:rsidRPr="000B098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proofErr w:type="gramEnd"/>
      <w:r w:rsidR="0029771B" w:rsidRPr="0029771B">
        <w:rPr>
          <w:rFonts w:ascii="Times New Roman" w:hAnsi="Times New Roman" w:cs="Times New Roman"/>
          <w:i/>
          <w:sz w:val="24"/>
          <w:szCs w:val="24"/>
          <w:lang w:val="en-US"/>
        </w:rPr>
        <w:t>%), enceph</w:t>
      </w:r>
      <w:r w:rsidR="000B0982">
        <w:rPr>
          <w:rFonts w:ascii="Times New Roman" w:hAnsi="Times New Roman" w:cs="Times New Roman"/>
          <w:i/>
          <w:sz w:val="24"/>
          <w:szCs w:val="24"/>
          <w:lang w:val="en-US"/>
        </w:rPr>
        <w:t>alitis caused by Toxoplasma (28</w:t>
      </w:r>
      <w:r w:rsidR="000B0982" w:rsidRPr="000B098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04B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4%). </w:t>
      </w:r>
      <w:r w:rsidR="003013A9" w:rsidRP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 xml:space="preserve">The study found that the neurological status of these patients has its own characteristics, knowledge of which will help the doctor </w:t>
      </w:r>
      <w:r w:rsid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>with</w:t>
      </w:r>
      <w:r w:rsidR="003013A9" w:rsidRP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 xml:space="preserve"> the early diagnosis and the appointment of an adequate </w:t>
      </w:r>
      <w:r w:rsid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 xml:space="preserve">etiological </w:t>
      </w:r>
      <w:r w:rsidR="003013A9" w:rsidRP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>treatment</w:t>
      </w:r>
      <w:r w:rsidR="003013A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" w:eastAsia="ru-RU"/>
        </w:rPr>
        <w:t>.</w:t>
      </w:r>
    </w:p>
    <w:p w:rsidR="003013A9" w:rsidRPr="003013A9" w:rsidRDefault="003013A9" w:rsidP="00BD71F5">
      <w:pPr>
        <w:textAlignment w:val="top"/>
        <w:rPr>
          <w:rFonts w:ascii="Times New Roman" w:eastAsia="Times New Roman" w:hAnsi="Times New Roman" w:cs="Times New Roman"/>
          <w:i/>
          <w:color w:val="777777"/>
          <w:sz w:val="20"/>
          <w:szCs w:val="20"/>
          <w:lang w:val="en-US" w:eastAsia="ru-RU"/>
        </w:rPr>
      </w:pPr>
    </w:p>
    <w:p w:rsidR="002A0161" w:rsidRPr="00600340" w:rsidRDefault="002A0161" w:rsidP="00301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3F17E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F17E3" w:rsidRPr="003F17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17E3" w:rsidRPr="00916D68">
        <w:rPr>
          <w:rFonts w:ascii="Times New Roman" w:hAnsi="Times New Roman" w:cs="Times New Roman"/>
          <w:i/>
          <w:sz w:val="24"/>
          <w:szCs w:val="24"/>
          <w:lang w:val="en-US"/>
        </w:rPr>
        <w:t>HIV infection,</w:t>
      </w:r>
      <w:r w:rsidR="00600340" w:rsidRPr="00916D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AIDS,</w:t>
      </w:r>
      <w:r w:rsidR="003F17E3" w:rsidRPr="00916D6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C7B72" w:rsidRPr="002C7B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C7B72">
        <w:rPr>
          <w:rFonts w:ascii="Times New Roman" w:hAnsi="Times New Roman" w:cs="Times New Roman"/>
          <w:i/>
          <w:sz w:val="24"/>
          <w:szCs w:val="24"/>
          <w:lang w:val="en-US"/>
        </w:rPr>
        <w:t>pstein-Barr virus, toxoplasmosma</w:t>
      </w:r>
      <w:r w:rsidR="002C7B72" w:rsidRPr="002C7B72">
        <w:rPr>
          <w:rFonts w:ascii="Times New Roman" w:hAnsi="Times New Roman" w:cs="Times New Roman"/>
          <w:i/>
          <w:sz w:val="24"/>
          <w:szCs w:val="24"/>
          <w:lang w:val="en-US"/>
        </w:rPr>
        <w:t>, mycobacterium tuberculosis</w:t>
      </w:r>
      <w:r w:rsidR="003F17E3" w:rsidRPr="00916D68">
        <w:rPr>
          <w:rFonts w:ascii="Times New Roman" w:hAnsi="Times New Roman" w:cs="Times New Roman"/>
          <w:i/>
          <w:sz w:val="24"/>
          <w:szCs w:val="24"/>
          <w:lang w:val="en-US"/>
        </w:rPr>
        <w:t>, encephalitis, meningitis, meningoencephalitis.</w:t>
      </w:r>
    </w:p>
    <w:p w:rsidR="00911A8D" w:rsidRPr="00600340" w:rsidRDefault="00911A8D" w:rsidP="002A0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1A8D" w:rsidRDefault="00911A8D" w:rsidP="00911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A8D">
        <w:rPr>
          <w:rFonts w:ascii="Times New Roman" w:hAnsi="Times New Roman" w:cs="Times New Roman"/>
          <w:sz w:val="24"/>
          <w:szCs w:val="24"/>
        </w:rPr>
        <w:t xml:space="preserve">ВИЧ-инфекция приобрела в мире характер пандемии. </w:t>
      </w:r>
      <w:r w:rsidR="001F6C8E">
        <w:rPr>
          <w:rFonts w:ascii="Times New Roman" w:hAnsi="Times New Roman" w:cs="Times New Roman"/>
          <w:sz w:val="24"/>
          <w:szCs w:val="24"/>
        </w:rPr>
        <w:t>П</w:t>
      </w:r>
      <w:r w:rsidR="001F6C8E" w:rsidRPr="000612EC">
        <w:rPr>
          <w:rFonts w:ascii="Times New Roman" w:hAnsi="Times New Roman" w:cs="Times New Roman"/>
          <w:sz w:val="24"/>
          <w:szCs w:val="24"/>
        </w:rPr>
        <w:t>о данным</w:t>
      </w:r>
      <w:r w:rsidR="001F6C8E" w:rsidRPr="00911A8D">
        <w:rPr>
          <w:rFonts w:ascii="Times New Roman" w:hAnsi="Times New Roman" w:cs="Times New Roman"/>
          <w:sz w:val="24"/>
          <w:szCs w:val="24"/>
        </w:rPr>
        <w:t xml:space="preserve"> ВОЗ </w:t>
      </w:r>
      <w:r w:rsidR="001F6C8E">
        <w:rPr>
          <w:rFonts w:ascii="Times New Roman" w:hAnsi="Times New Roman" w:cs="Times New Roman"/>
          <w:sz w:val="24"/>
          <w:szCs w:val="24"/>
        </w:rPr>
        <w:t>з</w:t>
      </w:r>
      <w:r w:rsidRPr="00911A8D">
        <w:rPr>
          <w:rFonts w:ascii="Times New Roman" w:hAnsi="Times New Roman" w:cs="Times New Roman"/>
          <w:sz w:val="24"/>
          <w:szCs w:val="24"/>
        </w:rPr>
        <w:t xml:space="preserve">а короткое время она стала проблемой номер </w:t>
      </w:r>
      <w:r w:rsidR="001F6C8E">
        <w:rPr>
          <w:rFonts w:ascii="Times New Roman" w:hAnsi="Times New Roman" w:cs="Times New Roman"/>
          <w:sz w:val="24"/>
          <w:szCs w:val="24"/>
        </w:rPr>
        <w:t>один</w:t>
      </w:r>
      <w:r w:rsidRPr="00911A8D">
        <w:rPr>
          <w:rFonts w:ascii="Times New Roman" w:hAnsi="Times New Roman" w:cs="Times New Roman"/>
          <w:sz w:val="24"/>
          <w:szCs w:val="24"/>
        </w:rPr>
        <w:t xml:space="preserve">, оттеснив на второе место рак и сердечно-сосудистые </w:t>
      </w:r>
      <w:r w:rsidRPr="00911A8D">
        <w:rPr>
          <w:rFonts w:ascii="Times New Roman" w:hAnsi="Times New Roman" w:cs="Times New Roman"/>
          <w:sz w:val="24"/>
          <w:szCs w:val="24"/>
        </w:rPr>
        <w:lastRenderedPageBreak/>
        <w:t>заболевания [1</w:t>
      </w:r>
      <w:r w:rsidR="00166920">
        <w:rPr>
          <w:rFonts w:ascii="Times New Roman" w:hAnsi="Times New Roman" w:cs="Times New Roman"/>
          <w:sz w:val="24"/>
          <w:szCs w:val="24"/>
        </w:rPr>
        <w:t>1</w:t>
      </w:r>
      <w:r w:rsidRPr="00911A8D">
        <w:rPr>
          <w:rFonts w:ascii="Times New Roman" w:hAnsi="Times New Roman" w:cs="Times New Roman"/>
          <w:sz w:val="24"/>
          <w:szCs w:val="24"/>
        </w:rPr>
        <w:t>]. С момента выявления ВИЧ им заразилось почти 60 млн</w:t>
      </w:r>
      <w:r w:rsidR="00DE4E59">
        <w:rPr>
          <w:rFonts w:ascii="Times New Roman" w:hAnsi="Times New Roman" w:cs="Times New Roman"/>
          <w:sz w:val="24"/>
          <w:szCs w:val="24"/>
        </w:rPr>
        <w:t>.</w:t>
      </w:r>
      <w:r w:rsidRPr="00911A8D">
        <w:rPr>
          <w:rFonts w:ascii="Times New Roman" w:hAnsi="Times New Roman" w:cs="Times New Roman"/>
          <w:sz w:val="24"/>
          <w:szCs w:val="24"/>
        </w:rPr>
        <w:t xml:space="preserve"> человек и 25 млн</w:t>
      </w:r>
      <w:r w:rsidR="00DE4E59">
        <w:rPr>
          <w:rFonts w:ascii="Times New Roman" w:hAnsi="Times New Roman" w:cs="Times New Roman"/>
          <w:sz w:val="24"/>
          <w:szCs w:val="24"/>
        </w:rPr>
        <w:t>.</w:t>
      </w:r>
      <w:r w:rsidRPr="00911A8D">
        <w:rPr>
          <w:rFonts w:ascii="Times New Roman" w:hAnsi="Times New Roman" w:cs="Times New Roman"/>
          <w:sz w:val="24"/>
          <w:szCs w:val="24"/>
        </w:rPr>
        <w:t xml:space="preserve"> умерло от б</w:t>
      </w:r>
      <w:r w:rsidR="00F224DF">
        <w:rPr>
          <w:rFonts w:ascii="Times New Roman" w:hAnsi="Times New Roman" w:cs="Times New Roman"/>
          <w:sz w:val="24"/>
          <w:szCs w:val="24"/>
        </w:rPr>
        <w:t>олезней</w:t>
      </w:r>
      <w:r w:rsidR="00166920">
        <w:rPr>
          <w:rFonts w:ascii="Times New Roman" w:hAnsi="Times New Roman" w:cs="Times New Roman"/>
          <w:sz w:val="24"/>
          <w:szCs w:val="24"/>
        </w:rPr>
        <w:t xml:space="preserve"> связанных с ним [1, 15</w:t>
      </w:r>
      <w:r w:rsidRPr="00911A8D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A8D">
        <w:rPr>
          <w:rFonts w:ascii="Times New Roman" w:hAnsi="Times New Roman" w:cs="Times New Roman"/>
          <w:sz w:val="24"/>
          <w:szCs w:val="24"/>
        </w:rPr>
        <w:t>В последние годы, несмотря на внедрение в практику высокоактивной антиретровирусной терапии (ВААРТ), постоянно растет к</w:t>
      </w:r>
      <w:r w:rsidR="00910682">
        <w:rPr>
          <w:rFonts w:ascii="Times New Roman" w:hAnsi="Times New Roman" w:cs="Times New Roman"/>
          <w:sz w:val="24"/>
          <w:szCs w:val="24"/>
        </w:rPr>
        <w:t>оличество больных ВИЧ нуждающихся</w:t>
      </w:r>
      <w:r w:rsidRPr="00911A8D">
        <w:rPr>
          <w:rFonts w:ascii="Times New Roman" w:hAnsi="Times New Roman" w:cs="Times New Roman"/>
          <w:sz w:val="24"/>
          <w:szCs w:val="24"/>
        </w:rPr>
        <w:t xml:space="preserve"> в стационарном лечении, увеличивается количество пациентов с терминальной стадией ВИЧ-инфекции и </w:t>
      </w:r>
      <w:r>
        <w:rPr>
          <w:rFonts w:ascii="Times New Roman" w:hAnsi="Times New Roman" w:cs="Times New Roman"/>
          <w:sz w:val="24"/>
          <w:szCs w:val="24"/>
        </w:rPr>
        <w:t>число летальных случаев [1</w:t>
      </w:r>
      <w:r w:rsidR="00166920">
        <w:rPr>
          <w:rFonts w:ascii="Times New Roman" w:hAnsi="Times New Roman" w:cs="Times New Roman"/>
          <w:sz w:val="24"/>
          <w:szCs w:val="24"/>
        </w:rPr>
        <w:t>0</w:t>
      </w:r>
      <w:r w:rsidR="00530525">
        <w:rPr>
          <w:rFonts w:ascii="Times New Roman" w:hAnsi="Times New Roman" w:cs="Times New Roman"/>
          <w:sz w:val="24"/>
          <w:szCs w:val="24"/>
        </w:rPr>
        <w:t xml:space="preserve"> - </w:t>
      </w:r>
      <w:r w:rsidR="0016692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11A8D">
        <w:rPr>
          <w:rFonts w:ascii="Times New Roman" w:hAnsi="Times New Roman" w:cs="Times New Roman"/>
          <w:sz w:val="24"/>
          <w:szCs w:val="24"/>
        </w:rPr>
        <w:t>.</w:t>
      </w:r>
    </w:p>
    <w:p w:rsidR="004F0D9E" w:rsidRPr="004F0D9E" w:rsidRDefault="004F0D9E" w:rsidP="004F0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E">
        <w:rPr>
          <w:rFonts w:ascii="Times New Roman" w:hAnsi="Times New Roman" w:cs="Times New Roman"/>
          <w:sz w:val="24"/>
          <w:szCs w:val="24"/>
        </w:rPr>
        <w:t xml:space="preserve">Поражение центральной нервной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="00102F6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F6E">
        <w:rPr>
          <w:rFonts w:ascii="Times New Roman" w:hAnsi="Times New Roman" w:cs="Times New Roman"/>
          <w:sz w:val="24"/>
          <w:szCs w:val="24"/>
        </w:rPr>
        <w:t xml:space="preserve">ВИЧ-инфицированных людей </w:t>
      </w:r>
      <w:r>
        <w:rPr>
          <w:rFonts w:ascii="Times New Roman" w:hAnsi="Times New Roman" w:cs="Times New Roman"/>
          <w:sz w:val="24"/>
          <w:szCs w:val="24"/>
        </w:rPr>
        <w:t>встречается от 30 до 90</w:t>
      </w:r>
      <w:r w:rsidR="0040462A">
        <w:rPr>
          <w:rFonts w:ascii="Times New Roman" w:hAnsi="Times New Roman" w:cs="Times New Roman"/>
          <w:sz w:val="24"/>
          <w:szCs w:val="24"/>
        </w:rPr>
        <w:t>%,</w:t>
      </w:r>
      <w:r w:rsidR="00F6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от 40 до 90</w:t>
      </w:r>
      <w:r w:rsidR="00F60CFD">
        <w:rPr>
          <w:rFonts w:ascii="Times New Roman" w:hAnsi="Times New Roman" w:cs="Times New Roman"/>
          <w:sz w:val="24"/>
          <w:szCs w:val="24"/>
        </w:rPr>
        <w:t>% оно</w:t>
      </w:r>
      <w:r w:rsidRPr="004F0D9E">
        <w:rPr>
          <w:rFonts w:ascii="Times New Roman" w:hAnsi="Times New Roman" w:cs="Times New Roman"/>
          <w:sz w:val="24"/>
          <w:szCs w:val="24"/>
        </w:rPr>
        <w:t xml:space="preserve"> </w:t>
      </w:r>
      <w:r w:rsidR="00F60CFD">
        <w:rPr>
          <w:rFonts w:ascii="Times New Roman" w:hAnsi="Times New Roman" w:cs="Times New Roman"/>
          <w:sz w:val="24"/>
          <w:szCs w:val="24"/>
        </w:rPr>
        <w:t>проявляется</w:t>
      </w:r>
      <w:r w:rsidRPr="004F0D9E">
        <w:rPr>
          <w:rFonts w:ascii="Times New Roman" w:hAnsi="Times New Roman" w:cs="Times New Roman"/>
          <w:sz w:val="24"/>
          <w:szCs w:val="24"/>
        </w:rPr>
        <w:t xml:space="preserve"> психической или (и) неврологической </w:t>
      </w:r>
      <w:r w:rsidR="00F60CFD">
        <w:rPr>
          <w:rFonts w:ascii="Times New Roman" w:hAnsi="Times New Roman" w:cs="Times New Roman"/>
          <w:sz w:val="24"/>
          <w:szCs w:val="24"/>
        </w:rPr>
        <w:t>симптоматикой,</w:t>
      </w:r>
      <w:r w:rsidRPr="004F0D9E">
        <w:rPr>
          <w:rFonts w:ascii="Times New Roman" w:hAnsi="Times New Roman" w:cs="Times New Roman"/>
          <w:sz w:val="24"/>
          <w:szCs w:val="24"/>
        </w:rPr>
        <w:t xml:space="preserve"> которая, к сожалению, становится очевидной в терминальном периоде</w:t>
      </w:r>
      <w:r w:rsidR="00F60CFD">
        <w:rPr>
          <w:rFonts w:ascii="Times New Roman" w:hAnsi="Times New Roman" w:cs="Times New Roman"/>
          <w:sz w:val="24"/>
          <w:szCs w:val="24"/>
        </w:rPr>
        <w:t xml:space="preserve"> развития заболевания.</w:t>
      </w:r>
      <w:r w:rsidR="00F224DF">
        <w:rPr>
          <w:rFonts w:ascii="Times New Roman" w:hAnsi="Times New Roman" w:cs="Times New Roman"/>
          <w:sz w:val="24"/>
          <w:szCs w:val="24"/>
        </w:rPr>
        <w:t xml:space="preserve"> </w:t>
      </w:r>
      <w:r w:rsidR="001F6C8E">
        <w:rPr>
          <w:rFonts w:ascii="Times New Roman" w:hAnsi="Times New Roman" w:cs="Times New Roman"/>
          <w:sz w:val="24"/>
          <w:szCs w:val="24"/>
        </w:rPr>
        <w:t>А</w:t>
      </w:r>
      <w:r w:rsidRPr="004F0D9E">
        <w:rPr>
          <w:rFonts w:ascii="Times New Roman" w:hAnsi="Times New Roman" w:cs="Times New Roman"/>
          <w:sz w:val="24"/>
          <w:szCs w:val="24"/>
        </w:rPr>
        <w:t xml:space="preserve"> диагностика на ранних этапах развития патологического процесса, когда лечебно-профилактические мероприятия наиболее эффективны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CFD">
        <w:rPr>
          <w:rFonts w:ascii="Times New Roman" w:hAnsi="Times New Roman" w:cs="Times New Roman"/>
          <w:sz w:val="24"/>
          <w:szCs w:val="24"/>
        </w:rPr>
        <w:t xml:space="preserve"> затруднена</w:t>
      </w:r>
      <w:r w:rsidR="00166920">
        <w:rPr>
          <w:rFonts w:ascii="Times New Roman" w:hAnsi="Times New Roman" w:cs="Times New Roman"/>
          <w:sz w:val="24"/>
          <w:szCs w:val="24"/>
        </w:rPr>
        <w:t xml:space="preserve"> [</w:t>
      </w:r>
      <w:r w:rsidR="00285D96">
        <w:rPr>
          <w:rFonts w:ascii="Times New Roman" w:hAnsi="Times New Roman" w:cs="Times New Roman"/>
          <w:sz w:val="24"/>
          <w:szCs w:val="24"/>
        </w:rPr>
        <w:t>8</w:t>
      </w:r>
      <w:r w:rsidR="00166920">
        <w:rPr>
          <w:rFonts w:ascii="Times New Roman" w:hAnsi="Times New Roman" w:cs="Times New Roman"/>
          <w:sz w:val="24"/>
          <w:szCs w:val="24"/>
        </w:rPr>
        <w:t>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F0D9E">
        <w:rPr>
          <w:rFonts w:ascii="Times New Roman" w:hAnsi="Times New Roman" w:cs="Times New Roman"/>
          <w:sz w:val="24"/>
          <w:szCs w:val="24"/>
        </w:rPr>
        <w:t>.</w:t>
      </w:r>
    </w:p>
    <w:p w:rsidR="004F0D9E" w:rsidRPr="004F0D9E" w:rsidRDefault="004F0D9E" w:rsidP="004F0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E">
        <w:rPr>
          <w:rFonts w:ascii="Times New Roman" w:hAnsi="Times New Roman" w:cs="Times New Roman"/>
          <w:sz w:val="24"/>
          <w:szCs w:val="24"/>
        </w:rPr>
        <w:t>Многие авторы считают, что изменения головного мозга у ВИЧ инфицированных и больных СПИДом м</w:t>
      </w:r>
      <w:r w:rsidR="00F60CFD">
        <w:rPr>
          <w:rFonts w:ascii="Times New Roman" w:hAnsi="Times New Roman" w:cs="Times New Roman"/>
          <w:sz w:val="24"/>
          <w:szCs w:val="24"/>
        </w:rPr>
        <w:t xml:space="preserve">огут быть обусловлены </w:t>
      </w:r>
      <w:r w:rsidRPr="004F0D9E">
        <w:rPr>
          <w:rFonts w:ascii="Times New Roman" w:hAnsi="Times New Roman" w:cs="Times New Roman"/>
          <w:sz w:val="24"/>
          <w:szCs w:val="24"/>
        </w:rPr>
        <w:t>различного р</w:t>
      </w:r>
      <w:r w:rsidR="00F60CFD">
        <w:rPr>
          <w:rFonts w:ascii="Times New Roman" w:hAnsi="Times New Roman" w:cs="Times New Roman"/>
          <w:sz w:val="24"/>
          <w:szCs w:val="24"/>
        </w:rPr>
        <w:t>ода оппортунистическими инфекциями,</w:t>
      </w:r>
      <w:r w:rsidRPr="004F0D9E">
        <w:rPr>
          <w:rFonts w:ascii="Times New Roman" w:hAnsi="Times New Roman" w:cs="Times New Roman"/>
          <w:sz w:val="24"/>
          <w:szCs w:val="24"/>
        </w:rPr>
        <w:t xml:space="preserve"> опухолевым процессо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D9E">
        <w:rPr>
          <w:rFonts w:ascii="Times New Roman" w:hAnsi="Times New Roman" w:cs="Times New Roman"/>
          <w:sz w:val="24"/>
          <w:szCs w:val="24"/>
        </w:rPr>
        <w:t>, це</w:t>
      </w:r>
      <w:r>
        <w:rPr>
          <w:rFonts w:ascii="Times New Roman" w:hAnsi="Times New Roman" w:cs="Times New Roman"/>
          <w:sz w:val="24"/>
          <w:szCs w:val="24"/>
        </w:rPr>
        <w:t>реброваскулярными заболеваниями</w:t>
      </w:r>
      <w:r w:rsidRPr="004F0D9E">
        <w:rPr>
          <w:rFonts w:ascii="Times New Roman" w:hAnsi="Times New Roman" w:cs="Times New Roman"/>
          <w:sz w:val="24"/>
          <w:szCs w:val="24"/>
        </w:rPr>
        <w:t xml:space="preserve">, демиелинизирующим процессом, а также непосредственным </w:t>
      </w:r>
      <w:r>
        <w:rPr>
          <w:rFonts w:ascii="Times New Roman" w:hAnsi="Times New Roman" w:cs="Times New Roman"/>
          <w:sz w:val="24"/>
          <w:szCs w:val="24"/>
        </w:rPr>
        <w:t>действием вируса иммунодефицита</w:t>
      </w:r>
      <w:r w:rsidR="00F60CFD">
        <w:rPr>
          <w:rFonts w:ascii="Times New Roman" w:hAnsi="Times New Roman" w:cs="Times New Roman"/>
          <w:sz w:val="24"/>
          <w:szCs w:val="24"/>
        </w:rPr>
        <w:t>.</w:t>
      </w:r>
      <w:r w:rsidRPr="004F0D9E">
        <w:rPr>
          <w:rFonts w:ascii="Times New Roman" w:hAnsi="Times New Roman" w:cs="Times New Roman"/>
          <w:sz w:val="24"/>
          <w:szCs w:val="24"/>
        </w:rPr>
        <w:t xml:space="preserve"> </w:t>
      </w:r>
      <w:r w:rsidR="00F60CFD">
        <w:rPr>
          <w:rFonts w:ascii="Times New Roman" w:hAnsi="Times New Roman" w:cs="Times New Roman"/>
          <w:sz w:val="24"/>
          <w:szCs w:val="24"/>
        </w:rPr>
        <w:t>Причем поражения</w:t>
      </w:r>
      <w:r w:rsidRPr="004F0D9E">
        <w:rPr>
          <w:rFonts w:ascii="Times New Roman" w:hAnsi="Times New Roman" w:cs="Times New Roman"/>
          <w:sz w:val="24"/>
          <w:szCs w:val="24"/>
        </w:rPr>
        <w:t xml:space="preserve"> ЦНС могут развиваться, как одн</w:t>
      </w:r>
      <w:r>
        <w:rPr>
          <w:rFonts w:ascii="Times New Roman" w:hAnsi="Times New Roman" w:cs="Times New Roman"/>
          <w:sz w:val="24"/>
          <w:szCs w:val="24"/>
        </w:rPr>
        <w:t>овременно или параллельно с ВИЧ</w:t>
      </w:r>
      <w:r w:rsidRPr="004F0D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 w:rsidRPr="004F0D9E">
        <w:rPr>
          <w:rFonts w:ascii="Times New Roman" w:hAnsi="Times New Roman" w:cs="Times New Roman"/>
          <w:sz w:val="24"/>
          <w:szCs w:val="24"/>
        </w:rPr>
        <w:t>, так и через некоторое время после инфицирования [</w:t>
      </w:r>
      <w:r w:rsidR="00166920">
        <w:rPr>
          <w:rFonts w:ascii="Times New Roman" w:hAnsi="Times New Roman" w:cs="Times New Roman"/>
          <w:sz w:val="24"/>
          <w:szCs w:val="24"/>
        </w:rPr>
        <w:t>1,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3,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F0D9E">
        <w:rPr>
          <w:rFonts w:ascii="Times New Roman" w:hAnsi="Times New Roman" w:cs="Times New Roman"/>
          <w:sz w:val="24"/>
          <w:szCs w:val="24"/>
        </w:rPr>
        <w:t>.</w:t>
      </w:r>
    </w:p>
    <w:p w:rsidR="004F0D9E" w:rsidRPr="004F0D9E" w:rsidRDefault="004F0D9E" w:rsidP="004F0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D9E">
        <w:rPr>
          <w:rFonts w:ascii="Times New Roman" w:hAnsi="Times New Roman" w:cs="Times New Roman"/>
          <w:sz w:val="24"/>
          <w:szCs w:val="24"/>
        </w:rPr>
        <w:t xml:space="preserve">Поражение ЦНС у ВИЧ-инфицированных больных представляет </w:t>
      </w:r>
      <w:r>
        <w:rPr>
          <w:rFonts w:ascii="Times New Roman" w:hAnsi="Times New Roman" w:cs="Times New Roman"/>
          <w:sz w:val="24"/>
          <w:szCs w:val="24"/>
        </w:rPr>
        <w:t>особую сложность в работе врача</w:t>
      </w:r>
      <w:r w:rsidRPr="004F0D9E">
        <w:rPr>
          <w:rFonts w:ascii="Times New Roman" w:hAnsi="Times New Roman" w:cs="Times New Roman"/>
          <w:sz w:val="24"/>
          <w:szCs w:val="24"/>
        </w:rPr>
        <w:t>-инфекциониста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D9E">
        <w:rPr>
          <w:rFonts w:ascii="Times New Roman" w:hAnsi="Times New Roman" w:cs="Times New Roman"/>
          <w:sz w:val="24"/>
          <w:szCs w:val="24"/>
        </w:rPr>
        <w:t xml:space="preserve"> </w:t>
      </w:r>
      <w:r w:rsidR="00F60CFD">
        <w:rPr>
          <w:rFonts w:ascii="Times New Roman" w:hAnsi="Times New Roman" w:cs="Times New Roman"/>
          <w:sz w:val="24"/>
          <w:szCs w:val="24"/>
        </w:rPr>
        <w:t>так как</w:t>
      </w:r>
      <w:r w:rsidRPr="004F0D9E">
        <w:rPr>
          <w:rFonts w:ascii="Times New Roman" w:hAnsi="Times New Roman" w:cs="Times New Roman"/>
          <w:sz w:val="24"/>
          <w:szCs w:val="24"/>
        </w:rPr>
        <w:t xml:space="preserve"> клинически выраженная симптомати</w:t>
      </w:r>
      <w:r>
        <w:rPr>
          <w:rFonts w:ascii="Times New Roman" w:hAnsi="Times New Roman" w:cs="Times New Roman"/>
          <w:sz w:val="24"/>
          <w:szCs w:val="24"/>
        </w:rPr>
        <w:t>ка встречается значительно реже</w:t>
      </w:r>
      <w:r w:rsidRPr="004F0D9E">
        <w:rPr>
          <w:rFonts w:ascii="Times New Roman" w:hAnsi="Times New Roman" w:cs="Times New Roman"/>
          <w:sz w:val="24"/>
          <w:szCs w:val="24"/>
        </w:rPr>
        <w:t>, чем морфологич</w:t>
      </w:r>
      <w:r>
        <w:rPr>
          <w:rFonts w:ascii="Times New Roman" w:hAnsi="Times New Roman" w:cs="Times New Roman"/>
          <w:sz w:val="24"/>
          <w:szCs w:val="24"/>
        </w:rPr>
        <w:t>еские изменения в ткани мозга [</w:t>
      </w:r>
      <w:r w:rsidR="00166920">
        <w:rPr>
          <w:rFonts w:ascii="Times New Roman" w:hAnsi="Times New Roman" w:cs="Times New Roman"/>
          <w:sz w:val="24"/>
          <w:szCs w:val="24"/>
        </w:rPr>
        <w:t>4</w:t>
      </w:r>
      <w:r w:rsidRPr="004F0D9E">
        <w:rPr>
          <w:rFonts w:ascii="Times New Roman" w:hAnsi="Times New Roman" w:cs="Times New Roman"/>
          <w:sz w:val="24"/>
          <w:szCs w:val="24"/>
        </w:rPr>
        <w:t>].</w:t>
      </w:r>
    </w:p>
    <w:p w:rsidR="00600340" w:rsidRDefault="004F0D9E" w:rsidP="00600340">
      <w:pPr>
        <w:spacing w:after="0" w:line="360" w:lineRule="auto"/>
        <w:ind w:firstLine="708"/>
        <w:jc w:val="both"/>
      </w:pPr>
      <w:r w:rsidRPr="004F0D9E">
        <w:rPr>
          <w:rFonts w:ascii="Times New Roman" w:hAnsi="Times New Roman" w:cs="Times New Roman"/>
          <w:sz w:val="24"/>
          <w:szCs w:val="24"/>
        </w:rPr>
        <w:t>Согласно данным литературы признаки поражения ЦНС находят при клиниче</w:t>
      </w:r>
      <w:r w:rsidR="00F224DF">
        <w:rPr>
          <w:rFonts w:ascii="Times New Roman" w:hAnsi="Times New Roman" w:cs="Times New Roman"/>
          <w:sz w:val="24"/>
          <w:szCs w:val="24"/>
        </w:rPr>
        <w:t>ском обследовании у</w:t>
      </w:r>
      <w:r>
        <w:rPr>
          <w:rFonts w:ascii="Times New Roman" w:hAnsi="Times New Roman" w:cs="Times New Roman"/>
          <w:sz w:val="24"/>
          <w:szCs w:val="24"/>
        </w:rPr>
        <w:t xml:space="preserve"> 30% </w:t>
      </w:r>
      <w:r w:rsidR="00F224DF">
        <w:rPr>
          <w:rFonts w:ascii="Times New Roman" w:hAnsi="Times New Roman" w:cs="Times New Roman"/>
          <w:sz w:val="24"/>
          <w:szCs w:val="24"/>
        </w:rPr>
        <w:t>больных</w:t>
      </w:r>
      <w:r w:rsidRPr="004F0D9E">
        <w:rPr>
          <w:rFonts w:ascii="Times New Roman" w:hAnsi="Times New Roman" w:cs="Times New Roman"/>
          <w:sz w:val="24"/>
          <w:szCs w:val="24"/>
        </w:rPr>
        <w:t>, т</w:t>
      </w:r>
      <w:r w:rsidR="00DE4E59">
        <w:rPr>
          <w:rFonts w:ascii="Times New Roman" w:hAnsi="Times New Roman" w:cs="Times New Roman"/>
          <w:sz w:val="24"/>
          <w:szCs w:val="24"/>
        </w:rPr>
        <w:t>огда как при патоморфологическом</w:t>
      </w:r>
      <w:r w:rsidRPr="004F0D9E">
        <w:rPr>
          <w:rFonts w:ascii="Times New Roman" w:hAnsi="Times New Roman" w:cs="Times New Roman"/>
          <w:sz w:val="24"/>
          <w:szCs w:val="24"/>
        </w:rPr>
        <w:t xml:space="preserve"> исследовании поражения нерв</w:t>
      </w:r>
      <w:r>
        <w:rPr>
          <w:rFonts w:ascii="Times New Roman" w:hAnsi="Times New Roman" w:cs="Times New Roman"/>
          <w:sz w:val="24"/>
          <w:szCs w:val="24"/>
        </w:rPr>
        <w:t xml:space="preserve">ной системы </w:t>
      </w:r>
      <w:r w:rsidR="006C4227">
        <w:rPr>
          <w:rFonts w:ascii="Times New Roman" w:hAnsi="Times New Roman" w:cs="Times New Roman"/>
          <w:sz w:val="24"/>
          <w:szCs w:val="24"/>
        </w:rPr>
        <w:t>обнаруживаются</w:t>
      </w:r>
      <w:r>
        <w:rPr>
          <w:rFonts w:ascii="Times New Roman" w:hAnsi="Times New Roman" w:cs="Times New Roman"/>
          <w:sz w:val="24"/>
          <w:szCs w:val="24"/>
        </w:rPr>
        <w:t xml:space="preserve"> у 80 - 90</w:t>
      </w:r>
      <w:r w:rsidRPr="004F0D9E">
        <w:rPr>
          <w:rFonts w:ascii="Times New Roman" w:hAnsi="Times New Roman" w:cs="Times New Roman"/>
          <w:sz w:val="24"/>
          <w:szCs w:val="24"/>
        </w:rPr>
        <w:t xml:space="preserve">% умерших от </w:t>
      </w:r>
      <w:r w:rsidR="00DE4E59">
        <w:rPr>
          <w:rFonts w:ascii="Times New Roman" w:hAnsi="Times New Roman" w:cs="Times New Roman"/>
          <w:sz w:val="24"/>
          <w:szCs w:val="24"/>
        </w:rPr>
        <w:t>СПИДа. У</w:t>
      </w:r>
      <w:r>
        <w:rPr>
          <w:rFonts w:ascii="Times New Roman" w:hAnsi="Times New Roman" w:cs="Times New Roman"/>
          <w:sz w:val="24"/>
          <w:szCs w:val="24"/>
        </w:rPr>
        <w:t xml:space="preserve"> 10 - 45</w:t>
      </w:r>
      <w:r w:rsidRPr="004F0D9E">
        <w:rPr>
          <w:rFonts w:ascii="Times New Roman" w:hAnsi="Times New Roman" w:cs="Times New Roman"/>
          <w:sz w:val="24"/>
          <w:szCs w:val="24"/>
        </w:rPr>
        <w:t>% пациентов неврологические симптомы выступают в кач</w:t>
      </w:r>
      <w:r>
        <w:rPr>
          <w:rFonts w:ascii="Times New Roman" w:hAnsi="Times New Roman" w:cs="Times New Roman"/>
          <w:sz w:val="24"/>
          <w:szCs w:val="24"/>
        </w:rPr>
        <w:t>естве инициальных симптомов ВИЧ</w:t>
      </w:r>
      <w:r w:rsidRPr="004F0D9E">
        <w:rPr>
          <w:rFonts w:ascii="Times New Roman" w:hAnsi="Times New Roman" w:cs="Times New Roman"/>
          <w:sz w:val="24"/>
          <w:szCs w:val="24"/>
        </w:rPr>
        <w:t>-инфекции [</w:t>
      </w:r>
      <w:r w:rsidR="00166920">
        <w:rPr>
          <w:rFonts w:ascii="Times New Roman" w:hAnsi="Times New Roman" w:cs="Times New Roman"/>
          <w:sz w:val="24"/>
          <w:szCs w:val="24"/>
        </w:rPr>
        <w:t>5,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13,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14,</w:t>
      </w:r>
      <w:r w:rsidR="00530525">
        <w:rPr>
          <w:rFonts w:ascii="Times New Roman" w:hAnsi="Times New Roman" w:cs="Times New Roman"/>
          <w:sz w:val="24"/>
          <w:szCs w:val="24"/>
        </w:rPr>
        <w:t xml:space="preserve"> </w:t>
      </w:r>
      <w:r w:rsidR="00166920">
        <w:rPr>
          <w:rFonts w:ascii="Times New Roman" w:hAnsi="Times New Roman" w:cs="Times New Roman"/>
          <w:sz w:val="24"/>
          <w:szCs w:val="24"/>
        </w:rPr>
        <w:t>16</w:t>
      </w:r>
      <w:r w:rsidRPr="004F0D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D9E" w:rsidRDefault="00600340" w:rsidP="00600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340">
        <w:rPr>
          <w:rFonts w:ascii="Times New Roman" w:hAnsi="Times New Roman" w:cs="Times New Roman"/>
          <w:sz w:val="24"/>
          <w:szCs w:val="24"/>
        </w:rPr>
        <w:t>Оппортунистические инфекци</w:t>
      </w:r>
      <w:r w:rsidR="006C62B9">
        <w:rPr>
          <w:rFonts w:ascii="Times New Roman" w:hAnsi="Times New Roman" w:cs="Times New Roman"/>
          <w:sz w:val="24"/>
          <w:szCs w:val="24"/>
        </w:rPr>
        <w:t>и у больных СПИДом составляют</w:t>
      </w:r>
      <w:r w:rsidRPr="00600340">
        <w:rPr>
          <w:rFonts w:ascii="Times New Roman" w:hAnsi="Times New Roman" w:cs="Times New Roman"/>
          <w:sz w:val="24"/>
          <w:szCs w:val="24"/>
        </w:rPr>
        <w:t xml:space="preserve"> 30%. К ним относятся токсоплазм</w:t>
      </w:r>
      <w:r>
        <w:rPr>
          <w:rFonts w:ascii="Times New Roman" w:hAnsi="Times New Roman" w:cs="Times New Roman"/>
          <w:sz w:val="24"/>
          <w:szCs w:val="24"/>
        </w:rPr>
        <w:t>озная</w:t>
      </w:r>
      <w:r w:rsidRPr="00600340">
        <w:rPr>
          <w:rFonts w:ascii="Times New Roman" w:hAnsi="Times New Roman" w:cs="Times New Roman"/>
          <w:sz w:val="24"/>
          <w:szCs w:val="24"/>
        </w:rPr>
        <w:t>, герпетическая, ци</w:t>
      </w:r>
      <w:r>
        <w:rPr>
          <w:rFonts w:ascii="Times New Roman" w:hAnsi="Times New Roman" w:cs="Times New Roman"/>
          <w:sz w:val="24"/>
          <w:szCs w:val="24"/>
        </w:rPr>
        <w:t>томегаловирусная, криптококковая</w:t>
      </w:r>
      <w:r w:rsidRPr="0060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туберкулезная</w:t>
      </w:r>
      <w:r w:rsidR="00285D96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8F1B66">
        <w:rPr>
          <w:rFonts w:ascii="Times New Roman" w:hAnsi="Times New Roman" w:cs="Times New Roman"/>
          <w:sz w:val="24"/>
          <w:szCs w:val="24"/>
        </w:rPr>
        <w:t xml:space="preserve"> и др.</w:t>
      </w:r>
      <w:r w:rsidR="00285D96">
        <w:rPr>
          <w:rFonts w:ascii="Times New Roman" w:hAnsi="Times New Roman" w:cs="Times New Roman"/>
          <w:sz w:val="24"/>
          <w:szCs w:val="24"/>
        </w:rPr>
        <w:t xml:space="preserve"> [</w:t>
      </w:r>
      <w:r w:rsidR="00166920">
        <w:rPr>
          <w:rFonts w:ascii="Times New Roman" w:hAnsi="Times New Roman" w:cs="Times New Roman"/>
          <w:sz w:val="24"/>
          <w:szCs w:val="24"/>
        </w:rPr>
        <w:t>7</w:t>
      </w:r>
      <w:r w:rsidRPr="00600340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0">
        <w:rPr>
          <w:rFonts w:ascii="Times New Roman" w:hAnsi="Times New Roman" w:cs="Times New Roman"/>
          <w:sz w:val="24"/>
          <w:szCs w:val="24"/>
        </w:rPr>
        <w:t>В каждом клиническом случае требуется проведение специфической и симптоматич</w:t>
      </w:r>
      <w:r w:rsidR="00DE4E59">
        <w:rPr>
          <w:rFonts w:ascii="Times New Roman" w:hAnsi="Times New Roman" w:cs="Times New Roman"/>
          <w:sz w:val="24"/>
          <w:szCs w:val="24"/>
        </w:rPr>
        <w:t>еской терапии, поэтому уточнение</w:t>
      </w:r>
      <w:r w:rsidRPr="00600340">
        <w:rPr>
          <w:rFonts w:ascii="Times New Roman" w:hAnsi="Times New Roman" w:cs="Times New Roman"/>
          <w:sz w:val="24"/>
          <w:szCs w:val="24"/>
        </w:rPr>
        <w:t xml:space="preserve"> характера патологического процесса является весьма важным.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0">
        <w:rPr>
          <w:rFonts w:ascii="Times New Roman" w:hAnsi="Times New Roman" w:cs="Times New Roman"/>
          <w:sz w:val="24"/>
          <w:szCs w:val="24"/>
        </w:rPr>
        <w:t xml:space="preserve">В настоящее время остается недостаточно </w:t>
      </w:r>
      <w:r w:rsidR="00DE4E59" w:rsidRPr="00600340">
        <w:rPr>
          <w:rFonts w:ascii="Times New Roman" w:hAnsi="Times New Roman" w:cs="Times New Roman"/>
          <w:sz w:val="24"/>
          <w:szCs w:val="24"/>
        </w:rPr>
        <w:t>изучен</w:t>
      </w:r>
      <w:r w:rsidR="00DE4E59">
        <w:rPr>
          <w:rFonts w:ascii="Times New Roman" w:hAnsi="Times New Roman" w:cs="Times New Roman"/>
          <w:sz w:val="24"/>
          <w:szCs w:val="24"/>
        </w:rPr>
        <w:t>ным</w:t>
      </w:r>
      <w:r w:rsidRPr="00600340">
        <w:rPr>
          <w:rFonts w:ascii="Times New Roman" w:hAnsi="Times New Roman" w:cs="Times New Roman"/>
          <w:sz w:val="24"/>
          <w:szCs w:val="24"/>
        </w:rPr>
        <w:t xml:space="preserve"> спектр возбудителей, которые вызывают поражения ЦНС у ВИЧ-инфицированных больных и малоизуче</w:t>
      </w:r>
      <w:r w:rsidR="00DE4E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вопрос о клинических прояв</w:t>
      </w:r>
      <w:r w:rsidRPr="006003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ениях</w:t>
      </w:r>
      <w:r w:rsidRPr="00600340">
        <w:rPr>
          <w:rFonts w:ascii="Times New Roman" w:hAnsi="Times New Roman" w:cs="Times New Roman"/>
          <w:sz w:val="24"/>
          <w:szCs w:val="24"/>
        </w:rPr>
        <w:t xml:space="preserve"> различных оппорт</w:t>
      </w:r>
      <w:r w:rsidR="00514624">
        <w:rPr>
          <w:rFonts w:ascii="Times New Roman" w:hAnsi="Times New Roman" w:cs="Times New Roman"/>
          <w:sz w:val="24"/>
          <w:szCs w:val="24"/>
        </w:rPr>
        <w:t>унистических инфекции при СПИДе. П</w:t>
      </w:r>
      <w:r w:rsidRPr="00600340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8F1B66">
        <w:rPr>
          <w:rFonts w:ascii="Times New Roman" w:hAnsi="Times New Roman" w:cs="Times New Roman"/>
          <w:sz w:val="24"/>
          <w:szCs w:val="24"/>
        </w:rPr>
        <w:t>необходимо знать основные</w:t>
      </w:r>
      <w:r w:rsidRPr="00600340">
        <w:rPr>
          <w:rFonts w:ascii="Times New Roman" w:hAnsi="Times New Roman" w:cs="Times New Roman"/>
          <w:sz w:val="24"/>
          <w:szCs w:val="24"/>
        </w:rPr>
        <w:t xml:space="preserve"> форм</w:t>
      </w:r>
      <w:r w:rsidR="008F1B66">
        <w:rPr>
          <w:rFonts w:ascii="Times New Roman" w:hAnsi="Times New Roman" w:cs="Times New Roman"/>
          <w:sz w:val="24"/>
          <w:szCs w:val="24"/>
        </w:rPr>
        <w:t>ы проявлений</w:t>
      </w:r>
      <w:r w:rsidRPr="00600340">
        <w:rPr>
          <w:rFonts w:ascii="Times New Roman" w:hAnsi="Times New Roman" w:cs="Times New Roman"/>
          <w:sz w:val="24"/>
          <w:szCs w:val="24"/>
        </w:rPr>
        <w:t xml:space="preserve"> нейро-СПИДа. Это будет способствовать ранней диагностике заболевания, своевременной терапии</w:t>
      </w:r>
      <w:r w:rsidR="00E26A72">
        <w:rPr>
          <w:rFonts w:ascii="Times New Roman" w:hAnsi="Times New Roman" w:cs="Times New Roman"/>
          <w:sz w:val="24"/>
          <w:szCs w:val="24"/>
        </w:rPr>
        <w:t>,</w:t>
      </w:r>
      <w:r w:rsidRPr="00600340">
        <w:rPr>
          <w:rFonts w:ascii="Times New Roman" w:hAnsi="Times New Roman" w:cs="Times New Roman"/>
          <w:sz w:val="24"/>
          <w:szCs w:val="24"/>
        </w:rPr>
        <w:t xml:space="preserve"> позволит предупредить или хотя бы замедлить прогрессирование патологического процесса и не только продлить жизнь больных</w:t>
      </w:r>
      <w:r w:rsidR="00285D96">
        <w:rPr>
          <w:rFonts w:ascii="Times New Roman" w:hAnsi="Times New Roman" w:cs="Times New Roman"/>
          <w:sz w:val="24"/>
          <w:szCs w:val="24"/>
        </w:rPr>
        <w:t>, но и сохранить ее качество [</w:t>
      </w:r>
      <w:r w:rsidR="00166920">
        <w:rPr>
          <w:rFonts w:ascii="Times New Roman" w:hAnsi="Times New Roman" w:cs="Times New Roman"/>
          <w:sz w:val="24"/>
          <w:szCs w:val="24"/>
        </w:rPr>
        <w:t>2</w:t>
      </w:r>
      <w:r w:rsidRPr="00600340">
        <w:rPr>
          <w:rFonts w:ascii="Times New Roman" w:hAnsi="Times New Roman" w:cs="Times New Roman"/>
          <w:sz w:val="24"/>
          <w:szCs w:val="24"/>
        </w:rPr>
        <w:t>].</w:t>
      </w:r>
    </w:p>
    <w:p w:rsidR="00955EDD" w:rsidRDefault="00600340" w:rsidP="00955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задачи исследования. </w:t>
      </w:r>
      <w:r w:rsidRPr="0060034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9210D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явилось у</w:t>
      </w:r>
      <w:r w:rsidRPr="00600340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0340">
        <w:rPr>
          <w:rFonts w:ascii="Times New Roman" w:hAnsi="Times New Roman" w:cs="Times New Roman"/>
          <w:sz w:val="24"/>
          <w:szCs w:val="24"/>
        </w:rPr>
        <w:t xml:space="preserve"> д</w:t>
      </w:r>
      <w:r w:rsidR="00E91A04">
        <w:rPr>
          <w:rFonts w:ascii="Times New Roman" w:hAnsi="Times New Roman" w:cs="Times New Roman"/>
          <w:sz w:val="24"/>
          <w:szCs w:val="24"/>
        </w:rPr>
        <w:t>иагностических критериев</w:t>
      </w:r>
      <w:r w:rsidRPr="00600340">
        <w:rPr>
          <w:rFonts w:ascii="Times New Roman" w:hAnsi="Times New Roman" w:cs="Times New Roman"/>
          <w:sz w:val="24"/>
          <w:szCs w:val="24"/>
        </w:rPr>
        <w:t xml:space="preserve"> </w:t>
      </w:r>
      <w:r w:rsidR="005978D4">
        <w:rPr>
          <w:rFonts w:ascii="Times New Roman" w:hAnsi="Times New Roman" w:cs="Times New Roman"/>
          <w:sz w:val="24"/>
          <w:szCs w:val="24"/>
        </w:rPr>
        <w:t>инфекционных</w:t>
      </w:r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r w:rsidR="00E91A04">
        <w:rPr>
          <w:rFonts w:ascii="Times New Roman" w:hAnsi="Times New Roman" w:cs="Times New Roman"/>
          <w:sz w:val="24"/>
          <w:szCs w:val="24"/>
        </w:rPr>
        <w:t xml:space="preserve">поражений ЦНС на </w:t>
      </w:r>
      <w:r w:rsidRPr="00600340">
        <w:rPr>
          <w:rFonts w:ascii="Times New Roman" w:hAnsi="Times New Roman" w:cs="Times New Roman"/>
          <w:sz w:val="24"/>
          <w:szCs w:val="24"/>
        </w:rPr>
        <w:t>основании комплексного клинико-лабораторного обследования ВИЧ-по</w:t>
      </w:r>
      <w:r w:rsidR="00E91A04">
        <w:rPr>
          <w:rFonts w:ascii="Times New Roman" w:hAnsi="Times New Roman" w:cs="Times New Roman"/>
          <w:sz w:val="24"/>
          <w:szCs w:val="24"/>
        </w:rPr>
        <w:t>зитив</w:t>
      </w:r>
      <w:r w:rsidRPr="00600340">
        <w:rPr>
          <w:rFonts w:ascii="Times New Roman" w:hAnsi="Times New Roman" w:cs="Times New Roman"/>
          <w:sz w:val="24"/>
          <w:szCs w:val="24"/>
        </w:rPr>
        <w:t>ных</w:t>
      </w:r>
      <w:r w:rsidR="00E91A04">
        <w:rPr>
          <w:rFonts w:ascii="Times New Roman" w:hAnsi="Times New Roman" w:cs="Times New Roman"/>
          <w:sz w:val="24"/>
          <w:szCs w:val="24"/>
        </w:rPr>
        <w:t xml:space="preserve"> больных</w:t>
      </w:r>
      <w:r w:rsidR="005978D4">
        <w:rPr>
          <w:rFonts w:ascii="Times New Roman" w:hAnsi="Times New Roman" w:cs="Times New Roman"/>
          <w:sz w:val="24"/>
          <w:szCs w:val="24"/>
        </w:rPr>
        <w:t>.</w:t>
      </w:r>
    </w:p>
    <w:p w:rsidR="00955EDD" w:rsidRDefault="00955EDD" w:rsidP="00955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были поставлены следующие задачи:</w:t>
      </w:r>
    </w:p>
    <w:p w:rsidR="00955EDD" w:rsidRPr="00955EDD" w:rsidRDefault="00955EDD" w:rsidP="00955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EDD">
        <w:rPr>
          <w:rFonts w:ascii="Times New Roman" w:hAnsi="Times New Roman" w:cs="Times New Roman"/>
          <w:sz w:val="24"/>
          <w:szCs w:val="24"/>
        </w:rPr>
        <w:t xml:space="preserve">1. Исследовать клиническую картину </w:t>
      </w:r>
      <w:r w:rsidR="00E9210D">
        <w:rPr>
          <w:rFonts w:ascii="Times New Roman" w:hAnsi="Times New Roman" w:cs="Times New Roman"/>
          <w:sz w:val="24"/>
          <w:szCs w:val="24"/>
        </w:rPr>
        <w:t>данных по</w:t>
      </w:r>
      <w:r w:rsidRPr="00955EDD">
        <w:rPr>
          <w:rFonts w:ascii="Times New Roman" w:hAnsi="Times New Roman" w:cs="Times New Roman"/>
          <w:sz w:val="24"/>
          <w:szCs w:val="24"/>
        </w:rPr>
        <w:t>ражений ЦНС на фоне ВИЧ-инфек</w:t>
      </w:r>
      <w:r w:rsidR="00E9210D">
        <w:rPr>
          <w:rFonts w:ascii="Times New Roman" w:hAnsi="Times New Roman" w:cs="Times New Roman"/>
          <w:sz w:val="24"/>
          <w:szCs w:val="24"/>
        </w:rPr>
        <w:t>ции</w:t>
      </w:r>
      <w:r w:rsidRPr="00955EDD">
        <w:rPr>
          <w:rFonts w:ascii="Times New Roman" w:hAnsi="Times New Roman" w:cs="Times New Roman"/>
          <w:sz w:val="24"/>
          <w:szCs w:val="24"/>
        </w:rPr>
        <w:t>.</w:t>
      </w:r>
    </w:p>
    <w:p w:rsidR="00955EDD" w:rsidRPr="00955EDD" w:rsidRDefault="00E9210D" w:rsidP="00955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EDD" w:rsidRPr="00955EDD">
        <w:rPr>
          <w:rFonts w:ascii="Times New Roman" w:hAnsi="Times New Roman" w:cs="Times New Roman"/>
          <w:sz w:val="24"/>
          <w:szCs w:val="24"/>
        </w:rPr>
        <w:t>. Определить диаг</w:t>
      </w:r>
      <w:r w:rsidR="00955EDD">
        <w:rPr>
          <w:rFonts w:ascii="Times New Roman" w:hAnsi="Times New Roman" w:cs="Times New Roman"/>
          <w:sz w:val="24"/>
          <w:szCs w:val="24"/>
        </w:rPr>
        <w:t>ностическое значение уровня CD4</w:t>
      </w:r>
      <w:r w:rsidR="00955EDD" w:rsidRPr="00955EDD">
        <w:rPr>
          <w:rFonts w:ascii="Times New Roman" w:hAnsi="Times New Roman" w:cs="Times New Roman"/>
          <w:sz w:val="24"/>
          <w:szCs w:val="24"/>
        </w:rPr>
        <w:t xml:space="preserve">+ клеток у ВИЧ-положительных больных с </w:t>
      </w:r>
      <w:r w:rsidR="005978D4">
        <w:rPr>
          <w:rFonts w:ascii="Times New Roman" w:hAnsi="Times New Roman" w:cs="Times New Roman"/>
          <w:sz w:val="24"/>
          <w:szCs w:val="24"/>
        </w:rPr>
        <w:t>инфекционными</w:t>
      </w:r>
      <w:r w:rsidR="00955EDD" w:rsidRPr="00955EDD">
        <w:rPr>
          <w:rFonts w:ascii="Times New Roman" w:hAnsi="Times New Roman" w:cs="Times New Roman"/>
          <w:sz w:val="24"/>
          <w:szCs w:val="24"/>
        </w:rPr>
        <w:t xml:space="preserve"> поражениями ЦНС.</w:t>
      </w:r>
    </w:p>
    <w:p w:rsidR="00600340" w:rsidRDefault="00E9210D" w:rsidP="00955E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EDD" w:rsidRPr="00955EDD">
        <w:rPr>
          <w:rFonts w:ascii="Times New Roman" w:hAnsi="Times New Roman" w:cs="Times New Roman"/>
          <w:sz w:val="24"/>
          <w:szCs w:val="24"/>
        </w:rPr>
        <w:t xml:space="preserve">. Выявить характерные клинико-лабораторные проявления поражений ЦНС у </w:t>
      </w:r>
      <w:r w:rsidR="00955EDD">
        <w:rPr>
          <w:rFonts w:ascii="Times New Roman" w:hAnsi="Times New Roman" w:cs="Times New Roman"/>
          <w:sz w:val="24"/>
          <w:szCs w:val="24"/>
        </w:rPr>
        <w:t xml:space="preserve">ВИЧ-инфицированных </w:t>
      </w:r>
      <w:r w:rsidR="00955EDD" w:rsidRPr="00955EDD">
        <w:rPr>
          <w:rFonts w:ascii="Times New Roman" w:hAnsi="Times New Roman" w:cs="Times New Roman"/>
          <w:sz w:val="24"/>
          <w:szCs w:val="24"/>
        </w:rPr>
        <w:t>больных в зависимости от возбудителя.</w:t>
      </w:r>
    </w:p>
    <w:p w:rsidR="0071053E" w:rsidRPr="0071053E" w:rsidRDefault="00600340" w:rsidP="00710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="00955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07C" w:rsidRPr="004E207C">
        <w:rPr>
          <w:rFonts w:ascii="Times New Roman" w:hAnsi="Times New Roman" w:cs="Times New Roman"/>
          <w:sz w:val="24"/>
          <w:szCs w:val="24"/>
        </w:rPr>
        <w:t>Иссл</w:t>
      </w:r>
      <w:r w:rsidR="004E207C">
        <w:rPr>
          <w:rFonts w:ascii="Times New Roman" w:hAnsi="Times New Roman" w:cs="Times New Roman"/>
          <w:sz w:val="24"/>
          <w:szCs w:val="24"/>
        </w:rPr>
        <w:t>едование проводилось на кафедре инфекционных болезней Харьковского национального медицинского университета, в Областной клинической инфекционн</w:t>
      </w:r>
      <w:r w:rsidR="002B4643">
        <w:rPr>
          <w:rFonts w:ascii="Times New Roman" w:hAnsi="Times New Roman" w:cs="Times New Roman"/>
          <w:sz w:val="24"/>
          <w:szCs w:val="24"/>
        </w:rPr>
        <w:t>ой больнице г. Харькова</w:t>
      </w:r>
      <w:r w:rsidR="004E207C">
        <w:rPr>
          <w:rFonts w:ascii="Times New Roman" w:hAnsi="Times New Roman" w:cs="Times New Roman"/>
          <w:sz w:val="24"/>
          <w:szCs w:val="24"/>
        </w:rPr>
        <w:t xml:space="preserve"> с 2008 по 2013 гг. </w:t>
      </w:r>
      <w:r w:rsidR="00E9210D">
        <w:rPr>
          <w:rFonts w:ascii="Times New Roman" w:hAnsi="Times New Roman" w:cs="Times New Roman"/>
          <w:sz w:val="24"/>
          <w:szCs w:val="24"/>
        </w:rPr>
        <w:t>Под</w:t>
      </w:r>
      <w:r w:rsidR="0071053E" w:rsidRPr="0071053E">
        <w:rPr>
          <w:rFonts w:ascii="Times New Roman" w:hAnsi="Times New Roman" w:cs="Times New Roman"/>
          <w:sz w:val="24"/>
          <w:szCs w:val="24"/>
        </w:rPr>
        <w:t xml:space="preserve"> наблюдением нах</w:t>
      </w:r>
      <w:r w:rsidR="00E9210D">
        <w:rPr>
          <w:rFonts w:ascii="Times New Roman" w:hAnsi="Times New Roman" w:cs="Times New Roman"/>
          <w:sz w:val="24"/>
          <w:szCs w:val="24"/>
        </w:rPr>
        <w:t>одилось 475 ВИЧ</w:t>
      </w:r>
      <w:r w:rsidR="0071053E" w:rsidRPr="0071053E">
        <w:rPr>
          <w:rFonts w:ascii="Times New Roman" w:hAnsi="Times New Roman" w:cs="Times New Roman"/>
          <w:sz w:val="24"/>
          <w:szCs w:val="24"/>
        </w:rPr>
        <w:t>-инфицированных больных.</w:t>
      </w:r>
    </w:p>
    <w:p w:rsidR="0071053E" w:rsidRPr="0071053E" w:rsidRDefault="0071053E" w:rsidP="00710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Основным критерием оценки иммунного статуса был уровень СД4</w:t>
      </w:r>
      <w:r>
        <w:rPr>
          <w:rFonts w:ascii="Times New Roman" w:hAnsi="Times New Roman" w:cs="Times New Roman"/>
          <w:sz w:val="24"/>
          <w:szCs w:val="24"/>
        </w:rPr>
        <w:t>+</w:t>
      </w:r>
      <w:r w:rsidR="00E9210D">
        <w:rPr>
          <w:rFonts w:ascii="Times New Roman" w:hAnsi="Times New Roman" w:cs="Times New Roman"/>
          <w:sz w:val="24"/>
          <w:szCs w:val="24"/>
        </w:rPr>
        <w:t xml:space="preserve"> клеток</w:t>
      </w:r>
      <w:r w:rsidRPr="0071053E">
        <w:rPr>
          <w:rFonts w:ascii="Times New Roman" w:hAnsi="Times New Roman" w:cs="Times New Roman"/>
          <w:sz w:val="24"/>
          <w:szCs w:val="24"/>
        </w:rPr>
        <w:t>. Он позволял определи</w:t>
      </w:r>
      <w:r w:rsidR="00D14346">
        <w:rPr>
          <w:rFonts w:ascii="Times New Roman" w:hAnsi="Times New Roman" w:cs="Times New Roman"/>
          <w:sz w:val="24"/>
          <w:szCs w:val="24"/>
        </w:rPr>
        <w:t>ть стадию заболевания</w:t>
      </w:r>
      <w:r w:rsidRPr="0071053E">
        <w:rPr>
          <w:rFonts w:ascii="Times New Roman" w:hAnsi="Times New Roman" w:cs="Times New Roman"/>
          <w:sz w:val="24"/>
          <w:szCs w:val="24"/>
        </w:rPr>
        <w:t>,</w:t>
      </w:r>
      <w:r w:rsidR="00D14346">
        <w:rPr>
          <w:rFonts w:ascii="Times New Roman" w:hAnsi="Times New Roman" w:cs="Times New Roman"/>
          <w:sz w:val="24"/>
          <w:szCs w:val="24"/>
        </w:rPr>
        <w:t xml:space="preserve"> возможность возникновения СПИД-</w:t>
      </w:r>
      <w:r w:rsidRPr="0071053E">
        <w:rPr>
          <w:rFonts w:ascii="Times New Roman" w:hAnsi="Times New Roman" w:cs="Times New Roman"/>
          <w:sz w:val="24"/>
          <w:szCs w:val="24"/>
        </w:rPr>
        <w:t>индикаторных заболеваний, необходимость назначения антиретровирусной терапии и химиопрофилактики оппортунистических инфекций.</w:t>
      </w:r>
    </w:p>
    <w:p w:rsidR="0071053E" w:rsidRPr="006F18FC" w:rsidRDefault="0071053E" w:rsidP="00E92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3E">
        <w:rPr>
          <w:rFonts w:ascii="Times New Roman" w:hAnsi="Times New Roman" w:cs="Times New Roman"/>
          <w:sz w:val="24"/>
          <w:szCs w:val="24"/>
        </w:rPr>
        <w:t>Этиологический фактор устанавливался на основании исследования ликвора методом П</w:t>
      </w:r>
      <w:r w:rsidR="00D14346">
        <w:rPr>
          <w:rFonts w:ascii="Times New Roman" w:hAnsi="Times New Roman" w:cs="Times New Roman"/>
          <w:sz w:val="24"/>
          <w:szCs w:val="24"/>
        </w:rPr>
        <w:t xml:space="preserve">ЦР на наличие фрагментов ДНК вирусов герпеса 1, </w:t>
      </w:r>
      <w:r w:rsidRPr="0071053E">
        <w:rPr>
          <w:rFonts w:ascii="Times New Roman" w:hAnsi="Times New Roman" w:cs="Times New Roman"/>
          <w:sz w:val="24"/>
          <w:szCs w:val="24"/>
        </w:rPr>
        <w:t>2</w:t>
      </w:r>
      <w:r w:rsidR="00D14346">
        <w:rPr>
          <w:rFonts w:ascii="Times New Roman" w:hAnsi="Times New Roman" w:cs="Times New Roman"/>
          <w:sz w:val="24"/>
          <w:szCs w:val="24"/>
        </w:rPr>
        <w:t>, 3 и 6</w:t>
      </w:r>
      <w:r w:rsidRPr="0071053E">
        <w:rPr>
          <w:rFonts w:ascii="Times New Roman" w:hAnsi="Times New Roman" w:cs="Times New Roman"/>
          <w:sz w:val="24"/>
          <w:szCs w:val="24"/>
        </w:rPr>
        <w:t xml:space="preserve"> типов, </w:t>
      </w:r>
      <w:r w:rsidR="00D14346">
        <w:rPr>
          <w:rFonts w:ascii="Times New Roman" w:hAnsi="Times New Roman" w:cs="Times New Roman"/>
          <w:sz w:val="24"/>
          <w:szCs w:val="24"/>
        </w:rPr>
        <w:t>цитомегаловируса</w:t>
      </w:r>
      <w:r w:rsidRPr="0071053E">
        <w:rPr>
          <w:rFonts w:ascii="Times New Roman" w:hAnsi="Times New Roman" w:cs="Times New Roman"/>
          <w:sz w:val="24"/>
          <w:szCs w:val="24"/>
        </w:rPr>
        <w:t xml:space="preserve">, </w:t>
      </w:r>
      <w:r w:rsidR="00D14346">
        <w:rPr>
          <w:rFonts w:ascii="Times New Roman" w:hAnsi="Times New Roman" w:cs="Times New Roman"/>
          <w:sz w:val="24"/>
          <w:szCs w:val="24"/>
        </w:rPr>
        <w:t>вируса Эпштейн-Барра</w:t>
      </w:r>
      <w:r w:rsidR="00440450">
        <w:rPr>
          <w:rFonts w:ascii="Times New Roman" w:hAnsi="Times New Roman" w:cs="Times New Roman"/>
          <w:sz w:val="24"/>
          <w:szCs w:val="24"/>
        </w:rPr>
        <w:t xml:space="preserve"> (ВЭБ)</w:t>
      </w:r>
      <w:r w:rsidRPr="0071053E">
        <w:rPr>
          <w:rFonts w:ascii="Times New Roman" w:hAnsi="Times New Roman" w:cs="Times New Roman"/>
          <w:sz w:val="24"/>
          <w:szCs w:val="24"/>
        </w:rPr>
        <w:t xml:space="preserve"> и </w:t>
      </w:r>
      <w:r w:rsidR="00D14346">
        <w:rPr>
          <w:rFonts w:ascii="Times New Roman" w:hAnsi="Times New Roman" w:cs="Times New Roman"/>
          <w:sz w:val="24"/>
          <w:szCs w:val="24"/>
        </w:rPr>
        <w:t>токсоплазмы</w:t>
      </w:r>
      <w:r w:rsidRPr="0071053E">
        <w:rPr>
          <w:rFonts w:ascii="Times New Roman" w:hAnsi="Times New Roman" w:cs="Times New Roman"/>
          <w:sz w:val="24"/>
          <w:szCs w:val="24"/>
        </w:rPr>
        <w:t>.</w:t>
      </w:r>
      <w:r w:rsidR="00D14346">
        <w:rPr>
          <w:rFonts w:ascii="Times New Roman" w:hAnsi="Times New Roman" w:cs="Times New Roman"/>
          <w:sz w:val="24"/>
          <w:szCs w:val="24"/>
        </w:rPr>
        <w:t xml:space="preserve"> </w:t>
      </w:r>
      <w:r w:rsidRPr="0071053E">
        <w:rPr>
          <w:rFonts w:ascii="Times New Roman" w:hAnsi="Times New Roman" w:cs="Times New Roman"/>
          <w:sz w:val="24"/>
          <w:szCs w:val="24"/>
        </w:rPr>
        <w:t>Для подтверждения туберкулезной этиологии поражения ЦНС были использован</w:t>
      </w:r>
      <w:r w:rsidR="00D14346">
        <w:rPr>
          <w:rFonts w:ascii="Times New Roman" w:hAnsi="Times New Roman" w:cs="Times New Roman"/>
          <w:sz w:val="24"/>
          <w:szCs w:val="24"/>
        </w:rPr>
        <w:t>ы микроскопическое и микробиологическое лабораторные методы</w:t>
      </w:r>
      <w:r w:rsidRPr="0071053E">
        <w:rPr>
          <w:rFonts w:ascii="Times New Roman" w:hAnsi="Times New Roman" w:cs="Times New Roman"/>
          <w:sz w:val="24"/>
          <w:szCs w:val="24"/>
        </w:rPr>
        <w:t xml:space="preserve">. Также использовались ПЦР </w:t>
      </w:r>
      <w:r w:rsidR="00DE4E59">
        <w:rPr>
          <w:rFonts w:ascii="Times New Roman" w:hAnsi="Times New Roman" w:cs="Times New Roman"/>
          <w:sz w:val="24"/>
          <w:szCs w:val="24"/>
        </w:rPr>
        <w:t>и</w:t>
      </w:r>
      <w:r w:rsidRPr="0071053E">
        <w:rPr>
          <w:rFonts w:ascii="Times New Roman" w:hAnsi="Times New Roman" w:cs="Times New Roman"/>
          <w:sz w:val="24"/>
          <w:szCs w:val="24"/>
        </w:rPr>
        <w:t xml:space="preserve"> быстрые культуральные</w:t>
      </w:r>
      <w:r w:rsidR="00E9210D">
        <w:rPr>
          <w:rFonts w:ascii="Times New Roman" w:hAnsi="Times New Roman" w:cs="Times New Roman"/>
          <w:sz w:val="24"/>
          <w:szCs w:val="24"/>
        </w:rPr>
        <w:t xml:space="preserve"> методы с использованием ВАСТЕС</w:t>
      </w:r>
      <w:r w:rsidR="002B4643">
        <w:rPr>
          <w:rFonts w:ascii="Times New Roman" w:hAnsi="Times New Roman" w:cs="Times New Roman"/>
          <w:sz w:val="24"/>
          <w:szCs w:val="24"/>
        </w:rPr>
        <w:t xml:space="preserve"> </w:t>
      </w:r>
      <w:r w:rsidR="002B4643" w:rsidRPr="0071053E">
        <w:rPr>
          <w:rFonts w:ascii="Times New Roman" w:hAnsi="Times New Roman" w:cs="Times New Roman"/>
          <w:sz w:val="24"/>
          <w:szCs w:val="24"/>
        </w:rPr>
        <w:t>[</w:t>
      </w:r>
      <w:r w:rsidR="002B4643">
        <w:rPr>
          <w:rFonts w:ascii="Times New Roman" w:hAnsi="Times New Roman" w:cs="Times New Roman"/>
          <w:sz w:val="24"/>
          <w:szCs w:val="24"/>
        </w:rPr>
        <w:t>17</w:t>
      </w:r>
      <w:r w:rsidR="002B4643" w:rsidRPr="006F18FC">
        <w:rPr>
          <w:rFonts w:ascii="Times New Roman" w:hAnsi="Times New Roman" w:cs="Times New Roman"/>
          <w:sz w:val="24"/>
          <w:szCs w:val="24"/>
        </w:rPr>
        <w:t>]</w:t>
      </w:r>
      <w:r w:rsidR="002B4643">
        <w:rPr>
          <w:rFonts w:ascii="Times New Roman" w:hAnsi="Times New Roman" w:cs="Times New Roman"/>
          <w:sz w:val="24"/>
          <w:szCs w:val="24"/>
        </w:rPr>
        <w:t>.</w:t>
      </w:r>
      <w:r w:rsidR="00E9210D">
        <w:rPr>
          <w:rFonts w:ascii="Times New Roman" w:hAnsi="Times New Roman" w:cs="Times New Roman"/>
          <w:sz w:val="24"/>
          <w:szCs w:val="24"/>
        </w:rPr>
        <w:t xml:space="preserve"> </w:t>
      </w:r>
      <w:r w:rsidR="002B4643">
        <w:rPr>
          <w:rFonts w:ascii="Times New Roman" w:hAnsi="Times New Roman" w:cs="Times New Roman"/>
          <w:sz w:val="24"/>
          <w:szCs w:val="24"/>
        </w:rPr>
        <w:t>Для обнаружения дрожжеподобных грибов проводилась окраска</w:t>
      </w:r>
      <w:r w:rsidR="005978D4">
        <w:rPr>
          <w:rFonts w:ascii="Times New Roman" w:hAnsi="Times New Roman" w:cs="Times New Roman"/>
          <w:sz w:val="24"/>
          <w:szCs w:val="24"/>
        </w:rPr>
        <w:t xml:space="preserve"> ликвор</w:t>
      </w:r>
      <w:r w:rsidR="002B4643">
        <w:rPr>
          <w:rFonts w:ascii="Times New Roman" w:hAnsi="Times New Roman" w:cs="Times New Roman"/>
          <w:sz w:val="24"/>
          <w:szCs w:val="24"/>
        </w:rPr>
        <w:t>а</w:t>
      </w:r>
      <w:r w:rsidR="005978D4">
        <w:rPr>
          <w:rFonts w:ascii="Times New Roman" w:hAnsi="Times New Roman" w:cs="Times New Roman"/>
          <w:sz w:val="24"/>
          <w:szCs w:val="24"/>
        </w:rPr>
        <w:t xml:space="preserve"> тушью</w:t>
      </w:r>
      <w:r w:rsidR="002B4643">
        <w:rPr>
          <w:rFonts w:ascii="Times New Roman" w:hAnsi="Times New Roman" w:cs="Times New Roman"/>
          <w:sz w:val="24"/>
          <w:szCs w:val="24"/>
        </w:rPr>
        <w:t>.</w:t>
      </w:r>
    </w:p>
    <w:p w:rsidR="00600340" w:rsidRDefault="00600340" w:rsidP="006D0B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E207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00340">
        <w:rPr>
          <w:rFonts w:ascii="Times New Roman" w:hAnsi="Times New Roman" w:cs="Times New Roman"/>
          <w:b/>
          <w:sz w:val="24"/>
          <w:szCs w:val="24"/>
        </w:rPr>
        <w:t xml:space="preserve"> обсуждение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2E81" w:rsidRDefault="002B4643" w:rsidP="00A12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16D68">
        <w:rPr>
          <w:rFonts w:ascii="Times New Roman" w:hAnsi="Times New Roman" w:cs="Times New Roman"/>
          <w:sz w:val="24"/>
          <w:szCs w:val="24"/>
        </w:rPr>
        <w:t>д наблюдением находилось 475 ВИЧ-позитивных больных. Пора</w:t>
      </w:r>
      <w:r>
        <w:rPr>
          <w:rFonts w:ascii="Times New Roman" w:hAnsi="Times New Roman" w:cs="Times New Roman"/>
          <w:sz w:val="24"/>
          <w:szCs w:val="24"/>
        </w:rPr>
        <w:t xml:space="preserve">жение ЦНС наблюдалось у 197 </w:t>
      </w:r>
      <w:r w:rsidRPr="00A12E81">
        <w:rPr>
          <w:rFonts w:ascii="Times New Roman" w:hAnsi="Times New Roman" w:cs="Times New Roman"/>
          <w:sz w:val="24"/>
          <w:szCs w:val="24"/>
        </w:rPr>
        <w:t>(41,5%)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E81" w:rsidRPr="00A12E81">
        <w:rPr>
          <w:rFonts w:ascii="Times New Roman" w:hAnsi="Times New Roman" w:cs="Times New Roman"/>
          <w:sz w:val="24"/>
          <w:szCs w:val="24"/>
        </w:rPr>
        <w:t>больных в возрасте 23-51 лет, среди которых было 63 (59,4%) мужчины и 43 (40,6%) женщины</w:t>
      </w:r>
      <w:r w:rsidR="00A12E81">
        <w:rPr>
          <w:rFonts w:ascii="Times New Roman" w:hAnsi="Times New Roman" w:cs="Times New Roman"/>
          <w:sz w:val="24"/>
          <w:szCs w:val="24"/>
        </w:rPr>
        <w:t>.</w:t>
      </w:r>
      <w:r w:rsidR="00A12E81" w:rsidRPr="00A12E81">
        <w:rPr>
          <w:rFonts w:ascii="Times New Roman" w:hAnsi="Times New Roman" w:cs="Times New Roman"/>
          <w:sz w:val="24"/>
          <w:szCs w:val="24"/>
        </w:rPr>
        <w:t xml:space="preserve"> </w:t>
      </w:r>
      <w:r w:rsidR="00A12E81">
        <w:rPr>
          <w:rFonts w:ascii="Times New Roman" w:hAnsi="Times New Roman" w:cs="Times New Roman"/>
          <w:sz w:val="24"/>
          <w:szCs w:val="24"/>
        </w:rPr>
        <w:t xml:space="preserve">Этиологический фактор поражения ЦНС был установлен у 116 (58,9%) ВИЧ-инфицированных больных (рис.1). У </w:t>
      </w:r>
      <w:r w:rsidR="005978D4">
        <w:rPr>
          <w:rFonts w:ascii="Times New Roman" w:hAnsi="Times New Roman" w:cs="Times New Roman"/>
          <w:sz w:val="24"/>
          <w:szCs w:val="24"/>
        </w:rPr>
        <w:t>81 (</w:t>
      </w:r>
      <w:r w:rsidR="00A12E81">
        <w:rPr>
          <w:rFonts w:ascii="Times New Roman" w:hAnsi="Times New Roman" w:cs="Times New Roman"/>
          <w:sz w:val="24"/>
          <w:szCs w:val="24"/>
        </w:rPr>
        <w:t>41,1%</w:t>
      </w:r>
      <w:r w:rsidR="00E97DC6">
        <w:rPr>
          <w:rFonts w:ascii="Times New Roman" w:hAnsi="Times New Roman" w:cs="Times New Roman"/>
          <w:sz w:val="24"/>
          <w:szCs w:val="24"/>
        </w:rPr>
        <w:t>)</w:t>
      </w:r>
      <w:r w:rsidR="00A12E81">
        <w:rPr>
          <w:rFonts w:ascii="Times New Roman" w:hAnsi="Times New Roman" w:cs="Times New Roman"/>
          <w:sz w:val="24"/>
          <w:szCs w:val="24"/>
        </w:rPr>
        <w:t xml:space="preserve"> больных этиология осталась не выясненной.</w:t>
      </w:r>
    </w:p>
    <w:p w:rsidR="00A12E81" w:rsidRPr="0071053E" w:rsidRDefault="00573FDF" w:rsidP="00A12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задачами </w:t>
      </w:r>
      <w:r w:rsidR="00A12E81">
        <w:rPr>
          <w:rFonts w:ascii="Times New Roman" w:hAnsi="Times New Roman" w:cs="Times New Roman"/>
          <w:sz w:val="24"/>
          <w:szCs w:val="24"/>
        </w:rPr>
        <w:t>исследования</w:t>
      </w:r>
      <w:r w:rsidR="00A12E81" w:rsidRPr="0071053E">
        <w:rPr>
          <w:rFonts w:ascii="Times New Roman" w:hAnsi="Times New Roman" w:cs="Times New Roman"/>
          <w:sz w:val="24"/>
          <w:szCs w:val="24"/>
        </w:rPr>
        <w:t xml:space="preserve"> были </w:t>
      </w:r>
      <w:r w:rsidR="006A4DCE">
        <w:rPr>
          <w:rFonts w:ascii="Times New Roman" w:hAnsi="Times New Roman" w:cs="Times New Roman"/>
          <w:sz w:val="24"/>
          <w:szCs w:val="24"/>
        </w:rPr>
        <w:t>выделены три</w:t>
      </w:r>
      <w:r w:rsidR="00A12E8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6A4DCE">
        <w:rPr>
          <w:rFonts w:ascii="Times New Roman" w:hAnsi="Times New Roman" w:cs="Times New Roman"/>
          <w:sz w:val="24"/>
          <w:szCs w:val="24"/>
        </w:rPr>
        <w:t xml:space="preserve"> больных</w:t>
      </w:r>
      <w:r w:rsidR="00916D68">
        <w:rPr>
          <w:rFonts w:ascii="Times New Roman" w:hAnsi="Times New Roman" w:cs="Times New Roman"/>
          <w:sz w:val="24"/>
          <w:szCs w:val="24"/>
        </w:rPr>
        <w:t>: 1-</w:t>
      </w:r>
      <w:r w:rsidR="00A12E81">
        <w:rPr>
          <w:rFonts w:ascii="Times New Roman" w:hAnsi="Times New Roman" w:cs="Times New Roman"/>
          <w:sz w:val="24"/>
          <w:szCs w:val="24"/>
        </w:rPr>
        <w:t xml:space="preserve">ая – </w:t>
      </w:r>
      <w:r w:rsidR="006A4DCE">
        <w:rPr>
          <w:rFonts w:ascii="Times New Roman" w:hAnsi="Times New Roman" w:cs="Times New Roman"/>
          <w:sz w:val="24"/>
          <w:szCs w:val="24"/>
        </w:rPr>
        <w:t>40 (34%) ВИЧ-</w:t>
      </w:r>
      <w:r w:rsidR="00BD71F5">
        <w:rPr>
          <w:rFonts w:ascii="Times New Roman" w:hAnsi="Times New Roman" w:cs="Times New Roman"/>
          <w:sz w:val="24"/>
          <w:szCs w:val="24"/>
        </w:rPr>
        <w:t>инфицированных</w:t>
      </w:r>
      <w:r w:rsidR="006A4DCE">
        <w:rPr>
          <w:rFonts w:ascii="Times New Roman" w:hAnsi="Times New Roman" w:cs="Times New Roman"/>
          <w:sz w:val="24"/>
          <w:szCs w:val="24"/>
        </w:rPr>
        <w:t xml:space="preserve"> бо</w:t>
      </w:r>
      <w:r w:rsidR="00916D68">
        <w:rPr>
          <w:rFonts w:ascii="Times New Roman" w:hAnsi="Times New Roman" w:cs="Times New Roman"/>
          <w:sz w:val="24"/>
          <w:szCs w:val="24"/>
        </w:rPr>
        <w:t>льных с поражением ЦНС ВЭБ; 2-</w:t>
      </w:r>
      <w:r w:rsidR="006A4DCE">
        <w:rPr>
          <w:rFonts w:ascii="Times New Roman" w:hAnsi="Times New Roman" w:cs="Times New Roman"/>
          <w:sz w:val="24"/>
          <w:szCs w:val="24"/>
        </w:rPr>
        <w:t xml:space="preserve">ая ‒ </w:t>
      </w:r>
      <w:r w:rsidR="00A12E81">
        <w:rPr>
          <w:rFonts w:ascii="Times New Roman" w:hAnsi="Times New Roman" w:cs="Times New Roman"/>
          <w:sz w:val="24"/>
          <w:szCs w:val="24"/>
        </w:rPr>
        <w:t>33 (28,4%) ВИЧ-инфицированных больных с токсопл</w:t>
      </w:r>
      <w:r w:rsidR="00916D68">
        <w:rPr>
          <w:rFonts w:ascii="Times New Roman" w:hAnsi="Times New Roman" w:cs="Times New Roman"/>
          <w:sz w:val="24"/>
          <w:szCs w:val="24"/>
        </w:rPr>
        <w:t>азмозным поражением ЦНС и 3-</w:t>
      </w:r>
      <w:r w:rsidR="006A4DCE">
        <w:rPr>
          <w:rFonts w:ascii="Times New Roman" w:hAnsi="Times New Roman" w:cs="Times New Roman"/>
          <w:sz w:val="24"/>
          <w:szCs w:val="24"/>
        </w:rPr>
        <w:t>я</w:t>
      </w:r>
      <w:r w:rsidR="00A12E81">
        <w:rPr>
          <w:rFonts w:ascii="Times New Roman" w:hAnsi="Times New Roman" w:cs="Times New Roman"/>
          <w:sz w:val="24"/>
          <w:szCs w:val="24"/>
        </w:rPr>
        <w:t xml:space="preserve"> – 32 (27,6%) ВИЧ-инфицированных больных с туберкулезным поражением ЦНС.</w:t>
      </w:r>
    </w:p>
    <w:p w:rsidR="00440450" w:rsidRDefault="00440450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детальном опросе больных удалось установить</w:t>
      </w:r>
      <w:r w:rsidR="00FC495B">
        <w:rPr>
          <w:rFonts w:ascii="Times New Roman" w:hAnsi="Times New Roman" w:cs="Times New Roman"/>
          <w:sz w:val="24"/>
          <w:szCs w:val="24"/>
        </w:rPr>
        <w:t>,</w:t>
      </w:r>
      <w:r w:rsidRPr="00440450">
        <w:rPr>
          <w:rFonts w:ascii="Times New Roman" w:hAnsi="Times New Roman" w:cs="Times New Roman"/>
          <w:sz w:val="24"/>
          <w:szCs w:val="24"/>
        </w:rPr>
        <w:t xml:space="preserve"> что большинство больных (57,1%) отмечали в анамнезе употребление инъекционных наркотических веществ,</w:t>
      </w:r>
      <w:r>
        <w:rPr>
          <w:rFonts w:ascii="Times New Roman" w:hAnsi="Times New Roman" w:cs="Times New Roman"/>
          <w:sz w:val="24"/>
          <w:szCs w:val="24"/>
        </w:rPr>
        <w:t xml:space="preserve"> 8,6% больных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сообщали о половом пути</w:t>
      </w:r>
      <w:r w:rsidRPr="00440450">
        <w:rPr>
          <w:rFonts w:ascii="Times New Roman" w:hAnsi="Times New Roman" w:cs="Times New Roman"/>
          <w:sz w:val="24"/>
          <w:szCs w:val="24"/>
        </w:rPr>
        <w:t xml:space="preserve"> инфицирования ВИЧ, в 34,3% путь заражения ВИЧ остался неизвестным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0450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04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0450">
        <w:rPr>
          <w:rFonts w:ascii="Times New Roman" w:hAnsi="Times New Roman" w:cs="Times New Roman"/>
          <w:sz w:val="24"/>
          <w:szCs w:val="24"/>
        </w:rPr>
        <w:t>.</w:t>
      </w:r>
    </w:p>
    <w:p w:rsidR="00DE785D" w:rsidRPr="00D45688" w:rsidRDefault="00DE785D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85D">
        <w:rPr>
          <w:rFonts w:ascii="Times New Roman" w:hAnsi="Times New Roman" w:cs="Times New Roman"/>
          <w:sz w:val="24"/>
          <w:szCs w:val="24"/>
        </w:rPr>
        <w:t xml:space="preserve">Изучая анамнез заболевания было установлено, что во всех группах больных заболевание начиналось </w:t>
      </w:r>
      <w:r w:rsidR="006A51DF">
        <w:rPr>
          <w:rFonts w:ascii="Times New Roman" w:hAnsi="Times New Roman" w:cs="Times New Roman"/>
          <w:sz w:val="24"/>
          <w:szCs w:val="24"/>
        </w:rPr>
        <w:t>постеп</w:t>
      </w:r>
      <w:r w:rsidRPr="00DE785D">
        <w:rPr>
          <w:rFonts w:ascii="Times New Roman" w:hAnsi="Times New Roman" w:cs="Times New Roman"/>
          <w:sz w:val="24"/>
          <w:szCs w:val="24"/>
        </w:rPr>
        <w:t xml:space="preserve">енно, больные поступали в стационар </w:t>
      </w:r>
      <w:r w:rsidR="00A10E42">
        <w:rPr>
          <w:rFonts w:ascii="Times New Roman" w:hAnsi="Times New Roman" w:cs="Times New Roman"/>
          <w:sz w:val="24"/>
          <w:szCs w:val="24"/>
        </w:rPr>
        <w:t>в среднем</w:t>
      </w:r>
      <w:r w:rsidR="002515DC">
        <w:rPr>
          <w:rFonts w:ascii="Times New Roman" w:hAnsi="Times New Roman" w:cs="Times New Roman"/>
          <w:sz w:val="24"/>
          <w:szCs w:val="24"/>
        </w:rPr>
        <w:t xml:space="preserve">: </w:t>
      </w:r>
      <w:r w:rsidR="00947646">
        <w:rPr>
          <w:rFonts w:ascii="Times New Roman" w:hAnsi="Times New Roman" w:cs="Times New Roman"/>
          <w:sz w:val="24"/>
          <w:szCs w:val="24"/>
        </w:rPr>
        <w:t xml:space="preserve">1-я группа - на </w:t>
      </w:r>
      <w:r w:rsidR="00543492">
        <w:rPr>
          <w:rFonts w:ascii="Times New Roman" w:hAnsi="Times New Roman" w:cs="Times New Roman"/>
          <w:sz w:val="24"/>
          <w:szCs w:val="24"/>
        </w:rPr>
        <w:t xml:space="preserve">39 день, 2-я группа – на </w:t>
      </w:r>
      <w:r w:rsidR="00947646">
        <w:rPr>
          <w:rFonts w:ascii="Times New Roman" w:hAnsi="Times New Roman" w:cs="Times New Roman"/>
          <w:sz w:val="24"/>
          <w:szCs w:val="24"/>
        </w:rPr>
        <w:t>8</w:t>
      </w:r>
      <w:r w:rsidR="00543492">
        <w:rPr>
          <w:rFonts w:ascii="Times New Roman" w:hAnsi="Times New Roman" w:cs="Times New Roman"/>
          <w:sz w:val="24"/>
          <w:szCs w:val="24"/>
        </w:rPr>
        <w:t>7 день и 3</w:t>
      </w:r>
      <w:r w:rsidR="00947646">
        <w:rPr>
          <w:rFonts w:ascii="Times New Roman" w:hAnsi="Times New Roman" w:cs="Times New Roman"/>
          <w:sz w:val="24"/>
          <w:szCs w:val="24"/>
        </w:rPr>
        <w:t xml:space="preserve">-я группа - на 53 </w:t>
      </w:r>
      <w:r w:rsidRPr="00DE785D">
        <w:rPr>
          <w:rFonts w:ascii="Times New Roman" w:hAnsi="Times New Roman" w:cs="Times New Roman"/>
          <w:sz w:val="24"/>
          <w:szCs w:val="24"/>
        </w:rPr>
        <w:t>день от начала заболевания. Большинство больных поступало в стациона</w:t>
      </w:r>
      <w:r w:rsidR="00543492">
        <w:rPr>
          <w:rFonts w:ascii="Times New Roman" w:hAnsi="Times New Roman" w:cs="Times New Roman"/>
          <w:sz w:val="24"/>
          <w:szCs w:val="24"/>
        </w:rPr>
        <w:t>р в среднетяжелом состоянии - 60</w:t>
      </w:r>
      <w:r w:rsidRPr="00DE785D">
        <w:rPr>
          <w:rFonts w:ascii="Times New Roman" w:hAnsi="Times New Roman" w:cs="Times New Roman"/>
          <w:sz w:val="24"/>
          <w:szCs w:val="24"/>
        </w:rPr>
        <w:t>% случ</w:t>
      </w:r>
      <w:r w:rsidR="00543492">
        <w:rPr>
          <w:rFonts w:ascii="Times New Roman" w:hAnsi="Times New Roman" w:cs="Times New Roman"/>
          <w:sz w:val="24"/>
          <w:szCs w:val="24"/>
        </w:rPr>
        <w:t>аев. В тяжелом состоянии – 32,4</w:t>
      </w:r>
      <w:r w:rsidRPr="00DE785D">
        <w:rPr>
          <w:rFonts w:ascii="Times New Roman" w:hAnsi="Times New Roman" w:cs="Times New Roman"/>
          <w:sz w:val="24"/>
          <w:szCs w:val="24"/>
        </w:rPr>
        <w:t xml:space="preserve">% </w:t>
      </w:r>
      <w:r w:rsidR="00E413D0">
        <w:rPr>
          <w:rFonts w:ascii="Times New Roman" w:hAnsi="Times New Roman" w:cs="Times New Roman"/>
          <w:sz w:val="24"/>
          <w:szCs w:val="24"/>
        </w:rPr>
        <w:t>больных</w:t>
      </w:r>
      <w:r w:rsidRPr="00DE785D">
        <w:rPr>
          <w:rFonts w:ascii="Times New Roman" w:hAnsi="Times New Roman" w:cs="Times New Roman"/>
          <w:sz w:val="24"/>
          <w:szCs w:val="24"/>
        </w:rPr>
        <w:t xml:space="preserve">. </w:t>
      </w:r>
      <w:r w:rsidR="00543492">
        <w:rPr>
          <w:rFonts w:ascii="Times New Roman" w:hAnsi="Times New Roman" w:cs="Times New Roman"/>
          <w:sz w:val="24"/>
          <w:szCs w:val="24"/>
        </w:rPr>
        <w:t>Нарушение</w:t>
      </w:r>
      <w:r w:rsidRPr="00DE785D">
        <w:rPr>
          <w:rFonts w:ascii="Times New Roman" w:hAnsi="Times New Roman" w:cs="Times New Roman"/>
          <w:sz w:val="24"/>
          <w:szCs w:val="24"/>
        </w:rPr>
        <w:t xml:space="preserve"> с</w:t>
      </w:r>
      <w:r w:rsidR="00E413D0">
        <w:rPr>
          <w:rFonts w:ascii="Times New Roman" w:hAnsi="Times New Roman" w:cs="Times New Roman"/>
          <w:sz w:val="24"/>
          <w:szCs w:val="24"/>
        </w:rPr>
        <w:t xml:space="preserve">ознания </w:t>
      </w:r>
      <w:r w:rsidR="00543492">
        <w:rPr>
          <w:rFonts w:ascii="Times New Roman" w:hAnsi="Times New Roman" w:cs="Times New Roman"/>
          <w:sz w:val="24"/>
          <w:szCs w:val="24"/>
        </w:rPr>
        <w:t>отмечалось у 27,6</w:t>
      </w:r>
      <w:r w:rsidRPr="00DE785D">
        <w:rPr>
          <w:rFonts w:ascii="Times New Roman" w:hAnsi="Times New Roman" w:cs="Times New Roman"/>
          <w:sz w:val="24"/>
          <w:szCs w:val="24"/>
        </w:rPr>
        <w:t xml:space="preserve">% </w:t>
      </w:r>
      <w:r w:rsidR="00543492">
        <w:rPr>
          <w:rFonts w:ascii="Times New Roman" w:hAnsi="Times New Roman" w:cs="Times New Roman"/>
          <w:sz w:val="24"/>
          <w:szCs w:val="24"/>
        </w:rPr>
        <w:t>больных</w:t>
      </w:r>
      <w:r w:rsidRPr="00DE785D">
        <w:rPr>
          <w:rFonts w:ascii="Times New Roman" w:hAnsi="Times New Roman" w:cs="Times New Roman"/>
          <w:sz w:val="24"/>
          <w:szCs w:val="24"/>
        </w:rPr>
        <w:t>. Тяжесть заболевания была обусловлена степень</w:t>
      </w:r>
      <w:r w:rsidR="00E413D0">
        <w:rPr>
          <w:rFonts w:ascii="Times New Roman" w:hAnsi="Times New Roman" w:cs="Times New Roman"/>
          <w:sz w:val="24"/>
          <w:szCs w:val="24"/>
        </w:rPr>
        <w:t>ю интоксикации и иммунодефицита</w:t>
      </w:r>
      <w:r w:rsidRPr="00DE785D">
        <w:rPr>
          <w:rFonts w:ascii="Times New Roman" w:hAnsi="Times New Roman" w:cs="Times New Roman"/>
          <w:sz w:val="24"/>
          <w:szCs w:val="24"/>
        </w:rPr>
        <w:t>, а также выраженностью неврологической симп</w:t>
      </w:r>
      <w:r w:rsidR="00E413D0">
        <w:rPr>
          <w:rFonts w:ascii="Times New Roman" w:hAnsi="Times New Roman" w:cs="Times New Roman"/>
          <w:sz w:val="24"/>
          <w:szCs w:val="24"/>
        </w:rPr>
        <w:t xml:space="preserve">томатики и развитием </w:t>
      </w:r>
      <w:r w:rsidR="005F3644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E413D0">
        <w:rPr>
          <w:rFonts w:ascii="Times New Roman" w:hAnsi="Times New Roman" w:cs="Times New Roman"/>
          <w:sz w:val="24"/>
          <w:szCs w:val="24"/>
        </w:rPr>
        <w:t>осложнения, как отек-набухание головного мозга</w:t>
      </w:r>
      <w:r w:rsidR="005F3644">
        <w:rPr>
          <w:rFonts w:ascii="Times New Roman" w:hAnsi="Times New Roman" w:cs="Times New Roman"/>
          <w:sz w:val="24"/>
          <w:szCs w:val="24"/>
        </w:rPr>
        <w:t xml:space="preserve">, </w:t>
      </w:r>
      <w:r w:rsidR="005F3644" w:rsidRPr="00DE785D">
        <w:rPr>
          <w:rFonts w:ascii="Times New Roman" w:hAnsi="Times New Roman" w:cs="Times New Roman"/>
          <w:sz w:val="24"/>
          <w:szCs w:val="24"/>
        </w:rPr>
        <w:t>который и был непосредственной причиной смерти</w:t>
      </w:r>
      <w:r w:rsidRPr="00DE785D">
        <w:rPr>
          <w:rFonts w:ascii="Times New Roman" w:hAnsi="Times New Roman" w:cs="Times New Roman"/>
          <w:sz w:val="24"/>
          <w:szCs w:val="24"/>
        </w:rPr>
        <w:t xml:space="preserve">. </w:t>
      </w:r>
      <w:r w:rsidR="00D45688">
        <w:rPr>
          <w:rFonts w:ascii="Times New Roman" w:hAnsi="Times New Roman" w:cs="Times New Roman"/>
          <w:sz w:val="24"/>
          <w:szCs w:val="24"/>
        </w:rPr>
        <w:t>В</w:t>
      </w:r>
      <w:r w:rsidR="005F3644" w:rsidRPr="00DE785D">
        <w:rPr>
          <w:rFonts w:ascii="Times New Roman" w:hAnsi="Times New Roman" w:cs="Times New Roman"/>
          <w:sz w:val="24"/>
          <w:szCs w:val="24"/>
        </w:rPr>
        <w:t xml:space="preserve"> </w:t>
      </w:r>
      <w:r w:rsidR="00D45688">
        <w:rPr>
          <w:rFonts w:ascii="Times New Roman" w:hAnsi="Times New Roman" w:cs="Times New Roman"/>
          <w:sz w:val="24"/>
          <w:szCs w:val="24"/>
        </w:rPr>
        <w:t>3-е</w:t>
      </w:r>
      <w:r w:rsidR="005F3644">
        <w:rPr>
          <w:rFonts w:ascii="Times New Roman" w:hAnsi="Times New Roman" w:cs="Times New Roman"/>
          <w:sz w:val="24"/>
          <w:szCs w:val="24"/>
        </w:rPr>
        <w:t xml:space="preserve">й группе </w:t>
      </w:r>
      <w:r w:rsidR="002B706E">
        <w:rPr>
          <w:rFonts w:ascii="Times New Roman" w:hAnsi="Times New Roman" w:cs="Times New Roman"/>
          <w:sz w:val="24"/>
          <w:szCs w:val="24"/>
        </w:rPr>
        <w:t xml:space="preserve">смертность была наиболее высокой - </w:t>
      </w:r>
      <w:r w:rsidR="005F3644">
        <w:rPr>
          <w:rFonts w:ascii="Times New Roman" w:hAnsi="Times New Roman" w:cs="Times New Roman"/>
          <w:sz w:val="24"/>
          <w:szCs w:val="24"/>
        </w:rPr>
        <w:t>59</w:t>
      </w:r>
      <w:r w:rsidR="005F3644" w:rsidRPr="00DE785D">
        <w:rPr>
          <w:rFonts w:ascii="Times New Roman" w:hAnsi="Times New Roman" w:cs="Times New Roman"/>
          <w:sz w:val="24"/>
          <w:szCs w:val="24"/>
        </w:rPr>
        <w:t xml:space="preserve">% </w:t>
      </w:r>
      <w:r w:rsidR="00D45688">
        <w:rPr>
          <w:rFonts w:ascii="Times New Roman" w:hAnsi="Times New Roman" w:cs="Times New Roman"/>
          <w:sz w:val="24"/>
          <w:szCs w:val="24"/>
        </w:rPr>
        <w:t>летальных случаев, в</w:t>
      </w:r>
      <w:r w:rsidR="005F3644" w:rsidRPr="00DE785D">
        <w:rPr>
          <w:rFonts w:ascii="Times New Roman" w:hAnsi="Times New Roman" w:cs="Times New Roman"/>
          <w:sz w:val="24"/>
          <w:szCs w:val="24"/>
        </w:rPr>
        <w:t xml:space="preserve"> </w:t>
      </w:r>
      <w:r w:rsidR="00D45688">
        <w:rPr>
          <w:rFonts w:ascii="Times New Roman" w:hAnsi="Times New Roman" w:cs="Times New Roman"/>
          <w:sz w:val="24"/>
          <w:szCs w:val="24"/>
        </w:rPr>
        <w:t>1-</w:t>
      </w:r>
      <w:r w:rsidR="005F3644" w:rsidRPr="00DE785D">
        <w:rPr>
          <w:rFonts w:ascii="Times New Roman" w:hAnsi="Times New Roman" w:cs="Times New Roman"/>
          <w:sz w:val="24"/>
          <w:szCs w:val="24"/>
        </w:rPr>
        <w:t>ой групп</w:t>
      </w:r>
      <w:r w:rsidR="005F3644">
        <w:rPr>
          <w:rFonts w:ascii="Times New Roman" w:hAnsi="Times New Roman" w:cs="Times New Roman"/>
          <w:sz w:val="24"/>
          <w:szCs w:val="24"/>
        </w:rPr>
        <w:t>е</w:t>
      </w:r>
      <w:r w:rsidR="005F3644" w:rsidRPr="00DE785D">
        <w:rPr>
          <w:rFonts w:ascii="Times New Roman" w:hAnsi="Times New Roman" w:cs="Times New Roman"/>
          <w:sz w:val="24"/>
          <w:szCs w:val="24"/>
        </w:rPr>
        <w:t xml:space="preserve"> </w:t>
      </w:r>
      <w:r w:rsidR="00D45688">
        <w:rPr>
          <w:rFonts w:ascii="Times New Roman" w:hAnsi="Times New Roman" w:cs="Times New Roman"/>
          <w:sz w:val="24"/>
          <w:szCs w:val="24"/>
        </w:rPr>
        <w:t xml:space="preserve">- </w:t>
      </w:r>
      <w:r w:rsidR="005F3644">
        <w:rPr>
          <w:rFonts w:ascii="Times New Roman" w:hAnsi="Times New Roman" w:cs="Times New Roman"/>
          <w:sz w:val="24"/>
          <w:szCs w:val="24"/>
        </w:rPr>
        <w:t>18,2</w:t>
      </w:r>
      <w:r w:rsidR="005F3644" w:rsidRPr="00DE785D">
        <w:rPr>
          <w:rFonts w:ascii="Times New Roman" w:hAnsi="Times New Roman" w:cs="Times New Roman"/>
          <w:sz w:val="24"/>
          <w:szCs w:val="24"/>
        </w:rPr>
        <w:t xml:space="preserve">% </w:t>
      </w:r>
      <w:r w:rsidR="00D45688">
        <w:rPr>
          <w:rFonts w:ascii="Times New Roman" w:hAnsi="Times New Roman" w:cs="Times New Roman"/>
          <w:sz w:val="24"/>
          <w:szCs w:val="24"/>
        </w:rPr>
        <w:t xml:space="preserve">летальных </w:t>
      </w:r>
      <w:r w:rsidR="005F3644" w:rsidRPr="00DE785D">
        <w:rPr>
          <w:rFonts w:ascii="Times New Roman" w:hAnsi="Times New Roman" w:cs="Times New Roman"/>
          <w:sz w:val="24"/>
          <w:szCs w:val="24"/>
        </w:rPr>
        <w:t>случаев</w:t>
      </w:r>
      <w:r w:rsidR="00D45688">
        <w:rPr>
          <w:rFonts w:ascii="Times New Roman" w:hAnsi="Times New Roman" w:cs="Times New Roman"/>
          <w:sz w:val="24"/>
          <w:szCs w:val="24"/>
        </w:rPr>
        <w:t xml:space="preserve"> и во 2-ой группе – 18,2% летальных случаев</w:t>
      </w:r>
      <w:r w:rsidR="005F3644" w:rsidRPr="00DE785D">
        <w:rPr>
          <w:rFonts w:ascii="Times New Roman" w:hAnsi="Times New Roman" w:cs="Times New Roman"/>
          <w:sz w:val="24"/>
          <w:szCs w:val="24"/>
        </w:rPr>
        <w:t>.</w:t>
      </w:r>
      <w:r w:rsidR="005F3644" w:rsidRPr="00DE785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="00D45688">
        <w:rPr>
          <w:rFonts w:ascii="Times New Roman" w:hAnsi="Times New Roman" w:cs="Times New Roman"/>
          <w:sz w:val="24"/>
          <w:szCs w:val="24"/>
        </w:rPr>
        <w:t>У больных 2</w:t>
      </w:r>
      <w:r w:rsidR="00E413D0">
        <w:rPr>
          <w:rFonts w:ascii="Times New Roman" w:hAnsi="Times New Roman" w:cs="Times New Roman"/>
          <w:sz w:val="24"/>
          <w:szCs w:val="24"/>
        </w:rPr>
        <w:t>-ой группы з</w:t>
      </w:r>
      <w:r w:rsidR="00D45688">
        <w:rPr>
          <w:rFonts w:ascii="Times New Roman" w:hAnsi="Times New Roman" w:cs="Times New Roman"/>
          <w:sz w:val="24"/>
          <w:szCs w:val="24"/>
        </w:rPr>
        <w:t xml:space="preserve">аболевание </w:t>
      </w:r>
      <w:r w:rsidRPr="00DE785D">
        <w:rPr>
          <w:rFonts w:ascii="Times New Roman" w:hAnsi="Times New Roman" w:cs="Times New Roman"/>
          <w:sz w:val="24"/>
          <w:szCs w:val="24"/>
        </w:rPr>
        <w:t xml:space="preserve">протекало </w:t>
      </w:r>
      <w:r w:rsidR="00D45688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DE785D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E413D0">
        <w:rPr>
          <w:rFonts w:ascii="Times New Roman" w:hAnsi="Times New Roman" w:cs="Times New Roman"/>
          <w:sz w:val="24"/>
          <w:szCs w:val="24"/>
        </w:rPr>
        <w:t>энцефал</w:t>
      </w:r>
      <w:r w:rsidR="00D45688">
        <w:rPr>
          <w:rFonts w:ascii="Times New Roman" w:hAnsi="Times New Roman" w:cs="Times New Roman"/>
          <w:sz w:val="24"/>
          <w:szCs w:val="24"/>
        </w:rPr>
        <w:t xml:space="preserve">ита (64% случаев), а у больных </w:t>
      </w:r>
      <w:r w:rsidR="00D456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413D0">
        <w:rPr>
          <w:rFonts w:ascii="Times New Roman" w:hAnsi="Times New Roman" w:cs="Times New Roman"/>
          <w:sz w:val="24"/>
          <w:szCs w:val="24"/>
        </w:rPr>
        <w:t xml:space="preserve">-ой </w:t>
      </w:r>
      <w:r w:rsidR="00D45688">
        <w:rPr>
          <w:rFonts w:ascii="Times New Roman" w:hAnsi="Times New Roman" w:cs="Times New Roman"/>
          <w:sz w:val="24"/>
          <w:szCs w:val="24"/>
          <w:lang w:val="uk-UA"/>
        </w:rPr>
        <w:t xml:space="preserve">и 3-ей </w:t>
      </w:r>
      <w:r w:rsidR="00E413D0">
        <w:rPr>
          <w:rFonts w:ascii="Times New Roman" w:hAnsi="Times New Roman" w:cs="Times New Roman"/>
          <w:sz w:val="24"/>
          <w:szCs w:val="24"/>
        </w:rPr>
        <w:t xml:space="preserve">групп в виде </w:t>
      </w:r>
      <w:r w:rsidR="005854F6">
        <w:rPr>
          <w:rFonts w:ascii="Times New Roman" w:hAnsi="Times New Roman" w:cs="Times New Roman"/>
          <w:sz w:val="24"/>
          <w:szCs w:val="24"/>
        </w:rPr>
        <w:t>менингита (</w:t>
      </w:r>
      <w:r w:rsidRPr="00DE785D">
        <w:rPr>
          <w:rFonts w:ascii="Times New Roman" w:hAnsi="Times New Roman" w:cs="Times New Roman"/>
          <w:sz w:val="24"/>
          <w:szCs w:val="24"/>
        </w:rPr>
        <w:t>менингоэнцефалита</w:t>
      </w:r>
      <w:r w:rsidR="005854F6">
        <w:rPr>
          <w:rFonts w:ascii="Times New Roman" w:hAnsi="Times New Roman" w:cs="Times New Roman"/>
          <w:sz w:val="24"/>
          <w:szCs w:val="24"/>
        </w:rPr>
        <w:t>) -</w:t>
      </w:r>
      <w:r w:rsidR="00E413D0">
        <w:rPr>
          <w:rFonts w:ascii="Times New Roman" w:hAnsi="Times New Roman" w:cs="Times New Roman"/>
          <w:sz w:val="24"/>
          <w:szCs w:val="24"/>
        </w:rPr>
        <w:t xml:space="preserve"> </w:t>
      </w:r>
      <w:r w:rsidR="00D45688">
        <w:rPr>
          <w:rFonts w:ascii="Times New Roman" w:hAnsi="Times New Roman" w:cs="Times New Roman"/>
          <w:sz w:val="24"/>
          <w:szCs w:val="24"/>
          <w:lang w:val="uk-UA"/>
        </w:rPr>
        <w:t xml:space="preserve">72% и </w:t>
      </w:r>
      <w:r w:rsidRPr="00DE785D">
        <w:rPr>
          <w:rFonts w:ascii="Times New Roman" w:hAnsi="Times New Roman" w:cs="Times New Roman"/>
          <w:sz w:val="24"/>
          <w:szCs w:val="24"/>
        </w:rPr>
        <w:t>47% случаев</w:t>
      </w:r>
      <w:r w:rsidR="00D456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688" w:rsidRPr="002B706E">
        <w:rPr>
          <w:rFonts w:ascii="Times New Roman" w:hAnsi="Times New Roman" w:cs="Times New Roman"/>
          <w:sz w:val="24"/>
          <w:szCs w:val="24"/>
        </w:rPr>
        <w:t>соответственно</w:t>
      </w:r>
      <w:r w:rsidR="00D456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51DF" w:rsidRPr="006A51DF" w:rsidRDefault="00956F26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56F26">
        <w:rPr>
          <w:rFonts w:ascii="Times New Roman" w:hAnsi="Times New Roman" w:cs="Times New Roman"/>
          <w:sz w:val="24"/>
          <w:szCs w:val="24"/>
        </w:rPr>
        <w:t>ольные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групп предъявляли </w:t>
      </w:r>
      <w:r w:rsidR="006A51DF" w:rsidRPr="006A51DF">
        <w:rPr>
          <w:rFonts w:ascii="Times New Roman" w:hAnsi="Times New Roman" w:cs="Times New Roman"/>
          <w:sz w:val="24"/>
          <w:szCs w:val="24"/>
        </w:rPr>
        <w:t>жало</w:t>
      </w:r>
      <w:r>
        <w:rPr>
          <w:rFonts w:ascii="Times New Roman" w:hAnsi="Times New Roman" w:cs="Times New Roman"/>
          <w:sz w:val="24"/>
          <w:szCs w:val="24"/>
        </w:rPr>
        <w:t>бы на общую слабость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88% случаев</w:t>
      </w:r>
      <w:r w:rsidR="005854F6">
        <w:rPr>
          <w:rFonts w:ascii="Times New Roman" w:hAnsi="Times New Roman" w:cs="Times New Roman"/>
          <w:sz w:val="24"/>
          <w:szCs w:val="24"/>
        </w:rPr>
        <w:t>;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5854F6">
        <w:rPr>
          <w:rFonts w:ascii="Times New Roman" w:hAnsi="Times New Roman" w:cs="Times New Roman"/>
          <w:sz w:val="24"/>
          <w:szCs w:val="24"/>
        </w:rPr>
        <w:t>г</w:t>
      </w:r>
      <w:r w:rsidR="006A51DF" w:rsidRPr="006A51DF">
        <w:rPr>
          <w:rFonts w:ascii="Times New Roman" w:hAnsi="Times New Roman" w:cs="Times New Roman"/>
          <w:sz w:val="24"/>
          <w:szCs w:val="24"/>
        </w:rPr>
        <w:t>оловн</w:t>
      </w:r>
      <w:r w:rsidR="005854F6">
        <w:rPr>
          <w:rFonts w:ascii="Times New Roman" w:hAnsi="Times New Roman" w:cs="Times New Roman"/>
          <w:sz w:val="24"/>
          <w:szCs w:val="24"/>
        </w:rPr>
        <w:t>ую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боль</w:t>
      </w:r>
      <w:r w:rsidR="005854F6">
        <w:rPr>
          <w:rFonts w:ascii="Times New Roman" w:hAnsi="Times New Roman" w:cs="Times New Roman"/>
          <w:sz w:val="24"/>
          <w:szCs w:val="24"/>
        </w:rPr>
        <w:t xml:space="preserve"> (до 87,5%)</w:t>
      </w:r>
      <w:r w:rsidR="006A51DF" w:rsidRPr="006A51DF">
        <w:rPr>
          <w:rFonts w:ascii="Times New Roman" w:hAnsi="Times New Roman" w:cs="Times New Roman"/>
          <w:sz w:val="24"/>
          <w:szCs w:val="24"/>
        </w:rPr>
        <w:t>, котор</w:t>
      </w:r>
      <w:r w:rsidR="00574C4F">
        <w:rPr>
          <w:rFonts w:ascii="Times New Roman" w:hAnsi="Times New Roman" w:cs="Times New Roman"/>
          <w:sz w:val="24"/>
          <w:szCs w:val="24"/>
        </w:rPr>
        <w:t>ая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5854F6" w:rsidRPr="006A51DF">
        <w:rPr>
          <w:rFonts w:ascii="Times New Roman" w:hAnsi="Times New Roman" w:cs="Times New Roman"/>
          <w:sz w:val="24"/>
          <w:szCs w:val="24"/>
        </w:rPr>
        <w:t xml:space="preserve">чаще </w:t>
      </w:r>
      <w:r w:rsidR="006A51DF" w:rsidRPr="006A51DF">
        <w:rPr>
          <w:rFonts w:ascii="Times New Roman" w:hAnsi="Times New Roman" w:cs="Times New Roman"/>
          <w:sz w:val="24"/>
          <w:szCs w:val="24"/>
        </w:rPr>
        <w:t>был</w:t>
      </w:r>
      <w:r w:rsidR="00574C4F">
        <w:rPr>
          <w:rFonts w:ascii="Times New Roman" w:hAnsi="Times New Roman" w:cs="Times New Roman"/>
          <w:sz w:val="24"/>
          <w:szCs w:val="24"/>
        </w:rPr>
        <w:t>а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диффузн</w:t>
      </w:r>
      <w:r w:rsidR="00574C4F">
        <w:rPr>
          <w:rFonts w:ascii="Times New Roman" w:hAnsi="Times New Roman" w:cs="Times New Roman"/>
          <w:sz w:val="24"/>
          <w:szCs w:val="24"/>
        </w:rPr>
        <w:t>ой</w:t>
      </w:r>
      <w:r w:rsidR="005F3644">
        <w:rPr>
          <w:rFonts w:ascii="Times New Roman" w:hAnsi="Times New Roman" w:cs="Times New Roman"/>
          <w:sz w:val="24"/>
          <w:szCs w:val="24"/>
        </w:rPr>
        <w:t xml:space="preserve"> и усиливал</w:t>
      </w:r>
      <w:r w:rsidR="00574C4F">
        <w:rPr>
          <w:rFonts w:ascii="Times New Roman" w:hAnsi="Times New Roman" w:cs="Times New Roman"/>
          <w:sz w:val="24"/>
          <w:szCs w:val="24"/>
        </w:rPr>
        <w:t>а</w:t>
      </w:r>
      <w:r w:rsidR="005F3644">
        <w:rPr>
          <w:rFonts w:ascii="Times New Roman" w:hAnsi="Times New Roman" w:cs="Times New Roman"/>
          <w:sz w:val="24"/>
          <w:szCs w:val="24"/>
        </w:rPr>
        <w:t>с</w:t>
      </w:r>
      <w:r w:rsidR="00574C4F">
        <w:rPr>
          <w:rFonts w:ascii="Times New Roman" w:hAnsi="Times New Roman" w:cs="Times New Roman"/>
          <w:sz w:val="24"/>
          <w:szCs w:val="24"/>
        </w:rPr>
        <w:t>ь</w:t>
      </w:r>
      <w:r w:rsidR="005F3644">
        <w:rPr>
          <w:rFonts w:ascii="Times New Roman" w:hAnsi="Times New Roman" w:cs="Times New Roman"/>
          <w:sz w:val="24"/>
          <w:szCs w:val="24"/>
        </w:rPr>
        <w:t xml:space="preserve"> в вечернее время</w:t>
      </w:r>
      <w:r w:rsidR="005854F6">
        <w:rPr>
          <w:rFonts w:ascii="Times New Roman" w:hAnsi="Times New Roman" w:cs="Times New Roman"/>
          <w:sz w:val="24"/>
          <w:szCs w:val="24"/>
        </w:rPr>
        <w:t>.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Интенсивность головной боли была неоднородной в различных группах. Так наиболее интенсивная головная боль </w:t>
      </w:r>
      <w:r w:rsidR="005F3644">
        <w:rPr>
          <w:rFonts w:ascii="Times New Roman" w:hAnsi="Times New Roman" w:cs="Times New Roman"/>
          <w:sz w:val="24"/>
          <w:szCs w:val="24"/>
        </w:rPr>
        <w:t xml:space="preserve">отмечалась у больных </w:t>
      </w:r>
      <w:r w:rsidR="005854F6">
        <w:rPr>
          <w:rFonts w:ascii="Times New Roman" w:hAnsi="Times New Roman" w:cs="Times New Roman"/>
          <w:sz w:val="24"/>
          <w:szCs w:val="24"/>
        </w:rPr>
        <w:t xml:space="preserve">1-ой и </w:t>
      </w:r>
      <w:r w:rsidR="000A116B">
        <w:rPr>
          <w:rFonts w:ascii="Times New Roman" w:hAnsi="Times New Roman" w:cs="Times New Roman"/>
          <w:sz w:val="24"/>
          <w:szCs w:val="24"/>
        </w:rPr>
        <w:t>3</w:t>
      </w:r>
      <w:r w:rsidR="00A32118">
        <w:rPr>
          <w:rFonts w:ascii="Times New Roman" w:hAnsi="Times New Roman" w:cs="Times New Roman"/>
          <w:sz w:val="24"/>
          <w:szCs w:val="24"/>
        </w:rPr>
        <w:t>-</w:t>
      </w:r>
      <w:r w:rsidR="005854F6">
        <w:rPr>
          <w:rFonts w:ascii="Times New Roman" w:hAnsi="Times New Roman" w:cs="Times New Roman"/>
          <w:sz w:val="24"/>
          <w:szCs w:val="24"/>
        </w:rPr>
        <w:t>ей</w:t>
      </w:r>
      <w:r w:rsidR="00A3211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854F6">
        <w:rPr>
          <w:rFonts w:ascii="Times New Roman" w:hAnsi="Times New Roman" w:cs="Times New Roman"/>
          <w:sz w:val="24"/>
          <w:szCs w:val="24"/>
        </w:rPr>
        <w:t>,</w:t>
      </w:r>
      <w:r w:rsidR="005F3644">
        <w:rPr>
          <w:rFonts w:ascii="Times New Roman" w:hAnsi="Times New Roman" w:cs="Times New Roman"/>
          <w:sz w:val="24"/>
          <w:szCs w:val="24"/>
        </w:rPr>
        <w:t xml:space="preserve"> </w:t>
      </w:r>
      <w:r w:rsidR="006A51DF" w:rsidRPr="006A51DF">
        <w:rPr>
          <w:rFonts w:ascii="Times New Roman" w:hAnsi="Times New Roman" w:cs="Times New Roman"/>
          <w:sz w:val="24"/>
          <w:szCs w:val="24"/>
        </w:rPr>
        <w:t>сопровожда</w:t>
      </w:r>
      <w:r w:rsidR="005F3644">
        <w:rPr>
          <w:rFonts w:ascii="Times New Roman" w:hAnsi="Times New Roman" w:cs="Times New Roman"/>
          <w:sz w:val="24"/>
          <w:szCs w:val="24"/>
        </w:rPr>
        <w:t>лась</w:t>
      </w:r>
      <w:r w:rsidR="005854F6">
        <w:rPr>
          <w:rFonts w:ascii="Times New Roman" w:hAnsi="Times New Roman" w:cs="Times New Roman"/>
          <w:sz w:val="24"/>
          <w:szCs w:val="24"/>
        </w:rPr>
        <w:t xml:space="preserve"> тошнотой до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37,5</w:t>
      </w:r>
      <w:r w:rsidR="005F3644">
        <w:rPr>
          <w:rFonts w:ascii="Times New Roman" w:hAnsi="Times New Roman" w:cs="Times New Roman"/>
          <w:sz w:val="24"/>
          <w:szCs w:val="24"/>
        </w:rPr>
        <w:t>% (р</w:t>
      </w:r>
      <w:r w:rsidR="006A51DF" w:rsidRPr="006A51DF">
        <w:rPr>
          <w:rFonts w:ascii="Times New Roman" w:hAnsi="Times New Roman" w:cs="Times New Roman"/>
          <w:sz w:val="24"/>
          <w:szCs w:val="24"/>
        </w:rPr>
        <w:t>&lt;0,05</w:t>
      </w:r>
      <w:r w:rsidR="005F3644">
        <w:rPr>
          <w:rFonts w:ascii="Times New Roman" w:hAnsi="Times New Roman" w:cs="Times New Roman"/>
          <w:sz w:val="24"/>
          <w:szCs w:val="24"/>
        </w:rPr>
        <w:t>) и рвотой</w:t>
      </w:r>
      <w:r w:rsidR="005854F6">
        <w:rPr>
          <w:rFonts w:ascii="Times New Roman" w:hAnsi="Times New Roman" w:cs="Times New Roman"/>
          <w:sz w:val="24"/>
          <w:szCs w:val="24"/>
        </w:rPr>
        <w:t xml:space="preserve"> - до</w:t>
      </w:r>
      <w:r w:rsidR="005F3644">
        <w:rPr>
          <w:rFonts w:ascii="Times New Roman" w:hAnsi="Times New Roman" w:cs="Times New Roman"/>
          <w:sz w:val="24"/>
          <w:szCs w:val="24"/>
        </w:rPr>
        <w:t xml:space="preserve"> 43,8% (</w:t>
      </w:r>
      <w:r w:rsidR="006A51DF" w:rsidRPr="006A51DF">
        <w:rPr>
          <w:rFonts w:ascii="Times New Roman" w:hAnsi="Times New Roman" w:cs="Times New Roman"/>
          <w:sz w:val="24"/>
          <w:szCs w:val="24"/>
        </w:rPr>
        <w:t>р&lt;0,05) случаев</w:t>
      </w:r>
      <w:r w:rsidR="005854F6">
        <w:rPr>
          <w:rFonts w:ascii="Times New Roman" w:hAnsi="Times New Roman" w:cs="Times New Roman"/>
          <w:sz w:val="24"/>
          <w:szCs w:val="24"/>
        </w:rPr>
        <w:t>.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Головокружение </w:t>
      </w:r>
      <w:r w:rsidR="00A32118">
        <w:rPr>
          <w:rFonts w:ascii="Times New Roman" w:hAnsi="Times New Roman" w:cs="Times New Roman"/>
          <w:sz w:val="24"/>
          <w:szCs w:val="24"/>
        </w:rPr>
        <w:t>отмечалось чаще у больных 1-</w:t>
      </w:r>
      <w:r w:rsidR="006A51DF" w:rsidRPr="006A51DF">
        <w:rPr>
          <w:rFonts w:ascii="Times New Roman" w:hAnsi="Times New Roman" w:cs="Times New Roman"/>
          <w:sz w:val="24"/>
          <w:szCs w:val="24"/>
        </w:rPr>
        <w:t>ой группы</w:t>
      </w:r>
      <w:r w:rsidR="00A32118">
        <w:rPr>
          <w:rFonts w:ascii="Times New Roman" w:hAnsi="Times New Roman" w:cs="Times New Roman"/>
          <w:sz w:val="24"/>
          <w:szCs w:val="24"/>
        </w:rPr>
        <w:t xml:space="preserve"> - 75,8% случаев (</w:t>
      </w:r>
      <w:r w:rsidR="006A51DF" w:rsidRPr="006A51DF">
        <w:rPr>
          <w:rFonts w:ascii="Times New Roman" w:hAnsi="Times New Roman" w:cs="Times New Roman"/>
          <w:sz w:val="24"/>
          <w:szCs w:val="24"/>
        </w:rPr>
        <w:t>р&lt;0,05</w:t>
      </w:r>
      <w:r w:rsidR="00A32118">
        <w:rPr>
          <w:rFonts w:ascii="Times New Roman" w:hAnsi="Times New Roman" w:cs="Times New Roman"/>
          <w:sz w:val="24"/>
          <w:szCs w:val="24"/>
        </w:rPr>
        <w:t>), чем у больных 2-о</w:t>
      </w:r>
      <w:r w:rsidR="006A51DF" w:rsidRPr="006A51DF">
        <w:rPr>
          <w:rFonts w:ascii="Times New Roman" w:hAnsi="Times New Roman" w:cs="Times New Roman"/>
          <w:sz w:val="24"/>
          <w:szCs w:val="24"/>
        </w:rPr>
        <w:t>й групп</w:t>
      </w:r>
      <w:r w:rsidR="00A32118">
        <w:rPr>
          <w:rFonts w:ascii="Times New Roman" w:hAnsi="Times New Roman" w:cs="Times New Roman"/>
          <w:sz w:val="24"/>
          <w:szCs w:val="24"/>
        </w:rPr>
        <w:t>ы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- </w:t>
      </w:r>
      <w:r w:rsidR="00A32118">
        <w:rPr>
          <w:rFonts w:ascii="Times New Roman" w:hAnsi="Times New Roman" w:cs="Times New Roman"/>
          <w:sz w:val="24"/>
          <w:szCs w:val="24"/>
        </w:rPr>
        <w:t>43,75</w:t>
      </w:r>
      <w:r w:rsidR="006A51DF" w:rsidRPr="006A51DF">
        <w:rPr>
          <w:rFonts w:ascii="Times New Roman" w:hAnsi="Times New Roman" w:cs="Times New Roman"/>
          <w:sz w:val="24"/>
          <w:szCs w:val="24"/>
        </w:rPr>
        <w:t>%.</w:t>
      </w:r>
    </w:p>
    <w:p w:rsidR="006A51DF" w:rsidRPr="006A51DF" w:rsidRDefault="006A51DF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DF">
        <w:rPr>
          <w:rFonts w:ascii="Times New Roman" w:hAnsi="Times New Roman" w:cs="Times New Roman"/>
          <w:sz w:val="24"/>
          <w:szCs w:val="24"/>
        </w:rPr>
        <w:t xml:space="preserve">Выраженность интоксикационного синдрома, </w:t>
      </w:r>
      <w:r w:rsidR="00A32118">
        <w:rPr>
          <w:rFonts w:ascii="Times New Roman" w:hAnsi="Times New Roman" w:cs="Times New Roman"/>
          <w:sz w:val="24"/>
          <w:szCs w:val="24"/>
        </w:rPr>
        <w:t>проявляющего</w:t>
      </w:r>
      <w:r w:rsidRPr="006A51DF">
        <w:rPr>
          <w:rFonts w:ascii="Times New Roman" w:hAnsi="Times New Roman" w:cs="Times New Roman"/>
          <w:sz w:val="24"/>
          <w:szCs w:val="24"/>
        </w:rPr>
        <w:t xml:space="preserve">ся в повышении температуры </w:t>
      </w:r>
      <w:r w:rsidR="00A32118">
        <w:rPr>
          <w:rFonts w:ascii="Times New Roman" w:hAnsi="Times New Roman" w:cs="Times New Roman"/>
          <w:sz w:val="24"/>
          <w:szCs w:val="24"/>
        </w:rPr>
        <w:t>тела</w:t>
      </w:r>
      <w:r w:rsidRPr="006A51DF">
        <w:rPr>
          <w:rFonts w:ascii="Times New Roman" w:hAnsi="Times New Roman" w:cs="Times New Roman"/>
          <w:sz w:val="24"/>
          <w:szCs w:val="24"/>
        </w:rPr>
        <w:t xml:space="preserve">, была </w:t>
      </w:r>
      <w:r w:rsidR="00A32118">
        <w:rPr>
          <w:rFonts w:ascii="Times New Roman" w:hAnsi="Times New Roman" w:cs="Times New Roman"/>
          <w:sz w:val="24"/>
          <w:szCs w:val="24"/>
        </w:rPr>
        <w:t>неоднородной. Так в 1-</w:t>
      </w:r>
      <w:r w:rsidRPr="006A51DF">
        <w:rPr>
          <w:rFonts w:ascii="Times New Roman" w:hAnsi="Times New Roman" w:cs="Times New Roman"/>
          <w:sz w:val="24"/>
          <w:szCs w:val="24"/>
        </w:rPr>
        <w:t>ой</w:t>
      </w:r>
      <w:r w:rsidR="000C47F0" w:rsidRPr="000C47F0">
        <w:rPr>
          <w:rFonts w:ascii="Times New Roman" w:hAnsi="Times New Roman" w:cs="Times New Roman"/>
          <w:sz w:val="24"/>
          <w:szCs w:val="24"/>
        </w:rPr>
        <w:t xml:space="preserve"> </w:t>
      </w:r>
      <w:r w:rsidR="000C47F0">
        <w:rPr>
          <w:rFonts w:ascii="Times New Roman" w:hAnsi="Times New Roman" w:cs="Times New Roman"/>
          <w:sz w:val="24"/>
          <w:szCs w:val="24"/>
        </w:rPr>
        <w:t>и 2-ой</w:t>
      </w:r>
      <w:r w:rsidRPr="006A51D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C47F0">
        <w:rPr>
          <w:rFonts w:ascii="Times New Roman" w:hAnsi="Times New Roman" w:cs="Times New Roman"/>
          <w:sz w:val="24"/>
          <w:szCs w:val="24"/>
        </w:rPr>
        <w:t>ах</w:t>
      </w:r>
      <w:r w:rsidRPr="006A51DF">
        <w:rPr>
          <w:rFonts w:ascii="Times New Roman" w:hAnsi="Times New Roman" w:cs="Times New Roman"/>
          <w:sz w:val="24"/>
          <w:szCs w:val="24"/>
        </w:rPr>
        <w:t xml:space="preserve"> температура оставалась нормальной в</w:t>
      </w:r>
      <w:r w:rsidR="00A32118">
        <w:rPr>
          <w:rFonts w:ascii="Times New Roman" w:hAnsi="Times New Roman" w:cs="Times New Roman"/>
          <w:sz w:val="24"/>
          <w:szCs w:val="24"/>
        </w:rPr>
        <w:t xml:space="preserve"> </w:t>
      </w:r>
      <w:r w:rsidR="000C47F0" w:rsidRPr="000C47F0">
        <w:rPr>
          <w:rFonts w:ascii="Times New Roman" w:hAnsi="Times New Roman" w:cs="Times New Roman"/>
          <w:sz w:val="24"/>
          <w:szCs w:val="24"/>
        </w:rPr>
        <w:t>3</w:t>
      </w:r>
      <w:r w:rsidR="00A32118">
        <w:rPr>
          <w:rFonts w:ascii="Times New Roman" w:hAnsi="Times New Roman" w:cs="Times New Roman"/>
          <w:sz w:val="24"/>
          <w:szCs w:val="24"/>
        </w:rPr>
        <w:t>5</w:t>
      </w:r>
      <w:r w:rsidRPr="006A51DF">
        <w:rPr>
          <w:rFonts w:ascii="Times New Roman" w:hAnsi="Times New Roman" w:cs="Times New Roman"/>
          <w:sz w:val="24"/>
          <w:szCs w:val="24"/>
        </w:rPr>
        <w:t>% (р&lt;0,01</w:t>
      </w:r>
      <w:r w:rsidR="00A32118">
        <w:rPr>
          <w:rFonts w:ascii="Times New Roman" w:hAnsi="Times New Roman" w:cs="Times New Roman"/>
          <w:sz w:val="24"/>
          <w:szCs w:val="24"/>
        </w:rPr>
        <w:t>)</w:t>
      </w:r>
      <w:r w:rsidR="000C47F0">
        <w:rPr>
          <w:rFonts w:ascii="Times New Roman" w:hAnsi="Times New Roman" w:cs="Times New Roman"/>
          <w:sz w:val="24"/>
          <w:szCs w:val="24"/>
        </w:rPr>
        <w:t xml:space="preserve"> и 51,5%</w:t>
      </w:r>
      <w:r w:rsidR="00A32118">
        <w:rPr>
          <w:rFonts w:ascii="Times New Roman" w:hAnsi="Times New Roman" w:cs="Times New Roman"/>
          <w:sz w:val="24"/>
          <w:szCs w:val="24"/>
        </w:rPr>
        <w:t xml:space="preserve"> </w:t>
      </w:r>
      <w:r w:rsidR="000C47F0">
        <w:rPr>
          <w:rFonts w:ascii="Times New Roman" w:hAnsi="Times New Roman" w:cs="Times New Roman"/>
          <w:sz w:val="24"/>
          <w:szCs w:val="24"/>
        </w:rPr>
        <w:t xml:space="preserve">(р&lt;0,05) </w:t>
      </w:r>
      <w:r w:rsidR="000C47F0" w:rsidRPr="006A51DF">
        <w:rPr>
          <w:rFonts w:ascii="Times New Roman" w:hAnsi="Times New Roman" w:cs="Times New Roman"/>
          <w:sz w:val="24"/>
          <w:szCs w:val="24"/>
        </w:rPr>
        <w:t>случаев</w:t>
      </w:r>
      <w:r w:rsidR="000C47F0">
        <w:rPr>
          <w:rFonts w:ascii="Times New Roman" w:hAnsi="Times New Roman" w:cs="Times New Roman"/>
          <w:sz w:val="24"/>
          <w:szCs w:val="24"/>
        </w:rPr>
        <w:t xml:space="preserve"> с</w:t>
      </w:r>
      <w:r w:rsidR="00B97696">
        <w:rPr>
          <w:rFonts w:ascii="Times New Roman" w:hAnsi="Times New Roman" w:cs="Times New Roman"/>
          <w:sz w:val="24"/>
          <w:szCs w:val="24"/>
        </w:rPr>
        <w:t>оответственно, в то время как в</w:t>
      </w:r>
      <w:r w:rsidR="000C47F0">
        <w:rPr>
          <w:rFonts w:ascii="Times New Roman" w:hAnsi="Times New Roman" w:cs="Times New Roman"/>
          <w:sz w:val="24"/>
          <w:szCs w:val="24"/>
        </w:rPr>
        <w:t xml:space="preserve"> 3-е</w:t>
      </w:r>
      <w:r w:rsidR="00A32118">
        <w:rPr>
          <w:rFonts w:ascii="Times New Roman" w:hAnsi="Times New Roman" w:cs="Times New Roman"/>
          <w:sz w:val="24"/>
          <w:szCs w:val="24"/>
        </w:rPr>
        <w:t xml:space="preserve">й группе </w:t>
      </w:r>
      <w:r w:rsidRPr="006A51DF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EE43BE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6A51DF">
        <w:rPr>
          <w:rFonts w:ascii="Times New Roman" w:hAnsi="Times New Roman" w:cs="Times New Roman"/>
          <w:sz w:val="24"/>
          <w:szCs w:val="24"/>
        </w:rPr>
        <w:t xml:space="preserve">больных </w:t>
      </w:r>
      <w:r w:rsidR="00EE43BE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6A51DF">
        <w:rPr>
          <w:rFonts w:ascii="Times New Roman" w:hAnsi="Times New Roman" w:cs="Times New Roman"/>
          <w:sz w:val="24"/>
          <w:szCs w:val="24"/>
        </w:rPr>
        <w:t>достигала субф</w:t>
      </w:r>
      <w:r w:rsidR="000C47F0">
        <w:rPr>
          <w:rFonts w:ascii="Times New Roman" w:hAnsi="Times New Roman" w:cs="Times New Roman"/>
          <w:sz w:val="24"/>
          <w:szCs w:val="24"/>
        </w:rPr>
        <w:t>ебрильных и фебрильных цифр</w:t>
      </w:r>
      <w:r w:rsidR="00EE43BE">
        <w:rPr>
          <w:rFonts w:ascii="Times New Roman" w:hAnsi="Times New Roman" w:cs="Times New Roman"/>
          <w:sz w:val="24"/>
          <w:szCs w:val="24"/>
        </w:rPr>
        <w:t xml:space="preserve"> -</w:t>
      </w:r>
      <w:r w:rsidRPr="006A51DF">
        <w:rPr>
          <w:rFonts w:ascii="Times New Roman" w:hAnsi="Times New Roman" w:cs="Times New Roman"/>
          <w:sz w:val="24"/>
          <w:szCs w:val="24"/>
        </w:rPr>
        <w:t xml:space="preserve"> 93,8% случаев (р&lt;0,01).</w:t>
      </w:r>
    </w:p>
    <w:p w:rsidR="006A51DF" w:rsidRPr="006A51DF" w:rsidRDefault="006A51DF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DF">
        <w:rPr>
          <w:rFonts w:ascii="Times New Roman" w:hAnsi="Times New Roman" w:cs="Times New Roman"/>
          <w:sz w:val="24"/>
          <w:szCs w:val="24"/>
        </w:rPr>
        <w:t xml:space="preserve">При объективном обследовании больных </w:t>
      </w:r>
      <w:r w:rsidR="00EE43BE">
        <w:rPr>
          <w:rFonts w:ascii="Times New Roman" w:hAnsi="Times New Roman" w:cs="Times New Roman"/>
          <w:sz w:val="24"/>
          <w:szCs w:val="24"/>
        </w:rPr>
        <w:t xml:space="preserve">определялось нарушение ориентации в месте, времени и личности </w:t>
      </w:r>
      <w:r w:rsidR="000C47F0">
        <w:rPr>
          <w:rFonts w:ascii="Times New Roman" w:hAnsi="Times New Roman" w:cs="Times New Roman"/>
          <w:sz w:val="24"/>
          <w:szCs w:val="24"/>
        </w:rPr>
        <w:t xml:space="preserve">от </w:t>
      </w:r>
      <w:r w:rsidRPr="006A51DF">
        <w:rPr>
          <w:rFonts w:ascii="Times New Roman" w:hAnsi="Times New Roman" w:cs="Times New Roman"/>
          <w:sz w:val="24"/>
          <w:szCs w:val="24"/>
        </w:rPr>
        <w:t>27,3</w:t>
      </w:r>
      <w:r w:rsidR="000C47F0">
        <w:rPr>
          <w:rFonts w:ascii="Times New Roman" w:hAnsi="Times New Roman" w:cs="Times New Roman"/>
          <w:sz w:val="24"/>
          <w:szCs w:val="24"/>
        </w:rPr>
        <w:t>%</w:t>
      </w:r>
      <w:r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0C47F0">
        <w:rPr>
          <w:rFonts w:ascii="Times New Roman" w:hAnsi="Times New Roman" w:cs="Times New Roman"/>
          <w:sz w:val="24"/>
          <w:szCs w:val="24"/>
        </w:rPr>
        <w:t>д</w:t>
      </w:r>
      <w:r w:rsidRPr="006A51DF">
        <w:rPr>
          <w:rFonts w:ascii="Times New Roman" w:hAnsi="Times New Roman" w:cs="Times New Roman"/>
          <w:sz w:val="24"/>
          <w:szCs w:val="24"/>
        </w:rPr>
        <w:t>о 3</w:t>
      </w:r>
      <w:r w:rsidR="000C47F0">
        <w:rPr>
          <w:rFonts w:ascii="Times New Roman" w:hAnsi="Times New Roman" w:cs="Times New Roman"/>
          <w:sz w:val="24"/>
          <w:szCs w:val="24"/>
        </w:rPr>
        <w:t>7</w:t>
      </w:r>
      <w:r w:rsidRPr="006A51DF">
        <w:rPr>
          <w:rFonts w:ascii="Times New Roman" w:hAnsi="Times New Roman" w:cs="Times New Roman"/>
          <w:sz w:val="24"/>
          <w:szCs w:val="24"/>
        </w:rPr>
        <w:t>,</w:t>
      </w:r>
      <w:r w:rsidR="000C47F0">
        <w:rPr>
          <w:rFonts w:ascii="Times New Roman" w:hAnsi="Times New Roman" w:cs="Times New Roman"/>
          <w:sz w:val="24"/>
          <w:szCs w:val="24"/>
        </w:rPr>
        <w:t>5</w:t>
      </w:r>
      <w:r w:rsidRPr="006A51DF">
        <w:rPr>
          <w:rFonts w:ascii="Times New Roman" w:hAnsi="Times New Roman" w:cs="Times New Roman"/>
          <w:sz w:val="24"/>
          <w:szCs w:val="24"/>
        </w:rPr>
        <w:t xml:space="preserve">%. </w:t>
      </w:r>
      <w:r w:rsidR="000C47F0">
        <w:rPr>
          <w:rFonts w:ascii="Times New Roman" w:hAnsi="Times New Roman" w:cs="Times New Roman"/>
          <w:sz w:val="24"/>
          <w:szCs w:val="24"/>
        </w:rPr>
        <w:t>Только у больных 2</w:t>
      </w:r>
      <w:r w:rsidR="00EE43BE">
        <w:rPr>
          <w:rFonts w:ascii="Times New Roman" w:hAnsi="Times New Roman" w:cs="Times New Roman"/>
          <w:sz w:val="24"/>
          <w:szCs w:val="24"/>
        </w:rPr>
        <w:t>-</w:t>
      </w:r>
      <w:r w:rsidRPr="006A51DF">
        <w:rPr>
          <w:rFonts w:ascii="Times New Roman" w:hAnsi="Times New Roman" w:cs="Times New Roman"/>
          <w:sz w:val="24"/>
          <w:szCs w:val="24"/>
        </w:rPr>
        <w:t>ой группы отмечались расстройст</w:t>
      </w:r>
      <w:r w:rsidR="00EF444B">
        <w:rPr>
          <w:rFonts w:ascii="Times New Roman" w:hAnsi="Times New Roman" w:cs="Times New Roman"/>
          <w:sz w:val="24"/>
          <w:szCs w:val="24"/>
        </w:rPr>
        <w:t>ва высших интегративных функций</w:t>
      </w:r>
      <w:r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EE43BE">
        <w:rPr>
          <w:rFonts w:ascii="Times New Roman" w:hAnsi="Times New Roman" w:cs="Times New Roman"/>
          <w:sz w:val="24"/>
          <w:szCs w:val="24"/>
        </w:rPr>
        <w:t>в виде снижения памяти - в 21,2% случаев (</w:t>
      </w:r>
      <w:r w:rsidRPr="006A51DF">
        <w:rPr>
          <w:rFonts w:ascii="Times New Roman" w:hAnsi="Times New Roman" w:cs="Times New Roman"/>
          <w:sz w:val="24"/>
          <w:szCs w:val="24"/>
        </w:rPr>
        <w:t>р&lt;0,05).</w:t>
      </w:r>
      <w:r w:rsidR="00DD54A9">
        <w:rPr>
          <w:rFonts w:ascii="Times New Roman" w:hAnsi="Times New Roman" w:cs="Times New Roman"/>
          <w:sz w:val="24"/>
          <w:szCs w:val="24"/>
        </w:rPr>
        <w:t xml:space="preserve"> Психические расстройства чаще встречались у больных 1-ой группы - 22,5% случаев (р&lt;0,02), а у больных 2-ой и 3-ей групп в 6% и 12,5% случаев соответственно.</w:t>
      </w:r>
    </w:p>
    <w:p w:rsidR="006A51DF" w:rsidRPr="006A51DF" w:rsidRDefault="00EE43BE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Менинге</w:t>
      </w:r>
      <w:r w:rsidR="000C47F0">
        <w:rPr>
          <w:rFonts w:ascii="Times New Roman" w:hAnsi="Times New Roman" w:cs="Times New Roman"/>
          <w:sz w:val="24"/>
          <w:szCs w:val="24"/>
        </w:rPr>
        <w:t>альный синдром был более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выра</w:t>
      </w:r>
      <w:r>
        <w:rPr>
          <w:rFonts w:ascii="Times New Roman" w:hAnsi="Times New Roman" w:cs="Times New Roman"/>
          <w:sz w:val="24"/>
          <w:szCs w:val="24"/>
        </w:rPr>
        <w:t xml:space="preserve">жен и встречался чаще у больных </w:t>
      </w:r>
      <w:r w:rsidR="000C47F0">
        <w:rPr>
          <w:rFonts w:ascii="Times New Roman" w:hAnsi="Times New Roman" w:cs="Times New Roman"/>
          <w:sz w:val="24"/>
          <w:szCs w:val="24"/>
        </w:rPr>
        <w:t>1-ой и 3-е</w:t>
      </w:r>
      <w:r w:rsidR="00DE31EC">
        <w:rPr>
          <w:rFonts w:ascii="Times New Roman" w:hAnsi="Times New Roman" w:cs="Times New Roman"/>
          <w:sz w:val="24"/>
          <w:szCs w:val="24"/>
        </w:rPr>
        <w:t>й групп</w:t>
      </w:r>
      <w:r w:rsidR="006C4D27">
        <w:rPr>
          <w:rFonts w:ascii="Times New Roman" w:hAnsi="Times New Roman" w:cs="Times New Roman"/>
          <w:sz w:val="24"/>
          <w:szCs w:val="24"/>
        </w:rPr>
        <w:t xml:space="preserve"> и </w:t>
      </w:r>
      <w:r w:rsidR="006A51DF" w:rsidRPr="006A51DF">
        <w:rPr>
          <w:rFonts w:ascii="Times New Roman" w:hAnsi="Times New Roman" w:cs="Times New Roman"/>
          <w:sz w:val="24"/>
          <w:szCs w:val="24"/>
        </w:rPr>
        <w:t>характеризовалс</w:t>
      </w:r>
      <w:r w:rsidR="006C4D27">
        <w:rPr>
          <w:rFonts w:ascii="Times New Roman" w:hAnsi="Times New Roman" w:cs="Times New Roman"/>
          <w:sz w:val="24"/>
          <w:szCs w:val="24"/>
        </w:rPr>
        <w:t xml:space="preserve">я ригидностью затылочных мышц у </w:t>
      </w:r>
      <w:r w:rsidR="00DE31EC">
        <w:rPr>
          <w:rFonts w:ascii="Times New Roman" w:hAnsi="Times New Roman" w:cs="Times New Roman"/>
          <w:sz w:val="24"/>
          <w:szCs w:val="24"/>
        </w:rPr>
        <w:t>70</w:t>
      </w:r>
      <w:r w:rsidR="006A51DF" w:rsidRPr="006A51DF">
        <w:rPr>
          <w:rFonts w:ascii="Times New Roman" w:hAnsi="Times New Roman" w:cs="Times New Roman"/>
          <w:sz w:val="24"/>
          <w:szCs w:val="24"/>
        </w:rPr>
        <w:t>%</w:t>
      </w:r>
      <w:r w:rsidR="006C4D27">
        <w:rPr>
          <w:rFonts w:ascii="Times New Roman" w:hAnsi="Times New Roman" w:cs="Times New Roman"/>
          <w:sz w:val="24"/>
          <w:szCs w:val="24"/>
        </w:rPr>
        <w:t xml:space="preserve"> и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90,6% больных </w:t>
      </w:r>
      <w:r w:rsidR="006C4D2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(р&lt;0,01); симптомами Кернига - </w:t>
      </w:r>
      <w:r w:rsidR="006C4D27">
        <w:rPr>
          <w:rFonts w:ascii="Times New Roman" w:hAnsi="Times New Roman" w:cs="Times New Roman"/>
          <w:sz w:val="24"/>
          <w:szCs w:val="24"/>
        </w:rPr>
        <w:t>у</w:t>
      </w:r>
      <w:r w:rsidR="00DE31EC">
        <w:rPr>
          <w:rFonts w:ascii="Times New Roman" w:hAnsi="Times New Roman" w:cs="Times New Roman"/>
          <w:sz w:val="24"/>
          <w:szCs w:val="24"/>
        </w:rPr>
        <w:t xml:space="preserve"> 62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,5% </w:t>
      </w:r>
      <w:r w:rsidR="006C4D27">
        <w:rPr>
          <w:rFonts w:ascii="Times New Roman" w:hAnsi="Times New Roman" w:cs="Times New Roman"/>
          <w:sz w:val="24"/>
          <w:szCs w:val="24"/>
        </w:rPr>
        <w:t>и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90,6% </w:t>
      </w:r>
      <w:r w:rsidR="006C4D27">
        <w:rPr>
          <w:rFonts w:ascii="Times New Roman" w:hAnsi="Times New Roman" w:cs="Times New Roman"/>
          <w:sz w:val="24"/>
          <w:szCs w:val="24"/>
        </w:rPr>
        <w:t xml:space="preserve">больных </w:t>
      </w:r>
      <w:r w:rsidR="00DE31EC">
        <w:rPr>
          <w:rFonts w:ascii="Times New Roman" w:hAnsi="Times New Roman" w:cs="Times New Roman"/>
          <w:sz w:val="24"/>
          <w:szCs w:val="24"/>
        </w:rPr>
        <w:t>(р&lt;0,01) и Брудзинского - от 7,5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% до 12,5% </w:t>
      </w:r>
      <w:r w:rsidR="006C4D27">
        <w:rPr>
          <w:rFonts w:ascii="Times New Roman" w:hAnsi="Times New Roman" w:cs="Times New Roman"/>
          <w:sz w:val="24"/>
          <w:szCs w:val="24"/>
        </w:rPr>
        <w:t>больных соответственно.</w:t>
      </w:r>
    </w:p>
    <w:p w:rsidR="006A51DF" w:rsidRPr="006A51DF" w:rsidRDefault="006A51DF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DF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Двигательные нарушения </w:t>
      </w:r>
      <w:r w:rsidR="006C4D27">
        <w:rPr>
          <w:rFonts w:ascii="Times New Roman" w:hAnsi="Times New Roman" w:cs="Times New Roman"/>
          <w:sz w:val="24"/>
          <w:szCs w:val="24"/>
        </w:rPr>
        <w:t>в виде гемипарезов</w:t>
      </w:r>
      <w:r w:rsidR="006C4D27" w:rsidRPr="006A51DF">
        <w:rPr>
          <w:rFonts w:ascii="Times New Roman" w:hAnsi="Times New Roman" w:cs="Times New Roman"/>
          <w:sz w:val="24"/>
          <w:szCs w:val="24"/>
        </w:rPr>
        <w:t>, парапарез</w:t>
      </w:r>
      <w:r w:rsidR="002E5DB7">
        <w:rPr>
          <w:rFonts w:ascii="Times New Roman" w:hAnsi="Times New Roman" w:cs="Times New Roman"/>
          <w:sz w:val="24"/>
          <w:szCs w:val="24"/>
        </w:rPr>
        <w:t>ов</w:t>
      </w:r>
      <w:r w:rsidR="006C4D27" w:rsidRPr="006A51DF">
        <w:rPr>
          <w:rFonts w:ascii="Times New Roman" w:hAnsi="Times New Roman" w:cs="Times New Roman"/>
          <w:sz w:val="24"/>
          <w:szCs w:val="24"/>
        </w:rPr>
        <w:t xml:space="preserve"> и тетрапарез</w:t>
      </w:r>
      <w:r w:rsidR="002E5DB7">
        <w:rPr>
          <w:rFonts w:ascii="Times New Roman" w:hAnsi="Times New Roman" w:cs="Times New Roman"/>
          <w:sz w:val="24"/>
          <w:szCs w:val="24"/>
        </w:rPr>
        <w:t>ов</w:t>
      </w:r>
      <w:r w:rsidR="006C4D27"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Pr="006A51DF">
        <w:rPr>
          <w:rFonts w:ascii="Times New Roman" w:hAnsi="Times New Roman" w:cs="Times New Roman"/>
          <w:sz w:val="24"/>
          <w:szCs w:val="24"/>
        </w:rPr>
        <w:t>отмечались</w:t>
      </w:r>
      <w:r w:rsidR="006C4D27">
        <w:rPr>
          <w:rFonts w:ascii="Times New Roman" w:hAnsi="Times New Roman" w:cs="Times New Roman"/>
          <w:sz w:val="24"/>
          <w:szCs w:val="24"/>
        </w:rPr>
        <w:t xml:space="preserve"> </w:t>
      </w:r>
      <w:r w:rsidR="00DE31EC">
        <w:rPr>
          <w:rFonts w:ascii="Times New Roman" w:hAnsi="Times New Roman" w:cs="Times New Roman"/>
          <w:sz w:val="24"/>
          <w:szCs w:val="24"/>
        </w:rPr>
        <w:t>у больных всех групп от</w:t>
      </w:r>
      <w:r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DE31EC">
        <w:rPr>
          <w:rFonts w:ascii="Times New Roman" w:hAnsi="Times New Roman" w:cs="Times New Roman"/>
          <w:sz w:val="24"/>
          <w:szCs w:val="24"/>
        </w:rPr>
        <w:t>31,3</w:t>
      </w:r>
      <w:r w:rsidR="00DE31EC" w:rsidRPr="006A51DF">
        <w:rPr>
          <w:rFonts w:ascii="Times New Roman" w:hAnsi="Times New Roman" w:cs="Times New Roman"/>
          <w:sz w:val="24"/>
          <w:szCs w:val="24"/>
        </w:rPr>
        <w:t>%</w:t>
      </w:r>
      <w:r w:rsidR="00DE31EC">
        <w:rPr>
          <w:rFonts w:ascii="Times New Roman" w:hAnsi="Times New Roman" w:cs="Times New Roman"/>
          <w:sz w:val="24"/>
          <w:szCs w:val="24"/>
        </w:rPr>
        <w:t xml:space="preserve"> до 48,5%</w:t>
      </w:r>
      <w:r w:rsidRPr="006A51DF">
        <w:rPr>
          <w:rFonts w:ascii="Times New Roman" w:hAnsi="Times New Roman" w:cs="Times New Roman"/>
          <w:sz w:val="24"/>
          <w:szCs w:val="24"/>
        </w:rPr>
        <w:t>. Эпилептиформн</w:t>
      </w:r>
      <w:r w:rsidR="006C4D27">
        <w:rPr>
          <w:rFonts w:ascii="Times New Roman" w:hAnsi="Times New Roman" w:cs="Times New Roman"/>
          <w:sz w:val="24"/>
          <w:szCs w:val="24"/>
        </w:rPr>
        <w:t>ый</w:t>
      </w:r>
      <w:r w:rsidRPr="006A51DF">
        <w:rPr>
          <w:rFonts w:ascii="Times New Roman" w:hAnsi="Times New Roman" w:cs="Times New Roman"/>
          <w:sz w:val="24"/>
          <w:szCs w:val="24"/>
        </w:rPr>
        <w:t xml:space="preserve"> си</w:t>
      </w:r>
      <w:r w:rsidR="00DE31EC">
        <w:rPr>
          <w:rFonts w:ascii="Times New Roman" w:hAnsi="Times New Roman" w:cs="Times New Roman"/>
          <w:sz w:val="24"/>
          <w:szCs w:val="24"/>
        </w:rPr>
        <w:t>ндром отмечался чаще у больных 2</w:t>
      </w:r>
      <w:r w:rsidR="006C4D27">
        <w:rPr>
          <w:rFonts w:ascii="Times New Roman" w:hAnsi="Times New Roman" w:cs="Times New Roman"/>
          <w:sz w:val="24"/>
          <w:szCs w:val="24"/>
        </w:rPr>
        <w:t>-</w:t>
      </w:r>
      <w:r w:rsidRPr="006A51DF">
        <w:rPr>
          <w:rFonts w:ascii="Times New Roman" w:hAnsi="Times New Roman" w:cs="Times New Roman"/>
          <w:sz w:val="24"/>
          <w:szCs w:val="24"/>
        </w:rPr>
        <w:t>ой группы - 24,2% случаев (р&lt;0,02).</w:t>
      </w:r>
      <w:r w:rsidR="006C4D27">
        <w:rPr>
          <w:rFonts w:ascii="Times New Roman" w:hAnsi="Times New Roman" w:cs="Times New Roman"/>
          <w:sz w:val="24"/>
          <w:szCs w:val="24"/>
        </w:rPr>
        <w:t xml:space="preserve"> </w:t>
      </w:r>
      <w:r w:rsidR="00DE31EC">
        <w:rPr>
          <w:rFonts w:ascii="Times New Roman" w:hAnsi="Times New Roman" w:cs="Times New Roman"/>
          <w:sz w:val="24"/>
          <w:szCs w:val="24"/>
        </w:rPr>
        <w:t>С</w:t>
      </w:r>
      <w:r w:rsidR="006C4D27">
        <w:rPr>
          <w:rFonts w:ascii="Times New Roman" w:hAnsi="Times New Roman" w:cs="Times New Roman"/>
          <w:sz w:val="24"/>
          <w:szCs w:val="24"/>
        </w:rPr>
        <w:t>имптомы поражения пирамидного пути</w:t>
      </w:r>
      <w:r w:rsidRPr="006A51DF">
        <w:rPr>
          <w:rFonts w:ascii="Times New Roman" w:hAnsi="Times New Roman" w:cs="Times New Roman"/>
          <w:sz w:val="24"/>
          <w:szCs w:val="24"/>
        </w:rPr>
        <w:t xml:space="preserve"> </w:t>
      </w:r>
      <w:r w:rsidR="00DE31EC">
        <w:rPr>
          <w:rFonts w:ascii="Times New Roman" w:hAnsi="Times New Roman" w:cs="Times New Roman"/>
          <w:sz w:val="24"/>
          <w:szCs w:val="24"/>
        </w:rPr>
        <w:t>встречались от</w:t>
      </w:r>
      <w:r w:rsidR="00EF444B">
        <w:rPr>
          <w:rFonts w:ascii="Times New Roman" w:hAnsi="Times New Roman" w:cs="Times New Roman"/>
          <w:sz w:val="24"/>
          <w:szCs w:val="24"/>
        </w:rPr>
        <w:t xml:space="preserve"> </w:t>
      </w:r>
      <w:r w:rsidR="00DE31EC">
        <w:rPr>
          <w:rFonts w:ascii="Times New Roman" w:hAnsi="Times New Roman" w:cs="Times New Roman"/>
          <w:sz w:val="24"/>
          <w:szCs w:val="24"/>
        </w:rPr>
        <w:t>15,6% до</w:t>
      </w:r>
      <w:r w:rsidRPr="006A51DF">
        <w:rPr>
          <w:rFonts w:ascii="Times New Roman" w:hAnsi="Times New Roman" w:cs="Times New Roman"/>
          <w:sz w:val="24"/>
          <w:szCs w:val="24"/>
        </w:rPr>
        <w:t xml:space="preserve"> 2</w:t>
      </w:r>
      <w:r w:rsidR="00DE31EC">
        <w:rPr>
          <w:rFonts w:ascii="Times New Roman" w:hAnsi="Times New Roman" w:cs="Times New Roman"/>
          <w:sz w:val="24"/>
          <w:szCs w:val="24"/>
        </w:rPr>
        <w:t>5</w:t>
      </w:r>
      <w:r w:rsidRPr="006A51DF">
        <w:rPr>
          <w:rFonts w:ascii="Times New Roman" w:hAnsi="Times New Roman" w:cs="Times New Roman"/>
          <w:sz w:val="24"/>
          <w:szCs w:val="24"/>
        </w:rPr>
        <w:t xml:space="preserve">% </w:t>
      </w:r>
      <w:r w:rsidR="00EF444B">
        <w:rPr>
          <w:rFonts w:ascii="Times New Roman" w:hAnsi="Times New Roman" w:cs="Times New Roman"/>
          <w:sz w:val="24"/>
          <w:szCs w:val="24"/>
        </w:rPr>
        <w:t>с</w:t>
      </w:r>
      <w:r w:rsidR="00DE31EC">
        <w:rPr>
          <w:rFonts w:ascii="Times New Roman" w:hAnsi="Times New Roman" w:cs="Times New Roman"/>
          <w:sz w:val="24"/>
          <w:szCs w:val="24"/>
        </w:rPr>
        <w:t>лучаев</w:t>
      </w:r>
      <w:r w:rsidR="00EF444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A51DF">
        <w:rPr>
          <w:rFonts w:ascii="Times New Roman" w:hAnsi="Times New Roman" w:cs="Times New Roman"/>
          <w:sz w:val="24"/>
          <w:szCs w:val="24"/>
        </w:rPr>
        <w:t>свидетельств</w:t>
      </w:r>
      <w:r w:rsidR="00EF444B">
        <w:rPr>
          <w:rFonts w:ascii="Times New Roman" w:hAnsi="Times New Roman" w:cs="Times New Roman"/>
          <w:sz w:val="24"/>
          <w:szCs w:val="24"/>
        </w:rPr>
        <w:t>овало</w:t>
      </w:r>
      <w:r w:rsidRPr="006A51DF">
        <w:rPr>
          <w:rFonts w:ascii="Times New Roman" w:hAnsi="Times New Roman" w:cs="Times New Roman"/>
          <w:sz w:val="24"/>
          <w:szCs w:val="24"/>
        </w:rPr>
        <w:t xml:space="preserve"> о тяжести поражения </w:t>
      </w:r>
      <w:r w:rsidR="00EF444B">
        <w:rPr>
          <w:rFonts w:ascii="Times New Roman" w:hAnsi="Times New Roman" w:cs="Times New Roman"/>
          <w:sz w:val="24"/>
          <w:szCs w:val="24"/>
        </w:rPr>
        <w:t>головного мозга</w:t>
      </w:r>
      <w:r w:rsidRPr="006A51DF">
        <w:rPr>
          <w:rFonts w:ascii="Times New Roman" w:hAnsi="Times New Roman" w:cs="Times New Roman"/>
          <w:sz w:val="24"/>
          <w:szCs w:val="24"/>
        </w:rPr>
        <w:t>, как следствие распространения общеотечных изменений в ткани мозга.</w:t>
      </w:r>
    </w:p>
    <w:p w:rsidR="00DE785D" w:rsidRDefault="00EF444B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1DF">
        <w:rPr>
          <w:rFonts w:ascii="Times New Roman" w:hAnsi="Times New Roman" w:cs="Times New Roman"/>
          <w:sz w:val="24"/>
          <w:szCs w:val="24"/>
        </w:rPr>
        <w:t>ак следствие пор</w:t>
      </w:r>
      <w:r>
        <w:rPr>
          <w:rFonts w:ascii="Times New Roman" w:hAnsi="Times New Roman" w:cs="Times New Roman"/>
          <w:sz w:val="24"/>
          <w:szCs w:val="24"/>
        </w:rPr>
        <w:t>ажения ствола головного мозга наблюдались нарушения функций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черепных нервов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A51DF" w:rsidRPr="006A51DF">
        <w:rPr>
          <w:rFonts w:ascii="Times New Roman" w:hAnsi="Times New Roman" w:cs="Times New Roman"/>
          <w:sz w:val="24"/>
          <w:szCs w:val="24"/>
        </w:rPr>
        <w:t>II-VII</w:t>
      </w:r>
      <w:r>
        <w:rPr>
          <w:rFonts w:ascii="Times New Roman" w:hAnsi="Times New Roman" w:cs="Times New Roman"/>
          <w:sz w:val="24"/>
          <w:szCs w:val="24"/>
        </w:rPr>
        <w:t>, IX, XII). Так у больных</w:t>
      </w:r>
      <w:r w:rsidR="007B778A">
        <w:rPr>
          <w:rFonts w:ascii="Times New Roman" w:hAnsi="Times New Roman" w:cs="Times New Roman"/>
          <w:sz w:val="24"/>
          <w:szCs w:val="24"/>
        </w:rPr>
        <w:t xml:space="preserve"> 1-ой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-ой групп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отмечалось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снижение остроты зрения </w:t>
      </w:r>
      <w:r w:rsidR="007B77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78A">
        <w:rPr>
          <w:rFonts w:ascii="Times New Roman" w:hAnsi="Times New Roman" w:cs="Times New Roman"/>
          <w:sz w:val="24"/>
          <w:szCs w:val="24"/>
        </w:rPr>
        <w:t xml:space="preserve">10% и </w:t>
      </w:r>
      <w:r>
        <w:rPr>
          <w:rFonts w:ascii="Times New Roman" w:hAnsi="Times New Roman" w:cs="Times New Roman"/>
          <w:sz w:val="24"/>
          <w:szCs w:val="24"/>
        </w:rPr>
        <w:t>21,2% (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р&lt;0,05) </w:t>
      </w:r>
      <w:r w:rsidR="007B778A">
        <w:rPr>
          <w:rFonts w:ascii="Times New Roman" w:hAnsi="Times New Roman" w:cs="Times New Roman"/>
          <w:sz w:val="24"/>
          <w:szCs w:val="24"/>
        </w:rPr>
        <w:t>случаев соответственно; у 17,5</w:t>
      </w:r>
      <w:r w:rsidR="00CB20CB">
        <w:rPr>
          <w:rFonts w:ascii="Times New Roman" w:hAnsi="Times New Roman" w:cs="Times New Roman"/>
          <w:sz w:val="24"/>
          <w:szCs w:val="24"/>
        </w:rPr>
        <w:t>% больных 1-ой группы</w:t>
      </w:r>
      <w:r w:rsidR="007B778A">
        <w:rPr>
          <w:rFonts w:ascii="Times New Roman" w:hAnsi="Times New Roman" w:cs="Times New Roman"/>
          <w:sz w:val="24"/>
          <w:szCs w:val="24"/>
        </w:rPr>
        <w:t>, 3% больных 2-ой группы и 6,2% больных 3-е</w:t>
      </w:r>
      <w:r w:rsidR="00CB20CB">
        <w:rPr>
          <w:rFonts w:ascii="Times New Roman" w:hAnsi="Times New Roman" w:cs="Times New Roman"/>
          <w:sz w:val="24"/>
          <w:szCs w:val="24"/>
        </w:rPr>
        <w:t>й</w:t>
      </w:r>
      <w:r w:rsidR="006A51DF" w:rsidRPr="006A51DF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CB20CB">
        <w:rPr>
          <w:rFonts w:ascii="Times New Roman" w:hAnsi="Times New Roman" w:cs="Times New Roman"/>
          <w:sz w:val="24"/>
          <w:szCs w:val="24"/>
        </w:rPr>
        <w:t xml:space="preserve">наблюдался бульбарный </w:t>
      </w:r>
      <w:r w:rsidR="00CB20CB" w:rsidRPr="007B778A">
        <w:rPr>
          <w:rFonts w:ascii="Times New Roman" w:hAnsi="Times New Roman" w:cs="Times New Roman"/>
          <w:sz w:val="24"/>
          <w:szCs w:val="24"/>
        </w:rPr>
        <w:t>синдром</w:t>
      </w:r>
      <w:r w:rsidR="006A51DF" w:rsidRPr="007B778A">
        <w:rPr>
          <w:rFonts w:ascii="Times New Roman" w:hAnsi="Times New Roman" w:cs="Times New Roman"/>
          <w:sz w:val="24"/>
          <w:szCs w:val="24"/>
        </w:rPr>
        <w:t>.</w:t>
      </w:r>
      <w:r w:rsidR="007B778A">
        <w:rPr>
          <w:rFonts w:ascii="Times New Roman" w:hAnsi="Times New Roman" w:cs="Times New Roman"/>
          <w:sz w:val="24"/>
          <w:szCs w:val="24"/>
        </w:rPr>
        <w:t xml:space="preserve"> Вестибуло-атактический синдром чаще встречался у больных 2-ой группы и проявлялся в виде головокружения в 75,8% случаев, шаткости ходьбы в 66,7% </w:t>
      </w:r>
      <w:r w:rsidR="004536FE">
        <w:rPr>
          <w:rFonts w:ascii="Times New Roman" w:hAnsi="Times New Roman" w:cs="Times New Roman"/>
          <w:sz w:val="24"/>
          <w:szCs w:val="24"/>
        </w:rPr>
        <w:t>(</w:t>
      </w:r>
      <w:r w:rsidR="004536FE" w:rsidRPr="004536FE">
        <w:rPr>
          <w:rFonts w:ascii="Times New Roman" w:hAnsi="Times New Roman" w:cs="Times New Roman"/>
          <w:sz w:val="24"/>
          <w:szCs w:val="24"/>
        </w:rPr>
        <w:t>р&lt;0,01</w:t>
      </w:r>
      <w:r w:rsidR="004536FE">
        <w:rPr>
          <w:rFonts w:ascii="Times New Roman" w:hAnsi="Times New Roman" w:cs="Times New Roman"/>
          <w:sz w:val="24"/>
          <w:szCs w:val="24"/>
        </w:rPr>
        <w:t xml:space="preserve">) </w:t>
      </w:r>
      <w:r w:rsidR="007B778A">
        <w:rPr>
          <w:rFonts w:ascii="Times New Roman" w:hAnsi="Times New Roman" w:cs="Times New Roman"/>
          <w:sz w:val="24"/>
          <w:szCs w:val="24"/>
        </w:rPr>
        <w:t xml:space="preserve">случаев и шаткости в позе Ромберга в 48,5% </w:t>
      </w:r>
      <w:r w:rsidR="004536FE">
        <w:rPr>
          <w:rFonts w:ascii="Times New Roman" w:hAnsi="Times New Roman" w:cs="Times New Roman"/>
          <w:sz w:val="24"/>
          <w:szCs w:val="24"/>
        </w:rPr>
        <w:t xml:space="preserve">(р&lt;0,02) </w:t>
      </w:r>
      <w:r w:rsidR="007B778A">
        <w:rPr>
          <w:rFonts w:ascii="Times New Roman" w:hAnsi="Times New Roman" w:cs="Times New Roman"/>
          <w:sz w:val="24"/>
          <w:szCs w:val="24"/>
        </w:rPr>
        <w:t>случаев.</w:t>
      </w:r>
    </w:p>
    <w:p w:rsidR="00E32E71" w:rsidRDefault="00CB20CB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диагностической л</w:t>
      </w:r>
      <w:r w:rsidR="00792115">
        <w:rPr>
          <w:rFonts w:ascii="Times New Roman" w:hAnsi="Times New Roman" w:cs="Times New Roman"/>
          <w:sz w:val="24"/>
          <w:szCs w:val="24"/>
        </w:rPr>
        <w:t>юмбальной пункции у больных всех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92115">
        <w:rPr>
          <w:rFonts w:ascii="Times New Roman" w:hAnsi="Times New Roman" w:cs="Times New Roman"/>
          <w:sz w:val="24"/>
          <w:szCs w:val="24"/>
        </w:rPr>
        <w:t xml:space="preserve"> был получен серозный</w:t>
      </w:r>
      <w:r>
        <w:rPr>
          <w:rFonts w:ascii="Times New Roman" w:hAnsi="Times New Roman" w:cs="Times New Roman"/>
          <w:sz w:val="24"/>
          <w:szCs w:val="24"/>
        </w:rPr>
        <w:t xml:space="preserve"> ликвор</w:t>
      </w:r>
      <w:r w:rsidR="00792115">
        <w:rPr>
          <w:rFonts w:ascii="Times New Roman" w:hAnsi="Times New Roman" w:cs="Times New Roman"/>
          <w:sz w:val="24"/>
          <w:szCs w:val="24"/>
        </w:rPr>
        <w:t xml:space="preserve">, который вытекал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792115">
        <w:rPr>
          <w:rFonts w:ascii="Times New Roman" w:hAnsi="Times New Roman" w:cs="Times New Roman"/>
          <w:sz w:val="24"/>
          <w:szCs w:val="24"/>
        </w:rPr>
        <w:t xml:space="preserve">нормальным или </w:t>
      </w:r>
      <w:r>
        <w:rPr>
          <w:rFonts w:ascii="Times New Roman" w:hAnsi="Times New Roman" w:cs="Times New Roman"/>
          <w:sz w:val="24"/>
          <w:szCs w:val="24"/>
        </w:rPr>
        <w:t>несколько повышенным давлением</w:t>
      </w:r>
      <w:r w:rsidR="00792115">
        <w:rPr>
          <w:rFonts w:ascii="Times New Roman" w:hAnsi="Times New Roman" w:cs="Times New Roman"/>
          <w:sz w:val="24"/>
          <w:szCs w:val="24"/>
        </w:rPr>
        <w:t xml:space="preserve"> у больных 2-ой группы и под повышенным давлением у больных 1-ой и 3-ей групп. </w:t>
      </w:r>
      <w:r w:rsidR="005235EA">
        <w:rPr>
          <w:rFonts w:ascii="Times New Roman" w:hAnsi="Times New Roman" w:cs="Times New Roman"/>
          <w:sz w:val="24"/>
          <w:szCs w:val="24"/>
        </w:rPr>
        <w:t>В ликворе больных</w:t>
      </w:r>
      <w:r w:rsidR="00ED2717">
        <w:rPr>
          <w:rFonts w:ascii="Times New Roman" w:hAnsi="Times New Roman" w:cs="Times New Roman"/>
          <w:sz w:val="24"/>
          <w:szCs w:val="24"/>
        </w:rPr>
        <w:t xml:space="preserve"> </w:t>
      </w:r>
      <w:r w:rsidR="003661DE">
        <w:rPr>
          <w:rFonts w:ascii="Times New Roman" w:hAnsi="Times New Roman" w:cs="Times New Roman"/>
          <w:sz w:val="24"/>
          <w:szCs w:val="24"/>
        </w:rPr>
        <w:t>1-ой и 2-ой групп</w:t>
      </w:r>
      <w:r w:rsidR="00ED2717">
        <w:rPr>
          <w:rFonts w:ascii="Times New Roman" w:hAnsi="Times New Roman" w:cs="Times New Roman"/>
          <w:sz w:val="24"/>
          <w:szCs w:val="24"/>
        </w:rPr>
        <w:t xml:space="preserve"> отмечался умеренный плеоцитоз</w:t>
      </w:r>
      <w:r w:rsidR="003661DE">
        <w:rPr>
          <w:rFonts w:ascii="Times New Roman" w:hAnsi="Times New Roman" w:cs="Times New Roman"/>
          <w:sz w:val="24"/>
          <w:szCs w:val="24"/>
        </w:rPr>
        <w:t>, а у больных 3-ей группы он достигал в среднем 228×10</w:t>
      </w:r>
      <w:r w:rsidR="003661D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3661DE">
        <w:rPr>
          <w:rFonts w:ascii="Times New Roman" w:hAnsi="Times New Roman" w:cs="Times New Roman"/>
          <w:sz w:val="24"/>
          <w:szCs w:val="24"/>
        </w:rPr>
        <w:t>/л</w:t>
      </w:r>
      <w:r w:rsidR="00ED2717">
        <w:rPr>
          <w:rFonts w:ascii="Times New Roman" w:hAnsi="Times New Roman" w:cs="Times New Roman"/>
          <w:sz w:val="24"/>
          <w:szCs w:val="24"/>
        </w:rPr>
        <w:t xml:space="preserve"> </w:t>
      </w:r>
      <w:r w:rsidR="003661DE">
        <w:rPr>
          <w:rFonts w:ascii="Times New Roman" w:hAnsi="Times New Roman" w:cs="Times New Roman"/>
          <w:sz w:val="24"/>
          <w:szCs w:val="24"/>
        </w:rPr>
        <w:t>клеток.</w:t>
      </w:r>
      <w:r w:rsidR="00ED2717">
        <w:rPr>
          <w:rFonts w:ascii="Times New Roman" w:hAnsi="Times New Roman" w:cs="Times New Roman"/>
          <w:sz w:val="24"/>
          <w:szCs w:val="24"/>
        </w:rPr>
        <w:t xml:space="preserve"> </w:t>
      </w:r>
      <w:r w:rsidR="003661DE">
        <w:rPr>
          <w:rFonts w:ascii="Times New Roman" w:hAnsi="Times New Roman" w:cs="Times New Roman"/>
          <w:sz w:val="24"/>
          <w:szCs w:val="24"/>
        </w:rPr>
        <w:t>С</w:t>
      </w:r>
      <w:r w:rsidR="00ED2717">
        <w:rPr>
          <w:rFonts w:ascii="Times New Roman" w:hAnsi="Times New Roman" w:cs="Times New Roman"/>
          <w:sz w:val="24"/>
          <w:szCs w:val="24"/>
        </w:rPr>
        <w:t>одержании белка</w:t>
      </w:r>
      <w:r w:rsidR="003661DE">
        <w:rPr>
          <w:rFonts w:ascii="Times New Roman" w:hAnsi="Times New Roman" w:cs="Times New Roman"/>
          <w:sz w:val="24"/>
          <w:szCs w:val="24"/>
        </w:rPr>
        <w:t xml:space="preserve"> в ликворе было повышено во всех группах.</w:t>
      </w:r>
      <w:r w:rsidR="00ED2717">
        <w:rPr>
          <w:rFonts w:ascii="Times New Roman" w:hAnsi="Times New Roman" w:cs="Times New Roman"/>
          <w:sz w:val="24"/>
          <w:szCs w:val="24"/>
        </w:rPr>
        <w:t xml:space="preserve"> </w:t>
      </w:r>
      <w:r w:rsidR="003661DE">
        <w:rPr>
          <w:rFonts w:ascii="Times New Roman" w:hAnsi="Times New Roman" w:cs="Times New Roman"/>
          <w:sz w:val="24"/>
          <w:szCs w:val="24"/>
        </w:rPr>
        <w:t>Уровень</w:t>
      </w:r>
      <w:r w:rsidR="00ED2717">
        <w:rPr>
          <w:rFonts w:ascii="Times New Roman" w:hAnsi="Times New Roman" w:cs="Times New Roman"/>
          <w:sz w:val="24"/>
          <w:szCs w:val="24"/>
        </w:rPr>
        <w:t xml:space="preserve"> глюкозы и хлоридов оставалось в пределах нормы</w:t>
      </w:r>
      <w:r w:rsidR="003661DE">
        <w:rPr>
          <w:rFonts w:ascii="Times New Roman" w:hAnsi="Times New Roman" w:cs="Times New Roman"/>
          <w:sz w:val="24"/>
          <w:szCs w:val="24"/>
        </w:rPr>
        <w:t xml:space="preserve"> у</w:t>
      </w:r>
      <w:r w:rsidR="00E32E71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="003661DE">
        <w:rPr>
          <w:rFonts w:ascii="Times New Roman" w:hAnsi="Times New Roman" w:cs="Times New Roman"/>
          <w:sz w:val="24"/>
          <w:szCs w:val="24"/>
        </w:rPr>
        <w:t>1-ой и 2-ой групп, а у больных 3-ей группы отмечалось значительное снижение глюкозы и умеренное снижение хлоридов</w:t>
      </w:r>
      <w:r w:rsidR="00182008">
        <w:rPr>
          <w:rFonts w:ascii="Times New Roman" w:hAnsi="Times New Roman" w:cs="Times New Roman"/>
          <w:sz w:val="24"/>
          <w:szCs w:val="24"/>
        </w:rPr>
        <w:t xml:space="preserve"> (табл. 1)</w:t>
      </w:r>
      <w:r w:rsidR="005D2F6C">
        <w:rPr>
          <w:rFonts w:ascii="Times New Roman" w:hAnsi="Times New Roman" w:cs="Times New Roman"/>
          <w:sz w:val="24"/>
          <w:szCs w:val="24"/>
        </w:rPr>
        <w:t>.</w:t>
      </w:r>
    </w:p>
    <w:p w:rsidR="0042299A" w:rsidRDefault="0042299A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рен</w:t>
      </w:r>
      <w:r w:rsidR="00B760E9">
        <w:rPr>
          <w:rFonts w:ascii="Times New Roman" w:hAnsi="Times New Roman" w:cs="Times New Roman"/>
          <w:sz w:val="24"/>
          <w:szCs w:val="24"/>
        </w:rPr>
        <w:t>тгенологического обследования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0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760E9">
        <w:rPr>
          <w:rFonts w:ascii="Times New Roman" w:hAnsi="Times New Roman" w:cs="Times New Roman"/>
          <w:sz w:val="24"/>
          <w:szCs w:val="24"/>
        </w:rPr>
        <w:t>-</w:t>
      </w:r>
      <w:r w:rsidR="00B760E9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</w:rPr>
        <w:t>й группе у 75% больных было выявлено специфическое воспаление легких, ч</w:t>
      </w:r>
      <w:r w:rsidR="00B760E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помогало </w:t>
      </w:r>
      <w:r w:rsidR="00B760E9" w:rsidRPr="00B760E9">
        <w:rPr>
          <w:rFonts w:ascii="Times New Roman" w:hAnsi="Times New Roman" w:cs="Times New Roman"/>
          <w:sz w:val="24"/>
          <w:szCs w:val="24"/>
        </w:rPr>
        <w:t>заподозрить</w:t>
      </w:r>
      <w:r>
        <w:rPr>
          <w:rFonts w:ascii="Times New Roman" w:hAnsi="Times New Roman" w:cs="Times New Roman"/>
          <w:sz w:val="24"/>
          <w:szCs w:val="24"/>
        </w:rPr>
        <w:t xml:space="preserve"> туберкулезн</w:t>
      </w:r>
      <w:r w:rsidR="00B760E9">
        <w:rPr>
          <w:rFonts w:ascii="Times New Roman" w:hAnsi="Times New Roman" w:cs="Times New Roman"/>
          <w:sz w:val="24"/>
          <w:szCs w:val="24"/>
        </w:rPr>
        <w:t>ое поражение</w:t>
      </w:r>
      <w:r>
        <w:rPr>
          <w:rFonts w:ascii="Times New Roman" w:hAnsi="Times New Roman" w:cs="Times New Roman"/>
          <w:sz w:val="24"/>
          <w:szCs w:val="24"/>
        </w:rPr>
        <w:t xml:space="preserve"> ЦНС.</w:t>
      </w:r>
    </w:p>
    <w:p w:rsidR="0042299A" w:rsidRPr="00530525" w:rsidRDefault="0042299A" w:rsidP="006A5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525">
        <w:rPr>
          <w:rFonts w:ascii="Times New Roman" w:hAnsi="Times New Roman" w:cs="Times New Roman"/>
          <w:sz w:val="24"/>
          <w:szCs w:val="24"/>
        </w:rPr>
        <w:t>При исследовании имму</w:t>
      </w:r>
      <w:r w:rsidR="00B760E9" w:rsidRPr="00530525">
        <w:rPr>
          <w:rFonts w:ascii="Times New Roman" w:hAnsi="Times New Roman" w:cs="Times New Roman"/>
          <w:sz w:val="24"/>
          <w:szCs w:val="24"/>
        </w:rPr>
        <w:t>нного статуса больных всех</w:t>
      </w:r>
      <w:r w:rsidRPr="00530525">
        <w:rPr>
          <w:rFonts w:ascii="Times New Roman" w:hAnsi="Times New Roman" w:cs="Times New Roman"/>
          <w:sz w:val="24"/>
          <w:szCs w:val="24"/>
        </w:rPr>
        <w:t xml:space="preserve"> групп было выявлено, что уровень </w:t>
      </w:r>
      <w:r w:rsidRPr="005305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85E37" w:rsidRPr="00530525">
        <w:rPr>
          <w:rFonts w:ascii="Times New Roman" w:hAnsi="Times New Roman" w:cs="Times New Roman"/>
          <w:sz w:val="24"/>
          <w:szCs w:val="24"/>
        </w:rPr>
        <w:t xml:space="preserve">4+ клеток не превышает 100 в 1 мкл. Так среднее количество </w:t>
      </w:r>
      <w:r w:rsidR="00B85E37" w:rsidRPr="0053052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85E37" w:rsidRPr="00530525">
        <w:rPr>
          <w:rFonts w:ascii="Times New Roman" w:hAnsi="Times New Roman" w:cs="Times New Roman"/>
          <w:sz w:val="24"/>
          <w:szCs w:val="24"/>
        </w:rPr>
        <w:t xml:space="preserve">4+ клеток в 1-ой группе составило </w:t>
      </w:r>
      <w:r w:rsidR="00B760E9" w:rsidRPr="00530525">
        <w:rPr>
          <w:rFonts w:ascii="Times New Roman" w:hAnsi="Times New Roman" w:cs="Times New Roman"/>
          <w:sz w:val="24"/>
          <w:szCs w:val="24"/>
        </w:rPr>
        <w:t xml:space="preserve">49 в 1 мкл., во 2-ой группе - </w:t>
      </w:r>
      <w:r w:rsidR="005E68B6" w:rsidRPr="00530525">
        <w:rPr>
          <w:rFonts w:ascii="Times New Roman" w:hAnsi="Times New Roman" w:cs="Times New Roman"/>
          <w:sz w:val="24"/>
          <w:szCs w:val="24"/>
        </w:rPr>
        <w:t>55</w:t>
      </w:r>
      <w:r w:rsidR="00B85E37" w:rsidRPr="00530525">
        <w:rPr>
          <w:rFonts w:ascii="Times New Roman" w:hAnsi="Times New Roman" w:cs="Times New Roman"/>
          <w:sz w:val="24"/>
          <w:szCs w:val="24"/>
        </w:rPr>
        <w:t xml:space="preserve"> в 1 мкл., а в </w:t>
      </w:r>
      <w:r w:rsidR="00B760E9" w:rsidRPr="00530525">
        <w:rPr>
          <w:rFonts w:ascii="Times New Roman" w:hAnsi="Times New Roman" w:cs="Times New Roman"/>
          <w:sz w:val="24"/>
          <w:szCs w:val="24"/>
        </w:rPr>
        <w:t>3</w:t>
      </w:r>
      <w:r w:rsidR="00A337D8" w:rsidRPr="00530525">
        <w:rPr>
          <w:rFonts w:ascii="Times New Roman" w:hAnsi="Times New Roman" w:cs="Times New Roman"/>
          <w:sz w:val="24"/>
          <w:szCs w:val="24"/>
        </w:rPr>
        <w:t>-ой группе -</w:t>
      </w:r>
      <w:r w:rsidR="005E68B6" w:rsidRPr="00530525">
        <w:rPr>
          <w:rFonts w:ascii="Times New Roman" w:hAnsi="Times New Roman" w:cs="Times New Roman"/>
          <w:sz w:val="24"/>
          <w:szCs w:val="24"/>
        </w:rPr>
        <w:t xml:space="preserve"> 91</w:t>
      </w:r>
      <w:r w:rsidR="00B85E37" w:rsidRPr="00530525">
        <w:rPr>
          <w:rFonts w:ascii="Times New Roman" w:hAnsi="Times New Roman" w:cs="Times New Roman"/>
          <w:sz w:val="24"/>
          <w:szCs w:val="24"/>
        </w:rPr>
        <w:t xml:space="preserve"> в 1 мкл.</w:t>
      </w:r>
    </w:p>
    <w:p w:rsidR="00AA6225" w:rsidRDefault="00600340" w:rsidP="00600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25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AA6225" w:rsidRDefault="00284133" w:rsidP="00AA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исследуемых групп больных доминирующим путем заражения ВИЧ является инъекционный. </w:t>
      </w:r>
      <w:r w:rsidR="00AA6225">
        <w:rPr>
          <w:rFonts w:ascii="Times New Roman" w:hAnsi="Times New Roman" w:cs="Times New Roman"/>
          <w:sz w:val="24"/>
          <w:szCs w:val="24"/>
        </w:rPr>
        <w:t>По данным Областной клинической инфекционной больницы г. Харькова наиболее частыми возбудителями поражающими ЦНС у ВИ</w:t>
      </w:r>
      <w:r w:rsidR="0029771B">
        <w:rPr>
          <w:rFonts w:ascii="Times New Roman" w:hAnsi="Times New Roman" w:cs="Times New Roman"/>
          <w:sz w:val="24"/>
          <w:szCs w:val="24"/>
        </w:rPr>
        <w:t>Ч-позитивных больных явились вирус Эпштейн-Барра</w:t>
      </w:r>
      <w:r w:rsidR="00AA6225">
        <w:rPr>
          <w:rFonts w:ascii="Times New Roman" w:hAnsi="Times New Roman" w:cs="Times New Roman"/>
          <w:sz w:val="24"/>
          <w:szCs w:val="24"/>
        </w:rPr>
        <w:t xml:space="preserve"> (34%), токсоплазма (</w:t>
      </w:r>
      <w:r w:rsidR="00584C35">
        <w:rPr>
          <w:rFonts w:ascii="Times New Roman" w:hAnsi="Times New Roman" w:cs="Times New Roman"/>
          <w:sz w:val="24"/>
          <w:szCs w:val="24"/>
        </w:rPr>
        <w:t>28,4%) и микобактерия туберкуле</w:t>
      </w:r>
      <w:r w:rsidR="00AA6225">
        <w:rPr>
          <w:rFonts w:ascii="Times New Roman" w:hAnsi="Times New Roman" w:cs="Times New Roman"/>
          <w:sz w:val="24"/>
          <w:szCs w:val="24"/>
        </w:rPr>
        <w:t>за (27,6%).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6FE">
        <w:rPr>
          <w:rFonts w:ascii="Times New Roman" w:hAnsi="Times New Roman" w:cs="Times New Roman"/>
          <w:sz w:val="24"/>
          <w:szCs w:val="24"/>
        </w:rPr>
        <w:t>Заболевание развивалось</w:t>
      </w:r>
      <w:r w:rsidR="00CB0884">
        <w:rPr>
          <w:rFonts w:ascii="Times New Roman" w:hAnsi="Times New Roman" w:cs="Times New Roman"/>
          <w:sz w:val="24"/>
          <w:szCs w:val="24"/>
        </w:rPr>
        <w:t xml:space="preserve"> в ос</w:t>
      </w:r>
      <w:r w:rsidR="00584C35">
        <w:rPr>
          <w:rFonts w:ascii="Times New Roman" w:hAnsi="Times New Roman" w:cs="Times New Roman"/>
          <w:sz w:val="24"/>
          <w:szCs w:val="24"/>
        </w:rPr>
        <w:t>новном у лиц молодого возраста</w:t>
      </w:r>
      <w:r w:rsidR="004B10A9">
        <w:rPr>
          <w:rFonts w:ascii="Times New Roman" w:hAnsi="Times New Roman" w:cs="Times New Roman"/>
          <w:sz w:val="24"/>
          <w:szCs w:val="24"/>
        </w:rPr>
        <w:t>,</w:t>
      </w:r>
      <w:r w:rsidR="00584C35">
        <w:rPr>
          <w:rFonts w:ascii="Times New Roman" w:hAnsi="Times New Roman" w:cs="Times New Roman"/>
          <w:sz w:val="24"/>
          <w:szCs w:val="24"/>
        </w:rPr>
        <w:t xml:space="preserve"> не зависимо от пола.</w:t>
      </w:r>
    </w:p>
    <w:p w:rsidR="004536FE" w:rsidRDefault="00584C35" w:rsidP="00AA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35">
        <w:rPr>
          <w:rFonts w:ascii="Times New Roman" w:hAnsi="Times New Roman" w:cs="Times New Roman"/>
          <w:sz w:val="24"/>
          <w:szCs w:val="24"/>
        </w:rPr>
        <w:t>Инфек</w:t>
      </w:r>
      <w:r>
        <w:rPr>
          <w:rFonts w:ascii="Times New Roman" w:hAnsi="Times New Roman" w:cs="Times New Roman"/>
          <w:sz w:val="24"/>
          <w:szCs w:val="24"/>
        </w:rPr>
        <w:t xml:space="preserve">ционные поражения ЦНС у ВИЧ-позитивных больных развиваются постепенно </w:t>
      </w:r>
      <w:r w:rsidR="00530525">
        <w:rPr>
          <w:rFonts w:ascii="Times New Roman" w:hAnsi="Times New Roman" w:cs="Times New Roman"/>
          <w:sz w:val="24"/>
          <w:szCs w:val="24"/>
        </w:rPr>
        <w:t xml:space="preserve">и проявляются клинически </w:t>
      </w:r>
      <w:r>
        <w:rPr>
          <w:rFonts w:ascii="Times New Roman" w:hAnsi="Times New Roman" w:cs="Times New Roman"/>
          <w:sz w:val="24"/>
          <w:szCs w:val="24"/>
        </w:rPr>
        <w:t>на фоне глубокого иммунодефицита</w:t>
      </w:r>
      <w:r w:rsidR="00A3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Pr="00584C3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84C35">
        <w:rPr>
          <w:rFonts w:ascii="Times New Roman" w:hAnsi="Times New Roman" w:cs="Times New Roman"/>
          <w:sz w:val="24"/>
          <w:szCs w:val="24"/>
        </w:rPr>
        <w:t>4+ клеток</w:t>
      </w:r>
      <w:r w:rsidR="008C05DC">
        <w:rPr>
          <w:rFonts w:ascii="Times New Roman" w:hAnsi="Times New Roman" w:cs="Times New Roman"/>
          <w:sz w:val="24"/>
          <w:szCs w:val="24"/>
        </w:rPr>
        <w:t xml:space="preserve"> меньше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05D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в 1 мкл.</w:t>
      </w:r>
    </w:p>
    <w:p w:rsidR="00A337D8" w:rsidRDefault="00A337D8" w:rsidP="00AA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Клиническая картина инфекционных поражений ЦНС у ВИЧ-позитивных больных имеет свои особенности в зависимости от этиологии. </w:t>
      </w:r>
      <w:r w:rsidR="004D2A69">
        <w:rPr>
          <w:rFonts w:ascii="Times New Roman" w:hAnsi="Times New Roman" w:cs="Times New Roman"/>
          <w:sz w:val="24"/>
          <w:szCs w:val="24"/>
        </w:rPr>
        <w:t>Та</w:t>
      </w:r>
      <w:r w:rsidR="000C2CE4">
        <w:rPr>
          <w:rFonts w:ascii="Times New Roman" w:hAnsi="Times New Roman" w:cs="Times New Roman"/>
          <w:sz w:val="24"/>
          <w:szCs w:val="24"/>
        </w:rPr>
        <w:t xml:space="preserve">к </w:t>
      </w:r>
      <w:r w:rsidR="00C710C2">
        <w:rPr>
          <w:rFonts w:ascii="Times New Roman" w:hAnsi="Times New Roman" w:cs="Times New Roman"/>
          <w:sz w:val="24"/>
          <w:szCs w:val="24"/>
        </w:rPr>
        <w:t>детальное исследование неврологического статуса больного и совокупность отдельных симптомов может позволить врачу предположить ту или иную этиологию поражения ЦНС</w:t>
      </w:r>
      <w:r w:rsidR="008C05DC">
        <w:rPr>
          <w:rFonts w:ascii="Times New Roman" w:hAnsi="Times New Roman" w:cs="Times New Roman"/>
          <w:sz w:val="24"/>
          <w:szCs w:val="24"/>
        </w:rPr>
        <w:t xml:space="preserve"> и как следствие начать раннюю этиотропную терапию</w:t>
      </w:r>
      <w:r w:rsidR="00C710C2">
        <w:rPr>
          <w:rFonts w:ascii="Times New Roman" w:hAnsi="Times New Roman" w:cs="Times New Roman"/>
          <w:sz w:val="24"/>
          <w:szCs w:val="24"/>
        </w:rPr>
        <w:t>.</w:t>
      </w:r>
    </w:p>
    <w:p w:rsidR="00C710C2" w:rsidRDefault="00C710C2" w:rsidP="00AA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Важное диагностическое значение </w:t>
      </w:r>
      <w:r w:rsidR="008C05DC">
        <w:rPr>
          <w:rFonts w:ascii="Times New Roman" w:hAnsi="Times New Roman" w:cs="Times New Roman"/>
          <w:sz w:val="24"/>
          <w:szCs w:val="24"/>
        </w:rPr>
        <w:t xml:space="preserve">в подтверждении этиологии поражения ЦНС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8C05D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клинический анализ и ПЦР исследование ликвора.</w:t>
      </w:r>
    </w:p>
    <w:p w:rsidR="00C710C2" w:rsidRPr="00584C35" w:rsidRDefault="008C05DC" w:rsidP="00AA62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="0076378C">
        <w:rPr>
          <w:rFonts w:ascii="Times New Roman" w:hAnsi="Times New Roman" w:cs="Times New Roman"/>
          <w:sz w:val="24"/>
          <w:szCs w:val="24"/>
        </w:rPr>
        <w:t xml:space="preserve"> очагов специфического</w:t>
      </w:r>
      <w:r>
        <w:rPr>
          <w:rFonts w:ascii="Times New Roman" w:hAnsi="Times New Roman" w:cs="Times New Roman"/>
          <w:sz w:val="24"/>
          <w:szCs w:val="24"/>
        </w:rPr>
        <w:t xml:space="preserve"> туберкулезного</w:t>
      </w:r>
      <w:r w:rsidR="0076378C">
        <w:rPr>
          <w:rFonts w:ascii="Times New Roman" w:hAnsi="Times New Roman" w:cs="Times New Roman"/>
          <w:sz w:val="24"/>
          <w:szCs w:val="24"/>
        </w:rPr>
        <w:t xml:space="preserve"> воспаления в легких</w:t>
      </w:r>
      <w:r>
        <w:rPr>
          <w:rFonts w:ascii="Times New Roman" w:hAnsi="Times New Roman" w:cs="Times New Roman"/>
          <w:sz w:val="24"/>
          <w:szCs w:val="24"/>
        </w:rPr>
        <w:t xml:space="preserve"> в сочетании с неврологической симптоматикой позволяет с большой долей вероятности установить туберкулезное поражение ЦНС</w:t>
      </w:r>
      <w:r w:rsidR="0076378C">
        <w:rPr>
          <w:rFonts w:ascii="Times New Roman" w:hAnsi="Times New Roman" w:cs="Times New Roman"/>
          <w:sz w:val="24"/>
          <w:szCs w:val="24"/>
        </w:rPr>
        <w:t>.</w:t>
      </w:r>
    </w:p>
    <w:p w:rsidR="00600340" w:rsidRDefault="00600340" w:rsidP="00600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bCs/>
          <w:sz w:val="24"/>
          <w:szCs w:val="24"/>
        </w:rPr>
        <w:t>Гоженко А.И., Гуменюк Н.А., Гойдык В.С. [и др.] // Международный неврологический журнал - 2012 - № 4(50).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Евтушенко С.К. [и др.] // Международный неврологический журнал. - 2006 - № 5(9) - С. 147-157.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iCs/>
          <w:sz w:val="24"/>
          <w:szCs w:val="24"/>
        </w:rPr>
        <w:t>Евтушенко С.К., Деревянко И.Н. // Диагностика и лечение поражений нервной системы у ВИЧ-инфицированных лиц при первичном и вторичном нейроСПИДе: Метод. рекомендации - Донецк - 2001 - С. 36.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Ермак Т.Н., Перегудова А.Б., Груздев Б.М. //Тер. Архив - 2006 - № 1.- С. 80 - 81.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Кайдашев И.П., Герасименко Н.Д., Горбатенко В.В. [и др.] // Український терапевтичний журнал - 2007 - № 2 - С. 57-65.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Леви Д.Э. // ВИЧ и патогенез СПИДа: Монография - 2010 - С. 736.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Лобзин Ю.В. // Руководство по инфекционным болезням – 2000 - С. 74 82.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Мельничук П.В., Штульман Д.Р. // Неврологические проявления ВИЧ-инфекции. Болезни нервной системы - 2003 - С. 399-408.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Михайленко A.A., Осетров Б.А. // Дифференциальная диагностика нервных болезней: Руководство для врачей - 2001 С. 635-647.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Міністерство охорони здоров’я України. Гармонізований національний звіт про досягнутий прогрес </w:t>
      </w:r>
      <w:proofErr w:type="gramStart"/>
      <w:r w:rsidRPr="00166920">
        <w:rPr>
          <w:rFonts w:ascii="Times New Roman" w:eastAsia="Calibri" w:hAnsi="Times New Roman" w:cs="Times New Roman"/>
          <w:sz w:val="24"/>
          <w:szCs w:val="24"/>
        </w:rPr>
        <w:t>у зд</w:t>
      </w:r>
      <w:proofErr w:type="gram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ійсненні заходів у відповідь на СНІД.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</w:rPr>
        <w:t>Звітній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</w:rPr>
        <w:t>період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</w:rPr>
        <w:t>Січень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 2010 р. -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</w:rPr>
        <w:t>грудень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 2011 р.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 - 2012 р.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Палатова Н.М., Егорова О.Ю. // ВИЧ</w:t>
      </w:r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>инфекция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66920">
        <w:rPr>
          <w:rFonts w:ascii="Times New Roman" w:eastAsia="Calibri" w:hAnsi="Times New Roman" w:cs="Times New Roman"/>
          <w:sz w:val="24"/>
          <w:szCs w:val="24"/>
        </w:rPr>
        <w:t xml:space="preserve"> Клинические проявления и формы. Особенности сестринского процесса. Профилактика профессиональных заражений. М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>етодическое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>пособие</w:t>
      </w:r>
      <w:proofErr w:type="spellEnd"/>
      <w:r w:rsidRPr="0016692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66920">
        <w:rPr>
          <w:rFonts w:ascii="Times New Roman" w:eastAsia="Calibri" w:hAnsi="Times New Roman" w:cs="Times New Roman"/>
          <w:sz w:val="24"/>
          <w:szCs w:val="24"/>
        </w:rPr>
        <w:t>-2010.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sz w:val="24"/>
          <w:szCs w:val="24"/>
        </w:rPr>
        <w:t>Покровский В.В. // ВИЧ-инфекция и СПИД - 2010 - С. 192.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Manfredi</w:t>
      </w:r>
      <w:proofErr w:type="spellEnd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R. // JAMA - 2005 – Vol. 293 – P. 1393-1394.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lastRenderedPageBreak/>
        <w:t xml:space="preserve">Murphy E.L., Collier A.C., </w:t>
      </w:r>
      <w:proofErr w:type="spellStart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Kalish</w:t>
      </w:r>
      <w:proofErr w:type="spellEnd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L.A. et al. // Annals of Internal Medicine – 2001 – Vol. 135 – P. 17-26.</w:t>
      </w:r>
    </w:p>
    <w:p w:rsidR="00166920" w:rsidRPr="00166920" w:rsidRDefault="00166920" w:rsidP="0016692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Stephenson J. // JAMA – 2005 – Vol. 294 – P. 2961-a.</w:t>
      </w:r>
    </w:p>
    <w:p w:rsidR="00166920" w:rsidRPr="006F18FC" w:rsidRDefault="00166920" w:rsidP="0060034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Stevens L., </w:t>
      </w:r>
      <w:proofErr w:type="spellStart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Lynm</w:t>
      </w:r>
      <w:proofErr w:type="spellEnd"/>
      <w:r w:rsidRPr="0016692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C., Glass R. // JAMA – 2006 – Vol. 296 – P. 892.</w:t>
      </w:r>
    </w:p>
    <w:p w:rsidR="006F18FC" w:rsidRPr="00166920" w:rsidRDefault="006F18FC" w:rsidP="00600340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18F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World Health Organiza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tion TB / HIV a clinical manual</w:t>
      </w:r>
      <w:r w:rsidRPr="006F18F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Second edition </w:t>
      </w:r>
      <w:r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6F18FC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2004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F18FC" w:rsidRPr="006F18FC" w:rsidRDefault="006F18FC" w:rsidP="006F18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18FC" w:rsidRDefault="006F18FC" w:rsidP="006F18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Иллюстрации</w:t>
      </w:r>
      <w:proofErr w:type="spellEnd"/>
    </w:p>
    <w:p w:rsidR="006F18FC" w:rsidRPr="006F18FC" w:rsidRDefault="006F18FC" w:rsidP="006F18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C1482" w:rsidRDefault="00166920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6E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437B1" wp14:editId="28E94A82">
            <wp:extent cx="5486400" cy="2490470"/>
            <wp:effectExtent l="0" t="0" r="19050" b="2413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8FC" w:rsidRDefault="006F18FC" w:rsidP="006F1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0450">
        <w:rPr>
          <w:rFonts w:ascii="Times New Roman" w:hAnsi="Times New Roman" w:cs="Times New Roman"/>
          <w:sz w:val="24"/>
          <w:szCs w:val="24"/>
        </w:rPr>
        <w:t xml:space="preserve">Рис.1 Этиологическая структура инфекционных поражений ЦНС у </w:t>
      </w:r>
      <w:proofErr w:type="gramStart"/>
      <w:r w:rsidRPr="00440450">
        <w:rPr>
          <w:rFonts w:ascii="Times New Roman" w:hAnsi="Times New Roman" w:cs="Times New Roman"/>
          <w:sz w:val="24"/>
          <w:szCs w:val="24"/>
        </w:rPr>
        <w:t>ВИЧ-позитивных</w:t>
      </w:r>
      <w:proofErr w:type="gramEnd"/>
      <w:r w:rsidRPr="00440450">
        <w:rPr>
          <w:rFonts w:ascii="Times New Roman" w:hAnsi="Times New Roman" w:cs="Times New Roman"/>
          <w:sz w:val="24"/>
          <w:szCs w:val="24"/>
        </w:rPr>
        <w:t xml:space="preserve"> больных</w:t>
      </w:r>
    </w:p>
    <w:p w:rsidR="00B172F2" w:rsidRDefault="00B172F2" w:rsidP="006F1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72F2" w:rsidRPr="00B172F2" w:rsidRDefault="00B172F2" w:rsidP="006F18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18FC" w:rsidRDefault="00440450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45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5655" cy="3725545"/>
            <wp:effectExtent l="0" t="0" r="10795" b="2730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0450" w:rsidRPr="00440450" w:rsidRDefault="00440450" w:rsidP="00440450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Рис. 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Характеристика </w:t>
      </w:r>
      <w:r w:rsidR="00543492">
        <w:rPr>
          <w:rFonts w:ascii="Times New Roman" w:eastAsia="Calibri" w:hAnsi="Times New Roman" w:cs="Times New Roman"/>
          <w:sz w:val="24"/>
          <w:szCs w:val="24"/>
          <w:lang w:val="uk-UA"/>
        </w:rPr>
        <w:t>путей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43492">
        <w:rPr>
          <w:rFonts w:ascii="Times New Roman" w:eastAsia="Calibri" w:hAnsi="Times New Roman" w:cs="Times New Roman"/>
          <w:sz w:val="24"/>
          <w:szCs w:val="24"/>
        </w:rPr>
        <w:t>заражен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и</w:t>
      </w:r>
      <w:r w:rsidRPr="00543492">
        <w:rPr>
          <w:rFonts w:ascii="Times New Roman" w:eastAsia="Calibri" w:hAnsi="Times New Roman" w:cs="Times New Roman"/>
          <w:sz w:val="24"/>
          <w:szCs w:val="24"/>
        </w:rPr>
        <w:t>я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="00543492">
        <w:rPr>
          <w:rFonts w:ascii="Times New Roman" w:eastAsia="Calibri" w:hAnsi="Times New Roman" w:cs="Times New Roman"/>
          <w:sz w:val="24"/>
          <w:szCs w:val="24"/>
          <w:lang w:val="uk-UA"/>
        </w:rPr>
        <w:t>ИЧ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43492">
        <w:rPr>
          <w:rFonts w:ascii="Times New Roman" w:eastAsia="Calibri" w:hAnsi="Times New Roman" w:cs="Times New Roman"/>
          <w:sz w:val="24"/>
          <w:szCs w:val="24"/>
        </w:rPr>
        <w:t>сред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и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больных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3492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и</w:t>
      </w:r>
      <w:r w:rsidRPr="00543492">
        <w:rPr>
          <w:rFonts w:ascii="Times New Roman" w:eastAsia="Calibri" w:hAnsi="Times New Roman" w:cs="Times New Roman"/>
          <w:sz w:val="24"/>
          <w:szCs w:val="24"/>
        </w:rPr>
        <w:t>нфекц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ионны</w:t>
      </w:r>
      <w:r w:rsidRPr="00543492">
        <w:rPr>
          <w:rFonts w:ascii="Times New Roman" w:eastAsia="Calibri" w:hAnsi="Times New Roman" w:cs="Times New Roman"/>
          <w:sz w:val="24"/>
          <w:szCs w:val="24"/>
        </w:rPr>
        <w:t>ми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пор</w:t>
      </w:r>
      <w:r w:rsidRPr="00543492">
        <w:rPr>
          <w:rFonts w:ascii="Times New Roman" w:eastAsia="Calibri" w:hAnsi="Times New Roman" w:cs="Times New Roman"/>
          <w:sz w:val="24"/>
          <w:szCs w:val="24"/>
        </w:rPr>
        <w:t>ажен</w:t>
      </w:r>
      <w:r w:rsidR="00543492" w:rsidRPr="00543492">
        <w:rPr>
          <w:rFonts w:ascii="Times New Roman" w:eastAsia="Calibri" w:hAnsi="Times New Roman" w:cs="Times New Roman"/>
          <w:sz w:val="24"/>
          <w:szCs w:val="24"/>
        </w:rPr>
        <w:t>и</w:t>
      </w:r>
      <w:r w:rsidRPr="00543492">
        <w:rPr>
          <w:rFonts w:ascii="Times New Roman" w:eastAsia="Calibri" w:hAnsi="Times New Roman" w:cs="Times New Roman"/>
          <w:sz w:val="24"/>
          <w:szCs w:val="24"/>
        </w:rPr>
        <w:t>ями</w:t>
      </w:r>
      <w:r w:rsidRPr="0044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ЦНС</w:t>
      </w:r>
    </w:p>
    <w:p w:rsidR="00440450" w:rsidRDefault="00440450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80609" w:rsidRDefault="00E80609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Табл. 1 </w:t>
      </w:r>
      <w:r w:rsidR="008413DF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4A51" w:rsidRPr="00834A51">
        <w:rPr>
          <w:rFonts w:ascii="Times New Roman" w:eastAsia="Calibri" w:hAnsi="Times New Roman" w:cs="Times New Roman"/>
          <w:sz w:val="24"/>
          <w:szCs w:val="24"/>
        </w:rPr>
        <w:t>ликвора</w:t>
      </w:r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>ВИЧ-инфицированных</w:t>
      </w:r>
      <w:proofErr w:type="spellEnd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>больных</w:t>
      </w:r>
      <w:proofErr w:type="spellEnd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>инфекционными</w:t>
      </w:r>
      <w:proofErr w:type="spellEnd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>поражениями</w:t>
      </w:r>
      <w:proofErr w:type="spellEnd"/>
      <w:r w:rsidR="00834A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ЦНС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2071"/>
        <w:gridCol w:w="2071"/>
        <w:gridCol w:w="2071"/>
      </w:tblGrid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Показатели</w:t>
            </w:r>
            <w:proofErr w:type="spellEnd"/>
          </w:p>
        </w:tc>
        <w:tc>
          <w:tcPr>
            <w:tcW w:w="1494" w:type="dxa"/>
            <w:vAlign w:val="center"/>
          </w:tcPr>
          <w:p w:rsidR="008413DF" w:rsidRPr="00834A51" w:rsidRDefault="008413DF" w:rsidP="00834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1-я </w:t>
            </w:r>
            <w:proofErr w:type="spellStart"/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группа</w:t>
            </w:r>
            <w:proofErr w:type="spellEnd"/>
          </w:p>
        </w:tc>
        <w:tc>
          <w:tcPr>
            <w:tcW w:w="1899" w:type="dxa"/>
            <w:vAlign w:val="center"/>
          </w:tcPr>
          <w:p w:rsidR="008413DF" w:rsidRPr="00834A51" w:rsidRDefault="008413DF" w:rsidP="00834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2-я </w:t>
            </w:r>
            <w:proofErr w:type="spellStart"/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группа</w:t>
            </w:r>
            <w:proofErr w:type="spellEnd"/>
          </w:p>
        </w:tc>
        <w:tc>
          <w:tcPr>
            <w:tcW w:w="1900" w:type="dxa"/>
            <w:vAlign w:val="center"/>
          </w:tcPr>
          <w:p w:rsidR="008413DF" w:rsidRPr="00834A51" w:rsidRDefault="008413DF" w:rsidP="00834A5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3-я </w:t>
            </w:r>
            <w:proofErr w:type="spellStart"/>
            <w:r w:rsidRPr="00834A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группа</w:t>
            </w:r>
            <w:proofErr w:type="spellEnd"/>
          </w:p>
        </w:tc>
      </w:tr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Давление</w:t>
            </w:r>
            <w:proofErr w:type="spellEnd"/>
          </w:p>
        </w:tc>
        <w:tc>
          <w:tcPr>
            <w:tcW w:w="1494" w:type="dxa"/>
            <w:vAlign w:val="center"/>
          </w:tcPr>
          <w:p w:rsidR="008413DF" w:rsidRDefault="008413DF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Повышено</w:t>
            </w:r>
            <w:proofErr w:type="spellEnd"/>
          </w:p>
        </w:tc>
        <w:tc>
          <w:tcPr>
            <w:tcW w:w="1899" w:type="dxa"/>
            <w:vAlign w:val="center"/>
          </w:tcPr>
          <w:p w:rsidR="008413DF" w:rsidRDefault="008413DF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слегка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повышено</w:t>
            </w:r>
            <w:proofErr w:type="spellEnd"/>
          </w:p>
        </w:tc>
        <w:tc>
          <w:tcPr>
            <w:tcW w:w="1900" w:type="dxa"/>
            <w:vAlign w:val="center"/>
          </w:tcPr>
          <w:p w:rsidR="008413DF" w:rsidRDefault="008413DF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Повышено</w:t>
            </w:r>
            <w:proofErr w:type="spellEnd"/>
          </w:p>
        </w:tc>
      </w:tr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клеток</w:t>
            </w:r>
            <w:proofErr w:type="spellEnd"/>
            <w:r w:rsidR="00C616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в 1 мкл</w:t>
            </w:r>
          </w:p>
        </w:tc>
        <w:tc>
          <w:tcPr>
            <w:tcW w:w="1494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&lt; 100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преимущественно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лимфоциты</w:t>
            </w:r>
            <w:proofErr w:type="spellEnd"/>
          </w:p>
        </w:tc>
        <w:tc>
          <w:tcPr>
            <w:tcW w:w="1899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 – 9 </w:t>
            </w:r>
            <w:proofErr w:type="spellStart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преимущественно</w:t>
            </w:r>
            <w:proofErr w:type="spellEnd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лимфоциты</w:t>
            </w:r>
            <w:proofErr w:type="spellEnd"/>
          </w:p>
        </w:tc>
        <w:tc>
          <w:tcPr>
            <w:tcW w:w="1900" w:type="dxa"/>
            <w:vAlign w:val="center"/>
          </w:tcPr>
          <w:p w:rsidR="008413DF" w:rsidRDefault="00C6167C" w:rsidP="00C61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954 </w:t>
            </w:r>
            <w:proofErr w:type="spellStart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преимущественно</w:t>
            </w:r>
            <w:proofErr w:type="spellEnd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6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лимфоциты</w:t>
            </w:r>
            <w:proofErr w:type="spellEnd"/>
          </w:p>
        </w:tc>
      </w:tr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Белок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(г/л)</w:t>
            </w:r>
          </w:p>
        </w:tc>
        <w:tc>
          <w:tcPr>
            <w:tcW w:w="1494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899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0,86</w:t>
            </w:r>
          </w:p>
        </w:tc>
        <w:tc>
          <w:tcPr>
            <w:tcW w:w="1900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1,6</w:t>
            </w:r>
          </w:p>
        </w:tc>
      </w:tr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Глюкоза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ммоль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/л)</w:t>
            </w:r>
          </w:p>
        </w:tc>
        <w:tc>
          <w:tcPr>
            <w:tcW w:w="1494" w:type="dxa"/>
            <w:vAlign w:val="center"/>
          </w:tcPr>
          <w:p w:rsidR="008413DF" w:rsidRDefault="008413DF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1899" w:type="dxa"/>
            <w:vAlign w:val="center"/>
          </w:tcPr>
          <w:p w:rsidR="008413DF" w:rsidRDefault="008413DF" w:rsidP="00D63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1900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1,8</w:t>
            </w:r>
          </w:p>
        </w:tc>
      </w:tr>
      <w:tr w:rsidR="008413DF" w:rsidTr="00834A51">
        <w:tc>
          <w:tcPr>
            <w:tcW w:w="2376" w:type="dxa"/>
            <w:vAlign w:val="center"/>
          </w:tcPr>
          <w:p w:rsidR="008413DF" w:rsidRPr="00834A51" w:rsidRDefault="008413DF" w:rsidP="00834A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Хлориды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ммоль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/л)</w:t>
            </w:r>
          </w:p>
        </w:tc>
        <w:tc>
          <w:tcPr>
            <w:tcW w:w="1494" w:type="dxa"/>
            <w:vAlign w:val="center"/>
          </w:tcPr>
          <w:p w:rsidR="008413DF" w:rsidRDefault="008413DF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1899" w:type="dxa"/>
            <w:vAlign w:val="center"/>
          </w:tcPr>
          <w:p w:rsidR="008413DF" w:rsidRDefault="008413DF" w:rsidP="00D63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Норма</w:t>
            </w:r>
          </w:p>
        </w:tc>
        <w:tc>
          <w:tcPr>
            <w:tcW w:w="1900" w:type="dxa"/>
            <w:vAlign w:val="center"/>
          </w:tcPr>
          <w:p w:rsidR="008413DF" w:rsidRDefault="00C6167C" w:rsidP="00834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111,0</w:t>
            </w:r>
          </w:p>
        </w:tc>
      </w:tr>
    </w:tbl>
    <w:p w:rsidR="00834A51" w:rsidRDefault="00834A51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556E" w:rsidRDefault="00A9556E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556E" w:rsidRDefault="00A9556E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9556E" w:rsidRDefault="00BD71F5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9556E" w:rsidRDefault="00A9556E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56E">
        <w:rPr>
          <w:rFonts w:ascii="Times New Roman" w:eastAsia="Calibri" w:hAnsi="Times New Roman" w:cs="Times New Roman"/>
          <w:b/>
          <w:sz w:val="24"/>
          <w:szCs w:val="24"/>
        </w:rPr>
        <w:t>Гаврилов Анатолий Викторович</w:t>
      </w:r>
      <w:r>
        <w:rPr>
          <w:rFonts w:ascii="Times New Roman" w:eastAsia="Calibri" w:hAnsi="Times New Roman" w:cs="Times New Roman"/>
          <w:sz w:val="24"/>
          <w:szCs w:val="24"/>
        </w:rPr>
        <w:t>, аспирант кафедры инфекционных болезней Харьковского национального медицинского университета, Украина.</w:t>
      </w:r>
    </w:p>
    <w:p w:rsidR="00A9556E" w:rsidRPr="00B172F2" w:rsidRDefault="00A9556E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Моб</w:t>
      </w:r>
      <w:r w:rsidRPr="00B172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тел</w:t>
      </w:r>
      <w:r w:rsidRPr="00B172F2">
        <w:rPr>
          <w:rFonts w:ascii="Times New Roman" w:eastAsia="Calibri" w:hAnsi="Times New Roman" w:cs="Times New Roman"/>
          <w:sz w:val="24"/>
          <w:szCs w:val="24"/>
          <w:lang w:val="en-US"/>
        </w:rPr>
        <w:t>.: +380958059255</w:t>
      </w:r>
    </w:p>
    <w:p w:rsidR="00A9556E" w:rsidRPr="00A9556E" w:rsidRDefault="00A9556E" w:rsidP="006F18FC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B172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gaan@ukr.net</w:t>
      </w:r>
    </w:p>
    <w:sectPr w:rsidR="00A9556E" w:rsidRPr="00A9556E" w:rsidSect="002A0161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D3" w:rsidRDefault="00F864D3" w:rsidP="002A0161">
      <w:pPr>
        <w:spacing w:after="0" w:line="240" w:lineRule="auto"/>
      </w:pPr>
      <w:r>
        <w:separator/>
      </w:r>
    </w:p>
  </w:endnote>
  <w:endnote w:type="continuationSeparator" w:id="0">
    <w:p w:rsidR="00F864D3" w:rsidRDefault="00F864D3" w:rsidP="002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51763"/>
      <w:docPartObj>
        <w:docPartGallery w:val="Page Numbers (Bottom of Page)"/>
        <w:docPartUnique/>
      </w:docPartObj>
    </w:sdtPr>
    <w:sdtEndPr/>
    <w:sdtContent>
      <w:p w:rsidR="00A9556E" w:rsidRDefault="00A955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F2">
          <w:rPr>
            <w:noProof/>
          </w:rPr>
          <w:t>8</w:t>
        </w:r>
        <w:r>
          <w:fldChar w:fldCharType="end"/>
        </w:r>
      </w:p>
    </w:sdtContent>
  </w:sdt>
  <w:p w:rsidR="002A0161" w:rsidRDefault="002A0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D3" w:rsidRDefault="00F864D3" w:rsidP="002A0161">
      <w:pPr>
        <w:spacing w:after="0" w:line="240" w:lineRule="auto"/>
      </w:pPr>
      <w:r>
        <w:separator/>
      </w:r>
    </w:p>
  </w:footnote>
  <w:footnote w:type="continuationSeparator" w:id="0">
    <w:p w:rsidR="00F864D3" w:rsidRDefault="00F864D3" w:rsidP="002A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0D9"/>
    <w:multiLevelType w:val="hybridMultilevel"/>
    <w:tmpl w:val="119C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1"/>
    <w:rsid w:val="000612EC"/>
    <w:rsid w:val="000A116B"/>
    <w:rsid w:val="000A5316"/>
    <w:rsid w:val="000B0982"/>
    <w:rsid w:val="000C2CE4"/>
    <w:rsid w:val="000C47F0"/>
    <w:rsid w:val="000E5852"/>
    <w:rsid w:val="00102F6E"/>
    <w:rsid w:val="00114D70"/>
    <w:rsid w:val="00166920"/>
    <w:rsid w:val="00182008"/>
    <w:rsid w:val="001C63CE"/>
    <w:rsid w:val="001F5E69"/>
    <w:rsid w:val="001F6C8E"/>
    <w:rsid w:val="00202A05"/>
    <w:rsid w:val="002146EF"/>
    <w:rsid w:val="00223182"/>
    <w:rsid w:val="002515DC"/>
    <w:rsid w:val="00274E16"/>
    <w:rsid w:val="00284133"/>
    <w:rsid w:val="00285D96"/>
    <w:rsid w:val="0029771B"/>
    <w:rsid w:val="00297BF2"/>
    <w:rsid w:val="002A0161"/>
    <w:rsid w:val="002B4643"/>
    <w:rsid w:val="002B5021"/>
    <w:rsid w:val="002B706E"/>
    <w:rsid w:val="002C7B72"/>
    <w:rsid w:val="002E5DB7"/>
    <w:rsid w:val="003013A9"/>
    <w:rsid w:val="00350FB8"/>
    <w:rsid w:val="003525D7"/>
    <w:rsid w:val="003661DE"/>
    <w:rsid w:val="00377C8C"/>
    <w:rsid w:val="00394FC6"/>
    <w:rsid w:val="003F17E3"/>
    <w:rsid w:val="0040462A"/>
    <w:rsid w:val="0042299A"/>
    <w:rsid w:val="00440450"/>
    <w:rsid w:val="004536FE"/>
    <w:rsid w:val="004B10A9"/>
    <w:rsid w:val="004C0F95"/>
    <w:rsid w:val="004D2A69"/>
    <w:rsid w:val="004E207C"/>
    <w:rsid w:val="004F0D9E"/>
    <w:rsid w:val="00514624"/>
    <w:rsid w:val="005235EA"/>
    <w:rsid w:val="00530525"/>
    <w:rsid w:val="00543492"/>
    <w:rsid w:val="00553593"/>
    <w:rsid w:val="00573FDF"/>
    <w:rsid w:val="00574C4F"/>
    <w:rsid w:val="00584C35"/>
    <w:rsid w:val="005854F6"/>
    <w:rsid w:val="005978D4"/>
    <w:rsid w:val="005D01F6"/>
    <w:rsid w:val="005D2F6C"/>
    <w:rsid w:val="005E68B6"/>
    <w:rsid w:val="005F3644"/>
    <w:rsid w:val="00600340"/>
    <w:rsid w:val="00671B07"/>
    <w:rsid w:val="006A4DCE"/>
    <w:rsid w:val="006A51DF"/>
    <w:rsid w:val="006C4227"/>
    <w:rsid w:val="006C4D27"/>
    <w:rsid w:val="006C62B9"/>
    <w:rsid w:val="006D0B05"/>
    <w:rsid w:val="006F18FC"/>
    <w:rsid w:val="006F63EB"/>
    <w:rsid w:val="0071053E"/>
    <w:rsid w:val="00741E6D"/>
    <w:rsid w:val="0076378C"/>
    <w:rsid w:val="00792115"/>
    <w:rsid w:val="007B778A"/>
    <w:rsid w:val="007F39B9"/>
    <w:rsid w:val="00834A51"/>
    <w:rsid w:val="008413DF"/>
    <w:rsid w:val="008C05DC"/>
    <w:rsid w:val="008F1B66"/>
    <w:rsid w:val="008F7F57"/>
    <w:rsid w:val="00906E9E"/>
    <w:rsid w:val="00910682"/>
    <w:rsid w:val="00911A8D"/>
    <w:rsid w:val="00916D68"/>
    <w:rsid w:val="00923E77"/>
    <w:rsid w:val="00947646"/>
    <w:rsid w:val="00955EDD"/>
    <w:rsid w:val="00956F26"/>
    <w:rsid w:val="009C1482"/>
    <w:rsid w:val="00A10E42"/>
    <w:rsid w:val="00A12E81"/>
    <w:rsid w:val="00A32118"/>
    <w:rsid w:val="00A337D8"/>
    <w:rsid w:val="00A9556E"/>
    <w:rsid w:val="00AA6225"/>
    <w:rsid w:val="00AC702F"/>
    <w:rsid w:val="00B04ABB"/>
    <w:rsid w:val="00B172F2"/>
    <w:rsid w:val="00B760E9"/>
    <w:rsid w:val="00B85E37"/>
    <w:rsid w:val="00B97696"/>
    <w:rsid w:val="00BD71F5"/>
    <w:rsid w:val="00BE6B1B"/>
    <w:rsid w:val="00C6167C"/>
    <w:rsid w:val="00C710C2"/>
    <w:rsid w:val="00CB0884"/>
    <w:rsid w:val="00CB20CB"/>
    <w:rsid w:val="00D04B49"/>
    <w:rsid w:val="00D14346"/>
    <w:rsid w:val="00D45688"/>
    <w:rsid w:val="00D91FEB"/>
    <w:rsid w:val="00DC14B0"/>
    <w:rsid w:val="00DD54A9"/>
    <w:rsid w:val="00DE31EC"/>
    <w:rsid w:val="00DE4E59"/>
    <w:rsid w:val="00DE785D"/>
    <w:rsid w:val="00E26A72"/>
    <w:rsid w:val="00E32E71"/>
    <w:rsid w:val="00E413D0"/>
    <w:rsid w:val="00E80609"/>
    <w:rsid w:val="00E91A04"/>
    <w:rsid w:val="00E9210D"/>
    <w:rsid w:val="00E97DC6"/>
    <w:rsid w:val="00ED2717"/>
    <w:rsid w:val="00EE43BE"/>
    <w:rsid w:val="00EF444B"/>
    <w:rsid w:val="00F224DF"/>
    <w:rsid w:val="00F60CFD"/>
    <w:rsid w:val="00F864D3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161"/>
  </w:style>
  <w:style w:type="paragraph" w:styleId="a5">
    <w:name w:val="footer"/>
    <w:basedOn w:val="a"/>
    <w:link w:val="a6"/>
    <w:uiPriority w:val="99"/>
    <w:unhideWhenUsed/>
    <w:rsid w:val="002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161"/>
  </w:style>
  <w:style w:type="paragraph" w:styleId="a7">
    <w:name w:val="Balloon Text"/>
    <w:basedOn w:val="a"/>
    <w:link w:val="a8"/>
    <w:uiPriority w:val="99"/>
    <w:semiHidden/>
    <w:unhideWhenUsed/>
    <w:rsid w:val="0090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9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E78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85D"/>
  </w:style>
  <w:style w:type="paragraph" w:styleId="2">
    <w:name w:val="Body Text 2"/>
    <w:basedOn w:val="a"/>
    <w:link w:val="20"/>
    <w:uiPriority w:val="99"/>
    <w:semiHidden/>
    <w:unhideWhenUsed/>
    <w:rsid w:val="009C1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482"/>
  </w:style>
  <w:style w:type="table" w:styleId="ab">
    <w:name w:val="Table Grid"/>
    <w:basedOn w:val="a1"/>
    <w:uiPriority w:val="59"/>
    <w:rsid w:val="0083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161"/>
  </w:style>
  <w:style w:type="paragraph" w:styleId="a5">
    <w:name w:val="footer"/>
    <w:basedOn w:val="a"/>
    <w:link w:val="a6"/>
    <w:uiPriority w:val="99"/>
    <w:unhideWhenUsed/>
    <w:rsid w:val="002A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161"/>
  </w:style>
  <w:style w:type="paragraph" w:styleId="a7">
    <w:name w:val="Balloon Text"/>
    <w:basedOn w:val="a"/>
    <w:link w:val="a8"/>
    <w:uiPriority w:val="99"/>
    <w:semiHidden/>
    <w:unhideWhenUsed/>
    <w:rsid w:val="0090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9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E78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85D"/>
  </w:style>
  <w:style w:type="paragraph" w:styleId="2">
    <w:name w:val="Body Text 2"/>
    <w:basedOn w:val="a"/>
    <w:link w:val="20"/>
    <w:uiPriority w:val="99"/>
    <w:semiHidden/>
    <w:unhideWhenUsed/>
    <w:rsid w:val="009C1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482"/>
  </w:style>
  <w:style w:type="table" w:styleId="ab">
    <w:name w:val="Table Grid"/>
    <w:basedOn w:val="a1"/>
    <w:uiPriority w:val="59"/>
    <w:rsid w:val="0083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638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76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72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80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4275618374559"/>
          <c:y val="0.27380952380952384"/>
          <c:w val="0.51413427561837455"/>
          <c:h val="0.460317460317460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абс.ч.</c:v>
                </c:pt>
              </c:strCache>
            </c:strRef>
          </c:tx>
          <c:dPt>
            <c:idx val="0"/>
            <c:bubble3D val="0"/>
            <c:explosion val="4"/>
          </c:dPt>
          <c:dPt>
            <c:idx val="1"/>
            <c:bubble3D val="0"/>
            <c:explosion val="13"/>
          </c:dPt>
          <c:dPt>
            <c:idx val="2"/>
            <c:bubble3D val="0"/>
            <c:explosion val="13"/>
          </c:dPt>
          <c:dPt>
            <c:idx val="3"/>
            <c:bubble3D val="0"/>
            <c:explosion val="14"/>
          </c:dPt>
          <c:dPt>
            <c:idx val="4"/>
            <c:bubble3D val="0"/>
            <c:explosion val="15"/>
          </c:dPt>
          <c:dPt>
            <c:idx val="5"/>
            <c:bubble3D val="0"/>
            <c:explosion val="10"/>
          </c:dPt>
          <c:dLbls>
            <c:dLbl>
              <c:idx val="0"/>
              <c:layout>
                <c:manualLayout>
                  <c:x val="-4.0305845897649776E-3"/>
                  <c:y val="-0.185872192416539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6003577622585159E-2"/>
                  <c:y val="0.107531414514032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7138481585561521E-2"/>
                  <c:y val="-7.79930778667964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1597757435797546E-2"/>
                  <c:y val="-0.1351023275328727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1232506051584556E-3"/>
                  <c:y val="-0.1069570376879840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1856297795667142E-2"/>
                  <c:y val="-0.123698637619303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ВЕБ</c:v>
                </c:pt>
                <c:pt idx="1">
                  <c:v>Токсоплазма</c:v>
                </c:pt>
                <c:pt idx="2">
                  <c:v>МБТ</c:v>
                </c:pt>
                <c:pt idx="3">
                  <c:v>ЦМВ</c:v>
                </c:pt>
                <c:pt idx="4">
                  <c:v>ВПГ-1,2</c:v>
                </c:pt>
                <c:pt idx="5">
                  <c:v>Криптококк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32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Sheet1!$B$1:$G$1</c:f>
              <c:strCache>
                <c:ptCount val="6"/>
                <c:pt idx="0">
                  <c:v>ВЕБ</c:v>
                </c:pt>
                <c:pt idx="1">
                  <c:v>Токсоплазма</c:v>
                </c:pt>
                <c:pt idx="2">
                  <c:v>МБТ</c:v>
                </c:pt>
                <c:pt idx="3">
                  <c:v>ЦМВ</c:v>
                </c:pt>
                <c:pt idx="4">
                  <c:v>ВПГ-1,2</c:v>
                </c:pt>
                <c:pt idx="5">
                  <c:v>Криптококк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34.5</c:v>
                </c:pt>
                <c:pt idx="1">
                  <c:v>28.5</c:v>
                </c:pt>
                <c:pt idx="2">
                  <c:v>27.6</c:v>
                </c:pt>
                <c:pt idx="3">
                  <c:v>6</c:v>
                </c:pt>
                <c:pt idx="4">
                  <c:v>1.7</c:v>
                </c:pt>
                <c:pt idx="5">
                  <c:v>1.7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Sheet1!$B$1:$G$1</c:f>
              <c:strCache>
                <c:ptCount val="6"/>
                <c:pt idx="0">
                  <c:v>ВЕБ</c:v>
                </c:pt>
                <c:pt idx="1">
                  <c:v>Токсоплазма</c:v>
                </c:pt>
                <c:pt idx="2">
                  <c:v>МБТ</c:v>
                </c:pt>
                <c:pt idx="3">
                  <c:v>ЦМВ</c:v>
                </c:pt>
                <c:pt idx="4">
                  <c:v>ВПГ-1,2</c:v>
                </c:pt>
                <c:pt idx="5">
                  <c:v>Криптококк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505300353356889"/>
          <c:y val="0.22222222222222221"/>
          <c:w val="0.19787985865724381"/>
          <c:h val="0.551587301587301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19275123558484E-2"/>
          <c:y val="4.1884816753926704E-2"/>
          <c:w val="0.66556836902800653"/>
          <c:h val="0.842931937172774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Половой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1 група</c:v>
                </c:pt>
                <c:pt idx="1">
                  <c:v>2 група</c:v>
                </c:pt>
                <c:pt idx="2">
                  <c:v>3 група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7.5</c:v>
                </c:pt>
                <c:pt idx="1">
                  <c:v>18.2</c:v>
                </c:pt>
                <c:pt idx="2">
                  <c:v>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Неустановленный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1 група</c:v>
                </c:pt>
                <c:pt idx="1">
                  <c:v>2 група</c:v>
                </c:pt>
                <c:pt idx="2">
                  <c:v>3 група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35</c:v>
                </c:pt>
                <c:pt idx="1">
                  <c:v>45.4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Инъекционный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1 група</c:v>
                </c:pt>
                <c:pt idx="1">
                  <c:v>2 група</c:v>
                </c:pt>
                <c:pt idx="2">
                  <c:v>3 група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57.5</c:v>
                </c:pt>
                <c:pt idx="1">
                  <c:v>36.4</c:v>
                </c:pt>
                <c:pt idx="2">
                  <c:v>65.599999999999994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1859584"/>
        <c:axId val="25232512"/>
        <c:axId val="0"/>
      </c:bar3DChart>
      <c:catAx>
        <c:axId val="718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5232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2325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185958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5288303130148271"/>
          <c:y val="0.40575916230366493"/>
          <c:w val="0.24052718286655683"/>
          <c:h val="0.191099476439790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41</cp:revision>
  <dcterms:created xsi:type="dcterms:W3CDTF">2013-09-27T07:16:00Z</dcterms:created>
  <dcterms:modified xsi:type="dcterms:W3CDTF">2013-10-07T17:58:00Z</dcterms:modified>
</cp:coreProperties>
</file>