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15" w:rsidRPr="00582728" w:rsidRDefault="00060B15" w:rsidP="00060B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Пантюхова Т.О. Мітохондрії в патології: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роль та перспективи мітохондріальних терапій  / Т.О. Пантюхова // «</w:t>
      </w:r>
      <w:r w:rsidR="003F38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uzhhorod medical students conference»</w:t>
      </w:r>
      <w:r w:rsidR="003F386D"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еріали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930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міжнародної</w:t>
      </w:r>
      <w:r w:rsidRPr="005827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науково-практичної студентської конференції, Ужгород, 26-29 квітня 2023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 УжНУ «Говерла». – Ужгород, 2023. – С.59-60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60B15" w:rsidRDefault="00060B15" w:rsidP="00060B15">
      <w:pPr>
        <w:jc w:val="both"/>
        <w:rPr>
          <w:lang w:val="uk-UA"/>
        </w:rPr>
      </w:pPr>
    </w:p>
    <w:p w:rsidR="00D6151E" w:rsidRDefault="002C765F" w:rsidP="003F3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МІТОХОНДРІЇ В ПАТОЛОГІЇ: РОЛЬ ТА ПЕРСПЕКТИВИ МІТОХОНДРІАЛЬНИХ ТЕРАПІЙ</w:t>
      </w:r>
    </w:p>
    <w:p w:rsidR="00D6151E" w:rsidRPr="00060B15" w:rsidRDefault="002C765F" w:rsidP="003F38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MITOCHONDRIA IN PATHOLOGY: ROLE AND PROSPECTS OF MITOCHONDRIAL THERAPIES</w:t>
      </w:r>
    </w:p>
    <w:p w:rsidR="00D6151E" w:rsidRPr="00060B15" w:rsidRDefault="002C765F" w:rsidP="003F386D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Пантюхова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D6151E" w:rsidRPr="00060B15" w:rsidRDefault="002C765F" w:rsidP="003F386D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Науковий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керівник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Кузнецова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D6151E" w:rsidRPr="00060B15" w:rsidRDefault="002C765F" w:rsidP="003F386D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Харківський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національний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медичний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університет</w:t>
      </w:r>
    </w:p>
    <w:p w:rsidR="00D6151E" w:rsidRPr="00060B15" w:rsidRDefault="002C765F" w:rsidP="003F386D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Кафедра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загальної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клінічної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патофізіології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імені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Альперна</w:t>
      </w:r>
    </w:p>
    <w:p w:rsidR="00D6151E" w:rsidRPr="00060B15" w:rsidRDefault="002C765F" w:rsidP="003F386D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Харків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Україна</w:t>
      </w:r>
    </w:p>
    <w:p w:rsidR="00D6151E" w:rsidRPr="00060B15" w:rsidRDefault="002C765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Завдяки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клітинному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метаболізмі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енергетиці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регуляції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клітинних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процесів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дисфункції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різних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Останні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галузі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зосереджуються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розробці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терапій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патологічних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станів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язаних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дисфункцією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51E" w:rsidRPr="00060B15" w:rsidRDefault="002C765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</w:t>
      </w:r>
      <w:r w:rsidRPr="0006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Дослідити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різних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оцінити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терапій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патологічних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станів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51E" w:rsidRPr="00060B15" w:rsidRDefault="002C765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Матеріали</w:t>
      </w:r>
      <w:r w:rsidRPr="0006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методи</w:t>
      </w:r>
      <w:r w:rsidRPr="0006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дослідження</w:t>
      </w:r>
      <w:r w:rsidRPr="00060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Огляд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терапій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їх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різних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нейродегенеративні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серцево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судинні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метаболічні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онкологічні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6151E" w:rsidRPr="00060B15" w:rsidRDefault="002C765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Wallace, D.C. (2018)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своїй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розглядає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дисфункції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контексті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нейродегенеративних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наголошує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сприяти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зменшенню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нейродегенерації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зниженню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хвороб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Альцгеймера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Паркінсона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Chen, Q. et al. (2016) </w:t>
      </w:r>
      <w:r>
        <w:rPr>
          <w:rFonts w:ascii="Times New Roman" w:eastAsia="Times New Roman" w:hAnsi="Times New Roman" w:cs="Times New Roman"/>
          <w:sz w:val="24"/>
          <w:szCs w:val="24"/>
        </w:rPr>
        <w:t>досліджують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терапій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контексті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серцево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судинних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Їх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свідчать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антиоксиданти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модулятори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метаболізму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ефект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ішемічної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серця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серцевої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недостатності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артеріальної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гіпертензії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Picard, M. et al. (2018)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вивчають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метаболічних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захворюваннях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цукровий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діабет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ожиріння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Вони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демонструють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мітохондріальної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відіграє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важливу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регуляції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енергетичного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обміну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інсулінорезистентності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знизити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ризик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метаболічних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51E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Weinberg, S.E.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Chandel, N.S. (2015) </w:t>
      </w:r>
      <w:r>
        <w:rPr>
          <w:rFonts w:ascii="Times New Roman" w:eastAsia="Times New Roman" w:hAnsi="Times New Roman" w:cs="Times New Roman"/>
          <w:sz w:val="24"/>
          <w:szCs w:val="24"/>
        </w:rPr>
        <w:t>досліджують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вплив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мітохондрій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онкологічні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Вони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висвітлюють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докази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мітохондріальна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дисфункція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сприяти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мутаціям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зростанню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пухлин</w:t>
      </w: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Це відкриває нові горизонти для розробки антиракових терапій, спрямованих на мітохондріальні механізми.</w:t>
      </w:r>
    </w:p>
    <w:p w:rsidR="00D6151E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Murphy, M.P. (2018) </w:t>
      </w:r>
      <w:r>
        <w:rPr>
          <w:rFonts w:ascii="Times New Roman" w:eastAsia="Times New Roman" w:hAnsi="Times New Roman" w:cs="Times New Roman"/>
          <w:sz w:val="24"/>
          <w:szCs w:val="24"/>
        </w:rPr>
        <w:t>розглядає можливості мітохондрій-спрямованих антиоксидантів у лікуванні різних патологічних станів. Автор акцентує увагу на перспективних сполуках MitoQ і SkQ1, які можуть проникати через мітохондріальні мембрани та нейтралізувати вільні радикали безпосередньо у мітохондріях. Результати досліджень свідчать про покращення показників здоров'я при застосуванні цих сполук у клінічних умовах.</w:t>
      </w:r>
    </w:p>
    <w:p w:rsidR="00D6151E" w:rsidRDefault="002C765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Висновки.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Опубліковані дослідження на тему ефективності мітохондріальних терапій свідчать про значний прогрес у розумінні ролі мітохондрій у різних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патологічних станах, а також про можливість їх використання в терапевтичних цілях. Різні мітохондріальні терапевтичні підходи, такі як антиоксиданти, модулятори метаболізму та пептидні агенти, показують потенціал у лікуванні патологій.</w:t>
      </w:r>
    </w:p>
    <w:p w:rsidR="00D6151E" w:rsidRDefault="00D615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Wallace, D.C. (2018). Mitochondria and neurodegenerative diseases. Nature Reviews Molecular Cell Biology, 19(10), 630-643. 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Chen, Q., Ross, A.C., &amp; Zou, Y. (2016). Mitochondria-targeted drug delivery in cardiovascular disease. Journal of Controlled Release, 240, 454-466. 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https://www.sciencedirect.com/science/article/abs/pii/S0168365916300736?via%3Dihub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Picard, M., McEwen, B.S., &amp; Epel, E.S. (2018). An energetic view of stress: Focus on mitochondria. Frontiers in Neuroendocrinology, 49, 72-85. 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https://www.sciencedirect.com/science/article/abs/pii/S0091302217300687?via%3Dihub</w:t>
      </w:r>
    </w:p>
    <w:p w:rsidR="00D6151E" w:rsidRPr="00060B15" w:rsidRDefault="002C76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Weinberg, S.E., &amp; Chandel, N.S. (2015). Targeting mitochondria metabolism for cancer therapy. Nature Chemical Biology, 11(1), 9-15. </w:t>
      </w:r>
      <w:r w:rsidRPr="00060B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https://www.nature.com/articles/nchembio.1712</w:t>
      </w:r>
    </w:p>
    <w:p w:rsidR="00D6151E" w:rsidRDefault="002C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Murphy, M.P. (2018). Mitochondrial-targeted antioxidants and related compounds as therapeutics.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Review of Pharmacology and Toxicology, 58, 353-375. </w:t>
      </w:r>
    </w:p>
    <w:sectPr w:rsidR="00D6151E" w:rsidSect="00D615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F6" w:rsidRDefault="007D2FF6" w:rsidP="00D6151E">
      <w:pPr>
        <w:spacing w:line="240" w:lineRule="auto"/>
      </w:pPr>
      <w:r>
        <w:separator/>
      </w:r>
    </w:p>
  </w:endnote>
  <w:endnote w:type="continuationSeparator" w:id="0">
    <w:p w:rsidR="007D2FF6" w:rsidRDefault="007D2FF6" w:rsidP="00D61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F6" w:rsidRDefault="007D2FF6" w:rsidP="00D6151E">
      <w:pPr>
        <w:spacing w:line="240" w:lineRule="auto"/>
      </w:pPr>
      <w:r>
        <w:separator/>
      </w:r>
    </w:p>
  </w:footnote>
  <w:footnote w:type="continuationSeparator" w:id="0">
    <w:p w:rsidR="007D2FF6" w:rsidRDefault="007D2FF6" w:rsidP="00D61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1E"/>
    <w:rsid w:val="00060B15"/>
    <w:rsid w:val="002C765F"/>
    <w:rsid w:val="003F386D"/>
    <w:rsid w:val="007D2FF6"/>
    <w:rsid w:val="00D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286D"/>
  <w15:docId w15:val="{659F4BF3-BD7D-4AE9-9648-C7BCA2A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1E"/>
  </w:style>
  <w:style w:type="paragraph" w:styleId="1">
    <w:name w:val="heading 1"/>
    <w:basedOn w:val="a"/>
    <w:next w:val="a"/>
    <w:uiPriority w:val="9"/>
    <w:qFormat/>
    <w:rsid w:val="00D615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615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615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615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615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615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151E"/>
  </w:style>
  <w:style w:type="table" w:customStyle="1" w:styleId="TableNormal">
    <w:name w:val="Table Normal"/>
    <w:rsid w:val="00D6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6151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D615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D6151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60B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B15"/>
  </w:style>
  <w:style w:type="paragraph" w:styleId="a7">
    <w:name w:val="footer"/>
    <w:basedOn w:val="a"/>
    <w:link w:val="a8"/>
    <w:uiPriority w:val="99"/>
    <w:semiHidden/>
    <w:unhideWhenUsed/>
    <w:rsid w:val="00060B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Acer</cp:lastModifiedBy>
  <cp:revision>3</cp:revision>
  <dcterms:created xsi:type="dcterms:W3CDTF">2023-12-11T17:49:00Z</dcterms:created>
  <dcterms:modified xsi:type="dcterms:W3CDTF">2023-12-11T19:17:00Z</dcterms:modified>
</cp:coreProperties>
</file>