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sz w:val="28"/>
          <w:szCs w:val="28"/>
          <w:highlight w:val="white"/>
          <w:rtl w:val="0"/>
        </w:rPr>
        <w:t xml:space="preserve">УДК 378.018.43:004:61:37.042:005.336.2</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2">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Тетяна Василівна Некрашевич </w:t>
      </w:r>
    </w:p>
    <w:p w:rsidR="00000000" w:rsidDel="00000000" w:rsidP="00000000" w:rsidRDefault="00000000" w:rsidRPr="00000000" w14:paraId="0000000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кандидат педагогічних наук    </w:t>
      </w:r>
    </w:p>
    <w:p w:rsidR="00000000" w:rsidDel="00000000" w:rsidP="00000000" w:rsidRDefault="00000000" w:rsidRPr="00000000" w14:paraId="0000000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доцент, філолог</w:t>
      </w:r>
    </w:p>
    <w:p w:rsidR="00000000" w:rsidDel="00000000" w:rsidP="00000000" w:rsidRDefault="00000000" w:rsidRPr="00000000" w14:paraId="0000000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Харківський національний медичний університет</w:t>
      </w:r>
    </w:p>
    <w:p w:rsidR="00000000" w:rsidDel="00000000" w:rsidP="00000000" w:rsidRDefault="00000000" w:rsidRPr="00000000" w14:paraId="00000006">
      <w:pPr>
        <w:spacing w:after="0" w:line="360" w:lineRule="auto"/>
        <w:ind w:firstLine="709"/>
        <w:jc w:val="both"/>
        <w:rPr>
          <w:rFonts w:ascii="Times New Roman" w:cs="Times New Roman" w:eastAsia="Times New Roman" w:hAnsi="Times New Roman"/>
          <w:sz w:val="28"/>
          <w:szCs w:val="28"/>
        </w:rPr>
      </w:pPr>
      <w:hyperlink r:id="rId7">
        <w:r w:rsidDel="00000000" w:rsidR="00000000" w:rsidRPr="00000000">
          <w:rPr>
            <w:rFonts w:ascii="Times New Roman" w:cs="Times New Roman" w:eastAsia="Times New Roman" w:hAnsi="Times New Roman"/>
            <w:color w:val="0000ff"/>
            <w:sz w:val="28"/>
            <w:szCs w:val="28"/>
            <w:u w:val="single"/>
            <w:rtl w:val="0"/>
          </w:rPr>
          <w:t xml:space="preserve">meduniver@knmu.edu.ua</w:t>
        </w:r>
      </w:hyperlink>
      <w:r w:rsidDel="00000000" w:rsidR="00000000" w:rsidRPr="00000000">
        <w:rPr>
          <w:rFonts w:ascii="Times New Roman" w:cs="Times New Roman" w:eastAsia="Times New Roman" w:hAnsi="Times New Roman"/>
          <w:sz w:val="28"/>
          <w:szCs w:val="28"/>
          <w:rtl w:val="0"/>
        </w:rPr>
        <w:t xml:space="preserve">, Україна</w:t>
      </w:r>
    </w:p>
    <w:p w:rsidR="00000000" w:rsidDel="00000000" w:rsidP="00000000" w:rsidRDefault="00000000" w:rsidRPr="00000000" w14:paraId="00000007">
      <w:pPr>
        <w:spacing w:after="0" w:line="360" w:lineRule="auto"/>
        <w:ind w:firstLine="709"/>
        <w:jc w:val="both"/>
        <w:rPr>
          <w:rFonts w:ascii="Times New Roman" w:cs="Times New Roman" w:eastAsia="Times New Roman" w:hAnsi="Times New Roman"/>
          <w:color w:val="000000"/>
          <w:sz w:val="28"/>
          <w:szCs w:val="28"/>
        </w:rPr>
      </w:pPr>
      <w:hyperlink r:id="rId8">
        <w:r w:rsidDel="00000000" w:rsidR="00000000" w:rsidRPr="00000000">
          <w:rPr>
            <w:rFonts w:ascii="Times New Roman" w:cs="Times New Roman" w:eastAsia="Times New Roman" w:hAnsi="Times New Roman"/>
            <w:color w:val="0000ff"/>
            <w:sz w:val="28"/>
            <w:szCs w:val="28"/>
            <w:u w:val="single"/>
            <w:rtl w:val="0"/>
          </w:rPr>
          <w:t xml:space="preserve">tv.nekrashevych@gmail.com</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sz w:val="28"/>
          <w:szCs w:val="28"/>
        </w:rPr>
      </w:pPr>
      <w:hyperlink r:id="rId9">
        <w:r w:rsidDel="00000000" w:rsidR="00000000" w:rsidRPr="00000000">
          <w:rPr>
            <w:rFonts w:ascii="Times New Roman" w:cs="Times New Roman" w:eastAsia="Times New Roman" w:hAnsi="Times New Roman"/>
            <w:color w:val="000000"/>
            <w:sz w:val="28"/>
            <w:szCs w:val="28"/>
            <w:highlight w:val="white"/>
            <w:rtl w:val="0"/>
          </w:rPr>
          <w:t xml:space="preserve">ORCID: 0000-0003-2506-111X</w:t>
        </w:r>
      </w:hyperlink>
      <w:r w:rsidDel="00000000" w:rsidR="00000000" w:rsidRPr="00000000">
        <w:rPr>
          <w:rtl w:val="0"/>
        </w:rPr>
      </w:r>
    </w:p>
    <w:p w:rsidR="00000000" w:rsidDel="00000000" w:rsidP="00000000" w:rsidRDefault="00000000" w:rsidRPr="00000000" w14:paraId="00000009">
      <w:pPr>
        <w:spacing w:after="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0" w:line="360" w:lineRule="auto"/>
        <w:ind w:firstLine="709"/>
        <w:jc w:val="center"/>
        <w:rPr>
          <w:rFonts w:ascii="Times New Roman" w:cs="Times New Roman" w:eastAsia="Times New Roman" w:hAnsi="Times New Roman"/>
          <w:b w:val="1"/>
          <w:color w:val="202124"/>
          <w:sz w:val="28"/>
          <w:szCs w:val="28"/>
          <w:highlight w:val="white"/>
        </w:rPr>
      </w:pPr>
      <w:r w:rsidDel="00000000" w:rsidR="00000000" w:rsidRPr="00000000">
        <w:rPr>
          <w:rFonts w:ascii="Times New Roman" w:cs="Times New Roman" w:eastAsia="Times New Roman" w:hAnsi="Times New Roman"/>
          <w:b w:val="1"/>
          <w:color w:val="202124"/>
          <w:sz w:val="28"/>
          <w:szCs w:val="28"/>
          <w:highlight w:val="white"/>
          <w:rtl w:val="0"/>
        </w:rPr>
        <w:t xml:space="preserve">ЦИФРОВА КОМПЕТЕНТНІСТЬ ЗДОБУВАЧІВ ВИЩОЇ МЕДИЧНОЇ ОСВІТИ В УМОВАХ ВИКЛИКІВ СЬОГОДЕННЯ</w:t>
      </w:r>
    </w:p>
    <w:p w:rsidR="00000000" w:rsidDel="00000000" w:rsidP="00000000" w:rsidRDefault="00000000" w:rsidRPr="00000000" w14:paraId="0000000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Анотація. </w:t>
      </w:r>
      <w:r w:rsidDel="00000000" w:rsidR="00000000" w:rsidRPr="00000000">
        <w:rPr>
          <w:rFonts w:ascii="Times New Roman" w:cs="Times New Roman" w:eastAsia="Times New Roman" w:hAnsi="Times New Roman"/>
          <w:sz w:val="28"/>
          <w:szCs w:val="28"/>
          <w:rtl w:val="0"/>
        </w:rPr>
        <w:t xml:space="preserve">У статті розкрито сутність цифрової компетентності студентів закладів вищої медичної освіти у контексті вивчення мовних дисциплін. Описано переваги та недоліки використання диджітал інструментів у сучасному навчальному процесі. Охарактеризовано сучасні методи навчання у вищій освіті. </w:t>
      </w:r>
    </w:p>
    <w:p w:rsidR="00000000" w:rsidDel="00000000" w:rsidP="00000000" w:rsidRDefault="00000000" w:rsidRPr="00000000" w14:paraId="0000000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Встановлено, що використання цифрових технологій, є доступним методом, що мотивує та удосконалює процес навчання завдяки функціональності. </w:t>
      </w:r>
    </w:p>
    <w:p w:rsidR="00000000" w:rsidDel="00000000" w:rsidP="00000000" w:rsidRDefault="00000000" w:rsidRPr="00000000" w14:paraId="0000000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Проаналізовано і узагальнено розуміння поняття цифрова компетентність, цифрові навчальні додатки. Охарактеризовано методичну ефективність інформаційно-комунікаційних технологій, що сприяють формуванню цифрової та професійної компетентностей студентів.</w:t>
      </w:r>
    </w:p>
    <w:p w:rsidR="00000000" w:rsidDel="00000000" w:rsidP="00000000" w:rsidRDefault="00000000" w:rsidRPr="00000000" w14:paraId="0000000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Висвітлено перспективу подальших досліджень, а саме можливості застосування мобільних технологій, як ефективної стратегії розвитку цифрової компетентності у процесі фахової підготовки студентів медичних спеціальностей.</w:t>
      </w:r>
    </w:p>
    <w:p w:rsidR="00000000" w:rsidDel="00000000" w:rsidP="00000000" w:rsidRDefault="00000000" w:rsidRPr="00000000" w14:paraId="0000000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Ключові слова: </w:t>
      </w:r>
      <w:r w:rsidDel="00000000" w:rsidR="00000000" w:rsidRPr="00000000">
        <w:rPr>
          <w:rFonts w:ascii="Times New Roman" w:cs="Times New Roman" w:eastAsia="Times New Roman" w:hAnsi="Times New Roman"/>
          <w:sz w:val="28"/>
          <w:szCs w:val="28"/>
          <w:rtl w:val="0"/>
        </w:rPr>
        <w:t xml:space="preserve">цифрова компетентність; професійна компетентність; цифрові технології; цифрові навчальні програми; методи у вищій освіті.</w:t>
      </w:r>
    </w:p>
    <w:p w:rsidR="00000000" w:rsidDel="00000000" w:rsidP="00000000" w:rsidRDefault="00000000" w:rsidRPr="00000000" w14:paraId="0000001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Як цитувати:</w:t>
      </w:r>
      <w:r w:rsidDel="00000000" w:rsidR="00000000" w:rsidRPr="00000000">
        <w:rPr>
          <w:rFonts w:ascii="Times New Roman" w:cs="Times New Roman" w:eastAsia="Times New Roman" w:hAnsi="Times New Roman"/>
          <w:sz w:val="28"/>
          <w:szCs w:val="28"/>
          <w:rtl w:val="0"/>
        </w:rPr>
        <w:t xml:space="preserve"> Некрашевич Т. В. </w:t>
      </w:r>
      <w:r w:rsidDel="00000000" w:rsidR="00000000" w:rsidRPr="00000000">
        <w:rPr>
          <w:rFonts w:ascii="Times New Roman" w:cs="Times New Roman" w:eastAsia="Times New Roman" w:hAnsi="Times New Roman"/>
          <w:color w:val="202124"/>
          <w:sz w:val="28"/>
          <w:szCs w:val="28"/>
          <w:highlight w:val="white"/>
          <w:rtl w:val="0"/>
        </w:rPr>
        <w:t xml:space="preserve">Цифрова компетентність здобувачів вищої медичної освіти в умовах викликів сьогодення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Наукові записки кафедри педагогіки.</w:t>
      </w:r>
      <w:r w:rsidDel="00000000" w:rsidR="00000000" w:rsidRPr="00000000">
        <w:rPr>
          <w:rFonts w:ascii="Times New Roman" w:cs="Times New Roman" w:eastAsia="Times New Roman" w:hAnsi="Times New Roman"/>
          <w:sz w:val="28"/>
          <w:szCs w:val="28"/>
          <w:rtl w:val="0"/>
        </w:rPr>
        <w:t xml:space="preserve"> 2023. № . С. doi: </w:t>
      </w:r>
    </w:p>
    <w:p w:rsidR="00000000" w:rsidDel="00000000" w:rsidP="00000000" w:rsidRDefault="00000000" w:rsidRPr="00000000" w14:paraId="0000001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 cites: </w:t>
      </w:r>
      <w:r w:rsidDel="00000000" w:rsidR="00000000" w:rsidRPr="00000000">
        <w:rPr>
          <w:rFonts w:ascii="Times New Roman" w:cs="Times New Roman" w:eastAsia="Times New Roman" w:hAnsi="Times New Roman"/>
          <w:sz w:val="28"/>
          <w:szCs w:val="28"/>
          <w:rtl w:val="0"/>
        </w:rPr>
        <w:t xml:space="preserve">Nekrashevych T. V. Digital competence of Higher Medical Education Students in the Context of Today`s challenges. Scientific notes of the department of pedagogy. 2023. P. doi:</w:t>
      </w:r>
    </w:p>
    <w:p w:rsidR="00000000" w:rsidDel="00000000" w:rsidP="00000000" w:rsidRDefault="00000000" w:rsidRPr="00000000" w14:paraId="0000001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Постановка проблеми та її зв’язок із важливими науковими чи практичними завданнями.</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Вища освіта постійно розвивається, розробляються нові технології та методи навчання, щоб покращити навчальний досвід для студентів. В останні роки зростає інтерес до використання нових методів у вищій освіті для покращення якості освіти та кращої підготовки студентів до професійної діяльності. Важливість цифрової компетентності для студентів вищої освіти важко переоцінити. У сучасному світі цифрові технології поширені всюди, і вони змінюють спосіб нашого життя, роботи та навчання. Щоб досягти успіху в навчанні, студенти повинні розвивати навички та знання, необхідні для ефективного використання цих технологій. Цифрова компетентність особливо важлива у вищій освіті, де від студентів очікується самостійне дослідження, критичне мислення та спільне навчання. Тож сучасні методи навчання тісно пов’язані з формуванням цифрової компетентності студентів, зокрема, медичного спрямування.</w:t>
      </w:r>
    </w:p>
    <w:p w:rsidR="00000000" w:rsidDel="00000000" w:rsidP="00000000" w:rsidRDefault="00000000" w:rsidRPr="00000000" w14:paraId="0000001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Аналіз останніх досліджень і публікацій.</w:t>
      </w:r>
      <w:r w:rsidDel="00000000" w:rsidR="00000000" w:rsidRPr="00000000">
        <w:rPr>
          <w:rFonts w:ascii="Times New Roman" w:cs="Times New Roman" w:eastAsia="Times New Roman" w:hAnsi="Times New Roman"/>
          <w:sz w:val="28"/>
          <w:szCs w:val="28"/>
          <w:rtl w:val="0"/>
        </w:rPr>
        <w:t xml:space="preserve"> До питання використання нових методів у вищій освіті, застосовуючи інноваційні методи та технології навчання зверталися науковці: Ковальчук В. І., Федотенко С. Р., </w:t>
      </w:r>
      <w:r w:rsidDel="00000000" w:rsidR="00000000" w:rsidRPr="00000000">
        <w:rPr>
          <w:rFonts w:ascii="Times New Roman" w:cs="Times New Roman" w:eastAsia="Times New Roman" w:hAnsi="Times New Roman"/>
          <w:color w:val="000000"/>
          <w:sz w:val="28"/>
          <w:szCs w:val="28"/>
          <w:rtl w:val="0"/>
        </w:rPr>
        <w:t xml:space="preserve">Горбань Ю., Скаченко О. </w:t>
      </w:r>
      <w:r w:rsidDel="00000000" w:rsidR="00000000" w:rsidRPr="00000000">
        <w:rPr>
          <w:rFonts w:ascii="Times New Roman" w:cs="Times New Roman" w:eastAsia="Times New Roman" w:hAnsi="Times New Roman"/>
          <w:sz w:val="28"/>
          <w:szCs w:val="28"/>
          <w:rtl w:val="0"/>
        </w:rPr>
        <w:t xml:space="preserve">та інші. Проблематикою формування цифрової компетентності студентів та питаннями використання диджітал інструментів навчання займалися зарубіжні та вітчизняні науковці:  Генсерук Г. Р., </w:t>
      </w:r>
      <w:r w:rsidDel="00000000" w:rsidR="00000000" w:rsidRPr="00000000">
        <w:rPr>
          <w:rFonts w:ascii="Times New Roman" w:cs="Times New Roman" w:eastAsia="Times New Roman" w:hAnsi="Times New Roman"/>
          <w:color w:val="000000"/>
          <w:sz w:val="28"/>
          <w:szCs w:val="28"/>
          <w:rtl w:val="0"/>
        </w:rPr>
        <w:t xml:space="preserve">Сухомлин О., </w:t>
      </w:r>
      <w:r w:rsidDel="00000000" w:rsidR="00000000" w:rsidRPr="00000000">
        <w:rPr>
          <w:rFonts w:ascii="Times New Roman" w:cs="Times New Roman" w:eastAsia="Times New Roman" w:hAnsi="Times New Roman"/>
          <w:sz w:val="28"/>
          <w:szCs w:val="28"/>
          <w:highlight w:val="white"/>
          <w:rtl w:val="0"/>
        </w:rPr>
        <w:t xml:space="preserve">Прийдак Т. Б., Яловега Л. В., Лега О. В., Мисник Т. Г., Зоря С. П., Ала-Мутка М., Редекер Ч., Каберо-Алменара Дж., Гутіеррез-Кастілло Дж., Марімон-Марті М. та інші.</w:t>
      </w:r>
      <w:r w:rsidDel="00000000" w:rsidR="00000000" w:rsidRPr="00000000">
        <w:rPr>
          <w:rtl w:val="0"/>
        </w:rPr>
      </w:r>
    </w:p>
    <w:p w:rsidR="00000000" w:rsidDel="00000000" w:rsidP="00000000" w:rsidRDefault="00000000" w:rsidRPr="00000000" w14:paraId="0000001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Позиція закордонних освітян щодо важливості цифрової компетентності студентів у сучасній вищій освіті та вплив цифрових технологій на освіту в цілому обумовлюється власним досвідом та дослідженнями. </w:t>
      </w:r>
    </w:p>
    <w:p w:rsidR="00000000" w:rsidDel="00000000" w:rsidP="00000000" w:rsidRDefault="00000000" w:rsidRPr="00000000" w14:paraId="0000001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Науковець Сеймур Пейперт стверджує, що комп’ютери мають потенціал трансформувати освіту, дозволяючи здобувачам освіти брати участь у більш активному та творчому навчанні. Він наголошує на важливості надання учням інструментів і знань, щоб мати можливість використовувати комп’ютер для вивчення своїх інтересів і досягнення власних навчальних цілей [12]. Ідеї ​​Пейперта про потенціал комп’ютерів в освіті вплинули на розвиток освітніх технологій і просування цифрової компетентності. Наголошуючи на важливості надання студентам інструментів і знань, щоб вони могли творчо та змістовно використовувати комп’ютери, Пейперт сприяв розвитку цифрової компетентності як ключової навички для студентів вищої освіти.</w:t>
      </w:r>
    </w:p>
    <w:p w:rsidR="00000000" w:rsidDel="00000000" w:rsidP="00000000" w:rsidRDefault="00000000" w:rsidRPr="00000000" w14:paraId="0000001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Науковець Марк Пренскі у своїй статті «Цифрові вихідці, цифрові іммігранти» стверджує, що студенти, які виросли з цифровими технологіями, мають принципово інший підхід до навчання та інформації, ніж старше покоління, яке не виросло з цими технологіями. Він припускає, що педагоги повинні адаптувати свої методи викладання, щоб пристосуватись до різних стилів навчання цифрових вихідців [13].</w:t>
      </w:r>
    </w:p>
    <w:p w:rsidR="00000000" w:rsidDel="00000000" w:rsidP="00000000" w:rsidRDefault="00000000" w:rsidRPr="00000000" w14:paraId="0000001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напрямками педагогічних дискусій та наукових розвідок постають можливості і виклики онлайн освіти [6; 8; 10], мобільне навчанні із використанням смартфонів та інших пристроїв, гейміфікація навчання, рецепція нових технологій студентами [14].</w:t>
      </w:r>
    </w:p>
    <w:p w:rsidR="00000000" w:rsidDel="00000000" w:rsidP="00000000" w:rsidRDefault="00000000" w:rsidRPr="00000000" w14:paraId="0000001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 статті.</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Дослідити важливість використання нових методів у вищій освіті та виокремити деякі з найбільш перспективних методів, які зараз використовуються, розглянути важливість формування цифрової компетентності студентів вищої медичної освіти.</w:t>
      </w:r>
    </w:p>
    <w:p w:rsidR="00000000" w:rsidDel="00000000" w:rsidP="00000000" w:rsidRDefault="00000000" w:rsidRPr="00000000" w14:paraId="0000001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Виклад матеріалу та основні результати.</w:t>
      </w:r>
      <w:r w:rsidDel="00000000" w:rsidR="00000000" w:rsidRPr="00000000">
        <w:rPr>
          <w:rFonts w:ascii="Times New Roman" w:cs="Times New Roman" w:eastAsia="Times New Roman" w:hAnsi="Times New Roman"/>
          <w:sz w:val="28"/>
          <w:szCs w:val="28"/>
          <w:rtl w:val="0"/>
        </w:rPr>
        <w:t xml:space="preserve"> Є кілька причин, чому важливо використовувати нові методи у вищій освіті. Однією з головних причин є те, що нові методи можуть покращити навчальний процес для студентів. Використовуючи нові технології та методи навчання, викладачі можуть створити більш цікаве та інтерактивне навчальне середовище, яке заохочує активну участь і критичне мислення. Це, в свою чергу, може призвести до кращих результатів навчання і задоволеності студентів. Оскільки ринок праці стає все більш конкурентним, роботодавці шукають кандидатів з різноманітними навичками, включаючи критичне мислення, вирішення проблем та креативність, важливо використовувати нові методи у вищій освіті, адже завдяки імплементації їх у навчальний процес, відбувається формування конкурентноспроможного фахівця.</w:t>
      </w:r>
    </w:p>
    <w:p w:rsidR="00000000" w:rsidDel="00000000" w:rsidP="00000000" w:rsidRDefault="00000000" w:rsidRPr="00000000" w14:paraId="0000001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Існує кілька нових методів, які використовуються у вищій освіті на сучасному етапі. </w:t>
      </w:r>
    </w:p>
    <w:p w:rsidR="00000000" w:rsidDel="00000000" w:rsidP="00000000" w:rsidRDefault="00000000" w:rsidRPr="00000000" w14:paraId="0000001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Перевернутий клас – це метод навчання, при якому студенти дивляться лекції та читають літературу перед заняттями, а потім беруть участь у дискусіях, вправах та груповій роботі під час занять. Цей метод набув популярності в останні роки, оскільки дозволяє студентам більше контролювати власне навчання і заохочує до активної участі та співпраці.</w:t>
      </w:r>
    </w:p>
    <w:p w:rsidR="00000000" w:rsidDel="00000000" w:rsidP="00000000" w:rsidRDefault="00000000" w:rsidRPr="00000000" w14:paraId="0000001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Гейміфікація – це використання принципів ігрового дизайну в неігрових контекстах для залучення та мотивації користувачів. У вищій освіті гейміфікація може бути використана для створення більш цікавого та інтерактивного навчального процесу, який заохочує студентів до навчання через гру. Наприклад, викладачі можуть використовувати гейміфікацію для створення навчальних ігор, вікторин і завдань, які допомагають студентам засвоювати і запам'ятовувати інформацію.</w:t>
      </w:r>
    </w:p>
    <w:p w:rsidR="00000000" w:rsidDel="00000000" w:rsidP="00000000" w:rsidRDefault="00000000" w:rsidRPr="00000000" w14:paraId="0000001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Онлайн-навчання – це метод навчання, який використовує Інтернет для надання навчальних матеріалів і полегшення спілкування та співпраці між студентами та викладачами. Онлайн-навчання набуло популярності в останні роки, оскільки воно пропонує більшу гнучкість і доступність, ніж традиційне навчання в класі. Студенти можуть отримувати доступ до матеріалів курсу та брати участь в обговореннях з будь-якого місця, де є інтернет-зв'язок, що полегшує їм баланс між навчанням та іншими зобов'язаннями.</w:t>
      </w:r>
    </w:p>
    <w:p w:rsidR="00000000" w:rsidDel="00000000" w:rsidP="00000000" w:rsidRDefault="00000000" w:rsidRPr="00000000" w14:paraId="0000001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Персоналізоване навчання – це метод навчання, який пристосовує навчальний процес до індивідуальних потреб та вподобань кожного студента. Цей метод використовує аналітику даних та алгоритми машинного навчання для аналізу успішності учнів та визначення сфер, де вони потребують додаткової підтримки або викликів. Потім викладачі можуть використовувати цю інформацію для створення персоналізованих навчальних планів для кожного студента, які допоможуть їм досягти своїх навчальних цілей.</w:t>
      </w:r>
    </w:p>
    <w:p w:rsidR="00000000" w:rsidDel="00000000" w:rsidP="00000000" w:rsidRDefault="00000000" w:rsidRPr="00000000" w14:paraId="0000001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Використовуючи інноваційні методи та технології навчання, педагоги можуть створити більш привабливе та інтерактивне навчальне середовище, яке заохочує активну участь і критичне мислення. Це, у свою чергу, може призвести до кращих результатів навчання та більшої задоволеності учнів. Оскільки сфера освіти продовжує розвиватися, педагогам важливо бути в курсі останніх тенденцій і технологій, щоб забезпечити найкращу освіту для своїх учнів.</w:t>
      </w:r>
    </w:p>
    <w:p w:rsidR="00000000" w:rsidDel="00000000" w:rsidP="00000000" w:rsidRDefault="00000000" w:rsidRPr="00000000" w14:paraId="0000002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Використання сучасних методів навчання базується на застосуванні діджитал інструментів та рівнів сформованості цифрової компетентності суб’єктів навчального процесу. Тож питання визначення цифрової компетентності набуває першочергового значення.</w:t>
      </w:r>
    </w:p>
    <w:p w:rsidR="00000000" w:rsidDel="00000000" w:rsidP="00000000" w:rsidRDefault="00000000" w:rsidRPr="00000000" w14:paraId="0000002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Науковець Сухомлин О., спираючись на дослідження ЮНЕСКО «Цифрові навички для життя і роботи», характеризує три категорії цифрових навичок: базові функціональні навички (</w:t>
      </w:r>
      <w:r w:rsidDel="00000000" w:rsidR="00000000" w:rsidRPr="00000000">
        <w:rPr>
          <w:rFonts w:ascii="Times New Roman" w:cs="Times New Roman" w:eastAsia="Times New Roman" w:hAnsi="Times New Roman"/>
          <w:sz w:val="28"/>
          <w:szCs w:val="28"/>
          <w:highlight w:val="white"/>
          <w:rtl w:val="0"/>
        </w:rPr>
        <w:t xml:space="preserve">вміння працювати з пристроями, користуватися мережею Інтернет, створювати акаунти соцмедіа, шукати інформацію або необхідні електронні Інтернет-ресурси)</w:t>
      </w:r>
      <w:r w:rsidDel="00000000" w:rsidR="00000000" w:rsidRPr="00000000">
        <w:rPr>
          <w:rFonts w:ascii="Times New Roman" w:cs="Times New Roman" w:eastAsia="Times New Roman" w:hAnsi="Times New Roman"/>
          <w:sz w:val="28"/>
          <w:szCs w:val="28"/>
          <w:rtl w:val="0"/>
        </w:rPr>
        <w:t xml:space="preserve">, стандартні цифрові навички (усвідомлене існування в цифровому суспільстві і ефективне використання онлайн-додатків та послуг, вміння оцінювати джерела і релевантність отриманих даних, зберігати й організовувати отриману інформацію) та навички цифрового суспільства (</w:t>
      </w:r>
      <w:r w:rsidDel="00000000" w:rsidR="00000000" w:rsidRPr="00000000">
        <w:rPr>
          <w:rFonts w:ascii="Times New Roman" w:cs="Times New Roman" w:eastAsia="Times New Roman" w:hAnsi="Times New Roman"/>
          <w:sz w:val="28"/>
          <w:szCs w:val="28"/>
          <w:highlight w:val="white"/>
          <w:rtl w:val="0"/>
        </w:rPr>
        <w:t xml:space="preserve">вміння  програмувати, розробляти програми, адмініструвати  мережі) </w:t>
      </w:r>
      <w:r w:rsidDel="00000000" w:rsidR="00000000" w:rsidRPr="00000000">
        <w:rPr>
          <w:rFonts w:ascii="Times New Roman" w:cs="Times New Roman" w:eastAsia="Times New Roman" w:hAnsi="Times New Roman"/>
          <w:sz w:val="28"/>
          <w:szCs w:val="28"/>
          <w:rtl w:val="0"/>
        </w:rPr>
        <w:t xml:space="preserve">[4, с.171]. Тобто цифрова обізнаність фахівця багатогранна та потребує комплексної підготовки.</w:t>
      </w:r>
    </w:p>
    <w:p w:rsidR="00000000" w:rsidDel="00000000" w:rsidP="00000000" w:rsidRDefault="00000000" w:rsidRPr="00000000" w14:paraId="0000002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Зарубіжні науковці описують поняття «цифрової компетентності» як здатність використовувати різні цифрові медіа та інформаційно-комунікаційні технології, розуміти і критично оцінювати різні аспекти цифрових медіа і медіа-контенту [1]. Також «цифрова компетентність» має на меті використання інформаційно-комунікаційних технологій для навчання та саморозвитку, активної діяльності у суспільстві, працевлаштуванню та ін [2]. </w:t>
      </w:r>
    </w:p>
    <w:p w:rsidR="00000000" w:rsidDel="00000000" w:rsidP="00000000" w:rsidRDefault="00000000" w:rsidRPr="00000000" w14:paraId="0000002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Дослідники </w:t>
      </w:r>
      <w:r w:rsidDel="00000000" w:rsidR="00000000" w:rsidRPr="00000000">
        <w:rPr>
          <w:rFonts w:ascii="Times New Roman" w:cs="Times New Roman" w:eastAsia="Times New Roman" w:hAnsi="Times New Roman"/>
          <w:sz w:val="28"/>
          <w:szCs w:val="28"/>
          <w:highlight w:val="white"/>
          <w:rtl w:val="0"/>
        </w:rPr>
        <w:t xml:space="preserve">Прийдак Т. Б., Яловега Л. В., Лега О. В., Мисник Т. Г., Зоря С. П., на основі аналізу праць іноземних науковців, стверджують, що «</w:t>
      </w:r>
      <w:r w:rsidDel="00000000" w:rsidR="00000000" w:rsidRPr="00000000">
        <w:rPr>
          <w:rFonts w:ascii="Times New Roman" w:cs="Times New Roman" w:eastAsia="Times New Roman" w:hAnsi="Times New Roman"/>
          <w:sz w:val="28"/>
          <w:szCs w:val="28"/>
          <w:rtl w:val="0"/>
        </w:rPr>
        <w:t xml:space="preserve">цифрова компетентність – це набір знань, умінь, навичок (серед яких здібності, стратегії, цінності та обізнаності), які необхідні для використання ІКТ та цифрових медіа для вирішення поставлених завдань, розв’язання проблем, комунікації, управління інформацією, співпраці, створення та поширення контенту, створення знань – ефективного, належного, критичного, точного, автономного, гнучкого, етичного, рефлексивного для роботи, дозвілля, навчання, спілкування та ін.» [3, с.31].</w:t>
      </w:r>
    </w:p>
    <w:p w:rsidR="00000000" w:rsidDel="00000000" w:rsidP="00000000" w:rsidRDefault="00000000" w:rsidRPr="00000000" w14:paraId="00000024">
      <w:pPr>
        <w:spacing w:after="0" w:line="360" w:lineRule="auto"/>
        <w:ind w:firstLine="709"/>
        <w:jc w:val="both"/>
        <w:rPr>
          <w:rFonts w:ascii="Times New Roman" w:cs="Times New Roman" w:eastAsia="Times New Roman" w:hAnsi="Times New Roman"/>
          <w:color w:val="333333"/>
          <w:sz w:val="28"/>
          <w:szCs w:val="28"/>
          <w:shd w:fill="fcfcfc" w:val="clear"/>
        </w:rPr>
      </w:pPr>
      <w:r w:rsidDel="00000000" w:rsidR="00000000" w:rsidRPr="00000000">
        <w:rPr>
          <w:rFonts w:ascii="Times New Roman" w:cs="Times New Roman" w:eastAsia="Times New Roman" w:hAnsi="Times New Roman"/>
          <w:color w:val="333333"/>
          <w:sz w:val="28"/>
          <w:szCs w:val="28"/>
          <w:shd w:fill="fcfcfc" w:val="clear"/>
          <w:rtl w:val="0"/>
        </w:rPr>
        <w:t xml:space="preserve">Деякі дослідження зарубіжних науковців надали докази позитивного зв’язку між інтенсивністю та використанням ІКТ та Інтернету в навчанні студентів щодо їхніх цифрових навичок [11]. Так, вчені Марімон-Марті, Гонзалез зазначають, що використання цифрових ресурсів у процесі викладання та навчання студента може вплинути на його академічну успішність, а також, низька академічна успішність особи є найбільш характерною ознакою повторити навчання ще раз протягом навчального періоду [9].</w:t>
      </w:r>
    </w:p>
    <w:p w:rsidR="00000000" w:rsidDel="00000000" w:rsidP="00000000" w:rsidRDefault="00000000" w:rsidRPr="00000000" w14:paraId="0000002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Можемо стверджувати, що поняття «цифрова компетентність» багатогранне, але складовими його формування є забезпечення навчально-методичних матеріалів та інструментів.</w:t>
      </w:r>
    </w:p>
    <w:p w:rsidR="00000000" w:rsidDel="00000000" w:rsidP="00000000" w:rsidRDefault="00000000" w:rsidRPr="00000000" w14:paraId="0000002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Активність формування цифрової компетентності студентів закладів вищої медичної освіти зумовлено викликами сьогодення – перехід на дистанційне навчання, впровадження електронних засобів оцінювання у навчальному процесі, цифрова етика спілкування та інше. Дистанційне навчання набуло широкого масштабу впровадження на початку 2020 року, що пов’язано з поширенням COVID-19. Пандемія змусила педагогів прийняти нові методи навчання та технології, які, безсумнівно, змінили спосіб навчання. Онлайн-навчання зробило революцію в індустрії освіти. Електронний спосіб навчання характеризується зручністю, доступністю, персоналізацією, взаємодією з усіма членами освітнього процесу. </w:t>
      </w:r>
    </w:p>
    <w:p w:rsidR="00000000" w:rsidDel="00000000" w:rsidP="00000000" w:rsidRDefault="00000000" w:rsidRPr="00000000" w14:paraId="0000002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подальшому, з лютого 2022 року, після введення дії воєнного стану на території України, основна частина вищих навчальних закладів продовжила онлан-навчання. Всі ці події, безумовно, повпливали на пошук нових підходів у навчанні, удосконаленню методів та використанню нових інструментів в освітньому процесі. Така реалізація позначається і на рівні формування цифрової грамотності як здобувачів вищої освіти, так і інших суб'єктів навчального процесу.</w:t>
      </w:r>
    </w:p>
    <w:p w:rsidR="00000000" w:rsidDel="00000000" w:rsidP="00000000" w:rsidRDefault="00000000" w:rsidRPr="00000000" w14:paraId="0000002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процесі підготовки студентів медичного профілю у ЗВО використовуються університетські електронні програми та інші альтернативні навчальні додатки. Основною навчальною платформою є Moodle. Ця система дозволяє використовувати різні типи завдань та дидактичних матеріалів, що повністю забезпечує належний рівень освітнього процесу. На платформі, окрім навчальних матеріалів, є вкладки для комунікативного зв’язку з викладачами курсів, а також завдання для перевірки вивченого матеріалу. Все це охоплює всі складові реалізації формування цифрової компетентності студентів.</w:t>
      </w:r>
    </w:p>
    <w:p w:rsidR="00000000" w:rsidDel="00000000" w:rsidP="00000000" w:rsidRDefault="00000000" w:rsidRPr="00000000" w14:paraId="0000002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вивчення мовних дисциплін використовуються навчальні додатки Kahoot! та Quizlet. Зазначені електронні застосунки залучаються: для перевірки вивченого лексичного матеріалу; для самостійної роботи студентів; для виконання завдання на вияву творчого потенціалу студентів; для формування мотиваційного компонента навчання.</w:t>
      </w:r>
    </w:p>
    <w:p w:rsidR="00000000" w:rsidDel="00000000" w:rsidP="00000000" w:rsidRDefault="00000000" w:rsidRPr="00000000" w14:paraId="0000002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Kahoot – це ігрова навчальна платформа, яка набула популярності в останні роки як інструмент для викладачів, щоб залучати студентів і сприяти інтерактивному навчанню. Платформа була запущена в 2013 році і з тих пір нею користуються мільйони викладачів і студентів по всьому світу.</w:t>
      </w:r>
    </w:p>
    <w:p w:rsidR="00000000" w:rsidDel="00000000" w:rsidP="00000000" w:rsidRDefault="00000000" w:rsidRPr="00000000" w14:paraId="0000002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Kahoot дозволяє викладачам створювати вікторини, опитування та ігри, у які учні можуть грати в режимі реального часу за допомогою своїх смартфонів, планшетів або комп’ютерів. Платформа використовує гейміфікований підхід до навчання, коли студенти змагаються один з одним, щоб правильно відповідати на запитання та заробляти бали. Однією з ключових переваг Kahoot є те, що він заохочує студентів до активної участі.</w:t>
      </w:r>
    </w:p>
    <w:p w:rsidR="00000000" w:rsidDel="00000000" w:rsidP="00000000" w:rsidRDefault="00000000" w:rsidRPr="00000000" w14:paraId="0000002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Quizlet — це популярна навчальна веб-платформа, яка надає студентам різноманітні інструменти та ресурси, які допомагають їм навчатися та вчитися. Платформа розроблена так, щоб бути зручною та доступною, що полегшує її використання здобувачами освіти будь-якого віку. Quizlet дозволяє студентам створювати та ділитися цифровими картками, навчальними посібниками та тестами.</w:t>
      </w:r>
    </w:p>
    <w:p w:rsidR="00000000" w:rsidDel="00000000" w:rsidP="00000000" w:rsidRDefault="00000000" w:rsidRPr="00000000" w14:paraId="0000002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Використання зазначених діджитал інструментів слугує налагодженню співпраці та комунікації у групі здобувачів вищої освіти, допомагає урізноманітнити форми навчання,  спонукає до розвитку критичного мислення.</w:t>
      </w:r>
    </w:p>
    <w:p w:rsidR="00000000" w:rsidDel="00000000" w:rsidP="00000000" w:rsidRDefault="00000000" w:rsidRPr="00000000" w14:paraId="0000002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Висновки.</w:t>
      </w:r>
      <w:r w:rsidDel="00000000" w:rsidR="00000000" w:rsidRPr="00000000">
        <w:rPr>
          <w:rFonts w:ascii="Times New Roman" w:cs="Times New Roman" w:eastAsia="Times New Roman" w:hAnsi="Times New Roman"/>
          <w:sz w:val="28"/>
          <w:szCs w:val="28"/>
          <w:rtl w:val="0"/>
        </w:rPr>
        <w:t xml:space="preserve"> На основі вищесказаного, можемо зробити висновки, що використання нових методів у вищій освіті має важливе значення для покращення якості освіти та підготовки студентів до викликів подальшого працевлаштування. З цього випливає те, що цифрова компетентність покращує навчання (цифрові інструменти та ресурси змінили спосіб навчання, зробивши освіту більш доступною, інтерактивною та цікавою); підвищує конкуретноспроможність; сприяє співпраці (цифрова компетентність дозволяє студентам ефективніше співпрацювати зі своїми однолітками та викладачами. За допомогою цифрових інструментів вони можуть працювати разом над проектами, обмінюватися ідеями та надавати зворотній зв’язок у режимі реального часу, незалежно від свого місцезнаходження); сприяє прояву креативності. Цифрова компетентність також включає здатність відповідально та етично використовувати цифрові технології, розуміння проблем, пов’язаних із конфіденційністю, безпекою в Інтернеті, а також здатність орієнтуватися у цифровому світі.</w:t>
      </w:r>
    </w:p>
    <w:p w:rsidR="00000000" w:rsidDel="00000000" w:rsidP="00000000" w:rsidRDefault="00000000" w:rsidRPr="00000000" w14:paraId="0000002F">
      <w:pPr>
        <w:spacing w:after="0" w:line="360" w:lineRule="auto"/>
        <w:ind w:firstLine="709"/>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Перспективи подальших досліджень вбачаємо у виокремленні педагогічних умов формування цифрової компетентності студентів закладів вищої медичної освіти та подальшого застосування цифрових і мобільних технологій як ефективної стратегії розвитку цифрової компетентності у процесі фахової підготовки студентів медичних спеціальностей.</w:t>
      </w:r>
    </w:p>
    <w:p w:rsidR="00000000" w:rsidDel="00000000" w:rsidP="00000000" w:rsidRDefault="00000000" w:rsidRPr="00000000" w14:paraId="00000030">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використаної літератури:</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Генсерук Г. Р.  Цифрова компетентність як одна із професійно значущих компетентностей майбутніх учителів. Open educational e-environment of modern University, №6, 2019. С. 8-16. </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Ковальчук В. І., Федотенко С. Р. Інноваційні технології навчання – основа модернізації професійної освіти. Молодий вчений, №12, 2018. С. 425-429.</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highlight w:val="white"/>
          <w:rtl w:val="0"/>
        </w:rPr>
        <w:t xml:space="preserve">Прийдак Т. Б., Яловега Л. В., Лега О. В., Мисник Т. Г., Зоря С. П. Розвиток цифрової компетентності як умова забезпечення конкурентноспроможності майбутніх економістів. </w:t>
      </w:r>
      <w:r w:rsidDel="00000000" w:rsidR="00000000" w:rsidRPr="00000000">
        <w:rPr>
          <w:rFonts w:ascii="Times New Roman" w:cs="Times New Roman" w:eastAsia="Times New Roman" w:hAnsi="Times New Roman"/>
          <w:sz w:val="28"/>
          <w:szCs w:val="28"/>
          <w:rtl w:val="0"/>
        </w:rPr>
        <w:t xml:space="preserve">Інформаційні технології і засоби навчання, 2019, Том 73, №5. С.28-44.</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Сухомлин О. Цифрова компетентність здобувачів вищої філологічної освіти в умовах сучасних запитів суспільства: ціннісний аспект</w:t>
      </w:r>
      <w:r w:rsidDel="00000000" w:rsidR="00000000" w:rsidRPr="00000000">
        <w:rPr>
          <w:rFonts w:ascii="Times New Roman" w:cs="Times New Roman" w:eastAsia="Times New Roman" w:hAnsi="Times New Roman"/>
          <w:sz w:val="28"/>
          <w:szCs w:val="28"/>
          <w:highlight w:val="white"/>
          <w:rtl w:val="0"/>
        </w:rPr>
        <w:t xml:space="preserve">. Молодь і ринок. Випуск № 2. 2022.  С.170-176.</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Ala-Mutka K., Punie Y., Redecker Ch. Digital Competence for Lifelong Learning. Policy Brief. Luxembourg: Office for Official Publications of the European Communities, 2008. URL: </w:t>
      </w:r>
      <w:hyperlink r:id="rId10">
        <w:r w:rsidDel="00000000" w:rsidR="00000000" w:rsidRPr="00000000">
          <w:rPr>
            <w:rFonts w:ascii="Times New Roman" w:cs="Times New Roman" w:eastAsia="Times New Roman" w:hAnsi="Times New Roman"/>
            <w:color w:val="0000ff"/>
            <w:sz w:val="28"/>
            <w:szCs w:val="28"/>
            <w:u w:val="single"/>
            <w:rtl w:val="0"/>
          </w:rPr>
          <w:t xml:space="preserve">https://www.researchgate.net/publication/256460657</w:t>
        </w:r>
      </w:hyperlink>
      <w:r w:rsidDel="00000000" w:rsidR="00000000" w:rsidRPr="00000000">
        <w:rPr>
          <w:rFonts w:ascii="Times New Roman" w:cs="Times New Roman" w:eastAsia="Times New Roman" w:hAnsi="Times New Roman"/>
          <w:sz w:val="28"/>
          <w:szCs w:val="28"/>
          <w:rtl w:val="0"/>
        </w:rPr>
        <w:t xml:space="preserve"> (дата звернення: 25.04.2023). </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after="0" w:line="360" w:lineRule="auto"/>
        <w:ind w:left="0"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Anderson T. The Theory and Practice of Online Learning, 2nd ed.; Athabasca University Press: Edmonton, AB, Canada, 2008. 484 p.</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333333"/>
          <w:sz w:val="28"/>
          <w:szCs w:val="28"/>
          <w:shd w:fill="fcfcfc" w:val="clear"/>
          <w:rtl w:val="0"/>
        </w:rPr>
        <w:t xml:space="preserve">Cabero-Almenara, J., Gutiérrez-Castillo, J.J., Guillén-Gámez, F.D. </w:t>
      </w:r>
      <w:r w:rsidDel="00000000" w:rsidR="00000000" w:rsidRPr="00000000">
        <w:rPr>
          <w:rFonts w:ascii="Times New Roman" w:cs="Times New Roman" w:eastAsia="Times New Roman" w:hAnsi="Times New Roman"/>
          <w:i w:val="1"/>
          <w:color w:val="333333"/>
          <w:sz w:val="28"/>
          <w:szCs w:val="28"/>
          <w:shd w:fill="fcfcfc" w:val="clear"/>
          <w:rtl w:val="0"/>
        </w:rPr>
        <w:t xml:space="preserve">et al.</w:t>
      </w:r>
      <w:r w:rsidDel="00000000" w:rsidR="00000000" w:rsidRPr="00000000">
        <w:rPr>
          <w:rFonts w:ascii="Times New Roman" w:cs="Times New Roman" w:eastAsia="Times New Roman" w:hAnsi="Times New Roman"/>
          <w:color w:val="333333"/>
          <w:sz w:val="28"/>
          <w:szCs w:val="28"/>
          <w:shd w:fill="fcfcfc" w:val="clear"/>
          <w:rtl w:val="0"/>
        </w:rPr>
        <w:t xml:space="preserve"> Correction: Digital Competence of Higher Education Students as a Predictor of Academic Success. </w:t>
      </w:r>
      <w:r w:rsidDel="00000000" w:rsidR="00000000" w:rsidRPr="00000000">
        <w:rPr>
          <w:rFonts w:ascii="Times New Roman" w:cs="Times New Roman" w:eastAsia="Times New Roman" w:hAnsi="Times New Roman"/>
          <w:i w:val="1"/>
          <w:color w:val="333333"/>
          <w:sz w:val="28"/>
          <w:szCs w:val="28"/>
          <w:shd w:fill="fcfcfc" w:val="clear"/>
          <w:rtl w:val="0"/>
        </w:rPr>
        <w:t xml:space="preserve">Tech Know Learn</w:t>
      </w:r>
      <w:r w:rsidDel="00000000" w:rsidR="00000000" w:rsidRPr="00000000">
        <w:rPr>
          <w:rFonts w:ascii="Times New Roman" w:cs="Times New Roman" w:eastAsia="Times New Roman" w:hAnsi="Times New Roman"/>
          <w:color w:val="333333"/>
          <w:sz w:val="28"/>
          <w:szCs w:val="28"/>
          <w:shd w:fill="fcfcfc" w:val="clear"/>
          <w:rtl w:val="0"/>
        </w:rPr>
        <w:t xml:space="preserve"> </w:t>
      </w:r>
      <w:r w:rsidDel="00000000" w:rsidR="00000000" w:rsidRPr="00000000">
        <w:rPr>
          <w:rFonts w:ascii="Times New Roman" w:cs="Times New Roman" w:eastAsia="Times New Roman" w:hAnsi="Times New Roman"/>
          <w:b w:val="1"/>
          <w:color w:val="333333"/>
          <w:sz w:val="28"/>
          <w:szCs w:val="28"/>
          <w:shd w:fill="fcfcfc" w:val="clear"/>
          <w:rtl w:val="0"/>
        </w:rPr>
        <w:t xml:space="preserve">28</w:t>
      </w:r>
      <w:r w:rsidDel="00000000" w:rsidR="00000000" w:rsidRPr="00000000">
        <w:rPr>
          <w:rFonts w:ascii="Times New Roman" w:cs="Times New Roman" w:eastAsia="Times New Roman" w:hAnsi="Times New Roman"/>
          <w:color w:val="333333"/>
          <w:sz w:val="28"/>
          <w:szCs w:val="28"/>
          <w:shd w:fill="fcfcfc" w:val="clear"/>
          <w:rtl w:val="0"/>
        </w:rPr>
        <w:t xml:space="preserve">, 703 (2023). </w:t>
      </w:r>
      <w:hyperlink r:id="rId11">
        <w:r w:rsidDel="00000000" w:rsidR="00000000" w:rsidRPr="00000000">
          <w:rPr>
            <w:rFonts w:ascii="Times New Roman" w:cs="Times New Roman" w:eastAsia="Times New Roman" w:hAnsi="Times New Roman"/>
            <w:color w:val="0000ff"/>
            <w:sz w:val="28"/>
            <w:szCs w:val="28"/>
            <w:u w:val="single"/>
            <w:shd w:fill="fcfcfc" w:val="clear"/>
            <w:rtl w:val="0"/>
          </w:rPr>
          <w:t xml:space="preserve">https://doi.org/10.1007/s10758-022-09627-5</w:t>
        </w:r>
      </w:hyperlink>
      <w:r w:rsidDel="00000000" w:rsidR="00000000" w:rsidRPr="00000000">
        <w:rPr>
          <w:rFonts w:ascii="Times New Roman" w:cs="Times New Roman" w:eastAsia="Times New Roman" w:hAnsi="Times New Roman"/>
          <w:color w:val="333333"/>
          <w:sz w:val="28"/>
          <w:szCs w:val="28"/>
          <w:shd w:fill="fcfcfc" w:val="clear"/>
          <w:rtl w:val="0"/>
        </w:rPr>
        <w:t xml:space="preserve">.</w:t>
      </w:r>
      <w:r w:rsidDel="00000000" w:rsidR="00000000" w:rsidRPr="00000000">
        <w:rPr>
          <w:rtl w:val="0"/>
        </w:rPr>
      </w:r>
    </w:p>
    <w:p w:rsidR="00000000" w:rsidDel="00000000" w:rsidP="00000000" w:rsidRDefault="00000000" w:rsidRPr="00000000" w14:paraId="00000039">
      <w:pPr>
        <w:numPr>
          <w:ilvl w:val="0"/>
          <w:numId w:val="1"/>
        </w:numPr>
        <w:spacing w:after="0"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Dumford A.D., Miller A.L. Online learning in higher education: Exploring advantages and disadvantages for engagement. </w:t>
      </w:r>
      <w:r w:rsidDel="00000000" w:rsidR="00000000" w:rsidRPr="00000000">
        <w:rPr>
          <w:rFonts w:ascii="Times New Roman" w:cs="Times New Roman" w:eastAsia="Times New Roman" w:hAnsi="Times New Roman"/>
          <w:i w:val="1"/>
          <w:sz w:val="28"/>
          <w:szCs w:val="28"/>
          <w:rtl w:val="0"/>
        </w:rPr>
        <w:t xml:space="preserve">J. Comput. High. Educ.</w:t>
      </w:r>
      <w:r w:rsidDel="00000000" w:rsidR="00000000" w:rsidRPr="00000000">
        <w:rPr>
          <w:rFonts w:ascii="Times New Roman" w:cs="Times New Roman" w:eastAsia="Times New Roman" w:hAnsi="Times New Roman"/>
          <w:sz w:val="28"/>
          <w:szCs w:val="28"/>
          <w:rtl w:val="0"/>
        </w:rPr>
        <w:t xml:space="preserve"> 2018, 30. P. 452–465.</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García Perales, R., &amp; Jiménez Fernández, C. Relación entre repetición de curso, rendimiento académico e igualdad en educación: Las aportaciones de PISA. Revista Educación, Política y Sociedad, 4(1), 2019. P.84–108.</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Henderson M., Selwyn N., Aston R. What works and why? Student perceptions of ‘useful’ digital technology in university teaching and learning.</w:t>
      </w:r>
      <w:r w:rsidDel="00000000" w:rsidR="00000000" w:rsidRPr="00000000">
        <w:rPr>
          <w:rFonts w:ascii="Times New Roman" w:cs="Times New Roman" w:eastAsia="Times New Roman" w:hAnsi="Times New Roman"/>
          <w:i w:val="1"/>
          <w:sz w:val="28"/>
          <w:szCs w:val="28"/>
          <w:rtl w:val="0"/>
        </w:rPr>
        <w:t xml:space="preserve"> Stud. High. Educ.</w:t>
      </w:r>
      <w:r w:rsidDel="00000000" w:rsidR="00000000" w:rsidRPr="00000000">
        <w:rPr>
          <w:rFonts w:ascii="Times New Roman" w:cs="Times New Roman" w:eastAsia="Times New Roman" w:hAnsi="Times New Roman"/>
          <w:sz w:val="28"/>
          <w:szCs w:val="28"/>
          <w:rtl w:val="0"/>
        </w:rPr>
        <w:t xml:space="preserve"> 2017, 42. P. 1567–1579.</w:t>
      </w: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Marimon-Martí, M., Romeu, T., Ojando, E. S., &amp; González, V. E. Competencia Digital docente: Autopercepción en estudiantes de educación: [Teacher digital competence. Pixel-Bit, Revista de Medios y Educación. 2022. </w:t>
      </w:r>
      <w:hyperlink r:id="rId12">
        <w:r w:rsidDel="00000000" w:rsidR="00000000" w:rsidRPr="00000000">
          <w:rPr>
            <w:rFonts w:ascii="Times New Roman" w:cs="Times New Roman" w:eastAsia="Times New Roman" w:hAnsi="Times New Roman"/>
            <w:color w:val="0000ff"/>
            <w:sz w:val="28"/>
            <w:szCs w:val="28"/>
            <w:u w:val="single"/>
            <w:rtl w:val="0"/>
          </w:rPr>
          <w:t xml:space="preserve">https://doi.org/10.12795/pixelbit.93208</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Papert Seymour. Mindstorms: children, computers, and powerful ideas. USA, 2020. с.225.</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Prensky, M. H. sapiens digital: from digital immigrants and digital natives to digital wisdom. Innovate Journal of Online Education, 5. 2009. p.225.</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Read T., Kukulska-Hulme A. The role of a mobile app for listening comprehension training in distance learning to sustain student motivation</w:t>
      </w:r>
      <w:r w:rsidDel="00000000" w:rsidR="00000000" w:rsidRPr="00000000">
        <w:rPr>
          <w:rFonts w:ascii="Times New Roman" w:cs="Times New Roman" w:eastAsia="Times New Roman" w:hAnsi="Times New Roman"/>
          <w:i w:val="1"/>
          <w:sz w:val="28"/>
          <w:szCs w:val="28"/>
          <w:rtl w:val="0"/>
        </w:rPr>
        <w:t xml:space="preserve">. Journal of Universal Computer Science</w:t>
      </w:r>
      <w:r w:rsidDel="00000000" w:rsidR="00000000" w:rsidRPr="00000000">
        <w:rPr>
          <w:rFonts w:ascii="Times New Roman" w:cs="Times New Roman" w:eastAsia="Times New Roman" w:hAnsi="Times New Roman"/>
          <w:sz w:val="28"/>
          <w:szCs w:val="28"/>
          <w:rtl w:val="0"/>
        </w:rPr>
        <w:t xml:space="preserve">,  2015. 21(10). P. 1327–1338.</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1">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References:</w:t>
      </w:r>
    </w:p>
    <w:p w:rsidR="00000000" w:rsidDel="00000000" w:rsidP="00000000" w:rsidRDefault="00000000" w:rsidRPr="00000000" w14:paraId="00000043">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Henseruk H. R.  Tsyfrova kompetentnist yak odna iz profesiino znachushchykh kompetentnostei maibutnikh uchyteliv. Open educational e-environment of modern University, №6, 2019. S. 8-16. </w:t>
      </w:r>
    </w:p>
    <w:p w:rsidR="00000000" w:rsidDel="00000000" w:rsidP="00000000" w:rsidRDefault="00000000" w:rsidRPr="00000000" w14:paraId="00000044">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Kovalchuk V. I., Fedotenko S. R. Innovatsiini tekhnolohii navchannia – osnova modernizatsii profesiinoi osvity. Molodyi vchenyi, №12, 2018. S. 425-429.</w:t>
      </w:r>
    </w:p>
    <w:p w:rsidR="00000000" w:rsidDel="00000000" w:rsidP="00000000" w:rsidRDefault="00000000" w:rsidRPr="00000000" w14:paraId="00000045">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Pryidak T. B., Yaloveha L. V., Leha O. V., Mysnyk T. H., Zoria S. P. Rozvytok tsyfrovoi kompetentnosti yak umova zabezpechennia konkurentnospromozhnosti maibutnikh ekonomistiv. Informatsiini tekhnolohii i zasoby navchannia, 2019, Tom 73, №5. S.28-44.</w:t>
      </w:r>
    </w:p>
    <w:p w:rsidR="00000000" w:rsidDel="00000000" w:rsidP="00000000" w:rsidRDefault="00000000" w:rsidRPr="00000000" w14:paraId="00000046">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Sukhomlyn O. Tsyfrova kompetentnist zdobuvachiv vyshchoi filolohichnoi osvity v umovakh suchasnykh zapytiv suspilstva: tsinnisnyi aspekt. Molod i rynok. Vypusk № 2. 2022.  S.170-176.</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Ala-Mutka K., Punie Y., Redecker Ch. Digital Competence for Lifelong Learning. Policy Brief. Luxembourg: Office for Official Publications of the European Communities, 2008. URL: </w:t>
      </w:r>
      <w:hyperlink r:id="rId13">
        <w:r w:rsidDel="00000000" w:rsidR="00000000" w:rsidRPr="00000000">
          <w:rPr>
            <w:rFonts w:ascii="Times New Roman" w:cs="Times New Roman" w:eastAsia="Times New Roman" w:hAnsi="Times New Roman"/>
            <w:color w:val="0000ff"/>
            <w:sz w:val="28"/>
            <w:szCs w:val="28"/>
            <w:u w:val="single"/>
            <w:rtl w:val="0"/>
          </w:rPr>
          <w:t xml:space="preserve">https://www.researchgate.net/publication/256460657</w:t>
        </w:r>
      </w:hyperlink>
      <w:r w:rsidDel="00000000" w:rsidR="00000000" w:rsidRPr="00000000">
        <w:rPr>
          <w:rFonts w:ascii="Times New Roman" w:cs="Times New Roman" w:eastAsia="Times New Roman" w:hAnsi="Times New Roman"/>
          <w:sz w:val="28"/>
          <w:szCs w:val="28"/>
          <w:rtl w:val="0"/>
        </w:rPr>
        <w:t xml:space="preserve"> (дата звернення: 25.04.2023). </w:t>
      </w:r>
      <w:r w:rsidDel="00000000" w:rsidR="00000000" w:rsidRPr="00000000">
        <w:rPr>
          <w:rtl w:val="0"/>
        </w:rPr>
      </w:r>
    </w:p>
    <w:p w:rsidR="00000000" w:rsidDel="00000000" w:rsidP="00000000" w:rsidRDefault="00000000" w:rsidRPr="00000000" w14:paraId="00000048">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Anderson, T. (Ed.) (2018). </w:t>
      </w:r>
      <w:r w:rsidDel="00000000" w:rsidR="00000000" w:rsidRPr="00000000">
        <w:rPr>
          <w:rFonts w:ascii="Times New Roman" w:cs="Times New Roman" w:eastAsia="Times New Roman" w:hAnsi="Times New Roman"/>
          <w:i w:val="1"/>
          <w:sz w:val="28"/>
          <w:szCs w:val="28"/>
          <w:rtl w:val="0"/>
        </w:rPr>
        <w:t xml:space="preserve">The Theory and Practice of Online Learning,</w:t>
      </w:r>
      <w:r w:rsidDel="00000000" w:rsidR="00000000" w:rsidRPr="00000000">
        <w:rPr>
          <w:rFonts w:ascii="Times New Roman" w:cs="Times New Roman" w:eastAsia="Times New Roman" w:hAnsi="Times New Roman"/>
          <w:sz w:val="28"/>
          <w:szCs w:val="28"/>
          <w:rtl w:val="0"/>
        </w:rPr>
        <w:t xml:space="preserve"> 2nd ed.; Athabasca University Press: Edmonton, AB, Canada.</w:t>
      </w:r>
    </w:p>
    <w:p w:rsidR="00000000" w:rsidDel="00000000" w:rsidP="00000000" w:rsidRDefault="00000000" w:rsidRPr="00000000" w14:paraId="00000049">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Dumford, A.D.; Miller, A.L. (2018). Online learning in higher education: Exploring advantages and disadvantages for engagement. </w:t>
      </w:r>
      <w:r w:rsidDel="00000000" w:rsidR="00000000" w:rsidRPr="00000000">
        <w:rPr>
          <w:rFonts w:ascii="Times New Roman" w:cs="Times New Roman" w:eastAsia="Times New Roman" w:hAnsi="Times New Roman"/>
          <w:i w:val="1"/>
          <w:sz w:val="28"/>
          <w:szCs w:val="28"/>
          <w:rtl w:val="0"/>
        </w:rPr>
        <w:t xml:space="preserve">J. Comput. High. Educ.</w:t>
      </w:r>
      <w:r w:rsidDel="00000000" w:rsidR="00000000" w:rsidRPr="00000000">
        <w:rPr>
          <w:rFonts w:ascii="Times New Roman" w:cs="Times New Roman" w:eastAsia="Times New Roman" w:hAnsi="Times New Roman"/>
          <w:sz w:val="28"/>
          <w:szCs w:val="28"/>
          <w:rtl w:val="0"/>
        </w:rPr>
        <w:t xml:space="preserve"> 30, 452–465.</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333333"/>
          <w:sz w:val="28"/>
          <w:szCs w:val="28"/>
          <w:shd w:fill="fcfcfc" w:val="clear"/>
          <w:rtl w:val="0"/>
        </w:rPr>
        <w:t xml:space="preserve">Cabero-Almenara, J., Gutiérrez-Castillo, J.J., Guillén-Gámez, F.D. </w:t>
      </w:r>
      <w:r w:rsidDel="00000000" w:rsidR="00000000" w:rsidRPr="00000000">
        <w:rPr>
          <w:rFonts w:ascii="Times New Roman" w:cs="Times New Roman" w:eastAsia="Times New Roman" w:hAnsi="Times New Roman"/>
          <w:i w:val="1"/>
          <w:color w:val="333333"/>
          <w:sz w:val="28"/>
          <w:szCs w:val="28"/>
          <w:shd w:fill="fcfcfc" w:val="clear"/>
          <w:rtl w:val="0"/>
        </w:rPr>
        <w:t xml:space="preserve">et al.</w:t>
      </w:r>
      <w:r w:rsidDel="00000000" w:rsidR="00000000" w:rsidRPr="00000000">
        <w:rPr>
          <w:rFonts w:ascii="Times New Roman" w:cs="Times New Roman" w:eastAsia="Times New Roman" w:hAnsi="Times New Roman"/>
          <w:color w:val="333333"/>
          <w:sz w:val="28"/>
          <w:szCs w:val="28"/>
          <w:shd w:fill="fcfcfc" w:val="clear"/>
          <w:rtl w:val="0"/>
        </w:rPr>
        <w:t xml:space="preserve"> Correction: Digital Competence of Higher Education Students as a Predictor of Academic Success. </w:t>
      </w:r>
      <w:r w:rsidDel="00000000" w:rsidR="00000000" w:rsidRPr="00000000">
        <w:rPr>
          <w:rFonts w:ascii="Times New Roman" w:cs="Times New Roman" w:eastAsia="Times New Roman" w:hAnsi="Times New Roman"/>
          <w:i w:val="1"/>
          <w:color w:val="333333"/>
          <w:sz w:val="28"/>
          <w:szCs w:val="28"/>
          <w:shd w:fill="fcfcfc" w:val="clear"/>
          <w:rtl w:val="0"/>
        </w:rPr>
        <w:t xml:space="preserve">Tech Know Learn</w:t>
      </w:r>
      <w:r w:rsidDel="00000000" w:rsidR="00000000" w:rsidRPr="00000000">
        <w:rPr>
          <w:rFonts w:ascii="Times New Roman" w:cs="Times New Roman" w:eastAsia="Times New Roman" w:hAnsi="Times New Roman"/>
          <w:color w:val="333333"/>
          <w:sz w:val="28"/>
          <w:szCs w:val="28"/>
          <w:shd w:fill="fcfcfc" w:val="clear"/>
          <w:rtl w:val="0"/>
        </w:rPr>
        <w:t xml:space="preserve"> </w:t>
      </w:r>
      <w:r w:rsidDel="00000000" w:rsidR="00000000" w:rsidRPr="00000000">
        <w:rPr>
          <w:rFonts w:ascii="Times New Roman" w:cs="Times New Roman" w:eastAsia="Times New Roman" w:hAnsi="Times New Roman"/>
          <w:b w:val="1"/>
          <w:color w:val="333333"/>
          <w:sz w:val="28"/>
          <w:szCs w:val="28"/>
          <w:shd w:fill="fcfcfc" w:val="clear"/>
          <w:rtl w:val="0"/>
        </w:rPr>
        <w:t xml:space="preserve">28</w:t>
      </w:r>
      <w:r w:rsidDel="00000000" w:rsidR="00000000" w:rsidRPr="00000000">
        <w:rPr>
          <w:rFonts w:ascii="Times New Roman" w:cs="Times New Roman" w:eastAsia="Times New Roman" w:hAnsi="Times New Roman"/>
          <w:color w:val="333333"/>
          <w:sz w:val="28"/>
          <w:szCs w:val="28"/>
          <w:shd w:fill="fcfcfc" w:val="clear"/>
          <w:rtl w:val="0"/>
        </w:rPr>
        <w:t xml:space="preserve">, 703 (2023). </w:t>
      </w:r>
      <w:hyperlink r:id="rId14">
        <w:r w:rsidDel="00000000" w:rsidR="00000000" w:rsidRPr="00000000">
          <w:rPr>
            <w:rFonts w:ascii="Times New Roman" w:cs="Times New Roman" w:eastAsia="Times New Roman" w:hAnsi="Times New Roman"/>
            <w:color w:val="0000ff"/>
            <w:sz w:val="28"/>
            <w:szCs w:val="28"/>
            <w:u w:val="single"/>
            <w:shd w:fill="fcfcfc" w:val="clear"/>
            <w:rtl w:val="0"/>
          </w:rPr>
          <w:t xml:space="preserve">https://doi.org/10.1007/s10758-022-09627-5</w:t>
        </w:r>
      </w:hyperlink>
      <w:r w:rsidDel="00000000" w:rsidR="00000000" w:rsidRPr="00000000">
        <w:rPr>
          <w:rFonts w:ascii="Times New Roman" w:cs="Times New Roman" w:eastAsia="Times New Roman" w:hAnsi="Times New Roman"/>
          <w:color w:val="333333"/>
          <w:sz w:val="28"/>
          <w:szCs w:val="28"/>
          <w:shd w:fill="fcfcfc" w:val="clear"/>
          <w:rtl w:val="0"/>
        </w:rPr>
        <w:t xml:space="preserve">.</w:t>
      </w:r>
      <w:r w:rsidDel="00000000" w:rsidR="00000000" w:rsidRPr="00000000">
        <w:rPr>
          <w:rtl w:val="0"/>
        </w:rPr>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García Perales, R., &amp; Jiménez Fernández, C. Relación entre repetición de curso, rendimiento académico e igualdad en educación: Las aportaciones de PISA. Revista Educación, Política y Sociedad, 4(1), 2019. P.84–108.</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Henderson, M.; Selwyn, N.; Aston, R. (2017). What works and why? Student perceptions of ‘useful’ digital technology in university teaching and learning.</w:t>
      </w:r>
      <w:r w:rsidDel="00000000" w:rsidR="00000000" w:rsidRPr="00000000">
        <w:rPr>
          <w:rFonts w:ascii="Times New Roman" w:cs="Times New Roman" w:eastAsia="Times New Roman" w:hAnsi="Times New Roman"/>
          <w:i w:val="1"/>
          <w:sz w:val="28"/>
          <w:szCs w:val="28"/>
          <w:rtl w:val="0"/>
        </w:rPr>
        <w:t xml:space="preserve"> Stud. High. Educ</w:t>
      </w:r>
      <w:r w:rsidDel="00000000" w:rsidR="00000000" w:rsidRPr="00000000">
        <w:rPr>
          <w:rFonts w:ascii="Times New Roman" w:cs="Times New Roman" w:eastAsia="Times New Roman" w:hAnsi="Times New Roman"/>
          <w:sz w:val="28"/>
          <w:szCs w:val="28"/>
          <w:rtl w:val="0"/>
        </w:rPr>
        <w:t xml:space="preserve">. 42, 1567–1579.</w:t>
      </w:r>
      <w:r w:rsidDel="00000000" w:rsidR="00000000" w:rsidRPr="00000000">
        <w:rPr>
          <w:rtl w:val="0"/>
        </w:rPr>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Marimon-Martí, M., Romeu, T., Ojando, E. S., &amp; González, V. E. Competencia Digital docente: Autopercepción en estudiantes de educación: [Teacher digital competence. Pixel-Bit, Revista de Medios y Educación. 2022. </w:t>
      </w:r>
      <w:hyperlink r:id="rId15">
        <w:r w:rsidDel="00000000" w:rsidR="00000000" w:rsidRPr="00000000">
          <w:rPr>
            <w:rFonts w:ascii="Times New Roman" w:cs="Times New Roman" w:eastAsia="Times New Roman" w:hAnsi="Times New Roman"/>
            <w:color w:val="0000ff"/>
            <w:sz w:val="28"/>
            <w:szCs w:val="28"/>
            <w:u w:val="single"/>
            <w:rtl w:val="0"/>
          </w:rPr>
          <w:t xml:space="preserve">https://doi.org/10.12795/pixelbit.93208</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Papert Seymour. Mindstorms: children, computers, and powerful ideas. USA, 2020. с.225.</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Prensky, M. H. sapiens digital: from digital immigrants and digital natives to digital wisdom. Innovate Journal of Online Education, 5. 2009. p.225.</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Read, T., &amp; Kukulska-Hulme, A. (2015). The role of a mobile app for listening comprehension training in distance learning to sustain student motivation</w:t>
      </w:r>
      <w:r w:rsidDel="00000000" w:rsidR="00000000" w:rsidRPr="00000000">
        <w:rPr>
          <w:rFonts w:ascii="Times New Roman" w:cs="Times New Roman" w:eastAsia="Times New Roman" w:hAnsi="Times New Roman"/>
          <w:i w:val="1"/>
          <w:sz w:val="28"/>
          <w:szCs w:val="28"/>
          <w:rtl w:val="0"/>
        </w:rPr>
        <w:t xml:space="preserve">. Journal of Universal Computer Science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21</w:t>
      </w:r>
      <w:r w:rsidDel="00000000" w:rsidR="00000000" w:rsidRPr="00000000">
        <w:rPr>
          <w:rFonts w:ascii="Times New Roman" w:cs="Times New Roman" w:eastAsia="Times New Roman" w:hAnsi="Times New Roman"/>
          <w:sz w:val="28"/>
          <w:szCs w:val="28"/>
          <w:rtl w:val="0"/>
        </w:rPr>
        <w:t xml:space="preserve">(10), 1327–1338.</w:t>
      </w:r>
      <w:r w:rsidDel="00000000" w:rsidR="00000000" w:rsidRPr="00000000">
        <w:rPr>
          <w:rtl w:val="0"/>
        </w:rPr>
      </w:r>
    </w:p>
    <w:p w:rsidR="00000000" w:rsidDel="00000000" w:rsidP="00000000" w:rsidRDefault="00000000" w:rsidRPr="00000000" w14:paraId="00000051">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Tetiana Nekrashevych</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PhD in Pedagogy,</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assistant professor, philologist</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Kharkiv National Medical University,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sz w:val="28"/>
          <w:szCs w:val="28"/>
        </w:rPr>
      </w:pPr>
      <w:hyperlink r:id="rId16">
        <w:r w:rsidDel="00000000" w:rsidR="00000000" w:rsidRPr="00000000">
          <w:rPr>
            <w:rFonts w:ascii="Times New Roman" w:cs="Times New Roman" w:eastAsia="Times New Roman" w:hAnsi="Times New Roman"/>
            <w:color w:val="0000ff"/>
            <w:sz w:val="28"/>
            <w:szCs w:val="28"/>
            <w:u w:val="single"/>
            <w:rtl w:val="0"/>
          </w:rPr>
          <w:t xml:space="preserve">meduniver@knmu.edu.ua</w:t>
        </w:r>
      </w:hyperlink>
      <w:r w:rsidDel="00000000" w:rsidR="00000000" w:rsidRPr="00000000">
        <w:rPr>
          <w:rFonts w:ascii="Times New Roman" w:cs="Times New Roman" w:eastAsia="Times New Roman" w:hAnsi="Times New Roman"/>
          <w:sz w:val="28"/>
          <w:szCs w:val="28"/>
          <w:rtl w:val="0"/>
        </w:rPr>
        <w:t xml:space="preserve">, Ukraine</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b w:val="1"/>
          <w:sz w:val="28"/>
          <w:szCs w:val="28"/>
        </w:rPr>
      </w:pPr>
      <w:hyperlink r:id="rId17">
        <w:r w:rsidDel="00000000" w:rsidR="00000000" w:rsidRPr="00000000">
          <w:rPr>
            <w:rFonts w:ascii="Times New Roman" w:cs="Times New Roman" w:eastAsia="Times New Roman" w:hAnsi="Times New Roman"/>
            <w:color w:val="0000ff"/>
            <w:sz w:val="28"/>
            <w:szCs w:val="28"/>
            <w:u w:val="single"/>
            <w:rtl w:val="0"/>
          </w:rPr>
          <w:t xml:space="preserve">tv.nekrashevych@gmail.com</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59">
      <w:pPr>
        <w:spacing w:after="0" w:line="360" w:lineRule="auto"/>
        <w:ind w:firstLine="709"/>
        <w:rPr>
          <w:rFonts w:ascii="Times New Roman" w:cs="Times New Roman" w:eastAsia="Times New Roman" w:hAnsi="Times New Roman"/>
          <w:color w:val="0000ff"/>
          <w:sz w:val="28"/>
          <w:szCs w:val="28"/>
          <w:u w:val="single"/>
        </w:rPr>
      </w:pPr>
      <w:hyperlink r:id="rId18">
        <w:r w:rsidDel="00000000" w:rsidR="00000000" w:rsidRPr="00000000">
          <w:rPr>
            <w:rFonts w:ascii="Times New Roman" w:cs="Times New Roman" w:eastAsia="Times New Roman" w:hAnsi="Times New Roman"/>
            <w:color w:val="0000ff"/>
            <w:sz w:val="28"/>
            <w:szCs w:val="28"/>
            <w:u w:val="single"/>
            <w:rtl w:val="0"/>
          </w:rPr>
          <w:t xml:space="preserve">ORCID: 0000-0003-2506-111X</w:t>
        </w:r>
      </w:hyperlink>
      <w:r w:rsidDel="00000000" w:rsidR="00000000" w:rsidRPr="00000000">
        <w:rPr>
          <w:rtl w:val="0"/>
        </w:rPr>
      </w:r>
    </w:p>
    <w:p w:rsidR="00000000" w:rsidDel="00000000" w:rsidP="00000000" w:rsidRDefault="00000000" w:rsidRPr="00000000" w14:paraId="0000005A">
      <w:pPr>
        <w:spacing w:after="0" w:line="360" w:lineRule="auto"/>
        <w:ind w:firstLine="709"/>
        <w:rPr>
          <w:rFonts w:ascii="Times New Roman" w:cs="Times New Roman" w:eastAsia="Times New Roman" w:hAnsi="Times New Roman"/>
          <w:color w:val="0000ff"/>
          <w:sz w:val="28"/>
          <w:szCs w:val="28"/>
          <w:u w:val="single"/>
        </w:rPr>
      </w:pPr>
      <w:r w:rsidDel="00000000" w:rsidR="00000000" w:rsidRPr="00000000">
        <w:rPr>
          <w:rtl w:val="0"/>
        </w:rPr>
      </w:r>
    </w:p>
    <w:p w:rsidR="00000000" w:rsidDel="00000000" w:rsidP="00000000" w:rsidRDefault="00000000" w:rsidRPr="00000000" w14:paraId="0000005B">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DIGITAL COMPETENCE OF HIGHER MEDICAL EDUCATION STUDENTS IN THE CONTEXT OF TODAY'S CHALLENGES</w:t>
      </w:r>
    </w:p>
    <w:p w:rsidR="00000000" w:rsidDel="00000000" w:rsidP="00000000" w:rsidRDefault="00000000" w:rsidRPr="00000000" w14:paraId="0000005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Abstract. </w:t>
      </w:r>
      <w:r w:rsidDel="00000000" w:rsidR="00000000" w:rsidRPr="00000000">
        <w:rPr>
          <w:rFonts w:ascii="Times New Roman" w:cs="Times New Roman" w:eastAsia="Times New Roman" w:hAnsi="Times New Roman"/>
          <w:sz w:val="28"/>
          <w:szCs w:val="28"/>
          <w:rtl w:val="0"/>
        </w:rPr>
        <w:t xml:space="preserve">The article reveals the essence of digital competence of students of higher medical education institutions in the context of studying language disciplines. The advantages and disadvantages of using digital tools in the modern educational process are described. The modern methods of teaching in higher education are characterized. It has been established that the use of digital technologies is an accessible method that motivates and improves the learning process through functionality. The understanding of the concept of digital competence and digital learning applications is analyzed and generalized.  It has been established that the use of digital technologies is an accessible method that motivates and improves the learning process through functionality. </w:t>
      </w:r>
    </w:p>
    <w:p w:rsidR="00000000" w:rsidDel="00000000" w:rsidP="00000000" w:rsidRDefault="00000000" w:rsidRPr="00000000" w14:paraId="0000005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understanding of the concept of digital competence and digital learning applications is analyzed and generalized. The methodological effectiveness of information and communication technologies that contribute to the formation of students' digital and professional competencies is characterized.</w:t>
      </w:r>
    </w:p>
    <w:p w:rsidR="00000000" w:rsidDel="00000000" w:rsidP="00000000" w:rsidRDefault="00000000" w:rsidRPr="00000000" w14:paraId="0000005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prospect of further research, namely the possibility of using mobile technologies as an effective strategy for the development of digital competence in the process of professional training of medical students, is highlighted.</w:t>
      </w:r>
    </w:p>
    <w:p w:rsidR="00000000" w:rsidDel="00000000" w:rsidP="00000000" w:rsidRDefault="00000000" w:rsidRPr="00000000" w14:paraId="0000005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Keywords: </w:t>
      </w:r>
      <w:r w:rsidDel="00000000" w:rsidR="00000000" w:rsidRPr="00000000">
        <w:rPr>
          <w:rFonts w:ascii="Times New Roman" w:cs="Times New Roman" w:eastAsia="Times New Roman" w:hAnsi="Times New Roman"/>
          <w:sz w:val="28"/>
          <w:szCs w:val="28"/>
          <w:rtl w:val="0"/>
        </w:rPr>
        <w:t xml:space="preserve">digital competence; professional competence; digital technologies; digital learning applications; methods in higher education.</w:t>
      </w:r>
    </w:p>
    <w:p w:rsidR="00000000" w:rsidDel="00000000" w:rsidP="00000000" w:rsidRDefault="00000000" w:rsidRPr="00000000" w14:paraId="00000060">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1">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Татьяна Васильевна Некрашевич</w:t>
      </w:r>
    </w:p>
    <w:p w:rsidR="00000000" w:rsidDel="00000000" w:rsidP="00000000" w:rsidRDefault="00000000" w:rsidRPr="00000000" w14:paraId="0000006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кандидат педагогических наук</w:t>
      </w:r>
    </w:p>
    <w:p w:rsidR="00000000" w:rsidDel="00000000" w:rsidP="00000000" w:rsidRDefault="00000000" w:rsidRPr="00000000" w14:paraId="0000006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доцент, филолог</w:t>
      </w:r>
    </w:p>
    <w:p w:rsidR="00000000" w:rsidDel="00000000" w:rsidP="00000000" w:rsidRDefault="00000000" w:rsidRPr="00000000" w14:paraId="0000006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Харьковский национальный медицинский университет,</w:t>
      </w:r>
    </w:p>
    <w:p w:rsidR="00000000" w:rsidDel="00000000" w:rsidP="00000000" w:rsidRDefault="00000000" w:rsidRPr="00000000" w14:paraId="00000065">
      <w:pPr>
        <w:spacing w:after="0" w:line="360" w:lineRule="auto"/>
        <w:ind w:firstLine="709"/>
        <w:jc w:val="both"/>
        <w:rPr>
          <w:rFonts w:ascii="Times New Roman" w:cs="Times New Roman" w:eastAsia="Times New Roman" w:hAnsi="Times New Roman"/>
          <w:sz w:val="28"/>
          <w:szCs w:val="28"/>
        </w:rPr>
      </w:pPr>
      <w:hyperlink r:id="rId19">
        <w:r w:rsidDel="00000000" w:rsidR="00000000" w:rsidRPr="00000000">
          <w:rPr>
            <w:rFonts w:ascii="Times New Roman" w:cs="Times New Roman" w:eastAsia="Times New Roman" w:hAnsi="Times New Roman"/>
            <w:color w:val="0000ff"/>
            <w:sz w:val="28"/>
            <w:szCs w:val="28"/>
            <w:u w:val="single"/>
            <w:rtl w:val="0"/>
          </w:rPr>
          <w:t xml:space="preserve">meduniver@knmu.edu.ua</w:t>
        </w:r>
      </w:hyperlink>
      <w:r w:rsidDel="00000000" w:rsidR="00000000" w:rsidRPr="00000000">
        <w:rPr>
          <w:rFonts w:ascii="Times New Roman" w:cs="Times New Roman" w:eastAsia="Times New Roman" w:hAnsi="Times New Roman"/>
          <w:sz w:val="28"/>
          <w:szCs w:val="28"/>
          <w:rtl w:val="0"/>
        </w:rPr>
        <w:t xml:space="preserve"> , Украина</w:t>
      </w:r>
    </w:p>
    <w:p w:rsidR="00000000" w:rsidDel="00000000" w:rsidP="00000000" w:rsidRDefault="00000000" w:rsidRPr="00000000" w14:paraId="00000066">
      <w:pPr>
        <w:spacing w:after="0" w:line="360" w:lineRule="auto"/>
        <w:ind w:firstLine="709"/>
        <w:jc w:val="both"/>
        <w:rPr>
          <w:rFonts w:ascii="Times New Roman" w:cs="Times New Roman" w:eastAsia="Times New Roman" w:hAnsi="Times New Roman"/>
          <w:sz w:val="28"/>
          <w:szCs w:val="28"/>
        </w:rPr>
      </w:pPr>
      <w:hyperlink r:id="rId20">
        <w:r w:rsidDel="00000000" w:rsidR="00000000" w:rsidRPr="00000000">
          <w:rPr>
            <w:rFonts w:ascii="Times New Roman" w:cs="Times New Roman" w:eastAsia="Times New Roman" w:hAnsi="Times New Roman"/>
            <w:color w:val="0000ff"/>
            <w:sz w:val="28"/>
            <w:szCs w:val="28"/>
            <w:u w:val="single"/>
            <w:rtl w:val="0"/>
          </w:rPr>
          <w:t xml:space="preserve">tv.nekrashevych@gmail.com</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ORCID: 0000-0003-2506-111X</w:t>
      </w:r>
    </w:p>
    <w:p w:rsidR="00000000" w:rsidDel="00000000" w:rsidP="00000000" w:rsidRDefault="00000000" w:rsidRPr="00000000" w14:paraId="00000068">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ЦИФРОВАЯ КОМПЕТЕНТНОСТЬ СОИСКАТЕЛЕЙ ВЫСШЕГО МЕДИЦИНСКОГО ОБРАЗОВАНИЯ В УСЛОВИЯХ ВЫЗОВОВ СОВРЕМЕННОСТИ</w:t>
      </w:r>
    </w:p>
    <w:p w:rsidR="00000000" w:rsidDel="00000000" w:rsidP="00000000" w:rsidRDefault="00000000" w:rsidRPr="00000000" w14:paraId="0000006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Анотация. </w:t>
      </w:r>
      <w:r w:rsidDel="00000000" w:rsidR="00000000" w:rsidRPr="00000000">
        <w:rPr>
          <w:rFonts w:ascii="Times New Roman" w:cs="Times New Roman" w:eastAsia="Times New Roman" w:hAnsi="Times New Roman"/>
          <w:sz w:val="28"/>
          <w:szCs w:val="28"/>
          <w:rtl w:val="0"/>
        </w:rPr>
        <w:t xml:space="preserve">В статье раскрыта сущность цифровой компетентности студентов высших медицинских учебных заведений в контексте изучения языковых дисциплин. Описаны преимущества и недостатки использования диджитал инструментов в современном учебном процессе. Охарактеризованы современные методы обучения в высшем образовании. Установлено, что использование цифровых технологий, является доступным методом, мотивирует и совершенствует процесс обучения благодаря функциональности. Проанализировано и обобщено понимание понятия цифровая компетентность, цифровые учебные приложения.  Установлено, что использование цифровых технологий, является доступным методом, мотивирует и совершенствует процесс обучения благодаря функциональности. </w:t>
      </w:r>
    </w:p>
    <w:p w:rsidR="00000000" w:rsidDel="00000000" w:rsidP="00000000" w:rsidRDefault="00000000" w:rsidRPr="00000000" w14:paraId="0000006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Проанализировано и обобщено понимание понятия цифровая компетентность, цифровые учебные приложения. Охарактеризована методическая эффективность информационно-коммуникационных технологий, способствующих формированию цифровой и профессиональной компетентностей студентов.</w:t>
      </w:r>
    </w:p>
    <w:p w:rsidR="00000000" w:rsidDel="00000000" w:rsidP="00000000" w:rsidRDefault="00000000" w:rsidRPr="00000000" w14:paraId="0000006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Освещены перспективы дальнейших исследований, а именно возможности применения мобильных технологий, как эффективной стратегии развития цифровой компетентности в процессе профессиональной подготовки студентов медицинских специальностей.</w:t>
      </w:r>
    </w:p>
    <w:p w:rsidR="00000000" w:rsidDel="00000000" w:rsidP="00000000" w:rsidRDefault="00000000" w:rsidRPr="00000000" w14:paraId="0000006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Ключевые слова: </w:t>
      </w:r>
      <w:r w:rsidDel="00000000" w:rsidR="00000000" w:rsidRPr="00000000">
        <w:rPr>
          <w:rFonts w:ascii="Times New Roman" w:cs="Times New Roman" w:eastAsia="Times New Roman" w:hAnsi="Times New Roman"/>
          <w:sz w:val="28"/>
          <w:szCs w:val="28"/>
          <w:rtl w:val="0"/>
        </w:rPr>
        <w:t xml:space="preserve">цифровая компетентность; профессиональная компетентность; цифровые технологии; цифровые учебные программы; методы в высшем образовании.</w:t>
      </w:r>
    </w:p>
    <w:sectPr>
      <w:pgSz w:h="16838" w:w="11906" w:orient="portrait"/>
      <w:pgMar w:bottom="1134" w:top="1134"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rsid w:val="0031725D"/>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Subtitle"/>
    <w:basedOn w:val="a"/>
    <w:next w:val="a"/>
    <w:pPr>
      <w:keepNext w:val="1"/>
      <w:keepLines w:val="1"/>
      <w:spacing w:after="80" w:before="360"/>
    </w:pPr>
    <w:rPr>
      <w:rFonts w:ascii="Georgia" w:cs="Georgia" w:eastAsia="Georgia" w:hAnsi="Georgia"/>
      <w:i w:val="1"/>
      <w:color w:val="666666"/>
      <w:sz w:val="48"/>
      <w:szCs w:val="48"/>
    </w:rPr>
  </w:style>
  <w:style w:type="character" w:styleId="a5">
    <w:name w:val="Hyperlink"/>
    <w:basedOn w:val="a0"/>
    <w:uiPriority w:val="99"/>
    <w:unhideWhenUsed w:val="1"/>
    <w:rsid w:val="004625AF"/>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tv.nekrashevych@gmail.com" TargetMode="External"/><Relationship Id="rId11" Type="http://schemas.openxmlformats.org/officeDocument/2006/relationships/hyperlink" Target="https://doi.org/10.1007/s10758-022-09627-5" TargetMode="External"/><Relationship Id="rId10" Type="http://schemas.openxmlformats.org/officeDocument/2006/relationships/hyperlink" Target="https://www.researchgate.net/publication/256460657" TargetMode="External"/><Relationship Id="rId13" Type="http://schemas.openxmlformats.org/officeDocument/2006/relationships/hyperlink" Target="https://www.researchgate.net/publication/256460657" TargetMode="External"/><Relationship Id="rId12" Type="http://schemas.openxmlformats.org/officeDocument/2006/relationships/hyperlink" Target="https://doi.org/10.12795/pixelbit.9320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rcid.org/0000-0003-2506-111X" TargetMode="External"/><Relationship Id="rId15" Type="http://schemas.openxmlformats.org/officeDocument/2006/relationships/hyperlink" Target="https://doi.org/10.12795/pixelbit.93208" TargetMode="External"/><Relationship Id="rId14" Type="http://schemas.openxmlformats.org/officeDocument/2006/relationships/hyperlink" Target="https://doi.org/10.1007/s10758-022-09627-5" TargetMode="External"/><Relationship Id="rId17" Type="http://schemas.openxmlformats.org/officeDocument/2006/relationships/hyperlink" Target="mailto:tv.nekrashevych@gmail.com" TargetMode="External"/><Relationship Id="rId16" Type="http://schemas.openxmlformats.org/officeDocument/2006/relationships/hyperlink" Target="mailto:meduniver@knmu.edu.ua" TargetMode="External"/><Relationship Id="rId5" Type="http://schemas.openxmlformats.org/officeDocument/2006/relationships/styles" Target="styles.xml"/><Relationship Id="rId19" Type="http://schemas.openxmlformats.org/officeDocument/2006/relationships/hyperlink" Target="mailto:meduniver@knmu.edu.ua" TargetMode="External"/><Relationship Id="rId6" Type="http://schemas.openxmlformats.org/officeDocument/2006/relationships/customXml" Target="../customXML/item1.xml"/><Relationship Id="rId18" Type="http://schemas.openxmlformats.org/officeDocument/2006/relationships/hyperlink" Target="https://orcid.org/0000-0003-2506-111X" TargetMode="External"/><Relationship Id="rId7" Type="http://schemas.openxmlformats.org/officeDocument/2006/relationships/hyperlink" Target="mailto:meduniver@knmu.edu.ua" TargetMode="External"/><Relationship Id="rId8" Type="http://schemas.openxmlformats.org/officeDocument/2006/relationships/hyperlink" Target="mailto:tv.nekrashevy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gutbDGWPMvE3b2qluVC/JzkQBQ==">CgMxLjAyCGguZ2pkZ3hzOAByITFzcGlXZ2NYcW1tOUg1cVZNVDVFX3FYY21aek94Sy1mSw==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2023-05-02T17:30:00Z</dcterms:created>
  <dc:creator>о</dc:creator>
</cp:coreProperties>
</file>