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66" w:rsidRPr="00427235" w:rsidRDefault="008A4266" w:rsidP="00F306D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7235">
        <w:rPr>
          <w:rFonts w:ascii="Times New Roman" w:hAnsi="Times New Roman"/>
          <w:sz w:val="28"/>
          <w:szCs w:val="28"/>
          <w:lang w:val="uk-UA"/>
        </w:rPr>
        <w:t xml:space="preserve">УДК:616.12-008.331.1:616.831-005.1-084-056 </w:t>
      </w:r>
    </w:p>
    <w:p w:rsidR="008A4266" w:rsidRPr="009D66B4" w:rsidRDefault="008A4266" w:rsidP="009D66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66B4">
        <w:rPr>
          <w:rFonts w:ascii="Times New Roman" w:hAnsi="Times New Roman"/>
          <w:b/>
          <w:sz w:val="28"/>
          <w:szCs w:val="28"/>
          <w:lang w:val="uk-UA"/>
        </w:rPr>
        <w:t xml:space="preserve">ПРОФІЛАКТИКА МОЗКОВОГО ІНСУЛЬТУ </w:t>
      </w:r>
      <w:r w:rsidRPr="001376E2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9D66B4">
        <w:rPr>
          <w:rFonts w:ascii="Times New Roman" w:hAnsi="Times New Roman"/>
          <w:b/>
          <w:sz w:val="28"/>
          <w:szCs w:val="28"/>
          <w:lang w:val="uk-UA"/>
        </w:rPr>
        <w:t>ХВОРИХ НА АРТЕРІАЛЬНУ ГІПЕРТЕНЗІЮ. АКЦЕНТ НА ФАКТОРИ РИЗИКУ</w:t>
      </w:r>
    </w:p>
    <w:p w:rsidR="008A4266" w:rsidRPr="009D66B4" w:rsidRDefault="008A4266" w:rsidP="009D66B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>Питецька Н.І., Ковальова О.М.</w:t>
      </w:r>
      <w:r>
        <w:rPr>
          <w:rFonts w:ascii="Times New Roman" w:hAnsi="Times New Roman"/>
          <w:sz w:val="28"/>
          <w:szCs w:val="28"/>
          <w:lang w:val="uk-UA"/>
        </w:rPr>
        <w:t>, Зливка Л.В.⃰</w:t>
      </w:r>
    </w:p>
    <w:p w:rsidR="008A4266" w:rsidRDefault="008A4266" w:rsidP="009D66B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A4266" w:rsidRPr="009D66B4" w:rsidRDefault="008A4266" w:rsidP="009D66B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⃰ Харківська міська клінічна лікарня №11</w:t>
      </w:r>
    </w:p>
    <w:p w:rsidR="008A4266" w:rsidRPr="00EF33B1" w:rsidRDefault="008A4266" w:rsidP="000715F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0"/>
          <w:szCs w:val="20"/>
          <w:lang w:val="uk-UA"/>
        </w:rPr>
      </w:pPr>
      <w:r w:rsidRPr="00EF33B1">
        <w:rPr>
          <w:rFonts w:ascii="Times New Roman" w:eastAsia="TimesNewRomanPSMT" w:hAnsi="Times New Roman"/>
          <w:sz w:val="20"/>
          <w:szCs w:val="20"/>
          <w:lang w:val="uk-UA"/>
        </w:rPr>
        <w:t xml:space="preserve"> </w:t>
      </w:r>
    </w:p>
    <w:p w:rsidR="008A4266" w:rsidRPr="000E4748" w:rsidRDefault="008A4266" w:rsidP="000E3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0E4748">
        <w:rPr>
          <w:rFonts w:ascii="Times New Roman" w:eastAsia="TimesNewRomanPSMT" w:hAnsi="Times New Roman"/>
          <w:b/>
          <w:sz w:val="28"/>
          <w:szCs w:val="28"/>
          <w:lang w:val="uk-UA"/>
        </w:rPr>
        <w:t>Резюме.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 xml:space="preserve"> Інсульт – одна з основних медико-соціальних проблем, оскільки посідає друге місце серед причин смертності й перше – серед причин стійкої втрати працездатності у всіх країнах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світу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 xml:space="preserve">. У роботі проведений гендерний аналіз </w:t>
      </w:r>
      <w:r>
        <w:rPr>
          <w:rFonts w:ascii="Times New Roman" w:eastAsia="TimesNewRomanPSMT" w:hAnsi="Times New Roman"/>
          <w:sz w:val="28"/>
          <w:szCs w:val="28"/>
          <w:lang w:val="uk-UA"/>
        </w:rPr>
        <w:t>основних м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 xml:space="preserve">одифікованих факторів ризику інсульту у хворих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на 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>артеріальн</w:t>
      </w:r>
      <w:r>
        <w:rPr>
          <w:rFonts w:ascii="Times New Roman" w:eastAsia="TimesNewRomanPSMT" w:hAnsi="Times New Roman"/>
          <w:sz w:val="28"/>
          <w:szCs w:val="28"/>
          <w:lang w:val="uk-UA"/>
        </w:rPr>
        <w:t>у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 xml:space="preserve"> гіпертензією.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В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>становлен</w:t>
      </w:r>
      <w:r>
        <w:rPr>
          <w:rFonts w:ascii="Times New Roman" w:eastAsia="TimesNewRomanPSMT" w:hAnsi="Times New Roman"/>
          <w:sz w:val="28"/>
          <w:szCs w:val="28"/>
          <w:lang w:val="uk-UA"/>
        </w:rPr>
        <w:t>о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>, що в жінок значно гірш</w:t>
      </w:r>
      <w:r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 xml:space="preserve"> показники, що характеризують ризик розвитку інсульту.</w:t>
      </w:r>
    </w:p>
    <w:p w:rsidR="008A4266" w:rsidRPr="000E4748" w:rsidRDefault="008A4266" w:rsidP="000E30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E4748">
        <w:rPr>
          <w:rFonts w:ascii="Times New Roman" w:eastAsia="TimesNewRomanPSMT" w:hAnsi="Times New Roman"/>
          <w:b/>
          <w:sz w:val="28"/>
          <w:szCs w:val="28"/>
          <w:lang w:val="uk-UA"/>
        </w:rPr>
        <w:t>Ключові слова</w:t>
      </w:r>
      <w:r w:rsidRPr="000E4748">
        <w:rPr>
          <w:rFonts w:ascii="Times New Roman" w:eastAsia="TimesNewRomanPSMT" w:hAnsi="Times New Roman"/>
          <w:sz w:val="28"/>
          <w:szCs w:val="28"/>
          <w:lang w:val="uk-UA"/>
        </w:rPr>
        <w:t>: інсульт, артеріальна гіпертензія, фактори ризику</w:t>
      </w:r>
    </w:p>
    <w:p w:rsidR="008A4266" w:rsidRDefault="008A4266" w:rsidP="008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4266" w:rsidRPr="009D66B4" w:rsidRDefault="008A4266" w:rsidP="008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NewRomanPSMT" w:hAnsi="Times New Roman"/>
          <w:color w:val="161616"/>
          <w:sz w:val="28"/>
          <w:szCs w:val="28"/>
          <w:lang w:val="uk-UA"/>
        </w:rPr>
      </w:pP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>сьогодняшній день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>мозковий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>інсульт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(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>МІ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>є однією з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найактуальніших  проблем сучасної медицини світу, оскільки 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посідає друге місце серед хвороб з фатальними наслідками і є найбільш розповсюдженою причиною стійкої втрати працездатності. У світі в 2005 р</w:t>
      </w:r>
      <w:r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оці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він став причиною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5,7 млн смертельних випадків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,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прогнозується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зростання смертності внаслідок інсульту до 6,7 млн у 2015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р. та до 7,8 млн у 2030 р</w:t>
      </w:r>
      <w:r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оці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 xml:space="preserve"> [1].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Протягом останніх 10 років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показник поширеності інсульту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виріс з 2,2 до 3,5 у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більшості країн Європи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[2,</w:t>
      </w:r>
      <w:r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3</w:t>
      </w:r>
      <w:r w:rsidRPr="009D66B4">
        <w:rPr>
          <w:rFonts w:ascii="Times New Roman" w:eastAsia="TimesNewRomanPSMT" w:hAnsi="Times New Roman"/>
          <w:color w:val="161616"/>
          <w:sz w:val="28"/>
          <w:szCs w:val="28"/>
        </w:rPr>
        <w:t>].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 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У США кожні 3 </w:t>
      </w:r>
      <w:r w:rsidRPr="009D66B4">
        <w:rPr>
          <w:rFonts w:ascii="Times New Roman" w:hAnsi="Times New Roman"/>
          <w:sz w:val="28"/>
          <w:szCs w:val="28"/>
          <w:lang w:val="uk-UA"/>
        </w:rPr>
        <w:t>хвилини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 хтось в</w:t>
      </w:r>
      <w:r w:rsidRPr="009D66B4">
        <w:rPr>
          <w:rFonts w:ascii="Times New Roman" w:hAnsi="Times New Roman"/>
          <w:sz w:val="28"/>
          <w:szCs w:val="28"/>
          <w:lang w:val="uk-UA"/>
        </w:rPr>
        <w:t>мирає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 від інсульту</w:t>
      </w:r>
      <w:r w:rsidRPr="00034CF4">
        <w:rPr>
          <w:rFonts w:ascii="Times New Roman" w:hAnsi="Times New Roman"/>
          <w:color w:val="3F3F3F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color w:val="3F3F3F"/>
          <w:sz w:val="28"/>
          <w:szCs w:val="28"/>
          <w:lang w:val="uk-UA"/>
        </w:rPr>
        <w:t>4</w:t>
      </w:r>
      <w:r w:rsidRPr="00034CF4">
        <w:rPr>
          <w:rFonts w:ascii="Times New Roman" w:hAnsi="Times New Roman"/>
          <w:color w:val="3F3F3F"/>
          <w:sz w:val="28"/>
          <w:szCs w:val="28"/>
          <w:lang w:val="uk-UA"/>
        </w:rPr>
        <w:t>]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. 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Україні щорічно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 xml:space="preserve">реєструється 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>близько 100-120 тис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яч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нових випадків МІ, а смертність від нього 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значно перевищує показники більшості країн Європи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[</w:t>
      </w:r>
      <w:r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5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,6,7</w:t>
      </w:r>
      <w:r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,8</w:t>
      </w:r>
      <w:r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>].</w:t>
      </w:r>
    </w:p>
    <w:p w:rsidR="008A4266" w:rsidRPr="009D66B4" w:rsidRDefault="008A4266" w:rsidP="008C210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Перенесений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суттєво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підвищує  ризик розвитку повторного інсульту в порівнянні з особами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загальної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популяції того ж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віку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]. Крім того,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пацієнтів з інсультом в 2-3 рази підвищений ризик розвитку  інфаркту міокарда (ІМ), нестабільної стенокардії або раптовій серцевої смерті 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]. </w:t>
      </w:r>
    </w:p>
    <w:p w:rsidR="008A4266" w:rsidRPr="009D66B4" w:rsidRDefault="008A4266" w:rsidP="008C210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F3F3F"/>
          <w:sz w:val="28"/>
          <w:szCs w:val="28"/>
          <w:lang w:val="uk-UA"/>
        </w:rPr>
      </w:pP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>МІ – не тільки соціальна, але й важлива економічна проблема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оскільки </w:t>
      </w:r>
      <w:r w:rsidRPr="009D66B4">
        <w:rPr>
          <w:rFonts w:ascii="Times New Roman" w:hAnsi="Times New Roman"/>
          <w:sz w:val="28"/>
          <w:szCs w:val="28"/>
          <w:lang w:val="uk-UA" w:eastAsia="ru-RU"/>
        </w:rPr>
        <w:t xml:space="preserve"> потребує значних коштів на лікування та реабілітацію хворих.</w:t>
      </w:r>
      <w:r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У США </w:t>
      </w:r>
      <w:r w:rsidRPr="009D66B4">
        <w:rPr>
          <w:rFonts w:ascii="Times New Roman" w:hAnsi="Times New Roman"/>
          <w:sz w:val="28"/>
          <w:szCs w:val="28"/>
          <w:lang w:val="uk-UA"/>
        </w:rPr>
        <w:t>для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 1 хворого з </w:t>
      </w:r>
      <w:r>
        <w:rPr>
          <w:rFonts w:ascii="Times New Roman" w:hAnsi="Times New Roman"/>
          <w:color w:val="3F3F3F"/>
          <w:sz w:val="28"/>
          <w:szCs w:val="28"/>
          <w:lang w:val="uk-UA"/>
        </w:rPr>
        <w:t xml:space="preserve">МІ 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 вони </w:t>
      </w:r>
      <w:r w:rsidRPr="009D66B4">
        <w:rPr>
          <w:rFonts w:ascii="Times New Roman" w:hAnsi="Times New Roman"/>
          <w:sz w:val="28"/>
          <w:szCs w:val="28"/>
          <w:lang w:val="uk-UA"/>
        </w:rPr>
        <w:t>становлять</w:t>
      </w:r>
      <w:r w:rsidRPr="009D66B4">
        <w:rPr>
          <w:rFonts w:ascii="Times New Roman" w:hAnsi="Times New Roman"/>
          <w:color w:val="3F3F3F"/>
          <w:sz w:val="28"/>
          <w:szCs w:val="28"/>
          <w:lang w:val="uk-UA"/>
        </w:rPr>
        <w:t xml:space="preserve"> приблизно 40 000 доларів на рік 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A4266" w:rsidRPr="009D66B4" w:rsidRDefault="008A4266" w:rsidP="008C210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Показник поширеності МІ значною мірою залежить від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факторів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ризику, основні з яких підвищений артеріальний тиск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(АТ)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 xml:space="preserve"> порушений ліпідний обмін, надмірна маса тіла, нездоровий спосіб життя (тютюнокуріння, нераціональне харчування, зловживання алкоголем, недостатня фізична активність), а також фактори навколишнього середовища (психоемоційні навантаження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(ПЕН)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>, шкідливі умови на виробництві та в побуті) [</w:t>
      </w:r>
      <w:r>
        <w:rPr>
          <w:rFonts w:ascii="Times New Roman" w:eastAsia="TimesNewRomanPSMT" w:hAnsi="Times New Roman"/>
          <w:sz w:val="28"/>
          <w:szCs w:val="28"/>
          <w:lang w:val="uk-UA"/>
        </w:rPr>
        <w:t>12,13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 xml:space="preserve">]. Виявлення і контроль модифікованих факторів ризику – найкращий спосіб знизити індивідуальний ризик розвитку МІ у пацієнта.  Особливо важлива корекція факторів ризику в осіб, які вже мають захворювання серцево-судинної системи. Доведено, що, з одного боку, саме ця категорія хворих має найгірший прогноз, а з іншого – активне втручання може істотно покращити перебіг захворювання та продовжити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працездатність і 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 xml:space="preserve">життя таких пацієнтів. </w:t>
      </w:r>
      <w:r w:rsidRPr="00375129">
        <w:rPr>
          <w:rFonts w:ascii="Times New Roman" w:eastAsia="TimesNewRomanPSMT" w:hAnsi="Times New Roman"/>
          <w:sz w:val="28"/>
          <w:szCs w:val="28"/>
          <w:lang w:val="uk-UA"/>
        </w:rPr>
        <w:t>М</w:t>
      </w:r>
      <w:r w:rsidRPr="00375129">
        <w:rPr>
          <w:rFonts w:ascii="Times New Roman" w:eastAsia="TimesNewRomanPS-BoldMT" w:hAnsi="Times New Roman"/>
          <w:bCs/>
          <w:sz w:val="28"/>
          <w:szCs w:val="28"/>
        </w:rPr>
        <w:t xml:space="preserve">ета </w:t>
      </w:r>
      <w:r w:rsidRPr="00375129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нашої </w:t>
      </w:r>
      <w:r w:rsidRPr="00375129">
        <w:rPr>
          <w:rFonts w:ascii="Times New Roman" w:eastAsia="TimesNewRomanPS-BoldMT" w:hAnsi="Times New Roman"/>
          <w:bCs/>
          <w:sz w:val="28"/>
          <w:szCs w:val="28"/>
        </w:rPr>
        <w:t xml:space="preserve">роботи </w:t>
      </w:r>
      <w:r w:rsidRPr="00375129">
        <w:rPr>
          <w:rFonts w:ascii="Times New Roman" w:eastAsia="TimesNewRomanPSMT" w:hAnsi="Times New Roman"/>
          <w:sz w:val="28"/>
          <w:szCs w:val="28"/>
        </w:rPr>
        <w:t>−</w:t>
      </w:r>
      <w:r w:rsidRPr="009D66B4">
        <w:rPr>
          <w:rFonts w:ascii="Times New Roman" w:eastAsia="TimesNewRomanPSMT" w:hAnsi="Times New Roman"/>
          <w:sz w:val="28"/>
          <w:szCs w:val="28"/>
        </w:rPr>
        <w:t xml:space="preserve"> виявлення та аналіз </w:t>
      </w:r>
      <w:r>
        <w:rPr>
          <w:rFonts w:ascii="Times New Roman" w:eastAsia="TimesNewRomanPSMT" w:hAnsi="Times New Roman"/>
          <w:sz w:val="28"/>
          <w:szCs w:val="28"/>
          <w:lang w:val="uk-UA"/>
        </w:rPr>
        <w:t>факторів</w:t>
      </w:r>
      <w:r w:rsidRPr="009D66B4">
        <w:rPr>
          <w:rFonts w:ascii="Times New Roman" w:eastAsia="TimesNewRomanPSMT" w:hAnsi="Times New Roman"/>
          <w:sz w:val="28"/>
          <w:szCs w:val="28"/>
        </w:rPr>
        <w:t xml:space="preserve"> ризику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МІ </w:t>
      </w:r>
      <w:r w:rsidRPr="009D66B4">
        <w:rPr>
          <w:rFonts w:ascii="Times New Roman" w:eastAsia="TimesNewRomanPSMT" w:hAnsi="Times New Roman"/>
          <w:sz w:val="28"/>
          <w:szCs w:val="28"/>
        </w:rPr>
        <w:t>у хворих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uk-UA"/>
        </w:rPr>
        <w:t>на</w:t>
      </w:r>
      <w:r w:rsidRPr="009D66B4">
        <w:rPr>
          <w:rFonts w:ascii="Times New Roman" w:eastAsia="TimesNewRomanPSMT" w:hAnsi="Times New Roman"/>
          <w:sz w:val="28"/>
          <w:szCs w:val="28"/>
          <w:lang w:val="uk-UA"/>
        </w:rPr>
        <w:t xml:space="preserve"> А</w:t>
      </w:r>
      <w:r>
        <w:rPr>
          <w:rFonts w:ascii="Times New Roman" w:eastAsia="TimesNewRomanPSMT" w:hAnsi="Times New Roman"/>
          <w:sz w:val="28"/>
          <w:szCs w:val="28"/>
          <w:lang w:val="uk-UA"/>
        </w:rPr>
        <w:t>Г</w:t>
      </w:r>
      <w:r w:rsidRPr="009D66B4">
        <w:rPr>
          <w:rFonts w:ascii="Times New Roman" w:eastAsia="TimesNewRomanPSMT" w:hAnsi="Times New Roman"/>
          <w:sz w:val="28"/>
          <w:szCs w:val="28"/>
        </w:rPr>
        <w:t>.</w:t>
      </w:r>
    </w:p>
    <w:p w:rsidR="008A4266" w:rsidRPr="009D66B4" w:rsidRDefault="008A4266" w:rsidP="009D66B4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D66B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Матеріали і методи</w:t>
      </w:r>
    </w:p>
    <w:p w:rsidR="008A4266" w:rsidRPr="009D66B4" w:rsidRDefault="008A4266" w:rsidP="009D66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 xml:space="preserve">Обстежено 266 хворих на АГ: 220 жінок </w:t>
      </w:r>
      <w:r w:rsidRPr="009D66B4">
        <w:rPr>
          <w:rFonts w:ascii="Times New Roman" w:hAnsi="Times New Roman"/>
          <w:bCs/>
          <w:sz w:val="28"/>
          <w:szCs w:val="28"/>
          <w:lang w:val="uk-UA"/>
        </w:rPr>
        <w:t>віком від 30 до 76 років (</w:t>
      </w:r>
      <w:r w:rsidRPr="009D66B4">
        <w:rPr>
          <w:rFonts w:ascii="Times New Roman" w:hAnsi="Times New Roman"/>
          <w:sz w:val="28"/>
          <w:szCs w:val="28"/>
          <w:lang w:val="uk-UA"/>
        </w:rPr>
        <w:t>середній вік 54,25±0,40 роки) – перша група і 46 чоловіків віком від 30 до 69 років (середній вік</w:t>
      </w:r>
      <w:r w:rsidRPr="009D66B4">
        <w:rPr>
          <w:rFonts w:ascii="Times New Roman" w:hAnsi="Times New Roman"/>
          <w:color w:val="FF00FF"/>
          <w:sz w:val="28"/>
          <w:szCs w:val="28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lang w:val="uk-UA"/>
        </w:rPr>
        <w:t xml:space="preserve">50,34±0,57 років) – друга група. Всім пацієнтам було проведено загально-клінічне обстеження. </w:t>
      </w:r>
    </w:p>
    <w:p w:rsidR="008A4266" w:rsidRDefault="008A4266" w:rsidP="009D66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 w:eastAsia="uk-UA"/>
        </w:rPr>
        <w:t xml:space="preserve">Верифікація діагнозу та визначення ступеня АГ здійснювали </w:t>
      </w:r>
      <w:r w:rsidRPr="009D66B4">
        <w:rPr>
          <w:rFonts w:ascii="Times New Roman" w:hAnsi="Times New Roman"/>
          <w:sz w:val="28"/>
          <w:szCs w:val="28"/>
          <w:lang w:val="uk-UA"/>
        </w:rPr>
        <w:t>на підставі клініко-анамнестичного та лабораторно-інструментального досліджень</w:t>
      </w:r>
      <w:r w:rsidRPr="009D66B4">
        <w:rPr>
          <w:rFonts w:ascii="Times New Roman" w:hAnsi="Times New Roman"/>
          <w:sz w:val="28"/>
          <w:szCs w:val="28"/>
          <w:lang w:val="uk-UA" w:eastAsia="uk-UA"/>
        </w:rPr>
        <w:t xml:space="preserve"> згідно з критеріями, рекомендованими українською асоціацією кардіологів </w:t>
      </w:r>
      <w:r w:rsidRPr="009D66B4">
        <w:rPr>
          <w:rFonts w:ascii="Times New Roman" w:hAnsi="Times New Roman"/>
          <w:sz w:val="28"/>
          <w:szCs w:val="28"/>
          <w:lang w:val="uk-UA"/>
        </w:rPr>
        <w:t>з профілактики та лікування АГ</w:t>
      </w:r>
      <w:r w:rsidRPr="009D66B4">
        <w:rPr>
          <w:rFonts w:ascii="Times New Roman" w:hAnsi="Times New Roman"/>
          <w:sz w:val="28"/>
          <w:szCs w:val="28"/>
          <w:lang w:val="uk-UA" w:eastAsia="uk-UA"/>
        </w:rPr>
        <w:t xml:space="preserve"> [1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9D66B4">
        <w:rPr>
          <w:rFonts w:ascii="Times New Roman" w:hAnsi="Times New Roman"/>
          <w:sz w:val="28"/>
          <w:szCs w:val="28"/>
          <w:lang w:val="uk-UA" w:eastAsia="uk-UA"/>
        </w:rPr>
        <w:t>] і Європейським суспільством кардіологів (ESC) / Європейським суспільством АГ (ESH) [</w:t>
      </w:r>
      <w:r>
        <w:rPr>
          <w:rFonts w:ascii="Times New Roman" w:hAnsi="Times New Roman"/>
          <w:sz w:val="28"/>
          <w:szCs w:val="28"/>
          <w:lang w:val="uk-UA" w:eastAsia="uk-UA"/>
        </w:rPr>
        <w:t>15</w:t>
      </w:r>
      <w:r w:rsidRPr="009D66B4">
        <w:rPr>
          <w:rFonts w:ascii="Times New Roman" w:hAnsi="Times New Roman"/>
          <w:sz w:val="28"/>
          <w:szCs w:val="28"/>
          <w:lang w:val="uk-UA" w:eastAsia="uk-UA"/>
        </w:rPr>
        <w:t xml:space="preserve">]. </w:t>
      </w:r>
    </w:p>
    <w:p w:rsidR="008A4266" w:rsidRDefault="008A4266" w:rsidP="009D66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66B4">
        <w:rPr>
          <w:rFonts w:ascii="Times New Roman" w:hAnsi="Times New Roman"/>
          <w:color w:val="000000"/>
          <w:sz w:val="28"/>
          <w:szCs w:val="28"/>
          <w:lang w:val="uk-UA"/>
        </w:rPr>
        <w:t>Основні критерії виключення хворих із обстеження – симптоматична АГ, гострий коронарний синдром та інсульт, супутня онкопатологія, гострі та хронічні запальні захворювання, а також систолічна дисфункція лівого шлуночка (ФВ 40% і менше).</w:t>
      </w:r>
    </w:p>
    <w:p w:rsidR="008A4266" w:rsidRPr="009D66B4" w:rsidRDefault="008A4266" w:rsidP="009D66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>З метою виявлення основних модифікованих факторів ризику проводили опитування хворих. Серед аліментарних факторів ризику особливу увагу приділяли вживанню повареної (кухонної) солі та алкоголю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66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D66B4">
        <w:rPr>
          <w:rFonts w:ascii="Times New Roman" w:hAnsi="Times New Roman"/>
          <w:sz w:val="28"/>
          <w:szCs w:val="28"/>
          <w:lang w:val="uk-UA"/>
        </w:rPr>
        <w:t>гідно сучасних рекомендацій [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9D66B4">
        <w:rPr>
          <w:rFonts w:ascii="Times New Roman" w:hAnsi="Times New Roman"/>
          <w:sz w:val="28"/>
          <w:szCs w:val="28"/>
          <w:lang w:val="uk-UA"/>
        </w:rPr>
        <w:t>]. Курцями вважали осіб, які щоденно ви</w:t>
      </w:r>
      <w:r>
        <w:rPr>
          <w:rFonts w:ascii="Times New Roman" w:hAnsi="Times New Roman"/>
          <w:sz w:val="28"/>
          <w:szCs w:val="28"/>
          <w:lang w:val="uk-UA"/>
        </w:rPr>
        <w:t>курювали</w:t>
      </w:r>
      <w:r w:rsidRPr="009D66B4">
        <w:rPr>
          <w:rFonts w:ascii="Times New Roman" w:hAnsi="Times New Roman"/>
          <w:sz w:val="28"/>
          <w:szCs w:val="28"/>
          <w:lang w:val="uk-UA"/>
        </w:rPr>
        <w:t xml:space="preserve"> хоча б одну сигарету.</w:t>
      </w:r>
    </w:p>
    <w:p w:rsidR="008A4266" w:rsidRPr="006035BC" w:rsidRDefault="008A4266" w:rsidP="009510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2105">
        <w:rPr>
          <w:rFonts w:ascii="Times New Roman" w:hAnsi="Times New Roman"/>
          <w:sz w:val="28"/>
          <w:szCs w:val="28"/>
          <w:lang w:val="uk-UA"/>
        </w:rPr>
        <w:t>Всім хворим</w:t>
      </w:r>
      <w:r w:rsidRPr="008C2105">
        <w:rPr>
          <w:rFonts w:ascii="Times New Roman" w:hAnsi="Times New Roman"/>
          <w:sz w:val="28"/>
          <w:szCs w:val="28"/>
        </w:rPr>
        <w:t xml:space="preserve"> </w:t>
      </w:r>
      <w:r w:rsidRPr="008C2105">
        <w:rPr>
          <w:rFonts w:ascii="Times New Roman" w:hAnsi="Times New Roman"/>
          <w:sz w:val="28"/>
          <w:szCs w:val="28"/>
          <w:lang w:val="uk-UA"/>
        </w:rPr>
        <w:t xml:space="preserve">визначали антропометричні показники. </w:t>
      </w:r>
      <w:r w:rsidRPr="008C2105">
        <w:rPr>
          <w:rFonts w:ascii="Times New Roman" w:hAnsi="Times New Roman"/>
          <w:sz w:val="28"/>
          <w:szCs w:val="28"/>
          <w:lang w:val="uk-UA" w:eastAsia="uk-UA"/>
        </w:rPr>
        <w:t>Ожиріння виявляли, використовуючи індекс маси тіла (ІМТ), який обчислювали як відношення маси тіла (кг) і зросту (м</w:t>
      </w:r>
      <w:r w:rsidRPr="008C2105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8C2105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r w:rsidRPr="006035BC">
        <w:rPr>
          <w:rFonts w:ascii="Times New Roman" w:hAnsi="Times New Roman"/>
          <w:sz w:val="28"/>
          <w:szCs w:val="28"/>
          <w:lang w:val="uk-UA"/>
        </w:rPr>
        <w:t xml:space="preserve">Абдомінальне ожиріння визначали за критеріями, рекомендованими 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en-US"/>
        </w:rPr>
        <w:t>NCEP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en-US"/>
        </w:rPr>
        <w:t>ATP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en-US"/>
        </w:rPr>
        <w:t>III</w:t>
      </w:r>
      <w:r w:rsidRPr="006035B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(2001)</w:t>
      </w:r>
      <w:r w:rsidRPr="006035B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035BC">
        <w:rPr>
          <w:rFonts w:ascii="Times New Roman" w:hAnsi="Times New Roman"/>
          <w:bCs/>
          <w:iCs/>
          <w:sz w:val="28"/>
          <w:szCs w:val="28"/>
          <w:lang w:val="uk-UA"/>
        </w:rPr>
        <w:t>ОТ</w:t>
      </w:r>
      <w:r w:rsidRPr="006035BC">
        <w:rPr>
          <w:rFonts w:ascii="Times New Roman" w:hAnsi="Times New Roman"/>
          <w:sz w:val="28"/>
          <w:szCs w:val="28"/>
          <w:lang w:val="uk-UA"/>
        </w:rPr>
        <w:t>&gt;</w:t>
      </w:r>
      <w:smartTag w:uri="urn:schemas-microsoft-com:office:smarttags" w:element="metricconverter">
        <w:smartTagPr>
          <w:attr w:name="ProductID" w:val="102 см"/>
        </w:smartTagPr>
        <w:r w:rsidRPr="006035BC">
          <w:rPr>
            <w:rFonts w:ascii="Times New Roman" w:hAnsi="Times New Roman"/>
            <w:sz w:val="28"/>
            <w:szCs w:val="28"/>
            <w:lang w:val="uk-UA"/>
          </w:rPr>
          <w:t>102 см</w:t>
        </w:r>
      </w:smartTag>
      <w:r w:rsidRPr="006035BC">
        <w:rPr>
          <w:rFonts w:ascii="Times New Roman" w:hAnsi="Times New Roman"/>
          <w:sz w:val="28"/>
          <w:szCs w:val="28"/>
          <w:lang w:val="uk-UA"/>
        </w:rPr>
        <w:t xml:space="preserve"> у чоловіків та &gt;</w:t>
      </w:r>
      <w:smartTag w:uri="urn:schemas-microsoft-com:office:smarttags" w:element="metricconverter">
        <w:smartTagPr>
          <w:attr w:name="ProductID" w:val="88 см"/>
        </w:smartTagPr>
        <w:r w:rsidRPr="006035BC">
          <w:rPr>
            <w:rFonts w:ascii="Times New Roman" w:hAnsi="Times New Roman"/>
            <w:sz w:val="28"/>
            <w:szCs w:val="28"/>
            <w:lang w:val="uk-UA"/>
          </w:rPr>
          <w:t>88 см</w:t>
        </w:r>
      </w:smartTag>
      <w:r w:rsidRPr="006035BC">
        <w:rPr>
          <w:rFonts w:ascii="Times New Roman" w:hAnsi="Times New Roman"/>
          <w:sz w:val="28"/>
          <w:szCs w:val="28"/>
          <w:lang w:val="uk-UA"/>
        </w:rPr>
        <w:t xml:space="preserve"> у жінок 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035BC">
        <w:rPr>
          <w:rFonts w:ascii="Times New Roman" w:hAnsi="Times New Roman"/>
          <w:sz w:val="28"/>
          <w:szCs w:val="28"/>
          <w:lang w:val="uk-UA"/>
        </w:rPr>
        <w:t xml:space="preserve">7] та IDF (2005): </w:t>
      </w:r>
      <w:r w:rsidRPr="006035BC">
        <w:rPr>
          <w:rFonts w:ascii="Times New Roman" w:hAnsi="Times New Roman"/>
          <w:bCs/>
          <w:iCs/>
          <w:sz w:val="28"/>
          <w:szCs w:val="28"/>
          <w:lang w:val="uk-UA"/>
        </w:rPr>
        <w:t>ОТ</w:t>
      </w:r>
      <w:r w:rsidRPr="006035BC">
        <w:rPr>
          <w:rFonts w:ascii="Times New Roman" w:hAnsi="Times New Roman"/>
          <w:bCs/>
          <w:sz w:val="28"/>
          <w:szCs w:val="28"/>
          <w:lang w:val="uk-UA"/>
        </w:rPr>
        <w:t xml:space="preserve">≥ </w:t>
      </w:r>
      <w:smartTag w:uri="urn:schemas-microsoft-com:office:smarttags" w:element="metricconverter">
        <w:smartTagPr>
          <w:attr w:name="ProductID" w:val="94 см"/>
        </w:smartTagPr>
        <w:r w:rsidRPr="006035BC">
          <w:rPr>
            <w:rFonts w:ascii="Times New Roman" w:hAnsi="Times New Roman"/>
            <w:bCs/>
            <w:sz w:val="28"/>
            <w:szCs w:val="28"/>
            <w:lang w:val="uk-UA"/>
          </w:rPr>
          <w:t>94 см</w:t>
        </w:r>
      </w:smartTag>
      <w:r w:rsidRPr="006035BC">
        <w:rPr>
          <w:rFonts w:ascii="Times New Roman" w:hAnsi="Times New Roman"/>
          <w:sz w:val="28"/>
          <w:szCs w:val="28"/>
          <w:lang w:val="uk-UA"/>
        </w:rPr>
        <w:t xml:space="preserve"> у чоловіків та </w:t>
      </w:r>
      <w:r w:rsidRPr="006035BC">
        <w:rPr>
          <w:rFonts w:ascii="Times New Roman" w:hAnsi="Times New Roman"/>
          <w:bCs/>
          <w:sz w:val="28"/>
          <w:szCs w:val="28"/>
          <w:lang w:val="uk-UA"/>
        </w:rPr>
        <w:t xml:space="preserve">≥ </w:t>
      </w:r>
      <w:smartTag w:uri="urn:schemas-microsoft-com:office:smarttags" w:element="metricconverter">
        <w:smartTagPr>
          <w:attr w:name="ProductID" w:val="80 см"/>
        </w:smartTagPr>
        <w:r w:rsidRPr="006035BC">
          <w:rPr>
            <w:rFonts w:ascii="Times New Roman" w:hAnsi="Times New Roman"/>
            <w:bCs/>
            <w:sz w:val="28"/>
            <w:szCs w:val="28"/>
            <w:lang w:val="uk-UA"/>
          </w:rPr>
          <w:t>80 см</w:t>
        </w:r>
      </w:smartTag>
      <w:r w:rsidRPr="006035BC">
        <w:rPr>
          <w:rFonts w:ascii="Times New Roman" w:hAnsi="Times New Roman"/>
          <w:sz w:val="28"/>
          <w:szCs w:val="28"/>
          <w:lang w:val="uk-UA"/>
        </w:rPr>
        <w:t xml:space="preserve"> у жінок [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6035BC">
        <w:rPr>
          <w:rFonts w:ascii="Times New Roman" w:hAnsi="Times New Roman"/>
          <w:sz w:val="28"/>
          <w:szCs w:val="28"/>
          <w:lang w:val="uk-UA"/>
        </w:rPr>
        <w:t>].</w:t>
      </w:r>
    </w:p>
    <w:p w:rsidR="008A4266" w:rsidRPr="00951081" w:rsidRDefault="008A4266" w:rsidP="009510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081">
        <w:rPr>
          <w:rFonts w:ascii="Times New Roman" w:hAnsi="Times New Roman"/>
          <w:sz w:val="28"/>
          <w:szCs w:val="28"/>
          <w:lang w:val="uk-UA" w:eastAsia="uk-UA"/>
        </w:rPr>
        <w:t>Показники ліпідного обміну (ЛО) – загальний холестерин (ЗХС), рівень холестерину ліпопротеїнів високої щільності (ХСЛПВЩ), тригліцеридів (ТГ) – визначалися уніфікованими методами за допомогою наборів реагентів компанії “</w:t>
      </w:r>
      <w:r w:rsidRPr="00951081">
        <w:rPr>
          <w:rFonts w:ascii="Times New Roman" w:hAnsi="Times New Roman"/>
          <w:sz w:val="28"/>
          <w:szCs w:val="28"/>
          <w:lang w:eastAsia="uk-UA"/>
        </w:rPr>
        <w:t>LACHEMA</w:t>
      </w:r>
      <w:r w:rsidRPr="00951081">
        <w:rPr>
          <w:rFonts w:ascii="Times New Roman" w:hAnsi="Times New Roman"/>
          <w:sz w:val="28"/>
          <w:szCs w:val="28"/>
          <w:lang w:val="uk-UA" w:eastAsia="uk-UA"/>
        </w:rPr>
        <w:t xml:space="preserve">” (Чехія). Окрім цього, розраховували рівень холестерину ліпопротеїнів низької щільності (ХСЛПНЩ) за формулою </w:t>
      </w:r>
      <w:r w:rsidRPr="00951081">
        <w:rPr>
          <w:rFonts w:ascii="Times New Roman" w:hAnsi="Times New Roman"/>
          <w:sz w:val="28"/>
          <w:szCs w:val="28"/>
          <w:lang w:eastAsia="uk-UA"/>
        </w:rPr>
        <w:t>Friedewald</w:t>
      </w:r>
      <w:r w:rsidRPr="0095108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A4266" w:rsidRPr="009D66B4" w:rsidRDefault="008A4266" w:rsidP="00951081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9D66B4">
        <w:rPr>
          <w:sz w:val="28"/>
          <w:szCs w:val="28"/>
          <w:lang w:val="uk-UA" w:eastAsia="uk-UA"/>
        </w:rPr>
        <w:t>Статистичну обробку отриманих даних проводили в системі «</w:t>
      </w:r>
      <w:r w:rsidRPr="009D66B4">
        <w:rPr>
          <w:sz w:val="28"/>
          <w:szCs w:val="28"/>
          <w:lang w:eastAsia="uk-UA"/>
        </w:rPr>
        <w:t>Microsoft</w:t>
      </w:r>
      <w:r w:rsidRPr="009D66B4">
        <w:rPr>
          <w:sz w:val="28"/>
          <w:szCs w:val="28"/>
          <w:lang w:val="uk-UA" w:eastAsia="uk-UA"/>
        </w:rPr>
        <w:t xml:space="preserve"> </w:t>
      </w:r>
      <w:r w:rsidRPr="009D66B4">
        <w:rPr>
          <w:sz w:val="28"/>
          <w:szCs w:val="28"/>
          <w:lang w:eastAsia="uk-UA"/>
        </w:rPr>
        <w:t>Excel</w:t>
      </w:r>
      <w:r w:rsidRPr="009D66B4">
        <w:rPr>
          <w:sz w:val="28"/>
          <w:szCs w:val="28"/>
          <w:lang w:val="uk-UA" w:eastAsia="uk-UA"/>
        </w:rPr>
        <w:t>» за допомогою пакету аналізу в системі «</w:t>
      </w:r>
      <w:r w:rsidRPr="009D66B4">
        <w:rPr>
          <w:sz w:val="28"/>
          <w:szCs w:val="28"/>
          <w:lang w:eastAsia="uk-UA"/>
        </w:rPr>
        <w:t>Microsoft</w:t>
      </w:r>
      <w:r w:rsidRPr="009D66B4">
        <w:rPr>
          <w:sz w:val="28"/>
          <w:szCs w:val="28"/>
          <w:lang w:val="uk-UA" w:eastAsia="uk-UA"/>
        </w:rPr>
        <w:t xml:space="preserve"> </w:t>
      </w:r>
      <w:r w:rsidRPr="009D66B4">
        <w:rPr>
          <w:sz w:val="28"/>
          <w:szCs w:val="28"/>
          <w:lang w:eastAsia="uk-UA"/>
        </w:rPr>
        <w:t>Excel</w:t>
      </w:r>
      <w:r w:rsidRPr="009D66B4">
        <w:rPr>
          <w:sz w:val="28"/>
          <w:szCs w:val="28"/>
          <w:lang w:val="uk-UA" w:eastAsia="uk-UA"/>
        </w:rPr>
        <w:t xml:space="preserve">». Оцінка вірогідності розбіжності середніх величин проводилася з використанням парного </w:t>
      </w:r>
      <w:r w:rsidRPr="009D66B4">
        <w:rPr>
          <w:sz w:val="28"/>
          <w:szCs w:val="28"/>
          <w:lang w:eastAsia="uk-UA"/>
        </w:rPr>
        <w:t>t-критер</w:t>
      </w:r>
      <w:r w:rsidRPr="009D66B4">
        <w:rPr>
          <w:sz w:val="28"/>
          <w:szCs w:val="28"/>
          <w:lang w:val="uk-UA" w:eastAsia="uk-UA"/>
        </w:rPr>
        <w:t>і</w:t>
      </w:r>
      <w:r w:rsidRPr="009D66B4">
        <w:rPr>
          <w:sz w:val="28"/>
          <w:szCs w:val="28"/>
          <w:lang w:eastAsia="uk-UA"/>
        </w:rPr>
        <w:t>я</w:t>
      </w:r>
      <w:r w:rsidRPr="009D66B4">
        <w:rPr>
          <w:sz w:val="28"/>
          <w:szCs w:val="28"/>
          <w:lang w:val="uk-UA" w:eastAsia="uk-UA"/>
        </w:rPr>
        <w:t xml:space="preserve"> Стьюдента. Достовірними вважалися показники при </w:t>
      </w:r>
      <w:r w:rsidRPr="009D66B4">
        <w:rPr>
          <w:sz w:val="28"/>
          <w:szCs w:val="28"/>
          <w:lang w:eastAsia="uk-UA"/>
        </w:rPr>
        <w:t>р&lt;0,05</w:t>
      </w:r>
      <w:r w:rsidRPr="009D66B4">
        <w:rPr>
          <w:sz w:val="28"/>
          <w:szCs w:val="28"/>
          <w:lang w:val="uk-UA" w:eastAsia="uk-UA"/>
        </w:rPr>
        <w:t>.</w:t>
      </w:r>
    </w:p>
    <w:p w:rsidR="008A4266" w:rsidRPr="009D66B4" w:rsidRDefault="008A4266" w:rsidP="009D66B4">
      <w:pPr>
        <w:pStyle w:val="BodyTextIndent"/>
        <w:spacing w:after="0" w:line="360" w:lineRule="auto"/>
        <w:ind w:left="0" w:firstLine="709"/>
        <w:jc w:val="both"/>
        <w:rPr>
          <w:b/>
          <w:sz w:val="28"/>
          <w:szCs w:val="28"/>
          <w:lang w:val="uk-UA" w:eastAsia="uk-UA"/>
        </w:rPr>
      </w:pPr>
      <w:r w:rsidRPr="009D66B4">
        <w:rPr>
          <w:b/>
          <w:sz w:val="28"/>
          <w:szCs w:val="28"/>
          <w:lang w:val="uk-UA" w:eastAsia="uk-UA"/>
        </w:rPr>
        <w:t>Результати дослідження та їх обговорення</w:t>
      </w:r>
    </w:p>
    <w:p w:rsidR="008A4266" w:rsidRPr="009D66B4" w:rsidRDefault="008A4266" w:rsidP="00A10A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Високий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основним ризик-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фактором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пiдвищеної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захворюваностi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смертності від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призводить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значних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медичних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i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соцiальних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значних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економiчних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витрат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За даними ВООЗ </w:t>
      </w:r>
      <w:r w:rsidRPr="009D66B4">
        <w:rPr>
          <w:rFonts w:ascii="Times New Roman" w:hAnsi="Times New Roman"/>
          <w:color w:val="000000"/>
          <w:sz w:val="28"/>
          <w:szCs w:val="28"/>
        </w:rPr>
        <w:t xml:space="preserve">з 15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млн. </w:t>
      </w:r>
      <w:r w:rsidRPr="009D66B4">
        <w:rPr>
          <w:rFonts w:ascii="Times New Roman" w:hAnsi="Times New Roman"/>
          <w:color w:val="000000"/>
          <w:sz w:val="28"/>
          <w:szCs w:val="28"/>
          <w:lang w:val="uk-UA"/>
        </w:rPr>
        <w:t>випадків інсульту у 12,7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лн.</w:t>
      </w:r>
      <w:r w:rsidRPr="009D66B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випадків причиною є АГ</w:t>
      </w:r>
      <w:r w:rsidRPr="009D66B4">
        <w:rPr>
          <w:rFonts w:ascii="Times New Roman" w:hAnsi="Times New Roman"/>
          <w:color w:val="000000"/>
          <w:sz w:val="28"/>
          <w:szCs w:val="28"/>
        </w:rPr>
        <w:t>. </w:t>
      </w:r>
      <w:r w:rsidRPr="009D66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D66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rFonts w:ascii="Times New Roman" w:hAnsi="Times New Roman"/>
          <w:sz w:val="28"/>
          <w:szCs w:val="28"/>
          <w:lang w:val="uk-UA"/>
        </w:rPr>
        <w:t>В нашому дослідженні в структурі АГ домінувала АГ ІІІ ступеня, питома вага якої склала 68,7% серед жінок і 50,0% серед чоловіків, АГ ІІ ступеня – 27,7% і 30,4% відповідно, АГ І ступеня – 3,6% і 19,6% відповідно. При цьому дебют захворювання у жінок був значно пізнішим, ніж у чоловіків (44,46±0,46 роки і 38,96±2,72 років відповідно, p&lt;0,05), що пов’язано з кардіопротекторною дією естрогенів.</w:t>
      </w:r>
    </w:p>
    <w:p w:rsidR="008A4266" w:rsidRPr="009D66B4" w:rsidRDefault="008A4266" w:rsidP="00A10A86">
      <w:pPr>
        <w:pStyle w:val="BodyTextIndent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Основними клінічними проявами АГ у обстежених осіб були церебральні скарги (головний біль, виникнення якого найчастіше було пов’язано з підвищенням АТ, запаморочення, тимчасове порушення зору, шум у вухах), кардіальні (біль у ділянці серця, відчуття «перебоїв», серцебиття, задишка, набряки гомілок) та астено-невротичні (стомлюваність неадекватно до фізичного навантаження, загальна слабкість, підвищена дратівливість, порушення сну, пітливість, почуття жару-«припливи») скарги (табл. 1).</w:t>
      </w:r>
    </w:p>
    <w:p w:rsidR="008A4266" w:rsidRPr="009D66B4" w:rsidRDefault="008A4266" w:rsidP="009D66B4">
      <w:pPr>
        <w:pStyle w:val="BodyText"/>
        <w:spacing w:after="0" w:line="360" w:lineRule="auto"/>
        <w:ind w:firstLine="567"/>
        <w:jc w:val="right"/>
        <w:rPr>
          <w:bCs/>
          <w:sz w:val="28"/>
          <w:szCs w:val="28"/>
          <w:lang w:val="uk-UA"/>
        </w:rPr>
      </w:pPr>
      <w:r w:rsidRPr="009D66B4">
        <w:rPr>
          <w:bCs/>
          <w:sz w:val="28"/>
          <w:szCs w:val="28"/>
          <w:lang w:val="uk-UA"/>
        </w:rPr>
        <w:t>Таблиця 1</w:t>
      </w:r>
    </w:p>
    <w:p w:rsidR="008A4266" w:rsidRPr="009D66B4" w:rsidRDefault="008A4266" w:rsidP="009D66B4">
      <w:pPr>
        <w:pStyle w:val="BodyText"/>
        <w:spacing w:after="0" w:line="360" w:lineRule="auto"/>
        <w:jc w:val="center"/>
        <w:rPr>
          <w:bCs/>
          <w:sz w:val="28"/>
          <w:szCs w:val="28"/>
          <w:lang w:val="uk-UA"/>
        </w:rPr>
      </w:pPr>
      <w:r w:rsidRPr="009D66B4">
        <w:rPr>
          <w:bCs/>
          <w:sz w:val="28"/>
          <w:szCs w:val="28"/>
          <w:lang w:val="uk-UA"/>
        </w:rPr>
        <w:t>Клініко-анамнестична характеристика обстежених осіб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2709"/>
        <w:gridCol w:w="2799"/>
      </w:tblGrid>
      <w:tr w:rsidR="008A4266" w:rsidRPr="00A530C1" w:rsidTr="00A530C1">
        <w:tc>
          <w:tcPr>
            <w:tcW w:w="3778" w:type="dxa"/>
            <w:vMerge w:val="restart"/>
            <w:vAlign w:val="center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5508" w:type="dxa"/>
            <w:gridSpan w:val="2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Хворі на АГ</w:t>
            </w:r>
          </w:p>
        </w:tc>
      </w:tr>
      <w:tr w:rsidR="008A4266" w:rsidRPr="00A530C1" w:rsidTr="00A530C1">
        <w:tc>
          <w:tcPr>
            <w:tcW w:w="3778" w:type="dxa"/>
            <w:vMerge/>
          </w:tcPr>
          <w:p w:rsidR="008A4266" w:rsidRPr="00A530C1" w:rsidRDefault="008A4266" w:rsidP="00A530C1">
            <w:pPr>
              <w:pStyle w:val="BodyTextInden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9" w:type="dxa"/>
          </w:tcPr>
          <w:p w:rsidR="008A4266" w:rsidRPr="00A530C1" w:rsidRDefault="008A4266" w:rsidP="00A530C1">
            <w:pPr>
              <w:pStyle w:val="BodyTextIndent"/>
              <w:ind w:left="284"/>
              <w:jc w:val="center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 xml:space="preserve">Жінки </w:t>
            </w:r>
            <w:r w:rsidRPr="00A530C1">
              <w:rPr>
                <w:bCs/>
                <w:sz w:val="28"/>
                <w:szCs w:val="28"/>
                <w:lang w:val="uk-UA"/>
              </w:rPr>
              <w:t>(n=220)</w:t>
            </w:r>
          </w:p>
          <w:p w:rsidR="008A4266" w:rsidRPr="00A530C1" w:rsidRDefault="008A4266" w:rsidP="00A530C1">
            <w:pPr>
              <w:pStyle w:val="BodyTextIndent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 xml:space="preserve"> абс. (%)</w:t>
            </w:r>
          </w:p>
        </w:tc>
        <w:tc>
          <w:tcPr>
            <w:tcW w:w="2799" w:type="dxa"/>
          </w:tcPr>
          <w:p w:rsidR="008A4266" w:rsidRPr="00A530C1" w:rsidRDefault="008A4266" w:rsidP="00A530C1">
            <w:pPr>
              <w:pStyle w:val="BodyTextIndent"/>
              <w:ind w:left="284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 xml:space="preserve">Чоловіки </w:t>
            </w:r>
            <w:r w:rsidRPr="00A530C1">
              <w:rPr>
                <w:bCs/>
                <w:sz w:val="28"/>
                <w:szCs w:val="28"/>
                <w:lang w:val="uk-UA"/>
              </w:rPr>
              <w:t>(n=46)</w:t>
            </w:r>
            <w:r w:rsidRPr="00A530C1">
              <w:rPr>
                <w:sz w:val="28"/>
                <w:szCs w:val="28"/>
                <w:lang w:val="uk-UA"/>
              </w:rPr>
              <w:t xml:space="preserve"> </w:t>
            </w:r>
          </w:p>
          <w:p w:rsidR="008A4266" w:rsidRPr="00A530C1" w:rsidRDefault="008A4266" w:rsidP="00A530C1">
            <w:pPr>
              <w:pStyle w:val="BodyTextIndent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абс. (%)</w:t>
            </w:r>
          </w:p>
        </w:tc>
      </w:tr>
      <w:tr w:rsidR="008A4266" w:rsidRPr="00A530C1" w:rsidTr="00A530C1">
        <w:tc>
          <w:tcPr>
            <w:tcW w:w="3778" w:type="dxa"/>
          </w:tcPr>
          <w:p w:rsidR="008A4266" w:rsidRPr="00A530C1" w:rsidRDefault="008A4266" w:rsidP="00A530C1">
            <w:pPr>
              <w:pStyle w:val="BodyTextInden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Церебральні скарги</w:t>
            </w:r>
          </w:p>
        </w:tc>
        <w:tc>
          <w:tcPr>
            <w:tcW w:w="270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220 (100)</w:t>
            </w:r>
          </w:p>
        </w:tc>
        <w:tc>
          <w:tcPr>
            <w:tcW w:w="279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46 (100)</w:t>
            </w:r>
          </w:p>
        </w:tc>
      </w:tr>
      <w:tr w:rsidR="008A4266" w:rsidRPr="00A530C1" w:rsidTr="00A530C1">
        <w:tc>
          <w:tcPr>
            <w:tcW w:w="3778" w:type="dxa"/>
          </w:tcPr>
          <w:p w:rsidR="008A4266" w:rsidRPr="00A530C1" w:rsidRDefault="008A4266" w:rsidP="00A530C1">
            <w:pPr>
              <w:pStyle w:val="BodyTextInden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Кардіальні скарги</w:t>
            </w:r>
          </w:p>
        </w:tc>
        <w:tc>
          <w:tcPr>
            <w:tcW w:w="270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193 (87,7)</w:t>
            </w:r>
          </w:p>
        </w:tc>
        <w:tc>
          <w:tcPr>
            <w:tcW w:w="279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41 (89,1)</w:t>
            </w:r>
          </w:p>
        </w:tc>
      </w:tr>
      <w:tr w:rsidR="008A4266" w:rsidRPr="00A530C1" w:rsidTr="00A530C1">
        <w:tc>
          <w:tcPr>
            <w:tcW w:w="3778" w:type="dxa"/>
          </w:tcPr>
          <w:p w:rsidR="008A4266" w:rsidRPr="00A530C1" w:rsidRDefault="008A4266" w:rsidP="00A530C1">
            <w:pPr>
              <w:pStyle w:val="BodyTextInden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Астено-невротичні скарги</w:t>
            </w:r>
          </w:p>
        </w:tc>
        <w:tc>
          <w:tcPr>
            <w:tcW w:w="270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138 (62,7)</w:t>
            </w:r>
          </w:p>
        </w:tc>
        <w:tc>
          <w:tcPr>
            <w:tcW w:w="2799" w:type="dxa"/>
          </w:tcPr>
          <w:p w:rsidR="008A4266" w:rsidRPr="00A530C1" w:rsidRDefault="008A4266" w:rsidP="00A530C1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14 (30,4)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МІ</w:t>
            </w:r>
            <w:r>
              <w:rPr>
                <w:sz w:val="28"/>
                <w:szCs w:val="28"/>
                <w:lang w:val="uk-UA"/>
              </w:rPr>
              <w:t xml:space="preserve"> у хворих на АГ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15 (6,8%)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 (2,2%)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E36DB7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ІМ</w:t>
            </w:r>
            <w:r>
              <w:rPr>
                <w:sz w:val="28"/>
                <w:szCs w:val="28"/>
                <w:lang w:val="uk-UA"/>
              </w:rPr>
              <w:t xml:space="preserve"> у хворих на АГ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6 (2,7%)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7 (15,2%)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ЦД ІІ типу</w:t>
            </w:r>
            <w:r>
              <w:rPr>
                <w:sz w:val="28"/>
                <w:szCs w:val="28"/>
                <w:lang w:val="uk-UA"/>
              </w:rPr>
              <w:t xml:space="preserve"> у хворих на АГ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17 (7,7%)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5 (10,9%)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МІ у матері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45 (20,4)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 (8,7)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МІ у батька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30 (13,6)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5 (10,9)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ІМ у матері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8 (3,6)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 (8,7)</w:t>
            </w:r>
          </w:p>
        </w:tc>
      </w:tr>
      <w:tr w:rsidR="008A4266" w:rsidRPr="00A530C1" w:rsidTr="00A530C1">
        <w:tc>
          <w:tcPr>
            <w:tcW w:w="3778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ІМ у батька</w:t>
            </w:r>
          </w:p>
        </w:tc>
        <w:tc>
          <w:tcPr>
            <w:tcW w:w="270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10 (4,5)</w:t>
            </w:r>
          </w:p>
        </w:tc>
        <w:tc>
          <w:tcPr>
            <w:tcW w:w="2799" w:type="dxa"/>
            <w:vAlign w:val="center"/>
          </w:tcPr>
          <w:p w:rsidR="008A4266" w:rsidRPr="00A530C1" w:rsidRDefault="008A4266" w:rsidP="00A530C1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 (6,5)</w:t>
            </w:r>
          </w:p>
        </w:tc>
      </w:tr>
    </w:tbl>
    <w:p w:rsidR="008A4266" w:rsidRPr="009D66B4" w:rsidRDefault="008A4266" w:rsidP="009D66B4">
      <w:pPr>
        <w:pStyle w:val="BodyText"/>
        <w:spacing w:after="0"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 xml:space="preserve">Слід зазначити, що частота виявлених кардіальних скарг у хворих на АГ суттєво не залежала від статі, тоді як астено-невротичні скарги у жінок зустрічалися вдвічі частіше, ніж у чоловіків, і найчастіше були проявами </w:t>
      </w:r>
      <w:r>
        <w:rPr>
          <w:sz w:val="28"/>
          <w:szCs w:val="28"/>
          <w:lang w:val="uk-UA"/>
        </w:rPr>
        <w:t>клімактеричного синдрому</w:t>
      </w:r>
      <w:r w:rsidRPr="009D66B4">
        <w:rPr>
          <w:sz w:val="28"/>
          <w:szCs w:val="28"/>
          <w:lang w:val="uk-UA"/>
        </w:rPr>
        <w:t xml:space="preserve">. Клінічні прояви супутньої хронічної </w:t>
      </w:r>
      <w:r w:rsidRPr="009D66B4">
        <w:rPr>
          <w:bCs/>
          <w:sz w:val="28"/>
          <w:szCs w:val="28"/>
          <w:lang w:val="uk-UA"/>
        </w:rPr>
        <w:t>ІХС виявлено у 160 (72,7%) жінок і 27 (58,7%) чоловіків, у тому числі стабільн</w:t>
      </w:r>
      <w:r>
        <w:rPr>
          <w:bCs/>
          <w:sz w:val="28"/>
          <w:szCs w:val="28"/>
          <w:lang w:val="uk-UA"/>
        </w:rPr>
        <w:t xml:space="preserve">ої </w:t>
      </w:r>
      <w:r w:rsidRPr="009D66B4">
        <w:rPr>
          <w:bCs/>
          <w:sz w:val="28"/>
          <w:szCs w:val="28"/>
          <w:lang w:val="uk-UA"/>
        </w:rPr>
        <w:t>стенокарді</w:t>
      </w:r>
      <w:r>
        <w:rPr>
          <w:bCs/>
          <w:sz w:val="28"/>
          <w:szCs w:val="28"/>
          <w:lang w:val="uk-UA"/>
        </w:rPr>
        <w:t>ї</w:t>
      </w:r>
      <w:r w:rsidRPr="009D66B4">
        <w:rPr>
          <w:bCs/>
          <w:sz w:val="28"/>
          <w:szCs w:val="28"/>
          <w:lang w:val="uk-UA"/>
        </w:rPr>
        <w:t xml:space="preserve"> – у 48 (21,8%) і 17 (37,0%) осіб відповідно, </w:t>
      </w:r>
      <w:r w:rsidRPr="009D66B4">
        <w:rPr>
          <w:sz w:val="28"/>
          <w:szCs w:val="28"/>
          <w:lang w:val="uk-UA"/>
        </w:rPr>
        <w:t>хронічн</w:t>
      </w:r>
      <w:r>
        <w:rPr>
          <w:sz w:val="28"/>
          <w:szCs w:val="28"/>
          <w:lang w:val="uk-UA"/>
        </w:rPr>
        <w:t>ої</w:t>
      </w:r>
      <w:r w:rsidRPr="009D66B4">
        <w:rPr>
          <w:sz w:val="28"/>
          <w:szCs w:val="28"/>
          <w:lang w:val="uk-UA"/>
        </w:rPr>
        <w:t xml:space="preserve"> серцев</w:t>
      </w:r>
      <w:r>
        <w:rPr>
          <w:sz w:val="28"/>
          <w:szCs w:val="28"/>
          <w:lang w:val="uk-UA"/>
        </w:rPr>
        <w:t>ої</w:t>
      </w:r>
      <w:r w:rsidRPr="009D66B4">
        <w:rPr>
          <w:sz w:val="28"/>
          <w:szCs w:val="28"/>
          <w:lang w:val="uk-UA"/>
        </w:rPr>
        <w:t xml:space="preserve"> недостатн</w:t>
      </w:r>
      <w:r>
        <w:rPr>
          <w:sz w:val="28"/>
          <w:szCs w:val="28"/>
          <w:lang w:val="uk-UA"/>
        </w:rPr>
        <w:t>ості</w:t>
      </w:r>
      <w:r w:rsidRPr="009D66B4">
        <w:rPr>
          <w:sz w:val="28"/>
          <w:szCs w:val="28"/>
          <w:lang w:val="uk-UA"/>
        </w:rPr>
        <w:t xml:space="preserve"> – у 205 (93,2%) </w:t>
      </w:r>
      <w:r w:rsidRPr="009D66B4">
        <w:rPr>
          <w:bCs/>
          <w:sz w:val="28"/>
          <w:szCs w:val="28"/>
          <w:lang w:val="uk-UA"/>
        </w:rPr>
        <w:t>жінок і 37</w:t>
      </w:r>
      <w:r w:rsidRPr="009D66B4">
        <w:rPr>
          <w:sz w:val="28"/>
          <w:szCs w:val="28"/>
          <w:lang w:val="uk-UA"/>
        </w:rPr>
        <w:t xml:space="preserve"> (80,4%) чоловіків</w:t>
      </w:r>
      <w:r w:rsidRPr="009D66B4">
        <w:rPr>
          <w:bCs/>
          <w:sz w:val="28"/>
          <w:szCs w:val="28"/>
          <w:lang w:val="uk-UA"/>
        </w:rPr>
        <w:t xml:space="preserve">. </w:t>
      </w:r>
    </w:p>
    <w:p w:rsidR="008A4266" w:rsidRDefault="008A4266" w:rsidP="009D66B4">
      <w:pPr>
        <w:pStyle w:val="BodyText"/>
        <w:spacing w:after="0"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9D66B4">
        <w:rPr>
          <w:bCs/>
          <w:sz w:val="28"/>
          <w:szCs w:val="28"/>
          <w:lang w:val="uk-UA"/>
        </w:rPr>
        <w:t>Одним із найважливіших немодифікованих факторів ризику як АГ, так і МІ вважають обтяжену спадковість. В</w:t>
      </w:r>
      <w:r>
        <w:rPr>
          <w:bCs/>
          <w:sz w:val="28"/>
          <w:szCs w:val="28"/>
          <w:lang w:val="uk-UA"/>
        </w:rPr>
        <w:t>стано</w:t>
      </w:r>
      <w:r w:rsidRPr="009D66B4">
        <w:rPr>
          <w:bCs/>
          <w:sz w:val="28"/>
          <w:szCs w:val="28"/>
          <w:lang w:val="uk-UA"/>
        </w:rPr>
        <w:t>влено, що у 139 (52,3%) жінок і чоловіків з підвищеним рівнем АТ на АГ хворіла мати, у 65 (24,3%) – батько. МІ перенесли 49 (18,4</w:t>
      </w:r>
      <w:r>
        <w:rPr>
          <w:bCs/>
          <w:sz w:val="28"/>
          <w:szCs w:val="28"/>
          <w:lang w:val="uk-UA"/>
        </w:rPr>
        <w:t>%) матерів і 35 (13,2%) батьків,</w:t>
      </w:r>
      <w:r w:rsidRPr="009D66B4">
        <w:rPr>
          <w:bCs/>
          <w:sz w:val="28"/>
          <w:szCs w:val="28"/>
          <w:lang w:val="uk-UA"/>
        </w:rPr>
        <w:t xml:space="preserve"> ІМ </w:t>
      </w:r>
      <w:r>
        <w:rPr>
          <w:bCs/>
          <w:sz w:val="28"/>
          <w:szCs w:val="28"/>
          <w:lang w:val="uk-UA"/>
        </w:rPr>
        <w:t xml:space="preserve">– </w:t>
      </w:r>
      <w:r w:rsidRPr="009D66B4">
        <w:rPr>
          <w:bCs/>
          <w:sz w:val="28"/>
          <w:szCs w:val="28"/>
          <w:lang w:val="uk-UA"/>
        </w:rPr>
        <w:t>12 (4,5%) матерів і 13 (4,9%) батьків</w:t>
      </w:r>
      <w:r>
        <w:rPr>
          <w:bCs/>
          <w:sz w:val="28"/>
          <w:szCs w:val="28"/>
          <w:lang w:val="uk-UA"/>
        </w:rPr>
        <w:t>.</w:t>
      </w:r>
      <w:r w:rsidRPr="009D66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Виявлено асоціацію між АГ і МІ у обстежених жінок і між АГ і ІМ у обстежених чоловіків.</w:t>
      </w:r>
    </w:p>
    <w:p w:rsidR="008A4266" w:rsidRPr="009D66B4" w:rsidRDefault="008A4266" w:rsidP="009D66B4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shd w:val="clear" w:color="auto" w:fill="FFFFFF"/>
          <w:lang w:val="uk-UA"/>
        </w:rPr>
        <w:t>АГ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часто </w:t>
      </w:r>
      <w:r w:rsidRPr="009D66B4">
        <w:rPr>
          <w:sz w:val="28"/>
          <w:szCs w:val="28"/>
          <w:shd w:val="clear" w:color="auto" w:fill="FFFFFF"/>
          <w:lang w:val="uk-UA"/>
        </w:rPr>
        <w:t>супроводжується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iншими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кардiоваскулярними ризик-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>факторами, с</w:t>
      </w:r>
      <w:r w:rsidRPr="009D66B4">
        <w:rPr>
          <w:sz w:val="28"/>
          <w:szCs w:val="28"/>
          <w:shd w:val="clear" w:color="auto" w:fill="FFFFFF"/>
          <w:lang w:val="uk-UA"/>
        </w:rPr>
        <w:t>укупна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дiя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яких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значно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пiдвищує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можливiсть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хронiчних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неінфекційних </w:t>
      </w:r>
      <w:r w:rsidRPr="009D66B4">
        <w:rPr>
          <w:sz w:val="28"/>
          <w:szCs w:val="28"/>
          <w:shd w:val="clear" w:color="auto" w:fill="FFFFFF"/>
          <w:lang w:val="uk-UA"/>
        </w:rPr>
        <w:t>захворювань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9D66B4">
        <w:rPr>
          <w:sz w:val="28"/>
          <w:szCs w:val="28"/>
          <w:shd w:val="clear" w:color="auto" w:fill="FFFFFF"/>
          <w:lang w:val="uk-UA"/>
        </w:rPr>
        <w:t>кардіоваскулярної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6B4">
        <w:rPr>
          <w:sz w:val="28"/>
          <w:szCs w:val="28"/>
          <w:shd w:val="clear" w:color="auto" w:fill="FFFFFF"/>
          <w:lang w:val="uk-UA"/>
        </w:rPr>
        <w:t>смертності</w:t>
      </w:r>
      <w:r w:rsidRPr="009D66B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D66B4">
        <w:rPr>
          <w:bCs/>
          <w:sz w:val="28"/>
          <w:szCs w:val="28"/>
          <w:lang w:val="uk-UA"/>
        </w:rPr>
        <w:t xml:space="preserve">Збір анамнезу та проведене анкетування дозволило виявити </w:t>
      </w:r>
      <w:r w:rsidRPr="009D66B4">
        <w:rPr>
          <w:sz w:val="28"/>
          <w:szCs w:val="28"/>
          <w:lang w:val="uk-UA"/>
        </w:rPr>
        <w:t xml:space="preserve">найпоширеніші модифіковані фактори кардіоваскулярного ризику, які здатні впливати на перебіг та прогноз АГ: низьку фізичну активність, психо-емоційні навантаження, характер професійної діяльності, </w:t>
      </w:r>
      <w:r>
        <w:rPr>
          <w:sz w:val="28"/>
          <w:szCs w:val="28"/>
          <w:lang w:val="uk-UA"/>
        </w:rPr>
        <w:t>тютюнокуріння</w:t>
      </w:r>
      <w:r w:rsidRPr="009D66B4">
        <w:rPr>
          <w:sz w:val="28"/>
          <w:szCs w:val="28"/>
          <w:lang w:val="uk-UA"/>
        </w:rPr>
        <w:t>, надлишкове вживання кухонної солі та вживання алкоголю.</w:t>
      </w:r>
    </w:p>
    <w:p w:rsidR="008A4266" w:rsidRPr="009D66B4" w:rsidRDefault="008A4266" w:rsidP="00AE4F8E">
      <w:pPr>
        <w:pStyle w:val="BodyTextIndent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9D66B4">
        <w:rPr>
          <w:bCs/>
          <w:sz w:val="28"/>
          <w:szCs w:val="28"/>
          <w:lang w:val="uk-UA"/>
        </w:rPr>
        <w:t>\</w:t>
      </w:r>
      <w:r w:rsidRPr="009D66B4">
        <w:rPr>
          <w:bCs/>
          <w:sz w:val="28"/>
          <w:szCs w:val="28"/>
          <w:lang w:val="uk-UA"/>
        </w:rPr>
        <w:tab/>
        <w:t xml:space="preserve">Серед обстежених хворих фізичні навантаження мали 140 (63,6%), психо-емоційні навантаження – 266 (100%) осіб. Розумовий характер професійної діяльності встановлено у 125 (47%), фізичний – у 118 (44,4%), змішаний – у 23 (8,6%) пацієнтів. Зловживали кухонною сіллю 96 (36,1%) хворих, палили – 33 (12,4%), вживали спиртні напої 196 (73,7%) осіб. </w:t>
      </w:r>
      <w:r>
        <w:rPr>
          <w:bCs/>
          <w:sz w:val="28"/>
          <w:szCs w:val="28"/>
          <w:lang w:val="uk-UA"/>
        </w:rPr>
        <w:t>Хворих на АГ</w:t>
      </w:r>
      <w:r w:rsidRPr="009D66B4">
        <w:rPr>
          <w:bCs/>
          <w:sz w:val="28"/>
          <w:szCs w:val="28"/>
          <w:lang w:val="uk-UA"/>
        </w:rPr>
        <w:t>, які щоденно вживали алкоголь або зловживали ним у нашому дослідженні не виявлено.</w:t>
      </w:r>
      <w:r w:rsidRPr="00AE4F8E">
        <w:rPr>
          <w:bCs/>
          <w:sz w:val="28"/>
          <w:szCs w:val="28"/>
        </w:rPr>
        <w:t xml:space="preserve"> </w:t>
      </w:r>
      <w:r w:rsidRPr="009D66B4">
        <w:rPr>
          <w:sz w:val="28"/>
          <w:szCs w:val="28"/>
          <w:lang w:val="uk-UA"/>
        </w:rPr>
        <w:t>Результати проведеного аналізу анамнестичних даних щодо наявності факторів ризику в залежності від статі наведено в таблиці 2.</w:t>
      </w:r>
    </w:p>
    <w:p w:rsidR="008A4266" w:rsidRPr="009D66B4" w:rsidRDefault="008A4266" w:rsidP="00CE142D">
      <w:pPr>
        <w:pStyle w:val="BodyTextIndent"/>
        <w:spacing w:line="360" w:lineRule="auto"/>
        <w:jc w:val="right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Таблиця 2</w:t>
      </w:r>
    </w:p>
    <w:p w:rsidR="008A4266" w:rsidRPr="009D66B4" w:rsidRDefault="008A4266" w:rsidP="00CE142D">
      <w:pPr>
        <w:pStyle w:val="BodyTextIndent"/>
        <w:spacing w:line="360" w:lineRule="auto"/>
        <w:jc w:val="center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Модифіковані фактори ризику у хворих на АГ, пов</w:t>
      </w:r>
      <w:r w:rsidRPr="009D66B4">
        <w:rPr>
          <w:sz w:val="28"/>
          <w:szCs w:val="28"/>
        </w:rPr>
        <w:t>’</w:t>
      </w:r>
      <w:r w:rsidRPr="009D66B4">
        <w:rPr>
          <w:sz w:val="28"/>
          <w:szCs w:val="28"/>
          <w:lang w:val="uk-UA"/>
        </w:rPr>
        <w:t xml:space="preserve">язані зі способом життя та оточуючим середовищем 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804"/>
        <w:gridCol w:w="2776"/>
      </w:tblGrid>
      <w:tr w:rsidR="008A4266" w:rsidRPr="00A530C1" w:rsidTr="00CE142D">
        <w:tc>
          <w:tcPr>
            <w:tcW w:w="2005" w:type="pct"/>
            <w:vMerge w:val="restart"/>
            <w:vAlign w:val="center"/>
          </w:tcPr>
          <w:p w:rsidR="008A4266" w:rsidRPr="00A530C1" w:rsidRDefault="008A4266" w:rsidP="00CE142D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A530C1">
              <w:rPr>
                <w:sz w:val="28"/>
                <w:szCs w:val="28"/>
                <w:lang w:val="uk-UA"/>
              </w:rPr>
              <w:t>актори ризику</w:t>
            </w:r>
          </w:p>
        </w:tc>
        <w:tc>
          <w:tcPr>
            <w:tcW w:w="2995" w:type="pct"/>
            <w:gridSpan w:val="2"/>
          </w:tcPr>
          <w:p w:rsidR="008A4266" w:rsidRPr="00A530C1" w:rsidRDefault="008A4266" w:rsidP="00CE142D">
            <w:pPr>
              <w:pStyle w:val="BodyTextIndent"/>
              <w:jc w:val="center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bCs/>
                <w:sz w:val="28"/>
                <w:szCs w:val="28"/>
                <w:lang w:val="uk-UA"/>
              </w:rPr>
              <w:t>Хворі на АГ</w:t>
            </w:r>
          </w:p>
        </w:tc>
      </w:tr>
      <w:tr w:rsidR="008A4266" w:rsidRPr="00A530C1" w:rsidTr="00CE142D">
        <w:tc>
          <w:tcPr>
            <w:tcW w:w="2005" w:type="pct"/>
            <w:vMerge/>
          </w:tcPr>
          <w:p w:rsidR="008A4266" w:rsidRPr="00A530C1" w:rsidRDefault="008A4266" w:rsidP="00CE142D">
            <w:pPr>
              <w:pStyle w:val="BodyTextInden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5" w:type="pct"/>
          </w:tcPr>
          <w:p w:rsidR="008A4266" w:rsidRPr="00A530C1" w:rsidRDefault="008A4266" w:rsidP="00CE142D">
            <w:pPr>
              <w:pStyle w:val="BodyTextInden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</w:t>
            </w:r>
            <w:r w:rsidRPr="00A530C1">
              <w:rPr>
                <w:bCs/>
                <w:sz w:val="28"/>
                <w:szCs w:val="28"/>
                <w:lang w:val="uk-UA"/>
              </w:rPr>
              <w:t>інки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530C1">
              <w:rPr>
                <w:bCs/>
                <w:sz w:val="28"/>
                <w:szCs w:val="28"/>
                <w:lang w:val="uk-UA"/>
              </w:rPr>
              <w:t>(n=220)</w:t>
            </w:r>
          </w:p>
        </w:tc>
        <w:tc>
          <w:tcPr>
            <w:tcW w:w="1490" w:type="pct"/>
          </w:tcPr>
          <w:p w:rsidR="008A4266" w:rsidRPr="00A530C1" w:rsidRDefault="008A4266" w:rsidP="00CE142D">
            <w:pPr>
              <w:pStyle w:val="BodyTextIndent"/>
              <w:jc w:val="center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bCs/>
                <w:sz w:val="28"/>
                <w:szCs w:val="28"/>
                <w:lang w:val="uk-UA"/>
              </w:rPr>
              <w:t>чоловіки (n=46)</w:t>
            </w:r>
          </w:p>
        </w:tc>
      </w:tr>
      <w:tr w:rsidR="008A4266" w:rsidRPr="00A530C1" w:rsidTr="00CE142D">
        <w:tc>
          <w:tcPr>
            <w:tcW w:w="2005" w:type="pct"/>
            <w:vMerge/>
          </w:tcPr>
          <w:p w:rsidR="008A4266" w:rsidRPr="00A530C1" w:rsidRDefault="008A4266" w:rsidP="00CE142D">
            <w:pPr>
              <w:pStyle w:val="BodyTextInden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05" w:type="pct"/>
          </w:tcPr>
          <w:p w:rsidR="008A4266" w:rsidRPr="00A530C1" w:rsidRDefault="008A4266" w:rsidP="00CE142D">
            <w:pPr>
              <w:pStyle w:val="BodyTextIndent"/>
              <w:jc w:val="center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абс.(%)</w:t>
            </w:r>
          </w:p>
        </w:tc>
        <w:tc>
          <w:tcPr>
            <w:tcW w:w="1490" w:type="pct"/>
          </w:tcPr>
          <w:p w:rsidR="008A4266" w:rsidRPr="00A530C1" w:rsidRDefault="008A4266" w:rsidP="00CE142D">
            <w:pPr>
              <w:pStyle w:val="BodyTextIndent"/>
              <w:jc w:val="center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абс.(%)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Фізичні навантаження: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а) ранкова гімнастика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б) прогулянки до 3 км/</w:t>
            </w:r>
            <w:r w:rsidRPr="00A530C1">
              <w:rPr>
                <w:color w:val="000000"/>
                <w:sz w:val="28"/>
                <w:szCs w:val="28"/>
                <w:lang w:val="uk-UA"/>
              </w:rPr>
              <w:t>добу</w:t>
            </w:r>
          </w:p>
          <w:p w:rsidR="008A4266" w:rsidRPr="00A530C1" w:rsidRDefault="008A4266" w:rsidP="00CE142D">
            <w:pPr>
              <w:pStyle w:val="BodyTextIndent"/>
              <w:ind w:left="0"/>
              <w:rPr>
                <w:bCs/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 xml:space="preserve">в) сезонні </w:t>
            </w:r>
          </w:p>
        </w:tc>
        <w:tc>
          <w:tcPr>
            <w:tcW w:w="1505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5 (2,3)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8 (3,6)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85 (38,6)</w:t>
            </w:r>
          </w:p>
        </w:tc>
        <w:tc>
          <w:tcPr>
            <w:tcW w:w="1490" w:type="pct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 (2,2)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 (6,5)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38 (82,6)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ПЕН*: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а) зрідка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б) часті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в) постійні</w:t>
            </w:r>
          </w:p>
        </w:tc>
        <w:tc>
          <w:tcPr>
            <w:tcW w:w="1505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65 (29,5)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115 (52,3)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40 (18,2)</w:t>
            </w:r>
          </w:p>
        </w:tc>
        <w:tc>
          <w:tcPr>
            <w:tcW w:w="1490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21 (45,7)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23 (50,0)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2 (4,3)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Характер ПД**: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а) розумовий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б) фізичний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в) змішаний</w:t>
            </w:r>
          </w:p>
        </w:tc>
        <w:tc>
          <w:tcPr>
            <w:tcW w:w="1505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104 (47,3)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101 (45,9)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15 (6,8)</w:t>
            </w:r>
          </w:p>
        </w:tc>
        <w:tc>
          <w:tcPr>
            <w:tcW w:w="1490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21 (45,6)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17 (37,0)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8 (17,4)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Зловживали сіллю: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а) зрідка</w:t>
            </w:r>
          </w:p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б) постійно</w:t>
            </w:r>
          </w:p>
        </w:tc>
        <w:tc>
          <w:tcPr>
            <w:tcW w:w="1505" w:type="pct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50 (22,7)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36 (16,4)</w:t>
            </w:r>
          </w:p>
        </w:tc>
        <w:tc>
          <w:tcPr>
            <w:tcW w:w="1490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 (2,2)</w:t>
            </w:r>
          </w:p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9 (19,6)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Тютюнокуріння</w:t>
            </w:r>
          </w:p>
        </w:tc>
        <w:tc>
          <w:tcPr>
            <w:tcW w:w="1505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19 (8,6)</w:t>
            </w:r>
          </w:p>
        </w:tc>
        <w:tc>
          <w:tcPr>
            <w:tcW w:w="1490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14 (30,4)</w:t>
            </w:r>
          </w:p>
        </w:tc>
      </w:tr>
      <w:tr w:rsidR="008A4266" w:rsidRPr="00A530C1" w:rsidTr="00CE142D">
        <w:tc>
          <w:tcPr>
            <w:tcW w:w="2005" w:type="pct"/>
          </w:tcPr>
          <w:p w:rsidR="008A4266" w:rsidRPr="00A530C1" w:rsidRDefault="008A4266" w:rsidP="00CE142D">
            <w:pPr>
              <w:pStyle w:val="BodyText"/>
              <w:spacing w:after="0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Вживання алкоголю</w:t>
            </w:r>
          </w:p>
        </w:tc>
        <w:tc>
          <w:tcPr>
            <w:tcW w:w="1505" w:type="pct"/>
            <w:vAlign w:val="center"/>
          </w:tcPr>
          <w:p w:rsidR="008A4266" w:rsidRPr="00A530C1" w:rsidRDefault="008A4266" w:rsidP="00CE142D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162 (73,6)</w:t>
            </w:r>
          </w:p>
        </w:tc>
        <w:tc>
          <w:tcPr>
            <w:tcW w:w="1490" w:type="pct"/>
          </w:tcPr>
          <w:p w:rsidR="008A4266" w:rsidRPr="00A530C1" w:rsidRDefault="008A4266" w:rsidP="00CE142D">
            <w:pPr>
              <w:pStyle w:val="BodyTextIndent"/>
              <w:jc w:val="center"/>
              <w:rPr>
                <w:sz w:val="28"/>
                <w:szCs w:val="28"/>
                <w:lang w:val="uk-UA"/>
              </w:rPr>
            </w:pPr>
            <w:r w:rsidRPr="00A530C1">
              <w:rPr>
                <w:sz w:val="28"/>
                <w:szCs w:val="28"/>
                <w:lang w:val="uk-UA"/>
              </w:rPr>
              <w:t>34 (73,9)</w:t>
            </w:r>
          </w:p>
        </w:tc>
      </w:tr>
    </w:tbl>
    <w:p w:rsidR="008A4266" w:rsidRPr="009D66B4" w:rsidRDefault="008A4266" w:rsidP="009D66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 xml:space="preserve">Примітки: </w:t>
      </w:r>
      <w:r w:rsidRPr="009D66B4">
        <w:rPr>
          <w:rFonts w:ascii="Times New Roman" w:hAnsi="Times New Roman"/>
          <w:sz w:val="28"/>
          <w:szCs w:val="28"/>
          <w:lang w:val="uk-UA"/>
        </w:rPr>
        <w:tab/>
        <w:t xml:space="preserve">* – психо-емоційні навантаження; </w:t>
      </w:r>
      <w:r w:rsidRPr="009D66B4">
        <w:rPr>
          <w:rFonts w:ascii="Times New Roman" w:hAnsi="Times New Roman"/>
          <w:b/>
          <w:sz w:val="28"/>
          <w:szCs w:val="28"/>
          <w:lang w:val="uk-UA"/>
        </w:rPr>
        <w:t xml:space="preserve">** </w:t>
      </w:r>
      <w:r w:rsidRPr="009D66B4">
        <w:rPr>
          <w:rFonts w:ascii="Times New Roman" w:hAnsi="Times New Roman"/>
          <w:sz w:val="28"/>
          <w:szCs w:val="28"/>
          <w:lang w:val="uk-UA"/>
        </w:rPr>
        <w:t>– професійна діяльність.</w:t>
      </w:r>
    </w:p>
    <w:p w:rsidR="008A4266" w:rsidRPr="009D66B4" w:rsidRDefault="008A4266" w:rsidP="009D66B4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Проведений гендерний аналіз виявив, що серед хворих на АГ відсоток чоловіків, в анамнезі яких виявлені фізичні навантаження, був вдвічі більшим, ніж відсоток жінок – 42 (91,3%) і 98 (44,6%) відповідно. Але така різниця була здебільшого за рахунок осіб, що мали сезонні навантаження на присадибній ділянці. Відсоток чоловіків, які займалися щоденно ранковою гімнастикою майже співпадав з таким показником у хворих на АГ жінок (2,2% і 2,3% відповідно).</w:t>
      </w:r>
    </w:p>
    <w:p w:rsidR="008A4266" w:rsidRPr="009D66B4" w:rsidRDefault="008A4266" w:rsidP="009D66B4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 xml:space="preserve">Часті та постійні </w:t>
      </w:r>
      <w:r>
        <w:rPr>
          <w:sz w:val="28"/>
          <w:szCs w:val="28"/>
          <w:lang w:val="uk-UA"/>
        </w:rPr>
        <w:t>ПЕН</w:t>
      </w:r>
      <w:r w:rsidRPr="009D66B4">
        <w:rPr>
          <w:sz w:val="28"/>
          <w:szCs w:val="28"/>
          <w:lang w:val="uk-UA"/>
        </w:rPr>
        <w:t xml:space="preserve"> також зареєстровані у більшості чоловіків – 25 (54,3%). Але в порівнянні з жінками цей відсоток був значно меншим, за рахунок чоловіків, у яких </w:t>
      </w:r>
      <w:r>
        <w:rPr>
          <w:sz w:val="28"/>
          <w:szCs w:val="28"/>
          <w:lang w:val="uk-UA"/>
        </w:rPr>
        <w:t>ПЕН</w:t>
      </w:r>
      <w:r w:rsidRPr="009D66B4">
        <w:rPr>
          <w:sz w:val="28"/>
          <w:szCs w:val="28"/>
          <w:lang w:val="uk-UA"/>
        </w:rPr>
        <w:t xml:space="preserve"> спостерігалися зрідка.</w:t>
      </w:r>
    </w:p>
    <w:p w:rsidR="008A4266" w:rsidRPr="009D66B4" w:rsidRDefault="008A4266" w:rsidP="00724E71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Відсоток чоловіків з розумовим характером професійної діяльності був вищим, ніж відсоток чоловіків з фізичним характером праці, і становив 45,6% і 37,0 відповідно та незначно відрізнявся від такого показника у жінок (47,3%).</w:t>
      </w:r>
    </w:p>
    <w:p w:rsidR="008A4266" w:rsidRPr="009D66B4" w:rsidRDefault="008A4266" w:rsidP="00724E71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Зловживали кухонною сіллю 10 (21,7%) чоловіків</w:t>
      </w:r>
      <w:r>
        <w:rPr>
          <w:sz w:val="28"/>
          <w:szCs w:val="28"/>
          <w:lang w:val="uk-UA"/>
        </w:rPr>
        <w:t xml:space="preserve"> і 86 (39,1%) жінок</w:t>
      </w:r>
      <w:r w:rsidRPr="009D66B4">
        <w:rPr>
          <w:sz w:val="28"/>
          <w:szCs w:val="28"/>
          <w:lang w:val="uk-UA"/>
        </w:rPr>
        <w:t xml:space="preserve">. Але в порівнянні з жінками відсоток чоловіків, які зловживали сіллю постійно був значно вищим і склав </w:t>
      </w:r>
      <w:r>
        <w:rPr>
          <w:sz w:val="28"/>
          <w:szCs w:val="28"/>
          <w:lang w:val="uk-UA"/>
        </w:rPr>
        <w:t>1</w:t>
      </w:r>
      <w:r w:rsidRPr="009D66B4">
        <w:rPr>
          <w:sz w:val="28"/>
          <w:szCs w:val="28"/>
          <w:lang w:val="uk-UA"/>
        </w:rPr>
        <w:t>9,6% і 16,4% відповідно.</w:t>
      </w:r>
    </w:p>
    <w:p w:rsidR="008A4266" w:rsidRPr="009D66B4" w:rsidRDefault="008A4266" w:rsidP="00724E71">
      <w:pPr>
        <w:pStyle w:val="BodyText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9D66B4">
        <w:rPr>
          <w:sz w:val="28"/>
          <w:szCs w:val="28"/>
          <w:lang w:val="uk-UA"/>
        </w:rPr>
        <w:t>Відсоток хворих на АГ чоловіків, що палили був в 3,5 рази вищим за такий показник у хворих на АГ жінок і становив 30,4% і 8,6% відповідно. Зовсім не вживали алкоголь майже однаковий відсоток чоловіків і жінок (26,1% і 26,4% відповідно).</w:t>
      </w:r>
    </w:p>
    <w:p w:rsidR="008A4266" w:rsidRPr="00364F0B" w:rsidRDefault="008A4266" w:rsidP="007B0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66B4">
        <w:rPr>
          <w:rFonts w:ascii="Times New Roman" w:hAnsi="Times New Roman"/>
          <w:sz w:val="28"/>
          <w:szCs w:val="28"/>
          <w:lang w:val="uk-UA"/>
        </w:rPr>
        <w:t xml:space="preserve">Одним із основних модифікованих факторів ризику МІ є надлишкова маса тіла. </w:t>
      </w:r>
      <w:r w:rsidRPr="009D66B4">
        <w:rPr>
          <w:rFonts w:ascii="Times New Roman" w:hAnsi="Times New Roman"/>
          <w:bCs/>
          <w:sz w:val="28"/>
          <w:szCs w:val="28"/>
          <w:lang w:val="uk-UA"/>
        </w:rPr>
        <w:t xml:space="preserve">Аналіз антропометричних показників обстежених осіб показав, що нормальну масу тіла мали  </w:t>
      </w:r>
      <w:r w:rsidRPr="009D66B4">
        <w:rPr>
          <w:rFonts w:ascii="Times New Roman" w:hAnsi="Times New Roman"/>
          <w:sz w:val="28"/>
          <w:szCs w:val="28"/>
          <w:lang w:val="uk-UA"/>
        </w:rPr>
        <w:t>22 (10%) жінки і 11 (23,9%) чоловіків, надлишкову – 82 (37,3%) і 18 (39,1%) осіб відповідно, ожиріння – 116 (52,7%) і 17 (37%) хворих відповідно (рис.1). При цьому ожиріння І ступеня мали 70 (31,8%) жінок і 17 (37%) чоловіків, тоді як ожиріння ІІ і ІІІ ступеня виявлено тільки у жінок – 34 (15,4%) і 12 (5,5%) відповідно. Та частота і важкість порушень, пов’язаних з ожирінням, залежать не тільки від ступеня ожиріння, але й від особливостей розподілу жирової тканини: саме його «центральний тип» є основним критерієм метаболічного синдрому, компоненти якого збільшують ризик розвитку безсимптомного ішемічного інсульту [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D66B4">
        <w:rPr>
          <w:rFonts w:ascii="Times New Roman" w:hAnsi="Times New Roman"/>
          <w:sz w:val="28"/>
          <w:szCs w:val="28"/>
          <w:lang w:val="uk-UA"/>
        </w:rPr>
        <w:t>] та ризик його рецидиву [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D66B4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8A4266" w:rsidRPr="009D66B4" w:rsidRDefault="008A4266" w:rsidP="00760133">
      <w:pPr>
        <w:pStyle w:val="BodyTextIndent"/>
        <w:spacing w:after="0"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9D66B4">
        <w:rPr>
          <w:sz w:val="28"/>
          <w:szCs w:val="28"/>
          <w:lang w:val="uk-UA" w:eastAsia="uk-UA"/>
        </w:rPr>
        <w:t xml:space="preserve">В нашому дослідженні центральне ожиріння згідно з </w:t>
      </w:r>
      <w:r w:rsidRPr="009D66B4">
        <w:rPr>
          <w:bCs/>
          <w:sz w:val="28"/>
          <w:szCs w:val="28"/>
          <w:lang w:val="uk-UA" w:eastAsia="uk-UA"/>
        </w:rPr>
        <w:t xml:space="preserve">критеріями 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en-US"/>
        </w:rPr>
        <w:t>NCEP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en-US"/>
        </w:rPr>
        <w:t>ATP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en-US"/>
        </w:rPr>
        <w:t>III</w:t>
      </w:r>
      <w:r w:rsidRPr="009D66B4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(2001) встановлено у 70,4% жінок і 43,5% чоловіків, згідно з критеріями </w:t>
      </w:r>
      <w:r w:rsidRPr="009D66B4">
        <w:rPr>
          <w:sz w:val="28"/>
          <w:szCs w:val="28"/>
          <w:lang w:val="uk-UA"/>
        </w:rPr>
        <w:t xml:space="preserve">IDF (2005) – у </w:t>
      </w:r>
      <w:r w:rsidRPr="009D66B4">
        <w:rPr>
          <w:sz w:val="28"/>
          <w:szCs w:val="28"/>
          <w:lang w:val="uk-UA" w:eastAsia="uk-UA"/>
        </w:rPr>
        <w:t>93,2% і 78,3% осіб відповідно (рис.2).</w:t>
      </w: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5067"/>
      </w:tblGrid>
      <w:tr w:rsidR="008A4266" w:rsidRPr="00A530C1" w:rsidTr="00AE4F8E">
        <w:trPr>
          <w:trHeight w:val="4129"/>
        </w:trPr>
        <w:tc>
          <w:tcPr>
            <w:tcW w:w="5245" w:type="dxa"/>
          </w:tcPr>
          <w:p w:rsidR="008A4266" w:rsidRPr="00A530C1" w:rsidRDefault="008A4266" w:rsidP="00A530C1">
            <w:pPr>
              <w:pStyle w:val="BodyTextIndent"/>
              <w:ind w:left="0"/>
              <w:rPr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5pt;margin-top:2.55pt;width:262.55pt;height:182.55pt;z-index:251658240;visibility:visible;mso-wrap-distance-bottom:.06pt">
                  <v:imagedata r:id="rId5" o:title=""/>
                  <w10:wrap type="square"/>
                </v:shape>
                <o:OLEObject Type="Embed" ProgID="Excel.Sheet.8" ShapeID="_x0000_s1026" DrawAspect="Content" ObjectID="_1409041643" r:id="rId6"/>
              </w:pict>
            </w:r>
            <w:r w:rsidRPr="00A530C1">
              <w:rPr>
                <w:lang w:val="uk-UA"/>
              </w:rPr>
              <w:t>Рис. 1. Розподіл хворих за масою тіла</w:t>
            </w:r>
          </w:p>
        </w:tc>
        <w:tc>
          <w:tcPr>
            <w:tcW w:w="5067" w:type="dxa"/>
          </w:tcPr>
          <w:p w:rsidR="008A4266" w:rsidRPr="00A530C1" w:rsidRDefault="008A4266" w:rsidP="00A530C1">
            <w:pPr>
              <w:pStyle w:val="BodyTextIndent"/>
              <w:ind w:left="0"/>
              <w:rPr>
                <w:lang w:val="uk-UA"/>
              </w:rPr>
            </w:pPr>
            <w:r>
              <w:rPr>
                <w:noProof/>
              </w:rPr>
              <w:pict>
                <v:shape id="_x0000_s1027" type="#_x0000_t75" style="position:absolute;margin-left:-4.5pt;margin-top:0;width:234.25pt;height:185.1pt;z-index:251659264;visibility:visible;mso-wrap-distance-bottom:.06pt;mso-position-horizontal-relative:text;mso-position-vertical-relative:text">
                  <v:imagedata r:id="rId7" o:title=""/>
                  <w10:wrap type="square"/>
                </v:shape>
                <o:OLEObject Type="Embed" ProgID="Excel.Sheet.8" ShapeID="_x0000_s1027" DrawAspect="Content" ObjectID="_1409041644" r:id="rId8"/>
              </w:pict>
            </w:r>
            <w:r w:rsidRPr="00A530C1">
              <w:rPr>
                <w:lang w:val="uk-UA"/>
              </w:rPr>
              <w:t>Рис. 2. Розподіл хворих за центральним ожирінням</w:t>
            </w:r>
          </w:p>
        </w:tc>
      </w:tr>
    </w:tbl>
    <w:p w:rsidR="008A4266" w:rsidRPr="001E43BD" w:rsidRDefault="008A4266" w:rsidP="00FF4F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Дисліпідемія – непрямий фактор ризику МІ, який пов</w:t>
      </w:r>
      <w:r w:rsidRPr="009D66B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язаний з розвитком атеросклерозу та ІХС. </w:t>
      </w:r>
      <w:r w:rsidRPr="00EB5B84">
        <w:rPr>
          <w:rFonts w:ascii="Times New Roman" w:hAnsi="Times New Roman"/>
          <w:sz w:val="28"/>
          <w:szCs w:val="28"/>
          <w:lang w:val="uk-UA"/>
        </w:rPr>
        <w:t>Гендерний аналіз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ліпідного обміну</w:t>
      </w:r>
      <w:r w:rsidRPr="00EB5B84">
        <w:rPr>
          <w:rFonts w:ascii="Times New Roman" w:hAnsi="Times New Roman"/>
          <w:sz w:val="28"/>
          <w:szCs w:val="28"/>
          <w:lang w:val="uk-UA"/>
        </w:rPr>
        <w:t xml:space="preserve"> серед хворих на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B5B84">
        <w:rPr>
          <w:rFonts w:ascii="Times New Roman" w:hAnsi="Times New Roman"/>
          <w:sz w:val="28"/>
          <w:szCs w:val="28"/>
          <w:lang w:val="uk-UA"/>
        </w:rPr>
        <w:t>Г виявив</w:t>
      </w:r>
      <w:r>
        <w:rPr>
          <w:rFonts w:ascii="Times New Roman" w:hAnsi="Times New Roman"/>
          <w:sz w:val="28"/>
          <w:szCs w:val="28"/>
          <w:lang w:val="uk-UA"/>
        </w:rPr>
        <w:t xml:space="preserve"> достовірне підвищення рівня ТГ у чоловіків порівняно з жінками (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1,26±0,07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і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1,17±0,03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відповідно, р</w:t>
      </w:r>
      <w:r w:rsidRPr="00EB5B84">
        <w:rPr>
          <w:rFonts w:ascii="Times New Roman" w:hAnsi="Times New Roman"/>
          <w:sz w:val="28"/>
          <w:szCs w:val="28"/>
          <w:lang w:val="uk-UA"/>
        </w:rPr>
        <w:t>&lt;0,05</w:t>
      </w:r>
      <w:r>
        <w:rPr>
          <w:rFonts w:ascii="Times New Roman" w:hAnsi="Times New Roman"/>
          <w:sz w:val="28"/>
          <w:szCs w:val="28"/>
          <w:lang w:val="uk-UA"/>
        </w:rPr>
        <w:t>). П</w:t>
      </w:r>
      <w:r w:rsidRPr="00EB5B84">
        <w:rPr>
          <w:rFonts w:ascii="Times New Roman" w:hAnsi="Times New Roman"/>
          <w:sz w:val="28"/>
          <w:szCs w:val="28"/>
          <w:lang w:val="uk-UA"/>
        </w:rPr>
        <w:t>ідвищення рівнів ЗХС, ХСЛПНЩ та зниження рівня ХСЛПВЩ у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5B84">
        <w:rPr>
          <w:rFonts w:ascii="Times New Roman" w:hAnsi="Times New Roman"/>
          <w:sz w:val="28"/>
          <w:szCs w:val="28"/>
          <w:lang w:val="uk-UA"/>
        </w:rPr>
        <w:t>порівн</w:t>
      </w:r>
      <w:r>
        <w:rPr>
          <w:rFonts w:ascii="Times New Roman" w:hAnsi="Times New Roman"/>
          <w:sz w:val="28"/>
          <w:szCs w:val="28"/>
          <w:lang w:val="uk-UA"/>
        </w:rPr>
        <w:t>яно</w:t>
      </w:r>
      <w:r w:rsidRPr="00EB5B84">
        <w:rPr>
          <w:rFonts w:ascii="Times New Roman" w:hAnsi="Times New Roman"/>
          <w:sz w:val="28"/>
          <w:szCs w:val="28"/>
          <w:lang w:val="uk-UA"/>
        </w:rPr>
        <w:t xml:space="preserve"> з жінками носило характер тенденції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5,29±0,13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і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5,03±0,07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відповідно;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3,85±0,16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і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3,59±0,08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відповідно;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1,18±0,06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і </w:t>
      </w:r>
      <w:r w:rsidRPr="00A530C1">
        <w:rPr>
          <w:rFonts w:ascii="Times New Roman" w:hAnsi="Times New Roman"/>
          <w:sz w:val="28"/>
          <w:szCs w:val="28"/>
          <w:lang w:val="uk-UA" w:eastAsia="ru-RU"/>
        </w:rPr>
        <w:t>1,20±0,03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ммоль/л відповідно, </w:t>
      </w:r>
      <w:r w:rsidRPr="00EB5B84">
        <w:rPr>
          <w:rFonts w:ascii="Times New Roman" w:hAnsi="Times New Roman"/>
          <w:sz w:val="28"/>
          <w:szCs w:val="28"/>
          <w:lang w:val="uk-UA"/>
        </w:rPr>
        <w:t xml:space="preserve">р&gt;0,05 в усіх випадках). </w:t>
      </w:r>
      <w:r>
        <w:rPr>
          <w:rFonts w:ascii="Times New Roman" w:hAnsi="Times New Roman"/>
          <w:sz w:val="28"/>
          <w:szCs w:val="28"/>
          <w:lang w:val="uk-UA"/>
        </w:rPr>
        <w:t>Серед жінок с</w:t>
      </w:r>
      <w:r w:rsidRPr="00EB5B84">
        <w:rPr>
          <w:rFonts w:ascii="Times New Roman" w:hAnsi="Times New Roman"/>
          <w:sz w:val="28"/>
          <w:szCs w:val="28"/>
          <w:lang w:val="uk-UA"/>
        </w:rPr>
        <w:t xml:space="preserve">ереднє значення ХСЛПВЩ було нижчим за норму (за рекомендаціями IDF, 2005), що, можливо, пов’язано з найбільшою чутливістю цього показника саме у гіпертензивних жінок. </w:t>
      </w:r>
      <w:r>
        <w:rPr>
          <w:rFonts w:ascii="Times New Roman" w:hAnsi="Times New Roman"/>
          <w:sz w:val="28"/>
          <w:szCs w:val="28"/>
          <w:lang w:val="uk-UA"/>
        </w:rPr>
        <w:t xml:space="preserve">Доведено, що у осіб з рецидивом ішемічного інсульту найчастіше зустрічалися такі фактори, як АГ і низький рівень </w:t>
      </w:r>
      <w:r w:rsidRPr="00EB5B84">
        <w:rPr>
          <w:rFonts w:ascii="Times New Roman" w:hAnsi="Times New Roman"/>
          <w:sz w:val="28"/>
          <w:szCs w:val="28"/>
          <w:lang w:val="uk-UA"/>
        </w:rPr>
        <w:t>ХСЛПВЩ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43BD">
        <w:rPr>
          <w:rFonts w:ascii="Times New Roman" w:hAnsi="Times New Roman"/>
          <w:sz w:val="28"/>
          <w:szCs w:val="28"/>
          <w:lang w:val="uk-UA"/>
        </w:rPr>
        <w:t>[20].</w:t>
      </w:r>
    </w:p>
    <w:p w:rsidR="008A4266" w:rsidRPr="00251B6F" w:rsidRDefault="008A4266" w:rsidP="00FF4F89">
      <w:pPr>
        <w:spacing w:after="0" w:line="360" w:lineRule="auto"/>
        <w:ind w:firstLine="709"/>
        <w:jc w:val="both"/>
        <w:rPr>
          <w:lang w:val="uk-UA"/>
        </w:rPr>
      </w:pPr>
      <w:r w:rsidRPr="00131CEC">
        <w:rPr>
          <w:rFonts w:ascii="Times New Roman" w:eastAsia="TimesNewRomanPSMT" w:hAnsi="Times New Roman"/>
          <w:sz w:val="28"/>
          <w:szCs w:val="28"/>
          <w:lang w:val="uk-UA"/>
        </w:rPr>
        <w:t xml:space="preserve">Таким чином, за результатами дослідження встановлено, що жінки, хворі на АГ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порівняно з чоловіками </w:t>
      </w:r>
      <w:r w:rsidRPr="00131CEC">
        <w:rPr>
          <w:rFonts w:ascii="Times New Roman" w:eastAsia="TimesNewRomanPSMT" w:hAnsi="Times New Roman"/>
          <w:sz w:val="28"/>
          <w:szCs w:val="28"/>
          <w:lang w:val="uk-UA"/>
        </w:rPr>
        <w:t xml:space="preserve">мають значно гірші показники за рядом параметрів, які характеризують ризик розвитку МІ. Тому своєчасна </w:t>
      </w:r>
      <w:r w:rsidRPr="00131CEC">
        <w:rPr>
          <w:rFonts w:ascii="Times New Roman" w:hAnsi="Times New Roman"/>
          <w:sz w:val="28"/>
          <w:szCs w:val="28"/>
          <w:lang w:val="uk-UA"/>
        </w:rPr>
        <w:t xml:space="preserve">модифікація цих факторів дозволить знизити </w:t>
      </w:r>
      <w:r>
        <w:rPr>
          <w:rFonts w:ascii="Times New Roman" w:hAnsi="Times New Roman"/>
          <w:sz w:val="28"/>
          <w:szCs w:val="28"/>
          <w:lang w:val="uk-UA"/>
        </w:rPr>
        <w:t xml:space="preserve">не тільки кількість </w:t>
      </w:r>
      <w:r w:rsidRPr="00131CEC">
        <w:rPr>
          <w:rFonts w:ascii="Times New Roman" w:hAnsi="Times New Roman"/>
          <w:sz w:val="28"/>
          <w:szCs w:val="28"/>
          <w:lang w:val="uk-UA"/>
        </w:rPr>
        <w:t>ускладнень</w:t>
      </w:r>
      <w:r>
        <w:rPr>
          <w:rFonts w:ascii="Times New Roman" w:hAnsi="Times New Roman"/>
          <w:sz w:val="28"/>
          <w:szCs w:val="28"/>
          <w:lang w:val="uk-UA"/>
        </w:rPr>
        <w:t>, але й</w:t>
      </w:r>
      <w:r w:rsidRPr="00131C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передчасну судинну</w:t>
      </w:r>
      <w:r w:rsidRPr="00131CEC">
        <w:rPr>
          <w:rFonts w:ascii="Times New Roman" w:hAnsi="Times New Roman"/>
          <w:sz w:val="28"/>
          <w:szCs w:val="28"/>
          <w:lang w:val="uk-UA"/>
        </w:rPr>
        <w:t xml:space="preserve"> смертність.</w:t>
      </w:r>
      <w:r w:rsidRPr="00131CEC">
        <w:rPr>
          <w:lang w:val="uk-UA"/>
        </w:rPr>
        <w:t xml:space="preserve"> </w:t>
      </w:r>
    </w:p>
    <w:p w:rsidR="008A4266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82C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8A4266" w:rsidRPr="0001382C" w:rsidRDefault="008A4266" w:rsidP="000138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82C">
        <w:rPr>
          <w:rFonts w:ascii="Times New Roman" w:hAnsi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обстежених </w:t>
      </w:r>
      <w:r w:rsidRPr="0001382C">
        <w:rPr>
          <w:rFonts w:ascii="Times New Roman" w:hAnsi="Times New Roman"/>
          <w:sz w:val="28"/>
          <w:szCs w:val="28"/>
          <w:lang w:val="uk-UA"/>
        </w:rPr>
        <w:t>хворих на артеріальну гіпертензію ступінь кардіоваскулярного ризику за рівнем артеріального тиску у жінок вищий, ніж у чоловіків.</w:t>
      </w:r>
    </w:p>
    <w:p w:rsidR="008A4266" w:rsidRPr="0001382C" w:rsidRDefault="008A4266" w:rsidP="000138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82C">
        <w:rPr>
          <w:rFonts w:ascii="Times New Roman" w:hAnsi="Times New Roman"/>
          <w:sz w:val="28"/>
          <w:szCs w:val="28"/>
          <w:lang w:val="uk-UA"/>
        </w:rPr>
        <w:t xml:space="preserve">Виявлено асоціацію між артеріальною гіпертензією і розвитком мозкового інсульту у жінок та між артеріальною гіпертензією і розвитком інфаркту міокарда у чоловіків. </w:t>
      </w:r>
    </w:p>
    <w:p w:rsidR="008A4266" w:rsidRPr="0001382C" w:rsidRDefault="008A4266" w:rsidP="000138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82C">
        <w:rPr>
          <w:rFonts w:ascii="Times New Roman" w:hAnsi="Times New Roman"/>
          <w:sz w:val="28"/>
          <w:szCs w:val="28"/>
          <w:lang w:val="uk-UA"/>
        </w:rPr>
        <w:t xml:space="preserve"> Визначено гендерні особливості виявлення основних модифікованих факторів ризику, пов’язаних із способом життя та оточуючим середовищем хворих на артеріальну гіпертензію: щоденні фізичні навантаження мали 5,9% жінок і 8,7% чоловіків, сезонні – 38,6% і 82,6% осіб відповідно; часті і постійні психо-емоційні навантаження виявлено у 70,5% жінок і 54,3% чоловіків, зловживали сіллю 39,1% жінок і 21.8% чоловіків; палили 8,6% жінок і 30,4% чоловіків. не вживали алкоголь 26,4% жінок і 26,1% чоловіків.</w:t>
      </w:r>
    </w:p>
    <w:p w:rsidR="008A4266" w:rsidRPr="0001382C" w:rsidRDefault="008A4266" w:rsidP="000138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82C">
        <w:rPr>
          <w:rFonts w:ascii="Times New Roman" w:hAnsi="Times New Roman"/>
          <w:sz w:val="28"/>
          <w:szCs w:val="28"/>
          <w:lang w:val="uk-UA"/>
        </w:rPr>
        <w:t xml:space="preserve">Ожиріння виявлено у 52,7% жінок і 37% чоловіків. Відсоток жінок з центральним ожирінням за критеріями 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en-US"/>
        </w:rPr>
        <w:t>NCEP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en-US"/>
        </w:rPr>
        <w:t>ATP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en-US"/>
        </w:rPr>
        <w:t>III</w:t>
      </w:r>
      <w:r w:rsidRPr="0001382C">
        <w:rPr>
          <w:rStyle w:val="text1"/>
          <w:rFonts w:ascii="Times New Roman" w:hAnsi="Times New Roman" w:cs="Times New Roman"/>
          <w:sz w:val="28"/>
          <w:szCs w:val="28"/>
          <w:lang w:val="uk-UA"/>
        </w:rPr>
        <w:t xml:space="preserve"> (2001) склав 70,4%, чоловіків – 40,5%; за критеріями </w:t>
      </w:r>
      <w:r w:rsidRPr="0001382C">
        <w:rPr>
          <w:rFonts w:ascii="Times New Roman" w:hAnsi="Times New Roman"/>
          <w:sz w:val="28"/>
          <w:szCs w:val="28"/>
          <w:lang w:val="uk-UA"/>
        </w:rPr>
        <w:t>IDF (2005) – 93,2% і 78, 3% відповідно.</w:t>
      </w:r>
    </w:p>
    <w:p w:rsidR="008A4266" w:rsidRPr="0001382C" w:rsidRDefault="008A4266" w:rsidP="0001382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382C">
        <w:rPr>
          <w:rFonts w:ascii="Times New Roman" w:hAnsi="Times New Roman"/>
          <w:sz w:val="28"/>
          <w:szCs w:val="28"/>
          <w:lang w:val="uk-UA"/>
        </w:rPr>
        <w:t>Рівень ХСЛПВЩ у гіпе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1382C">
        <w:rPr>
          <w:rFonts w:ascii="Times New Roman" w:hAnsi="Times New Roman"/>
          <w:sz w:val="28"/>
          <w:szCs w:val="28"/>
          <w:lang w:val="uk-UA"/>
        </w:rPr>
        <w:t>тензивних жінок може бути маркером порушень ліпідного обміну.</w:t>
      </w:r>
    </w:p>
    <w:p w:rsidR="008A4266" w:rsidRPr="00CE7641" w:rsidRDefault="008A4266" w:rsidP="00CE7641">
      <w:pPr>
        <w:pStyle w:val="Heading1"/>
        <w:shd w:val="clear" w:color="auto" w:fill="FFFFFF"/>
        <w:spacing w:before="0" w:line="360" w:lineRule="auto"/>
        <w:rPr>
          <w:rFonts w:ascii="Times New Roman" w:hAnsi="Times New Roman"/>
          <w:color w:val="auto"/>
          <w:lang w:val="uk-UA"/>
        </w:rPr>
      </w:pPr>
      <w:r w:rsidRPr="00CE7641">
        <w:rPr>
          <w:rFonts w:ascii="Times New Roman" w:hAnsi="Times New Roman"/>
          <w:color w:val="auto"/>
          <w:lang w:val="uk-UA"/>
        </w:rPr>
        <w:t>Література</w:t>
      </w:r>
    </w:p>
    <w:p w:rsidR="008A4266" w:rsidRPr="0001505D" w:rsidRDefault="008A4266" w:rsidP="00FF4F89">
      <w:pPr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E7641">
        <w:rPr>
          <w:rFonts w:ascii="Times New Roman" w:hAnsi="Times New Roman"/>
          <w:sz w:val="28"/>
          <w:szCs w:val="28"/>
        </w:rPr>
        <w:t>1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Виленский Б.С.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 xml:space="preserve">Инсульт- современное состояние проблеми /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Б.С.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Виленский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// Неврологический журнал.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– 2008.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– №2 – С. 4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–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10.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2.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Касте М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. Как улучшить качество медицинской помощи больным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с инсультом в общенациональном масштабе? Опыт Финляндии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 xml:space="preserve">/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М. Касте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// Журнал неврологии и психиатрии им. Корсакова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(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Инсульт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приложение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к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журналу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).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– 2003.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– №9.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 xml:space="preserve">–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.65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–</w:t>
      </w:r>
      <w:r w:rsidRPr="00EF33B1">
        <w:rPr>
          <w:rFonts w:ascii="Times New Roman" w:eastAsia="TimesNewRomanPSMT" w:hAnsi="Times New Roman"/>
          <w:color w:val="000000"/>
          <w:sz w:val="28"/>
          <w:szCs w:val="28"/>
        </w:rPr>
        <w:t>68.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3.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Leys D.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The main components of stroke unit care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/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D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.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Leys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,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 E.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Ringelstein, M.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Kaste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// Cerebrovasc.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Dis. – 2007. – Vol. 23. – P. 465.</w:t>
      </w:r>
    </w:p>
    <w:p w:rsidR="008A4266" w:rsidRPr="00CE7641" w:rsidRDefault="008A4266" w:rsidP="00FF4F8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color w:val="000000"/>
          <w:sz w:val="28"/>
          <w:szCs w:val="28"/>
          <w:lang w:val="en-US"/>
        </w:rPr>
      </w:pP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4.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en-US"/>
        </w:rPr>
        <w:t>Goldstein</w:t>
      </w:r>
      <w:r w:rsidRPr="00C03C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en-US"/>
        </w:rPr>
        <w:t>B.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Primary Prevention of Ischemic Stroke: A Statement for Healthcare Professionals From the Stroke Council of the American Heart Association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/ </w:t>
      </w:r>
      <w:r w:rsidRPr="00CE764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en-US"/>
        </w:rPr>
        <w:t>B. Goldstein, R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en-US"/>
        </w:rPr>
        <w:t xml:space="preserve"> Adams, K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en-US"/>
        </w:rPr>
        <w:t xml:space="preserve"> Becker et al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//</w:t>
      </w:r>
      <w:r w:rsidRPr="00CE76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Circulation 2001. – Vol. 103. – P. 163–182.  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5.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 xml:space="preserve">Волошин П.В.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Аналіз поширеності та захворюваності на нервові хвороби в Україні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/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>П.В.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>Волошин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 xml:space="preserve">,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>Т.С</w:t>
      </w:r>
      <w:r>
        <w:rPr>
          <w:rFonts w:ascii="Times New Roman" w:eastAsia="TimesNewRomanPS-BoldMT" w:hAnsi="Times New Roman"/>
          <w:iCs/>
          <w:color w:val="000000"/>
          <w:sz w:val="28"/>
          <w:szCs w:val="28"/>
          <w:lang w:val="en-US"/>
        </w:rPr>
        <w:t>.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 xml:space="preserve"> Міщенко, Є.В. Лекомцева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// Міжнародний неврологічний журнал. – 2006. – №3 (7).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–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 w:rsidRPr="004A3A9E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. 9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–</w:t>
      </w:r>
      <w:r w:rsidRPr="004A3A9E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13.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6.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Коваленко В.М.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Медико-соціальні аспекти хвороб системи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кровообігу</w:t>
      </w:r>
      <w:r w:rsidRPr="00C03C58">
        <w:rPr>
          <w:rFonts w:ascii="Times New Roman" w:eastAsia="TimesNewRomanPSMT" w:hAnsi="Times New Roman"/>
          <w:color w:val="000000"/>
          <w:sz w:val="28"/>
          <w:szCs w:val="28"/>
        </w:rPr>
        <w:t xml:space="preserve"> /</w:t>
      </w:r>
      <w:r w:rsidRPr="00C03C58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В.М.</w:t>
      </w:r>
      <w:r w:rsidRPr="00C03C58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Коваленко</w:t>
      </w:r>
      <w:r w:rsidRPr="004A3A9E">
        <w:rPr>
          <w:rFonts w:ascii="Times New Roman" w:eastAsia="TimesNewRomanPS-BoldMT" w:hAnsi="Times New Roman"/>
          <w:iCs/>
          <w:color w:val="000000"/>
          <w:sz w:val="28"/>
          <w:szCs w:val="28"/>
        </w:rPr>
        <w:t>,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В.М.</w:t>
      </w:r>
      <w:r w:rsidRPr="00C03C58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Корнацький, Т.С.</w:t>
      </w:r>
      <w:r w:rsidRPr="00C03C58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>Манойленко</w:t>
      </w:r>
      <w:r w:rsidRPr="00C03C5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4A3A9E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– К., 2009.– 145</w:t>
      </w:r>
      <w:r w:rsidRPr="004A3A9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</w:rPr>
        <w:t>с.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7. Епідеміологія цереброваскулярних захворювань в Україні </w:t>
      </w:r>
      <w:r w:rsidRPr="00C03C58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/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>Т.С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. </w:t>
      </w:r>
      <w:r w:rsidRPr="00CE7641">
        <w:rPr>
          <w:rFonts w:ascii="Times New Roman" w:eastAsia="TimesNewRomanPS-BoldMT" w:hAnsi="Times New Roman"/>
          <w:iCs/>
          <w:color w:val="000000"/>
          <w:sz w:val="28"/>
          <w:szCs w:val="28"/>
          <w:lang w:val="uk-UA"/>
        </w:rPr>
        <w:t xml:space="preserve">Міщенко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// Судинні захворювання головного мозку.</w:t>
      </w:r>
      <w:r w:rsidRPr="004A3A9E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CE7641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– </w:t>
      </w:r>
      <w:r w:rsidRPr="0001505D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2006 – №1.</w:t>
      </w:r>
      <w:r w:rsidRPr="004A3A9E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  <w:r w:rsidRPr="0001505D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– С. 3</w:t>
      </w:r>
      <w:r w:rsidRPr="004A3A9E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–</w:t>
      </w:r>
      <w:r w:rsidRPr="0001505D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7.</w:t>
      </w:r>
    </w:p>
    <w:p w:rsidR="008A4266" w:rsidRPr="00CE7641" w:rsidRDefault="008A4266" w:rsidP="00FF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CE7641">
        <w:rPr>
          <w:rFonts w:ascii="Times New Roman" w:eastAsia="TimesNewRomanPSMT" w:hAnsi="Times New Roman"/>
          <w:sz w:val="28"/>
          <w:szCs w:val="28"/>
          <w:lang w:val="uk-UA"/>
        </w:rPr>
        <w:t>8</w:t>
      </w:r>
      <w:r w:rsidRPr="0001505D">
        <w:rPr>
          <w:rFonts w:ascii="Times New Roman" w:eastAsia="TimesNewRomanPSMT" w:hAnsi="Times New Roman"/>
          <w:sz w:val="28"/>
          <w:szCs w:val="28"/>
          <w:lang w:val="uk-UA"/>
        </w:rPr>
        <w:t xml:space="preserve">. Медико-соціальні аспекти поширеності хронічних неінфекційних хвороб серед населення Європи та України </w:t>
      </w:r>
      <w:r w:rsidRPr="00C03C58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01505D">
        <w:rPr>
          <w:rFonts w:ascii="Times New Roman" w:eastAsia="TimesNewRomanPSMT" w:hAnsi="Times New Roman"/>
          <w:sz w:val="28"/>
          <w:szCs w:val="28"/>
          <w:lang w:val="uk-UA"/>
        </w:rPr>
        <w:t>В. Ф. Москаленко // Охорона здоров’я України.</w:t>
      </w:r>
      <w:r w:rsidRPr="004A3A9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1505D">
        <w:rPr>
          <w:rFonts w:ascii="Times New Roman" w:eastAsia="TimesNewRomanPSMT" w:hAnsi="Times New Roman"/>
          <w:sz w:val="28"/>
          <w:szCs w:val="28"/>
          <w:lang w:val="uk-UA"/>
        </w:rPr>
        <w:t xml:space="preserve">– </w:t>
      </w:r>
      <w:r w:rsidRPr="00CE7641">
        <w:rPr>
          <w:rFonts w:ascii="Times New Roman" w:eastAsia="TimesNewRomanPSMT" w:hAnsi="Times New Roman"/>
          <w:sz w:val="28"/>
          <w:szCs w:val="28"/>
        </w:rPr>
        <w:t>2004</w:t>
      </w:r>
      <w:r w:rsidRPr="004A3A9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7641">
        <w:rPr>
          <w:rFonts w:ascii="Times New Roman" w:eastAsia="TimesNewRomanPSMT" w:hAnsi="Times New Roman"/>
          <w:sz w:val="28"/>
          <w:szCs w:val="28"/>
        </w:rPr>
        <w:t>.– № 4.– С. 5–14.</w:t>
      </w:r>
    </w:p>
    <w:p w:rsidR="008A4266" w:rsidRPr="00CE7641" w:rsidRDefault="008A4266" w:rsidP="00FF4F8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7641">
        <w:rPr>
          <w:rFonts w:ascii="Times New Roman" w:eastAsia="TimesNewRomanPSMT" w:hAnsi="Times New Roman"/>
          <w:sz w:val="28"/>
          <w:szCs w:val="28"/>
          <w:lang w:val="uk-UA"/>
        </w:rPr>
        <w:t xml:space="preserve">9. </w:t>
      </w:r>
      <w:r w:rsidRPr="00CE7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Суслин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E7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З. А. Инсульт: диагностика, лечение, профилактика (под ред., М. А. Пирадова) </w:t>
      </w:r>
      <w:r w:rsidRPr="00C03C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CE7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М: Медпресс-информ, 2008. – 340 с.</w:t>
      </w:r>
    </w:p>
    <w:p w:rsidR="008A4266" w:rsidRPr="00CE7641" w:rsidRDefault="008A4266" w:rsidP="00FF4F89">
      <w:pPr>
        <w:pStyle w:val="ListParagraph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CE76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CE76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Dha</w:t>
      </w:r>
      <w:r w:rsidRPr="00CE76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oon M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Risk of myocardial infarction or vascular death after first ischemic stroke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/ 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M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Dha</w:t>
      </w:r>
      <w:r w:rsidRPr="00CE76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oon, W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Tai, B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E7641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Boden-Albala et al. // Stroke. – 2007. – Vol. 38. – P. 1752–8.</w:t>
      </w:r>
    </w:p>
    <w:p w:rsidR="008A4266" w:rsidRPr="004A3A9E" w:rsidRDefault="008A4266" w:rsidP="00FF4F8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3A9E">
        <w:rPr>
          <w:rFonts w:ascii="Times New Roman" w:hAnsi="Times New Roman"/>
          <w:sz w:val="28"/>
          <w:szCs w:val="28"/>
          <w:lang w:val="en-US" w:eastAsia="ru-RU"/>
        </w:rPr>
        <w:t>11. Hankey G.J. Treatment and secondary prevention of stroke: evidence, costs, and effects on individuals and populations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/ </w:t>
      </w:r>
      <w:r w:rsidRPr="004A3A9E">
        <w:rPr>
          <w:rFonts w:ascii="Times New Roman" w:hAnsi="Times New Roman"/>
          <w:sz w:val="28"/>
          <w:szCs w:val="28"/>
          <w:lang w:val="en-US" w:eastAsia="ru-RU"/>
        </w:rPr>
        <w:t>G.J.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A3A9E">
        <w:rPr>
          <w:rFonts w:ascii="Times New Roman" w:hAnsi="Times New Roman"/>
          <w:sz w:val="28"/>
          <w:szCs w:val="28"/>
          <w:lang w:val="en-US" w:eastAsia="ru-RU"/>
        </w:rPr>
        <w:t>Hankey, C.P. Warlow /</w:t>
      </w:r>
      <w:r>
        <w:rPr>
          <w:rFonts w:ascii="Times New Roman" w:hAnsi="Times New Roman"/>
          <w:sz w:val="28"/>
          <w:szCs w:val="28"/>
          <w:lang w:val="en-US" w:eastAsia="ru-RU"/>
        </w:rPr>
        <w:t>/</w:t>
      </w:r>
      <w:r w:rsidRPr="004A3A9E">
        <w:rPr>
          <w:rFonts w:ascii="Times New Roman" w:hAnsi="Times New Roman"/>
          <w:sz w:val="28"/>
          <w:szCs w:val="28"/>
          <w:lang w:val="en-US" w:eastAsia="ru-RU"/>
        </w:rPr>
        <w:t xml:space="preserve"> Lancet.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– </w:t>
      </w:r>
      <w:r w:rsidRPr="00A85BC6">
        <w:rPr>
          <w:rFonts w:ascii="Times New Roman" w:hAnsi="Times New Roman"/>
          <w:sz w:val="28"/>
          <w:szCs w:val="28"/>
          <w:lang w:val="en-US" w:eastAsia="ru-RU"/>
        </w:rPr>
        <w:t>1999</w:t>
      </w:r>
      <w:r>
        <w:rPr>
          <w:rFonts w:ascii="Times New Roman" w:hAnsi="Times New Roman"/>
          <w:sz w:val="28"/>
          <w:szCs w:val="28"/>
          <w:lang w:val="en-US" w:eastAsia="ru-RU"/>
        </w:rPr>
        <w:t>. – Vol.</w:t>
      </w:r>
      <w:r w:rsidRPr="00A85BC6">
        <w:rPr>
          <w:rFonts w:ascii="Times New Roman" w:hAnsi="Times New Roman"/>
          <w:sz w:val="28"/>
          <w:szCs w:val="28"/>
          <w:lang w:val="en-US" w:eastAsia="ru-RU"/>
        </w:rPr>
        <w:t xml:space="preserve"> 354</w:t>
      </w:r>
      <w:r>
        <w:rPr>
          <w:rFonts w:ascii="Times New Roman" w:hAnsi="Times New Roman"/>
          <w:sz w:val="28"/>
          <w:szCs w:val="28"/>
          <w:lang w:val="en-US" w:eastAsia="ru-RU"/>
        </w:rPr>
        <w:t>. –</w:t>
      </w:r>
      <w:r w:rsidRPr="00A85BC6">
        <w:rPr>
          <w:rFonts w:ascii="Times New Roman" w:hAnsi="Times New Roman"/>
          <w:sz w:val="28"/>
          <w:szCs w:val="28"/>
          <w:lang w:val="en-US" w:eastAsia="ru-RU"/>
        </w:rPr>
        <w:t xml:space="preserve"> 1457</w:t>
      </w:r>
      <w:r>
        <w:rPr>
          <w:rFonts w:ascii="Times New Roman" w:hAnsi="Times New Roman"/>
          <w:sz w:val="28"/>
          <w:szCs w:val="28"/>
          <w:lang w:val="en-US" w:eastAsia="ru-RU"/>
        </w:rPr>
        <w:t>–14</w:t>
      </w:r>
      <w:r w:rsidRPr="00A85BC6">
        <w:rPr>
          <w:rFonts w:ascii="Times New Roman" w:hAnsi="Times New Roman"/>
          <w:sz w:val="28"/>
          <w:szCs w:val="28"/>
          <w:lang w:val="en-US" w:eastAsia="ru-RU"/>
        </w:rPr>
        <w:t>63.</w:t>
      </w:r>
    </w:p>
    <w:p w:rsidR="008A4266" w:rsidRPr="00A85BC6" w:rsidRDefault="008A4266" w:rsidP="00FF4F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12.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Волошин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Профилактика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мозгового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инсульта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376D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/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9376D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Волошин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Т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Мищенко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//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Здоров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’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я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України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– 2002. – №5. – </w:t>
      </w:r>
      <w:r w:rsidRPr="00FF4F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A85BC6">
        <w:rPr>
          <w:rFonts w:ascii="Times New Roman" w:hAnsi="Times New Roman"/>
          <w:iCs/>
          <w:color w:val="000000"/>
          <w:sz w:val="28"/>
          <w:szCs w:val="28"/>
          <w:lang w:eastAsia="ru-RU"/>
        </w:rPr>
        <w:t>.14.</w:t>
      </w:r>
    </w:p>
    <w:p w:rsidR="008A4266" w:rsidRPr="00FF4F89" w:rsidRDefault="008A4266" w:rsidP="00FF4F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15. Risk factors, outcomes, and stroke subtypes for ischemic stroke 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/ 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R.L. Sacco // Neurology. 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–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1997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. – Vol.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49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. –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P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. 39</w:t>
      </w:r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–</w:t>
      </w:r>
      <w:r w:rsidRPr="00FF4F89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44.</w:t>
      </w:r>
    </w:p>
    <w:p w:rsidR="008A4266" w:rsidRPr="00CE7641" w:rsidRDefault="008A4266" w:rsidP="00FF4F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A85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Chobanian</w:t>
      </w:r>
      <w:r w:rsidRPr="00A85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A.V.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Seventh report of the Join National Committee on Prevention, detection, Evalution and Treatment of High Blood Pressure 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A.V.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Chobanian, G.I.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H.R. Bacris, Black et al.</w:t>
      </w:r>
      <w:r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CE7641">
        <w:rPr>
          <w:rFonts w:ascii="Times New Roman" w:hAnsi="Times New Roman"/>
          <w:sz w:val="28"/>
          <w:szCs w:val="28"/>
          <w:lang w:val="uk-UA"/>
        </w:rPr>
        <w:t>/ J. Hypertension. – 2003. – Vol. 42. – P. 1206–1252.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CE7641">
        <w:rPr>
          <w:rFonts w:ascii="Times New Roman" w:hAnsi="Times New Roman"/>
          <w:sz w:val="28"/>
          <w:szCs w:val="28"/>
          <w:lang w:val="uk-UA"/>
        </w:rPr>
        <w:t>Guidelines Committee. 2003 European Sosiety of  Hypertension-European Sosiety of Cardiology guidelines for the management of arterial hypertension // J. Hypertension. – 2003. – Vol. 21. – P. 1011–1053.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A85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Свіщенко Є.П.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Рекомендації української асоціації кардіологів з профілактики та лікування артеріальної гіпертензії 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CE7641">
        <w:rPr>
          <w:rFonts w:ascii="Times New Roman" w:hAnsi="Times New Roman"/>
          <w:sz w:val="28"/>
          <w:szCs w:val="28"/>
          <w:lang w:val="uk-UA"/>
        </w:rPr>
        <w:t>Є.П.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Свіщенко, А.Е. Багрій</w:t>
      </w:r>
      <w:r w:rsidRPr="009376DD">
        <w:rPr>
          <w:rFonts w:ascii="Times New Roman" w:hAnsi="Times New Roman"/>
          <w:sz w:val="28"/>
          <w:szCs w:val="28"/>
          <w:lang w:val="uk-UA"/>
        </w:rPr>
        <w:t>,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Л.М. Єна та ін. – К.: ТОВ Бізнес Поліграф, 2008. – 80 с.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17.</w:t>
      </w:r>
      <w:r>
        <w:rPr>
          <w:rStyle w:val="Strong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E7641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Executive summary of the Third report of the National cholesterol education program (NCEP) Expert panel on detection, evaluation, and treatment of high blood cholesterol in adults (Adult Treatment Panel III) // </w:t>
      </w:r>
      <w:r w:rsidRPr="00CE7641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lang w:val="uk-UA"/>
        </w:rPr>
        <w:t xml:space="preserve">JAMA. – </w:t>
      </w:r>
      <w:r w:rsidRPr="00CE7641">
        <w:rPr>
          <w:rFonts w:ascii="Times New Roman" w:hAnsi="Times New Roman"/>
          <w:bCs/>
          <w:sz w:val="28"/>
          <w:szCs w:val="28"/>
          <w:lang w:val="uk-UA"/>
        </w:rPr>
        <w:t>2001. – Vol. 285. – P. 2486–2497.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Alberti K.G. The metabolic syndrome – a new worldwide definition </w:t>
      </w:r>
      <w:r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K.G.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Alberti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P.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Zimmet, J.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Sbaw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// Lancet. – 2005. – Vol. 366. – Р. 1059–1062.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F89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19.</w:t>
      </w:r>
      <w:r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 xml:space="preserve">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Yamada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Y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.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Association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of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genetic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variants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with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atherothrombotic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cerebral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infarction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in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Japanese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individuals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with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metabolic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syndrome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/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Y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 xml:space="preserve">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Yamada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 </w:t>
      </w:r>
      <w:r w:rsidRPr="00CE764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//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Int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.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J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.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Mol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.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Med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 xml:space="preserve">. – 2008. –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Vol. 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>21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 xml:space="preserve">. – P. 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>801</w:t>
      </w:r>
      <w:r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–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>8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en-US" w:eastAsia="ru-RU"/>
        </w:rPr>
        <w:t>08</w:t>
      </w:r>
      <w:r w:rsidRPr="00CE7641">
        <w:rPr>
          <w:rFonts w:ascii="Times New Roman" w:hAnsi="Times New Roman"/>
          <w:iCs/>
          <w:color w:val="333333"/>
          <w:sz w:val="28"/>
          <w:szCs w:val="28"/>
          <w:lang w:val="uk-UA" w:eastAsia="ru-RU"/>
        </w:rPr>
        <w:t>.</w:t>
      </w:r>
    </w:p>
    <w:p w:rsidR="008A4266" w:rsidRPr="00CE7641" w:rsidRDefault="008A4266" w:rsidP="00FF4F89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CE7641">
        <w:rPr>
          <w:rFonts w:ascii="Times New Roman" w:hAnsi="Times New Roman"/>
          <w:sz w:val="28"/>
          <w:szCs w:val="28"/>
          <w:lang w:val="uk-UA"/>
        </w:rPr>
        <w:t>Chang</w:t>
      </w:r>
      <w:r w:rsidRPr="0093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The Relationship between Isolated Dizziness/Vertigo and the Risk Factors of Ischemic Stroke: A Case Control Study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CE7641">
        <w:rPr>
          <w:rFonts w:ascii="Times New Roman" w:hAnsi="Times New Roman"/>
          <w:sz w:val="28"/>
          <w:szCs w:val="28"/>
          <w:lang w:val="uk-UA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Chang, W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Chang, Ch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E7641">
        <w:rPr>
          <w:rFonts w:ascii="Times New Roman" w:hAnsi="Times New Roman"/>
          <w:sz w:val="28"/>
          <w:szCs w:val="28"/>
          <w:lang w:val="uk-UA"/>
        </w:rPr>
        <w:t>Huang</w:t>
      </w:r>
      <w:r w:rsidRPr="00CE7641">
        <w:rPr>
          <w:rFonts w:ascii="Times New Roman" w:hAnsi="Times New Roman"/>
          <w:sz w:val="28"/>
          <w:szCs w:val="28"/>
          <w:lang w:val="en-US"/>
        </w:rPr>
        <w:t xml:space="preserve"> et 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CE7641">
        <w:rPr>
          <w:rFonts w:ascii="Times New Roman" w:hAnsi="Times New Roman"/>
          <w:sz w:val="28"/>
          <w:szCs w:val="28"/>
          <w:lang w:val="en-US"/>
        </w:rPr>
        <w:t>Acta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en-US"/>
        </w:rPr>
        <w:t>Neurol.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641">
        <w:rPr>
          <w:rFonts w:ascii="Times New Roman" w:hAnsi="Times New Roman"/>
          <w:sz w:val="28"/>
          <w:szCs w:val="28"/>
          <w:lang w:val="en-US"/>
        </w:rPr>
        <w:t>Taiwan</w:t>
      </w:r>
      <w:r w:rsidRPr="009376DD">
        <w:rPr>
          <w:rFonts w:ascii="Times New Roman" w:hAnsi="Times New Roman"/>
          <w:sz w:val="28"/>
          <w:szCs w:val="28"/>
          <w:lang w:val="en-US"/>
        </w:rPr>
        <w:t>. –</w:t>
      </w:r>
      <w:r w:rsidRPr="00CE7641">
        <w:rPr>
          <w:rFonts w:ascii="Times New Roman" w:hAnsi="Times New Roman"/>
          <w:sz w:val="28"/>
          <w:szCs w:val="28"/>
          <w:lang w:val="uk-UA"/>
        </w:rPr>
        <w:t xml:space="preserve"> 2011</w:t>
      </w:r>
      <w:r w:rsidRPr="009376DD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CE7641">
        <w:rPr>
          <w:rFonts w:ascii="Times New Roman" w:hAnsi="Times New Roman"/>
          <w:sz w:val="28"/>
          <w:szCs w:val="28"/>
          <w:lang w:val="en-US"/>
        </w:rPr>
        <w:t>Vol</w:t>
      </w:r>
      <w:r w:rsidRPr="009376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E7641">
        <w:rPr>
          <w:rFonts w:ascii="Times New Roman" w:hAnsi="Times New Roman"/>
          <w:sz w:val="28"/>
          <w:szCs w:val="28"/>
          <w:lang w:val="uk-UA"/>
        </w:rPr>
        <w:t>20</w:t>
      </w:r>
      <w:r w:rsidRPr="009376DD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CE7641">
        <w:rPr>
          <w:rFonts w:ascii="Times New Roman" w:hAnsi="Times New Roman"/>
          <w:sz w:val="28"/>
          <w:szCs w:val="28"/>
          <w:lang w:val="en-US"/>
        </w:rPr>
        <w:t>P</w:t>
      </w:r>
      <w:r w:rsidRPr="009376DD">
        <w:rPr>
          <w:rFonts w:ascii="Times New Roman" w:hAnsi="Times New Roman"/>
          <w:sz w:val="28"/>
          <w:szCs w:val="28"/>
          <w:lang w:val="en-US"/>
        </w:rPr>
        <w:t>.</w:t>
      </w:r>
      <w:r w:rsidRPr="00CE7641">
        <w:rPr>
          <w:rFonts w:ascii="Times New Roman" w:hAnsi="Times New Roman"/>
          <w:sz w:val="28"/>
          <w:szCs w:val="28"/>
          <w:lang w:val="uk-UA"/>
        </w:rPr>
        <w:t>101</w:t>
      </w:r>
      <w:r w:rsidRPr="009376DD">
        <w:rPr>
          <w:rFonts w:ascii="Times New Roman" w:hAnsi="Times New Roman"/>
          <w:sz w:val="28"/>
          <w:szCs w:val="28"/>
          <w:lang w:val="en-US"/>
        </w:rPr>
        <w:t>–</w:t>
      </w:r>
      <w:r w:rsidRPr="00CE7641">
        <w:rPr>
          <w:rFonts w:ascii="Times New Roman" w:hAnsi="Times New Roman"/>
          <w:sz w:val="28"/>
          <w:szCs w:val="28"/>
          <w:lang w:val="uk-UA"/>
        </w:rPr>
        <w:t>106</w:t>
      </w:r>
      <w:r w:rsidRPr="009376DD">
        <w:rPr>
          <w:rFonts w:ascii="Times New Roman" w:hAnsi="Times New Roman"/>
          <w:sz w:val="28"/>
          <w:szCs w:val="28"/>
          <w:lang w:val="en-US"/>
        </w:rPr>
        <w:t>.</w:t>
      </w:r>
    </w:p>
    <w:p w:rsidR="008A4266" w:rsidRPr="009376DD" w:rsidRDefault="008A4266" w:rsidP="00071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  <w:lang w:val="en-US"/>
        </w:rPr>
      </w:pPr>
    </w:p>
    <w:p w:rsidR="008A4266" w:rsidRPr="00CE216D" w:rsidRDefault="008A4266" w:rsidP="005859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ПРОФИЛАКТИКА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МОЗГОВОГО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ИНСУЛЬТА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У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БОЛЬНЫХ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АРТЕРИАЛЬНОЙ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ГИПЕРТЕНЗИЕЙ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/>
          <w:b/>
          <w:sz w:val="28"/>
          <w:szCs w:val="28"/>
        </w:rPr>
        <w:t>АКЦЕНТ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НА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ФАКТОРЫ</w:t>
      </w:r>
      <w:r w:rsidRPr="009376DD">
        <w:rPr>
          <w:rFonts w:ascii="Times New Roman" w:eastAsia="TimesNewRomanPSMT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РИСКА</w:t>
      </w:r>
    </w:p>
    <w:p w:rsidR="008A4266" w:rsidRPr="00881932" w:rsidRDefault="008A4266" w:rsidP="005859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585944">
        <w:rPr>
          <w:rFonts w:ascii="Times New Roman" w:eastAsia="TimesNewRomanPSMT" w:hAnsi="Times New Roman"/>
          <w:sz w:val="28"/>
          <w:szCs w:val="28"/>
        </w:rPr>
        <w:t>Питецкая Н.И., Ковалева О.Н.</w:t>
      </w:r>
      <w:r w:rsidRPr="00881932">
        <w:rPr>
          <w:rFonts w:ascii="Times New Roman" w:eastAsia="TimesNewRomanPSMT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З</w:t>
      </w:r>
      <w:r>
        <w:rPr>
          <w:rFonts w:ascii="Times New Roman" w:eastAsia="TimesNewRomanPSMT" w:hAnsi="Times New Roman"/>
          <w:sz w:val="28"/>
          <w:szCs w:val="28"/>
          <w:lang w:val="uk-UA"/>
        </w:rPr>
        <w:t>лывка Л.В.</w:t>
      </w:r>
    </w:p>
    <w:p w:rsidR="008A4266" w:rsidRPr="000715FC" w:rsidRDefault="008A4266" w:rsidP="00071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E30F3">
        <w:rPr>
          <w:rFonts w:ascii="Times New Roman" w:eastAsia="TimesNewRomanPSMT" w:hAnsi="Times New Roman"/>
          <w:b/>
          <w:sz w:val="28"/>
          <w:szCs w:val="28"/>
        </w:rPr>
        <w:t>Резюме.</w:t>
      </w:r>
      <w:r w:rsidRPr="00D03F1C">
        <w:rPr>
          <w:rFonts w:ascii="Times New Roman" w:eastAsia="TimesNewRomanPSMT" w:hAnsi="Times New Roman"/>
          <w:sz w:val="28"/>
          <w:szCs w:val="28"/>
        </w:rPr>
        <w:t xml:space="preserve"> Инсульт – одна из основных медико-социальных проблем,</w:t>
      </w:r>
      <w:r w:rsidRPr="000715FC">
        <w:rPr>
          <w:rFonts w:ascii="Times New Roman" w:eastAsia="TimesNewRomanPSMT" w:hAnsi="Times New Roman"/>
          <w:sz w:val="28"/>
          <w:szCs w:val="28"/>
        </w:rPr>
        <w:t xml:space="preserve"> поскольку занимает второе место среди причин смертности и первое – среди причин стойкой утраты трудоспособности во всех странах мира. В работе проведен гендерный анализ</w:t>
      </w:r>
      <w:r>
        <w:rPr>
          <w:rFonts w:ascii="Times New Roman" w:eastAsia="TimesNewRomanPSMT" w:hAnsi="Times New Roman"/>
          <w:sz w:val="28"/>
          <w:szCs w:val="28"/>
        </w:rPr>
        <w:t xml:space="preserve"> основных</w:t>
      </w:r>
      <w:r w:rsidRPr="000715FC">
        <w:rPr>
          <w:rFonts w:ascii="Times New Roman" w:eastAsia="TimesNewRomanPSMT" w:hAnsi="Times New Roman"/>
          <w:sz w:val="28"/>
          <w:szCs w:val="28"/>
        </w:rPr>
        <w:t xml:space="preserve"> модифицированных факторов риска инсульта у больных артериальной гипертензией. Установлено, что у женщин значительно хуже показатели, характеризующие риск развития инсульта.</w:t>
      </w:r>
    </w:p>
    <w:p w:rsidR="008A4266" w:rsidRDefault="008A4266" w:rsidP="000715F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15FC">
        <w:rPr>
          <w:rFonts w:ascii="Times New Roman" w:eastAsia="TimesNewRomanPSMT" w:hAnsi="Times New Roman"/>
          <w:b/>
          <w:sz w:val="28"/>
          <w:szCs w:val="28"/>
        </w:rPr>
        <w:t>Ключевые слова</w:t>
      </w:r>
      <w:r w:rsidRPr="000715FC">
        <w:rPr>
          <w:rFonts w:ascii="Times New Roman" w:eastAsia="TimesNewRomanPSMT" w:hAnsi="Times New Roman"/>
          <w:sz w:val="28"/>
          <w:szCs w:val="28"/>
        </w:rPr>
        <w:t>: инсульт, артериальная гипертензия, факторы риска</w:t>
      </w:r>
    </w:p>
    <w:p w:rsidR="008A4266" w:rsidRDefault="008A4266" w:rsidP="004903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4266" w:rsidRDefault="008A4266" w:rsidP="004903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A4266" w:rsidRDefault="008A4266" w:rsidP="00CE216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E74D8">
        <w:rPr>
          <w:rFonts w:ascii="Times New Roman" w:hAnsi="Times New Roman"/>
          <w:b/>
          <w:color w:val="000000"/>
          <w:sz w:val="28"/>
          <w:szCs w:val="28"/>
          <w:lang w:val="uk-UA"/>
        </w:rPr>
        <w:t>PREVENTION OF STROKE IN HYPERTENSIVE PATIENTS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8A4266" w:rsidRPr="007E74D8" w:rsidRDefault="008A4266" w:rsidP="00CE216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ACCENT </w:t>
      </w:r>
      <w:r w:rsidRPr="00CE216D">
        <w:rPr>
          <w:rFonts w:ascii="Times New Roman" w:hAnsi="Times New Roman"/>
          <w:b/>
          <w:color w:val="000000"/>
          <w:sz w:val="28"/>
          <w:szCs w:val="28"/>
          <w:lang w:val="uk-UA"/>
        </w:rPr>
        <w:t>ON THE RISK FACTORS</w:t>
      </w:r>
    </w:p>
    <w:p w:rsidR="008A4266" w:rsidRPr="00CE216D" w:rsidRDefault="008A4266" w:rsidP="005859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A4266" w:rsidRPr="007B2C3E" w:rsidRDefault="008A4266" w:rsidP="0058594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74D8">
        <w:rPr>
          <w:rFonts w:ascii="Times New Roman" w:hAnsi="Times New Roman"/>
          <w:sz w:val="28"/>
          <w:szCs w:val="28"/>
          <w:lang w:val="sv-SE"/>
        </w:rPr>
        <w:t>Pytetska N.I.</w:t>
      </w:r>
      <w:r w:rsidRPr="007E74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74D8">
        <w:rPr>
          <w:rFonts w:ascii="Times New Roman" w:hAnsi="Times New Roman"/>
          <w:sz w:val="28"/>
          <w:szCs w:val="28"/>
          <w:lang w:val="sv-SE"/>
        </w:rPr>
        <w:t>Kovalyova O.M.</w:t>
      </w:r>
      <w:r w:rsidRPr="007B2C3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Zlyvka</w:t>
      </w:r>
      <w:r w:rsidRPr="007B2C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7B2C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B2C3E">
        <w:rPr>
          <w:rFonts w:ascii="Times New Roman" w:hAnsi="Times New Roman"/>
          <w:sz w:val="28"/>
          <w:szCs w:val="28"/>
          <w:lang w:val="uk-UA"/>
        </w:rPr>
        <w:t>.</w:t>
      </w:r>
    </w:p>
    <w:p w:rsidR="008A4266" w:rsidRDefault="008A4266" w:rsidP="00293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7E74D8">
        <w:rPr>
          <w:rFonts w:ascii="Times New Roman" w:hAnsi="Times New Roman"/>
          <w:b/>
          <w:sz w:val="28"/>
          <w:szCs w:val="28"/>
          <w:lang w:val="en-US"/>
        </w:rPr>
        <w:t>Summary</w:t>
      </w:r>
      <w:r w:rsidRPr="007E74D8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 w:rsidRPr="007E74D8">
        <w:rPr>
          <w:rFonts w:ascii="Times New Roman" w:eastAsia="TimesNewRomanPSMT" w:hAnsi="Times New Roman"/>
          <w:sz w:val="28"/>
          <w:szCs w:val="28"/>
          <w:lang w:val="en-US"/>
        </w:rPr>
        <w:t>Stroke is one of the main medical-social problems as it takes the second place among the causes of death and the first – among the reasons of</w:t>
      </w:r>
      <w:r w:rsidRPr="007E74D8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E74D8">
        <w:rPr>
          <w:rFonts w:ascii="Times New Roman" w:eastAsia="TimesNewRomanPSMT" w:hAnsi="Times New Roman"/>
          <w:sz w:val="28"/>
          <w:szCs w:val="28"/>
          <w:lang w:val="en-US"/>
        </w:rPr>
        <w:t xml:space="preserve">permanent disability worldwide. </w:t>
      </w:r>
      <w:r w:rsidRPr="00FC191C">
        <w:rPr>
          <w:rFonts w:ascii="Times New Roman" w:eastAsia="TimesNewRomanPSMT" w:hAnsi="Times New Roman"/>
          <w:sz w:val="28"/>
          <w:szCs w:val="28"/>
          <w:lang w:val="en-US"/>
        </w:rPr>
        <w:t xml:space="preserve">The main  risk factors for stroke related to the </w:t>
      </w:r>
      <w:r>
        <w:rPr>
          <w:rFonts w:ascii="Times New Roman" w:hAnsi="Times New Roman"/>
          <w:sz w:val="28"/>
          <w:szCs w:val="28"/>
          <w:lang w:val="en-US"/>
        </w:rPr>
        <w:t>style</w:t>
      </w:r>
      <w:r w:rsidRPr="00FC191C">
        <w:rPr>
          <w:rFonts w:ascii="Times New Roman" w:eastAsia="TimesNewRomanPSMT" w:hAnsi="Times New Roman"/>
          <w:sz w:val="28"/>
          <w:szCs w:val="28"/>
          <w:lang w:val="en-US"/>
        </w:rPr>
        <w:t xml:space="preserve"> of life were analyzed  in patients with arterial hypertension in the article.</w:t>
      </w:r>
    </w:p>
    <w:p w:rsidR="008A4266" w:rsidRPr="007E74D8" w:rsidRDefault="008A4266" w:rsidP="00293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FC191C">
        <w:rPr>
          <w:rFonts w:ascii="Times New Roman" w:eastAsia="TimesNewRomanPSMT" w:hAnsi="Times New Roman"/>
          <w:sz w:val="28"/>
          <w:szCs w:val="28"/>
          <w:lang w:val="en-US"/>
        </w:rPr>
        <w:t>It was determined that women had significantly higher risk of stroke compared to men.</w:t>
      </w:r>
    </w:p>
    <w:p w:rsidR="008A4266" w:rsidRPr="009E5919" w:rsidRDefault="008A4266" w:rsidP="009E591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E5919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9E5919">
        <w:rPr>
          <w:rFonts w:ascii="Times New Roman" w:hAnsi="Times New Roman"/>
          <w:sz w:val="28"/>
          <w:szCs w:val="28"/>
          <w:lang w:val="en-US"/>
        </w:rPr>
        <w:t xml:space="preserve">: stroke, arterial hypertension, </w:t>
      </w:r>
      <w:r w:rsidRPr="009E5919">
        <w:rPr>
          <w:rFonts w:ascii="Times New Roman" w:hAnsi="Times New Roman"/>
          <w:sz w:val="28"/>
          <w:szCs w:val="28"/>
          <w:lang w:val="uk-UA"/>
        </w:rPr>
        <w:t>risk factors</w:t>
      </w:r>
    </w:p>
    <w:p w:rsidR="008A4266" w:rsidRPr="0001505D" w:rsidRDefault="008A4266" w:rsidP="00852269">
      <w:pPr>
        <w:spacing w:line="360" w:lineRule="auto"/>
        <w:jc w:val="both"/>
        <w:rPr>
          <w:b/>
          <w:sz w:val="28"/>
          <w:szCs w:val="28"/>
          <w:lang w:val="en-US"/>
        </w:rPr>
      </w:pPr>
    </w:p>
    <w:sectPr w:rsidR="008A4266" w:rsidRPr="0001505D" w:rsidSect="006200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FF2"/>
    <w:multiLevelType w:val="multilevel"/>
    <w:tmpl w:val="C56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90694"/>
    <w:multiLevelType w:val="multilevel"/>
    <w:tmpl w:val="F62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35BBA"/>
    <w:multiLevelType w:val="multilevel"/>
    <w:tmpl w:val="8F8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578FF"/>
    <w:multiLevelType w:val="hybridMultilevel"/>
    <w:tmpl w:val="1100962A"/>
    <w:lvl w:ilvl="0" w:tplc="2D9C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87410F"/>
    <w:multiLevelType w:val="hybridMultilevel"/>
    <w:tmpl w:val="D632E17A"/>
    <w:lvl w:ilvl="0" w:tplc="30CE9E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7372FB"/>
    <w:multiLevelType w:val="multilevel"/>
    <w:tmpl w:val="E9CCF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851B89"/>
    <w:multiLevelType w:val="multilevel"/>
    <w:tmpl w:val="028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C7863"/>
    <w:multiLevelType w:val="multilevel"/>
    <w:tmpl w:val="FCE44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43C79"/>
    <w:multiLevelType w:val="hybridMultilevel"/>
    <w:tmpl w:val="B1E0666E"/>
    <w:lvl w:ilvl="0" w:tplc="55C27FC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B"/>
    <w:rsid w:val="0001382C"/>
    <w:rsid w:val="0001505D"/>
    <w:rsid w:val="00015D6E"/>
    <w:rsid w:val="00034CF4"/>
    <w:rsid w:val="000375E5"/>
    <w:rsid w:val="00043DAA"/>
    <w:rsid w:val="00063139"/>
    <w:rsid w:val="000715FC"/>
    <w:rsid w:val="000752C8"/>
    <w:rsid w:val="0008687F"/>
    <w:rsid w:val="00091E09"/>
    <w:rsid w:val="000B3A12"/>
    <w:rsid w:val="000C051D"/>
    <w:rsid w:val="000C2C31"/>
    <w:rsid w:val="000C36B2"/>
    <w:rsid w:val="000C4C2C"/>
    <w:rsid w:val="000C659E"/>
    <w:rsid w:val="000E186E"/>
    <w:rsid w:val="000E30F3"/>
    <w:rsid w:val="000E4748"/>
    <w:rsid w:val="0011148A"/>
    <w:rsid w:val="0013167E"/>
    <w:rsid w:val="00131CEC"/>
    <w:rsid w:val="00134899"/>
    <w:rsid w:val="001348CB"/>
    <w:rsid w:val="001376E2"/>
    <w:rsid w:val="00153674"/>
    <w:rsid w:val="001706A3"/>
    <w:rsid w:val="00175B7A"/>
    <w:rsid w:val="00177F07"/>
    <w:rsid w:val="0019154F"/>
    <w:rsid w:val="001A06C2"/>
    <w:rsid w:val="001C3FB8"/>
    <w:rsid w:val="001D41C2"/>
    <w:rsid w:val="001E22E1"/>
    <w:rsid w:val="001E291F"/>
    <w:rsid w:val="001E43BD"/>
    <w:rsid w:val="00201E2E"/>
    <w:rsid w:val="00204890"/>
    <w:rsid w:val="00205F37"/>
    <w:rsid w:val="0020665A"/>
    <w:rsid w:val="00210858"/>
    <w:rsid w:val="00216A60"/>
    <w:rsid w:val="00251B6F"/>
    <w:rsid w:val="002568E1"/>
    <w:rsid w:val="00271EAF"/>
    <w:rsid w:val="002763B1"/>
    <w:rsid w:val="00281048"/>
    <w:rsid w:val="00291F8D"/>
    <w:rsid w:val="00292F29"/>
    <w:rsid w:val="00293438"/>
    <w:rsid w:val="002949D6"/>
    <w:rsid w:val="002A2626"/>
    <w:rsid w:val="002C72E8"/>
    <w:rsid w:val="002D29EA"/>
    <w:rsid w:val="002E17E3"/>
    <w:rsid w:val="002E33D6"/>
    <w:rsid w:val="002E736A"/>
    <w:rsid w:val="002F480B"/>
    <w:rsid w:val="0031441D"/>
    <w:rsid w:val="00336C1F"/>
    <w:rsid w:val="00345CF9"/>
    <w:rsid w:val="00353A56"/>
    <w:rsid w:val="003613BD"/>
    <w:rsid w:val="00364F0B"/>
    <w:rsid w:val="00367FD2"/>
    <w:rsid w:val="0037065B"/>
    <w:rsid w:val="00373A84"/>
    <w:rsid w:val="0037418E"/>
    <w:rsid w:val="00375129"/>
    <w:rsid w:val="003754E0"/>
    <w:rsid w:val="00385399"/>
    <w:rsid w:val="0038552B"/>
    <w:rsid w:val="00387271"/>
    <w:rsid w:val="00390D25"/>
    <w:rsid w:val="003A182D"/>
    <w:rsid w:val="003A4CAC"/>
    <w:rsid w:val="003A6772"/>
    <w:rsid w:val="003C33AE"/>
    <w:rsid w:val="003C5338"/>
    <w:rsid w:val="00400897"/>
    <w:rsid w:val="00403A77"/>
    <w:rsid w:val="00410C3E"/>
    <w:rsid w:val="004171ED"/>
    <w:rsid w:val="004178EE"/>
    <w:rsid w:val="00421AED"/>
    <w:rsid w:val="00426063"/>
    <w:rsid w:val="00427150"/>
    <w:rsid w:val="00427235"/>
    <w:rsid w:val="004461A1"/>
    <w:rsid w:val="00446E4E"/>
    <w:rsid w:val="00476B27"/>
    <w:rsid w:val="0048125A"/>
    <w:rsid w:val="004903D7"/>
    <w:rsid w:val="004A3A9E"/>
    <w:rsid w:val="004B6DC9"/>
    <w:rsid w:val="004C1EF5"/>
    <w:rsid w:val="004C2639"/>
    <w:rsid w:val="004C4B85"/>
    <w:rsid w:val="004E7D4E"/>
    <w:rsid w:val="004F4489"/>
    <w:rsid w:val="004F6AE1"/>
    <w:rsid w:val="005272B1"/>
    <w:rsid w:val="005356A8"/>
    <w:rsid w:val="00545C73"/>
    <w:rsid w:val="00555E47"/>
    <w:rsid w:val="005614E2"/>
    <w:rsid w:val="00561DCF"/>
    <w:rsid w:val="00562B33"/>
    <w:rsid w:val="00563AA6"/>
    <w:rsid w:val="0056443E"/>
    <w:rsid w:val="005764A3"/>
    <w:rsid w:val="00577AC3"/>
    <w:rsid w:val="005833A5"/>
    <w:rsid w:val="00584C15"/>
    <w:rsid w:val="00585944"/>
    <w:rsid w:val="005866BC"/>
    <w:rsid w:val="00597B5F"/>
    <w:rsid w:val="005B34EA"/>
    <w:rsid w:val="005B63B4"/>
    <w:rsid w:val="005C6917"/>
    <w:rsid w:val="005D3512"/>
    <w:rsid w:val="005F450B"/>
    <w:rsid w:val="006035BC"/>
    <w:rsid w:val="0062004D"/>
    <w:rsid w:val="00622CBF"/>
    <w:rsid w:val="00622E3B"/>
    <w:rsid w:val="00622F5A"/>
    <w:rsid w:val="0064673D"/>
    <w:rsid w:val="006476E5"/>
    <w:rsid w:val="00657305"/>
    <w:rsid w:val="006612E6"/>
    <w:rsid w:val="0067275D"/>
    <w:rsid w:val="006802EB"/>
    <w:rsid w:val="00680615"/>
    <w:rsid w:val="006A4570"/>
    <w:rsid w:val="006B46CE"/>
    <w:rsid w:val="006B754F"/>
    <w:rsid w:val="006C3673"/>
    <w:rsid w:val="006D2634"/>
    <w:rsid w:val="006D395D"/>
    <w:rsid w:val="006F212D"/>
    <w:rsid w:val="006F308F"/>
    <w:rsid w:val="00701F4F"/>
    <w:rsid w:val="00704244"/>
    <w:rsid w:val="007105BA"/>
    <w:rsid w:val="00724E71"/>
    <w:rsid w:val="0073002A"/>
    <w:rsid w:val="00753C15"/>
    <w:rsid w:val="00760133"/>
    <w:rsid w:val="007623BC"/>
    <w:rsid w:val="00767EB8"/>
    <w:rsid w:val="00772ABD"/>
    <w:rsid w:val="00775684"/>
    <w:rsid w:val="0078033C"/>
    <w:rsid w:val="00780A53"/>
    <w:rsid w:val="007912C4"/>
    <w:rsid w:val="007A1575"/>
    <w:rsid w:val="007B0D23"/>
    <w:rsid w:val="007B2C3E"/>
    <w:rsid w:val="007C513E"/>
    <w:rsid w:val="007D7D89"/>
    <w:rsid w:val="007E40A4"/>
    <w:rsid w:val="007E74D8"/>
    <w:rsid w:val="00807247"/>
    <w:rsid w:val="00811CAB"/>
    <w:rsid w:val="008306CA"/>
    <w:rsid w:val="008348D3"/>
    <w:rsid w:val="00842D1E"/>
    <w:rsid w:val="00844300"/>
    <w:rsid w:val="0084520C"/>
    <w:rsid w:val="00852269"/>
    <w:rsid w:val="008564C9"/>
    <w:rsid w:val="00861923"/>
    <w:rsid w:val="008746F9"/>
    <w:rsid w:val="00876068"/>
    <w:rsid w:val="00881932"/>
    <w:rsid w:val="00895854"/>
    <w:rsid w:val="008A279A"/>
    <w:rsid w:val="008A4266"/>
    <w:rsid w:val="008B3C4B"/>
    <w:rsid w:val="008C2105"/>
    <w:rsid w:val="008E6587"/>
    <w:rsid w:val="008F1302"/>
    <w:rsid w:val="008F319F"/>
    <w:rsid w:val="008F7241"/>
    <w:rsid w:val="0090223E"/>
    <w:rsid w:val="00903B68"/>
    <w:rsid w:val="0093473A"/>
    <w:rsid w:val="00935F64"/>
    <w:rsid w:val="009376DD"/>
    <w:rsid w:val="00945B6D"/>
    <w:rsid w:val="00951081"/>
    <w:rsid w:val="00952FD1"/>
    <w:rsid w:val="00954AAE"/>
    <w:rsid w:val="0095741C"/>
    <w:rsid w:val="009607C0"/>
    <w:rsid w:val="0096432D"/>
    <w:rsid w:val="00973DE2"/>
    <w:rsid w:val="00993B8E"/>
    <w:rsid w:val="009A16CD"/>
    <w:rsid w:val="009A6663"/>
    <w:rsid w:val="009A77EB"/>
    <w:rsid w:val="009C3CB7"/>
    <w:rsid w:val="009D66B4"/>
    <w:rsid w:val="009E5919"/>
    <w:rsid w:val="009F23AA"/>
    <w:rsid w:val="009F7457"/>
    <w:rsid w:val="00A062BB"/>
    <w:rsid w:val="00A10A86"/>
    <w:rsid w:val="00A15640"/>
    <w:rsid w:val="00A211E2"/>
    <w:rsid w:val="00A2379E"/>
    <w:rsid w:val="00A266D4"/>
    <w:rsid w:val="00A344FD"/>
    <w:rsid w:val="00A504B0"/>
    <w:rsid w:val="00A530C1"/>
    <w:rsid w:val="00A65D12"/>
    <w:rsid w:val="00A8167F"/>
    <w:rsid w:val="00A85BC6"/>
    <w:rsid w:val="00A90CA3"/>
    <w:rsid w:val="00A92ED7"/>
    <w:rsid w:val="00A9509F"/>
    <w:rsid w:val="00A97FCB"/>
    <w:rsid w:val="00AB10FA"/>
    <w:rsid w:val="00AB41E1"/>
    <w:rsid w:val="00AB6244"/>
    <w:rsid w:val="00AE4F8E"/>
    <w:rsid w:val="00AE50A9"/>
    <w:rsid w:val="00AE7EA4"/>
    <w:rsid w:val="00B02438"/>
    <w:rsid w:val="00B11FB0"/>
    <w:rsid w:val="00B24458"/>
    <w:rsid w:val="00B62236"/>
    <w:rsid w:val="00B63C80"/>
    <w:rsid w:val="00B871B9"/>
    <w:rsid w:val="00BC2EF6"/>
    <w:rsid w:val="00BC7AE8"/>
    <w:rsid w:val="00BE6127"/>
    <w:rsid w:val="00BF1A7B"/>
    <w:rsid w:val="00C03C58"/>
    <w:rsid w:val="00C10EA7"/>
    <w:rsid w:val="00C134ED"/>
    <w:rsid w:val="00C24F60"/>
    <w:rsid w:val="00C54A31"/>
    <w:rsid w:val="00C65A5E"/>
    <w:rsid w:val="00C67791"/>
    <w:rsid w:val="00CA0ED9"/>
    <w:rsid w:val="00CB30CF"/>
    <w:rsid w:val="00CB54F0"/>
    <w:rsid w:val="00CB6AB6"/>
    <w:rsid w:val="00CE142D"/>
    <w:rsid w:val="00CE216D"/>
    <w:rsid w:val="00CE7641"/>
    <w:rsid w:val="00CF69B1"/>
    <w:rsid w:val="00D03F1C"/>
    <w:rsid w:val="00D24099"/>
    <w:rsid w:val="00D815E5"/>
    <w:rsid w:val="00D827E8"/>
    <w:rsid w:val="00D84831"/>
    <w:rsid w:val="00D93F59"/>
    <w:rsid w:val="00DB1866"/>
    <w:rsid w:val="00DC0061"/>
    <w:rsid w:val="00DC1D54"/>
    <w:rsid w:val="00DD4D9B"/>
    <w:rsid w:val="00DD6553"/>
    <w:rsid w:val="00DE7EDC"/>
    <w:rsid w:val="00DF7698"/>
    <w:rsid w:val="00E36DB7"/>
    <w:rsid w:val="00E40D6B"/>
    <w:rsid w:val="00E41260"/>
    <w:rsid w:val="00E74046"/>
    <w:rsid w:val="00E7723A"/>
    <w:rsid w:val="00E87275"/>
    <w:rsid w:val="00E90541"/>
    <w:rsid w:val="00E91D46"/>
    <w:rsid w:val="00EA146E"/>
    <w:rsid w:val="00EB52BB"/>
    <w:rsid w:val="00EB5B84"/>
    <w:rsid w:val="00EC1743"/>
    <w:rsid w:val="00EC609D"/>
    <w:rsid w:val="00EE2813"/>
    <w:rsid w:val="00EE67FB"/>
    <w:rsid w:val="00EF0770"/>
    <w:rsid w:val="00EF33B1"/>
    <w:rsid w:val="00EF42AD"/>
    <w:rsid w:val="00EF5A3E"/>
    <w:rsid w:val="00F05FB2"/>
    <w:rsid w:val="00F1210B"/>
    <w:rsid w:val="00F17CD4"/>
    <w:rsid w:val="00F21CC3"/>
    <w:rsid w:val="00F306D9"/>
    <w:rsid w:val="00F30779"/>
    <w:rsid w:val="00F35883"/>
    <w:rsid w:val="00F633B5"/>
    <w:rsid w:val="00F72CC4"/>
    <w:rsid w:val="00F9041D"/>
    <w:rsid w:val="00FA0BC5"/>
    <w:rsid w:val="00FA29BB"/>
    <w:rsid w:val="00FA3BB1"/>
    <w:rsid w:val="00FB2D5D"/>
    <w:rsid w:val="00FB5170"/>
    <w:rsid w:val="00FC191C"/>
    <w:rsid w:val="00FD2892"/>
    <w:rsid w:val="00FD7CD8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C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0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1D5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1D5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C1D54"/>
    <w:rPr>
      <w:rFonts w:cs="Times New Roman"/>
      <w:color w:val="0000FF"/>
      <w:u w:val="single"/>
    </w:rPr>
  </w:style>
  <w:style w:type="character" w:customStyle="1" w:styleId="mw-cite-backlink">
    <w:name w:val="mw-cite-backlink"/>
    <w:basedOn w:val="DefaultParagraphFont"/>
    <w:uiPriority w:val="99"/>
    <w:rsid w:val="00DC1D54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DC1D5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C1D54"/>
    <w:rPr>
      <w:rFonts w:cs="Times New Roman"/>
    </w:rPr>
  </w:style>
  <w:style w:type="paragraph" w:styleId="NormalWeb">
    <w:name w:val="Normal (Web)"/>
    <w:basedOn w:val="Normal"/>
    <w:uiPriority w:val="99"/>
    <w:rsid w:val="00DC1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D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B30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3A84"/>
    <w:rPr>
      <w:rFonts w:cs="Times New Roman"/>
      <w:i/>
      <w:iCs/>
    </w:rPr>
  </w:style>
  <w:style w:type="paragraph" w:customStyle="1" w:styleId="Default">
    <w:name w:val="Default"/>
    <w:uiPriority w:val="99"/>
    <w:rsid w:val="001D4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35F64"/>
    <w:pPr>
      <w:ind w:left="720"/>
      <w:contextualSpacing/>
    </w:pPr>
  </w:style>
  <w:style w:type="paragraph" w:customStyle="1" w:styleId="contentjust">
    <w:name w:val="contentjust"/>
    <w:basedOn w:val="Normal"/>
    <w:uiPriority w:val="99"/>
    <w:rsid w:val="00E8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E8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header1">
    <w:name w:val="red_header_1"/>
    <w:basedOn w:val="Normal"/>
    <w:uiPriority w:val="99"/>
    <w:rsid w:val="0039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ext">
    <w:name w:val="main_text"/>
    <w:basedOn w:val="Normal"/>
    <w:uiPriority w:val="99"/>
    <w:rsid w:val="0039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header2">
    <w:name w:val="red_header_2"/>
    <w:basedOn w:val="Normal"/>
    <w:uiPriority w:val="99"/>
    <w:rsid w:val="0039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D7C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CD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7C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7C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DefaultParagraphFont"/>
    <w:uiPriority w:val="99"/>
    <w:rsid w:val="00FD7CD8"/>
    <w:rPr>
      <w:rFonts w:ascii="Arial" w:hAnsi="Arial" w:cs="Arial"/>
      <w:color w:val="000000"/>
      <w:sz w:val="17"/>
      <w:szCs w:val="17"/>
      <w:u w:val="none"/>
      <w:effect w:val="none"/>
    </w:rPr>
  </w:style>
  <w:style w:type="table" w:styleId="TableGrid">
    <w:name w:val="Table Grid"/>
    <w:basedOn w:val="TableNormal"/>
    <w:uiPriority w:val="99"/>
    <w:rsid w:val="008619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61923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AE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AED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C677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77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490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610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68">
          <w:marLeft w:val="150"/>
          <w:marRight w:val="165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082">
          <w:marLeft w:val="150"/>
          <w:marRight w:val="165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092">
          <w:marLeft w:val="150"/>
          <w:marRight w:val="165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88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1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40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1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3012</TotalTime>
  <Pages>11</Pages>
  <Words>2834</Words>
  <Characters>16160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155</cp:revision>
  <dcterms:created xsi:type="dcterms:W3CDTF">2012-08-13T15:19:00Z</dcterms:created>
  <dcterms:modified xsi:type="dcterms:W3CDTF">2012-09-13T07:41:00Z</dcterms:modified>
</cp:coreProperties>
</file>