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DF" w:rsidRPr="00BC3FDF" w:rsidRDefault="00BC3FDF" w:rsidP="00BC3F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FDF">
        <w:rPr>
          <w:rFonts w:ascii="Times New Roman" w:hAnsi="Times New Roman" w:cs="Times New Roman"/>
          <w:b/>
          <w:sz w:val="28"/>
          <w:szCs w:val="28"/>
        </w:rPr>
        <w:t>П</w:t>
      </w:r>
      <w:r w:rsidRPr="00BC3FDF">
        <w:rPr>
          <w:rFonts w:ascii="Times New Roman" w:hAnsi="Times New Roman" w:cs="Times New Roman"/>
          <w:b/>
          <w:sz w:val="28"/>
          <w:szCs w:val="28"/>
          <w:lang w:val="ru-RU"/>
        </w:rPr>
        <w:t>РОГНОЗУВАННЯ ПЕРЕБ</w:t>
      </w:r>
      <w:r w:rsidRPr="00BC3FDF">
        <w:rPr>
          <w:rFonts w:ascii="Times New Roman" w:hAnsi="Times New Roman" w:cs="Times New Roman"/>
          <w:b/>
          <w:sz w:val="28"/>
          <w:szCs w:val="28"/>
        </w:rPr>
        <w:t>І</w:t>
      </w:r>
      <w:r w:rsidRPr="00BC3F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ГУ ТА УСКЛАДНЕНЬ ГОСТРОЇ ЛІМФОБЛАСТНОЇ ЛЕЙКЕМІЇ У ДІТЕЙ НА ПІДСТАВІ </w:t>
      </w:r>
      <w:r w:rsidRPr="00BC3FDF">
        <w:rPr>
          <w:rFonts w:ascii="Times New Roman" w:hAnsi="Times New Roman" w:cs="Times New Roman"/>
          <w:b/>
          <w:sz w:val="28"/>
          <w:szCs w:val="28"/>
        </w:rPr>
        <w:t>ПОКАЗНИКІВ ЕНДОТЕЛІАЛЬНОЇ ДИСФУНКЦІЇ, ІМУНІТЕТУ ТА БІЛКІВ ТЕПЛОВОГО ШОКУ</w:t>
      </w:r>
    </w:p>
    <w:p w:rsidR="00BC3FDF" w:rsidRPr="00BC3FDF" w:rsidRDefault="00BC3FDF" w:rsidP="00BC3FD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3FDF">
        <w:rPr>
          <w:rFonts w:ascii="Times New Roman" w:hAnsi="Times New Roman" w:cs="Times New Roman"/>
          <w:i/>
          <w:sz w:val="28"/>
          <w:szCs w:val="28"/>
        </w:rPr>
        <w:t>Од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инець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Ю.В</w:t>
      </w:r>
      <w:r>
        <w:rPr>
          <w:rFonts w:ascii="Times New Roman" w:hAnsi="Times New Roman" w:cs="Times New Roman"/>
          <w:i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Кондратюк Т.О.</w:t>
      </w:r>
    </w:p>
    <w:p w:rsidR="00BC3FDF" w:rsidRDefault="00BC3FDF" w:rsidP="00BC3F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BC3FDF" w:rsidRPr="00BC3FDF" w:rsidRDefault="00BC3FDF" w:rsidP="00BC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педіатрії № 2</w:t>
      </w:r>
    </w:p>
    <w:p w:rsidR="00BC3FDF" w:rsidRPr="00B83280" w:rsidRDefault="00BC3FDF" w:rsidP="00BC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B6710">
        <w:rPr>
          <w:rFonts w:ascii="Times New Roman" w:hAnsi="Times New Roman" w:cs="Times New Roman"/>
          <w:sz w:val="28"/>
          <w:szCs w:val="28"/>
        </w:rPr>
        <w:t>остра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лімфобластна</w:t>
      </w:r>
      <w:proofErr w:type="spellEnd"/>
      <w:r w:rsidRPr="00AB6710">
        <w:rPr>
          <w:rFonts w:ascii="Times New Roman" w:hAnsi="Times New Roman" w:cs="Times New Roman"/>
          <w:sz w:val="28"/>
          <w:szCs w:val="28"/>
        </w:rPr>
        <w:t xml:space="preserve"> лейкемія (ГЛ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67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посідає лідируючу позицію серед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онкогематологічних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захворювань дитячого віку. ГЛЛ продовжує асоціюватися </w:t>
      </w:r>
      <w:r w:rsidRPr="007E0246">
        <w:rPr>
          <w:rFonts w:ascii="Times New Roman" w:hAnsi="Times New Roman" w:cs="Times New Roman"/>
          <w:sz w:val="28"/>
          <w:szCs w:val="28"/>
        </w:rPr>
        <w:t>з виникненням великої кількості ускладнень на тлі</w:t>
      </w:r>
      <w:r>
        <w:rPr>
          <w:rFonts w:ascii="Times New Roman" w:hAnsi="Times New Roman" w:cs="Times New Roman"/>
          <w:sz w:val="28"/>
          <w:szCs w:val="28"/>
        </w:rPr>
        <w:t xml:space="preserve"> самого захворювання та терапії</w:t>
      </w:r>
      <w:r w:rsidR="001F64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інфекційні процеси, </w:t>
      </w:r>
      <w:r w:rsidRPr="00982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сепсис, септичний шок,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геморагічний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синдром та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дисфункції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органів у вигляді с</w:t>
      </w:r>
      <w:r w:rsidRPr="00982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индром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</w:t>
      </w:r>
      <w:r w:rsidRPr="009829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82761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поліорганної</w:t>
      </w:r>
      <w:proofErr w:type="spellEnd"/>
      <w:r w:rsidRPr="0082761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недостатності</w:t>
      </w:r>
      <w:r w:rsidR="001F64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B8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FDF" w:rsidRPr="00884B17" w:rsidRDefault="00BC3FDF" w:rsidP="00BC3FD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FDF">
        <w:rPr>
          <w:rFonts w:ascii="Times New Roman" w:hAnsi="Times New Roman" w:cs="Times New Roman"/>
          <w:b/>
          <w:sz w:val="28"/>
          <w:szCs w:val="28"/>
          <w:lang w:eastAsia="ru-RU"/>
        </w:rPr>
        <w:t>Мета дослідження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удосконалення</w:t>
      </w:r>
      <w:r w:rsidRPr="00C738BF">
        <w:rPr>
          <w:rFonts w:ascii="Times New Roman" w:hAnsi="Times New Roman" w:cs="Times New Roman"/>
          <w:sz w:val="28"/>
          <w:szCs w:val="28"/>
        </w:rPr>
        <w:t xml:space="preserve"> </w:t>
      </w:r>
      <w:r w:rsidRPr="009A01C1">
        <w:rPr>
          <w:rFonts w:ascii="Times New Roman" w:hAnsi="Times New Roman" w:cs="Times New Roman"/>
          <w:sz w:val="28"/>
          <w:szCs w:val="28"/>
        </w:rPr>
        <w:t>прогнозування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C1">
        <w:rPr>
          <w:rFonts w:ascii="Times New Roman" w:hAnsi="Times New Roman" w:cs="Times New Roman"/>
          <w:sz w:val="28"/>
          <w:szCs w:val="28"/>
        </w:rPr>
        <w:t>перебігу</w:t>
      </w:r>
      <w:r>
        <w:rPr>
          <w:rFonts w:ascii="Times New Roman" w:hAnsi="Times New Roman" w:cs="Times New Roman"/>
          <w:sz w:val="28"/>
          <w:szCs w:val="28"/>
        </w:rPr>
        <w:t xml:space="preserve"> гострої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лімфобластної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лейкемії у дітей та розвитку ускладнень на різних етапах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поліхіміотерапії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комплексного вивчення взаємозв</w:t>
      </w:r>
      <w:r w:rsidRPr="0049135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язків </w:t>
      </w:r>
      <w:r w:rsidRPr="003B14C4">
        <w:rPr>
          <w:rFonts w:ascii="Times New Roman" w:hAnsi="Times New Roman" w:cs="Times New Roman"/>
          <w:sz w:val="28"/>
          <w:szCs w:val="28"/>
        </w:rPr>
        <w:t xml:space="preserve">інфекційних факторів, стану імунітету, метаболічних та </w:t>
      </w:r>
      <w:proofErr w:type="spellStart"/>
      <w:r w:rsidRPr="003B14C4">
        <w:rPr>
          <w:rFonts w:ascii="Times New Roman" w:hAnsi="Times New Roman" w:cs="Times New Roman"/>
          <w:sz w:val="28"/>
          <w:szCs w:val="28"/>
        </w:rPr>
        <w:t>морфофункціональних</w:t>
      </w:r>
      <w:proofErr w:type="spellEnd"/>
      <w:r w:rsidRPr="003B14C4">
        <w:rPr>
          <w:rFonts w:ascii="Times New Roman" w:hAnsi="Times New Roman" w:cs="Times New Roman"/>
          <w:sz w:val="28"/>
          <w:szCs w:val="28"/>
        </w:rPr>
        <w:t xml:space="preserve"> ознак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функції, білків теплового шоку.</w:t>
      </w:r>
    </w:p>
    <w:p w:rsidR="00BC3FDF" w:rsidRDefault="00BC3FDF" w:rsidP="00BC3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FDF">
        <w:rPr>
          <w:rFonts w:ascii="Times New Roman" w:hAnsi="Times New Roman" w:cs="Times New Roman"/>
          <w:b/>
          <w:sz w:val="28"/>
          <w:szCs w:val="28"/>
        </w:rPr>
        <w:t>Матеріали та методи.</w:t>
      </w:r>
      <w:r>
        <w:rPr>
          <w:rFonts w:ascii="Times New Roman" w:hAnsi="Times New Roman" w:cs="Times New Roman"/>
          <w:sz w:val="28"/>
          <w:szCs w:val="28"/>
        </w:rPr>
        <w:t xml:space="preserve"> До дослідження </w:t>
      </w:r>
      <w:r w:rsidRPr="00B655C6">
        <w:rPr>
          <w:rFonts w:ascii="Times New Roman" w:hAnsi="Times New Roman" w:cs="Times New Roman"/>
          <w:sz w:val="28"/>
          <w:szCs w:val="28"/>
        </w:rPr>
        <w:t>залучено 73 дитини (49 хлопчиків та 24 дівч</w:t>
      </w:r>
      <w:r>
        <w:rPr>
          <w:rFonts w:ascii="Times New Roman" w:hAnsi="Times New Roman" w:cs="Times New Roman"/>
          <w:sz w:val="28"/>
          <w:szCs w:val="28"/>
        </w:rPr>
        <w:t>инки</w:t>
      </w:r>
      <w:r w:rsidRPr="00B655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віком від 2 місяців до 17</w:t>
      </w:r>
      <w:r w:rsidRPr="004E3FE9">
        <w:rPr>
          <w:rFonts w:ascii="Times New Roman" w:hAnsi="Times New Roman" w:cs="Times New Roman"/>
          <w:sz w:val="28"/>
          <w:szCs w:val="28"/>
        </w:rPr>
        <w:t xml:space="preserve"> років</w:t>
      </w:r>
      <w:r>
        <w:rPr>
          <w:rFonts w:ascii="Times New Roman" w:hAnsi="Times New Roman" w:cs="Times New Roman"/>
          <w:sz w:val="28"/>
          <w:szCs w:val="28"/>
        </w:rPr>
        <w:t xml:space="preserve">, хворих на </w:t>
      </w:r>
      <w:r w:rsidRPr="00E6079D">
        <w:rPr>
          <w:rFonts w:ascii="Times New Roman" w:hAnsi="Times New Roman" w:cs="Times New Roman"/>
          <w:sz w:val="28"/>
          <w:szCs w:val="28"/>
        </w:rPr>
        <w:t xml:space="preserve">гостру </w:t>
      </w:r>
      <w:proofErr w:type="spellStart"/>
      <w:r w:rsidRPr="00E6079D">
        <w:rPr>
          <w:rFonts w:ascii="Times New Roman" w:hAnsi="Times New Roman" w:cs="Times New Roman"/>
          <w:sz w:val="28"/>
          <w:szCs w:val="28"/>
        </w:rPr>
        <w:t>лімфобластну</w:t>
      </w:r>
      <w:proofErr w:type="spellEnd"/>
      <w:r w:rsidRPr="00E6079D">
        <w:rPr>
          <w:rFonts w:ascii="Times New Roman" w:hAnsi="Times New Roman" w:cs="Times New Roman"/>
          <w:sz w:val="28"/>
          <w:szCs w:val="28"/>
        </w:rPr>
        <w:t xml:space="preserve"> лейкемію.</w:t>
      </w:r>
      <w:r>
        <w:rPr>
          <w:rFonts w:ascii="Times New Roman" w:hAnsi="Times New Roman" w:cs="Times New Roman"/>
          <w:sz w:val="28"/>
          <w:szCs w:val="28"/>
        </w:rPr>
        <w:t xml:space="preserve"> Основну, 1-шу групу</w:t>
      </w:r>
      <w:r w:rsidRPr="00E6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становили </w:t>
      </w:r>
      <w:r w:rsidRPr="00E6079D">
        <w:rPr>
          <w:rFonts w:ascii="Times New Roman" w:hAnsi="Times New Roman" w:cs="Times New Roman"/>
          <w:sz w:val="28"/>
          <w:szCs w:val="28"/>
        </w:rPr>
        <w:t xml:space="preserve">49 дітей, хворих на гостру </w:t>
      </w:r>
      <w:proofErr w:type="spellStart"/>
      <w:r w:rsidRPr="00E6079D">
        <w:rPr>
          <w:rFonts w:ascii="Times New Roman" w:hAnsi="Times New Roman" w:cs="Times New Roman"/>
          <w:sz w:val="28"/>
          <w:szCs w:val="28"/>
        </w:rPr>
        <w:t>лімфобластну</w:t>
      </w:r>
      <w:proofErr w:type="spellEnd"/>
      <w:r w:rsidRPr="00E6079D">
        <w:rPr>
          <w:rFonts w:ascii="Times New Roman" w:hAnsi="Times New Roman" w:cs="Times New Roman"/>
          <w:sz w:val="28"/>
          <w:szCs w:val="28"/>
        </w:rPr>
        <w:t xml:space="preserve"> лейкемію, віком від 2 місяців до 17 </w:t>
      </w:r>
      <w:r w:rsidRPr="006166D9">
        <w:rPr>
          <w:rFonts w:ascii="Times New Roman" w:hAnsi="Times New Roman" w:cs="Times New Roman"/>
          <w:sz w:val="28"/>
          <w:szCs w:val="28"/>
        </w:rPr>
        <w:t>років</w:t>
      </w:r>
      <w:r w:rsidRPr="00616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166D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Пацієнти 1-шої групи бу</w:t>
      </w:r>
      <w:r w:rsidR="00D450F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ли обстежені в динаміці, двічі</w:t>
      </w:r>
      <w:r w:rsidR="00E20FF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:</w:t>
      </w:r>
      <w:r w:rsidRPr="006166D9">
        <w:rPr>
          <w:rFonts w:ascii="Times New Roman" w:hAnsi="Times New Roman" w:cs="Times New Roman"/>
          <w:sz w:val="28"/>
          <w:szCs w:val="28"/>
        </w:rPr>
        <w:t>1А (</w:t>
      </w:r>
      <w:r w:rsidRPr="006166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66D9">
        <w:rPr>
          <w:rFonts w:ascii="Times New Roman" w:hAnsi="Times New Roman" w:cs="Times New Roman"/>
          <w:sz w:val="28"/>
          <w:szCs w:val="28"/>
        </w:rPr>
        <w:t xml:space="preserve"> = 49) – під час маніфестації захворювання, до початку</w:t>
      </w:r>
      <w:r w:rsidRPr="00E6079D">
        <w:rPr>
          <w:rFonts w:ascii="Times New Roman" w:hAnsi="Times New Roman" w:cs="Times New Roman"/>
          <w:sz w:val="28"/>
          <w:szCs w:val="28"/>
        </w:rPr>
        <w:t xml:space="preserve"> лікування; 1Б (</w:t>
      </w:r>
      <w:r w:rsidRPr="00E607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079D">
        <w:rPr>
          <w:rFonts w:ascii="Times New Roman" w:hAnsi="Times New Roman" w:cs="Times New Roman"/>
          <w:sz w:val="28"/>
          <w:szCs w:val="28"/>
        </w:rPr>
        <w:t xml:space="preserve"> = 34) – під час виникнення ускладнень основного захворювання, та на фоні проведення індукційної хіміотерапії. </w:t>
      </w:r>
      <w:r w:rsidRPr="006166D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2-гої групи увійшло 8 дітей</w:t>
      </w:r>
      <w:r w:rsidRPr="00452C81">
        <w:rPr>
          <w:rFonts w:ascii="Times New Roman" w:hAnsi="Times New Roman" w:cs="Times New Roman"/>
          <w:sz w:val="28"/>
          <w:szCs w:val="28"/>
        </w:rPr>
        <w:t xml:space="preserve"> віком від 1 до 14 років, хворих на ГЛЛ, які отримували </w:t>
      </w:r>
      <w:r w:rsidRPr="005448D0">
        <w:rPr>
          <w:rFonts w:ascii="Times New Roman" w:hAnsi="Times New Roman" w:cs="Times New Roman"/>
          <w:sz w:val="28"/>
          <w:szCs w:val="28"/>
        </w:rPr>
        <w:t>підтримуючу терапію. До</w:t>
      </w:r>
      <w:r w:rsidRPr="00452C81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2C81">
        <w:rPr>
          <w:rFonts w:ascii="Times New Roman" w:hAnsi="Times New Roman" w:cs="Times New Roman"/>
          <w:sz w:val="28"/>
          <w:szCs w:val="28"/>
        </w:rPr>
        <w:t xml:space="preserve">ої групи </w:t>
      </w:r>
      <w:r>
        <w:rPr>
          <w:rFonts w:ascii="Times New Roman" w:hAnsi="Times New Roman" w:cs="Times New Roman"/>
          <w:sz w:val="28"/>
          <w:szCs w:val="28"/>
        </w:rPr>
        <w:t>залучено 16 дітей віком від 5 до 17 років, які</w:t>
      </w:r>
      <w:r w:rsidRPr="00DD0B2E">
        <w:rPr>
          <w:rFonts w:ascii="Times New Roman" w:hAnsi="Times New Roman" w:cs="Times New Roman"/>
          <w:sz w:val="28"/>
          <w:szCs w:val="28"/>
        </w:rPr>
        <w:t xml:space="preserve"> на момент проведення дослідження повністю закінчили </w:t>
      </w:r>
      <w:r w:rsidRPr="00B942B3">
        <w:rPr>
          <w:rFonts w:ascii="Times New Roman" w:hAnsi="Times New Roman" w:cs="Times New Roman"/>
          <w:sz w:val="28"/>
          <w:szCs w:val="28"/>
        </w:rPr>
        <w:t>хіміотерапевтичне лікування та мали термін кістково-мозкової ремісії від 2 до 12 років.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Групу контролю становили 19</w:t>
      </w:r>
      <w:r w:rsidRPr="00884B17">
        <w:rPr>
          <w:rFonts w:ascii="Times New Roman" w:hAnsi="Times New Roman"/>
          <w:sz w:val="28"/>
          <w:szCs w:val="28"/>
          <w:lang w:eastAsia="ru-RU"/>
        </w:rPr>
        <w:t xml:space="preserve"> практично здорових дітей.</w:t>
      </w:r>
      <w:r w:rsidRPr="00F452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3FDF" w:rsidRDefault="00D450F9" w:rsidP="00BC3FD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C3FDF" w:rsidRPr="00884B17">
        <w:rPr>
          <w:rFonts w:ascii="Times New Roman" w:hAnsi="Times New Roman" w:cs="Times New Roman"/>
          <w:sz w:val="28"/>
          <w:szCs w:val="28"/>
          <w:lang w:eastAsia="ru-RU"/>
        </w:rPr>
        <w:t>ослідження</w:t>
      </w:r>
      <w:r w:rsidR="00BC3FD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включало визначення показників </w:t>
      </w:r>
      <w:proofErr w:type="spellStart"/>
      <w:r w:rsidR="00BC3FDF" w:rsidRPr="004E3FE9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="00BC3FDF" w:rsidRPr="004E3FE9">
        <w:rPr>
          <w:rFonts w:ascii="Times New Roman" w:hAnsi="Times New Roman" w:cs="Times New Roman"/>
          <w:sz w:val="28"/>
          <w:szCs w:val="28"/>
        </w:rPr>
        <w:t xml:space="preserve"> Т- і В-лімфоцитів </w:t>
      </w:r>
      <w:r w:rsidR="00BC3FDF">
        <w:rPr>
          <w:rFonts w:ascii="Times New Roman" w:hAnsi="Times New Roman" w:cs="Times New Roman"/>
          <w:sz w:val="28"/>
          <w:szCs w:val="28"/>
        </w:rPr>
        <w:t>(CD</w:t>
      </w:r>
      <w:r w:rsidR="00BC3FDF" w:rsidRPr="00A026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C3FDF">
        <w:rPr>
          <w:rFonts w:ascii="Times New Roman" w:hAnsi="Times New Roman" w:cs="Times New Roman"/>
          <w:sz w:val="28"/>
          <w:szCs w:val="28"/>
        </w:rPr>
        <w:t>, CD</w:t>
      </w:r>
      <w:r w:rsidR="00BC3FDF" w:rsidRPr="00A0263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C3FDF">
        <w:rPr>
          <w:rFonts w:ascii="Times New Roman" w:hAnsi="Times New Roman" w:cs="Times New Roman"/>
          <w:sz w:val="28"/>
          <w:szCs w:val="28"/>
        </w:rPr>
        <w:t>, CD</w:t>
      </w:r>
      <w:r w:rsidR="00BC3FDF" w:rsidRPr="00A0263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BC3FDF">
        <w:rPr>
          <w:rFonts w:ascii="Times New Roman" w:hAnsi="Times New Roman" w:cs="Times New Roman"/>
          <w:sz w:val="28"/>
          <w:szCs w:val="28"/>
        </w:rPr>
        <w:t>, CD</w:t>
      </w:r>
      <w:r w:rsidR="00BC3FDF" w:rsidRPr="00A02631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BC3FDF">
        <w:rPr>
          <w:rFonts w:ascii="Times New Roman" w:hAnsi="Times New Roman" w:cs="Times New Roman"/>
          <w:sz w:val="28"/>
          <w:szCs w:val="28"/>
        </w:rPr>
        <w:t>, CD</w:t>
      </w:r>
      <w:r w:rsidR="00BC3FDF" w:rsidRPr="00A02631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BC3FDF">
        <w:rPr>
          <w:rFonts w:ascii="Times New Roman" w:hAnsi="Times New Roman" w:cs="Times New Roman"/>
          <w:sz w:val="28"/>
          <w:szCs w:val="28"/>
        </w:rPr>
        <w:t>)</w:t>
      </w:r>
      <w:r w:rsidR="00BC3FDF" w:rsidRPr="004E3FE9">
        <w:rPr>
          <w:rFonts w:ascii="Times New Roman" w:hAnsi="Times New Roman" w:cs="Times New Roman"/>
          <w:sz w:val="28"/>
          <w:szCs w:val="28"/>
        </w:rPr>
        <w:t xml:space="preserve">, рівнів </w:t>
      </w:r>
      <w:proofErr w:type="spellStart"/>
      <w:r w:rsidR="00BC3FDF" w:rsidRPr="004E3FE9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BC3FDF" w:rsidRPr="004E3FE9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="00BC3FDF" w:rsidRPr="004E3FE9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BC3FDF" w:rsidRPr="004E3FE9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BC3FDF" w:rsidRPr="004E3FE9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BC3FDF" w:rsidRPr="004E3FE9">
        <w:rPr>
          <w:rFonts w:ascii="Times New Roman" w:hAnsi="Times New Roman" w:cs="Times New Roman"/>
          <w:sz w:val="28"/>
          <w:szCs w:val="28"/>
        </w:rPr>
        <w:t xml:space="preserve"> G сироватки </w:t>
      </w:r>
      <w:r w:rsidR="00BC3FDF">
        <w:rPr>
          <w:rFonts w:ascii="Times New Roman" w:hAnsi="Times New Roman" w:cs="Times New Roman"/>
          <w:sz w:val="28"/>
          <w:szCs w:val="28"/>
        </w:rPr>
        <w:t>крові</w:t>
      </w:r>
      <w:r w:rsidR="00BC3FDF" w:rsidRPr="00736D10">
        <w:rPr>
          <w:rFonts w:ascii="Times New Roman" w:hAnsi="Times New Roman" w:cs="Times New Roman"/>
          <w:sz w:val="28"/>
          <w:szCs w:val="28"/>
        </w:rPr>
        <w:t>,</w:t>
      </w:r>
      <w:r w:rsidR="00BC3FDF" w:rsidRPr="004E3FE9">
        <w:rPr>
          <w:rFonts w:ascii="Times New Roman" w:hAnsi="Times New Roman" w:cs="Times New Roman"/>
          <w:sz w:val="28"/>
          <w:szCs w:val="28"/>
        </w:rPr>
        <w:t xml:space="preserve"> циркулюючих імунних компле</w:t>
      </w:r>
      <w:r w:rsidR="00BC3FDF">
        <w:rPr>
          <w:rFonts w:ascii="Times New Roman" w:hAnsi="Times New Roman" w:cs="Times New Roman"/>
          <w:sz w:val="28"/>
          <w:szCs w:val="28"/>
        </w:rPr>
        <w:t>ксів (ЦІК), показників</w:t>
      </w:r>
      <w:r w:rsidR="00BC3FDF" w:rsidRPr="004E3FE9">
        <w:rPr>
          <w:rFonts w:ascii="Times New Roman" w:hAnsi="Times New Roman" w:cs="Times New Roman"/>
          <w:sz w:val="28"/>
          <w:szCs w:val="28"/>
        </w:rPr>
        <w:t xml:space="preserve"> фагоцитозу (</w:t>
      </w:r>
      <w:proofErr w:type="spellStart"/>
      <w:r w:rsidR="00BC3FDF" w:rsidRPr="004E3FE9">
        <w:rPr>
          <w:rFonts w:ascii="Times New Roman" w:hAnsi="Times New Roman" w:cs="Times New Roman"/>
          <w:sz w:val="28"/>
          <w:szCs w:val="28"/>
        </w:rPr>
        <w:t>нейтрофіли</w:t>
      </w:r>
      <w:proofErr w:type="spellEnd"/>
      <w:r w:rsidR="00BC3FDF" w:rsidRPr="004E3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DF" w:rsidRPr="004E3FE9">
        <w:rPr>
          <w:rFonts w:ascii="Times New Roman" w:hAnsi="Times New Roman" w:cs="Times New Roman"/>
          <w:sz w:val="28"/>
          <w:szCs w:val="28"/>
        </w:rPr>
        <w:t>фагоцитуючі</w:t>
      </w:r>
      <w:proofErr w:type="spellEnd"/>
      <w:r w:rsidR="00BC3FDF" w:rsidRPr="004E3FE9">
        <w:rPr>
          <w:rFonts w:ascii="Times New Roman" w:hAnsi="Times New Roman" w:cs="Times New Roman"/>
          <w:sz w:val="28"/>
          <w:szCs w:val="28"/>
        </w:rPr>
        <w:t xml:space="preserve">, фагоцитарне число та індекс активності </w:t>
      </w:r>
      <w:proofErr w:type="spellStart"/>
      <w:r w:rsidR="00BC3FDF" w:rsidRPr="004E3FE9">
        <w:rPr>
          <w:rFonts w:ascii="Times New Roman" w:hAnsi="Times New Roman" w:cs="Times New Roman"/>
          <w:sz w:val="28"/>
          <w:szCs w:val="28"/>
        </w:rPr>
        <w:t>нейтрофілів</w:t>
      </w:r>
      <w:proofErr w:type="spellEnd"/>
      <w:r w:rsidR="00BC3FDF" w:rsidRPr="004E3FE9">
        <w:rPr>
          <w:rFonts w:ascii="Times New Roman" w:hAnsi="Times New Roman" w:cs="Times New Roman"/>
          <w:sz w:val="28"/>
          <w:szCs w:val="28"/>
        </w:rPr>
        <w:t>)</w:t>
      </w:r>
      <w:r w:rsidR="00BC3FDF">
        <w:rPr>
          <w:rFonts w:ascii="Times New Roman" w:hAnsi="Times New Roman" w:cs="Times New Roman"/>
          <w:sz w:val="28"/>
          <w:szCs w:val="28"/>
        </w:rPr>
        <w:t xml:space="preserve">, NST-тесту, молекул середньої маси (МСМ), вмісту </w:t>
      </w:r>
      <w:proofErr w:type="spellStart"/>
      <w:r w:rsidR="00BC3FDF">
        <w:rPr>
          <w:rFonts w:ascii="Times New Roman" w:hAnsi="Times New Roman" w:cs="Times New Roman"/>
          <w:sz w:val="28"/>
          <w:szCs w:val="28"/>
        </w:rPr>
        <w:t>мієлопероксидази</w:t>
      </w:r>
      <w:proofErr w:type="spellEnd"/>
      <w:r w:rsidR="00BC3FDF">
        <w:rPr>
          <w:rFonts w:ascii="Times New Roman" w:hAnsi="Times New Roman" w:cs="Times New Roman"/>
          <w:sz w:val="28"/>
          <w:szCs w:val="28"/>
        </w:rPr>
        <w:t xml:space="preserve"> </w:t>
      </w:r>
      <w:r w:rsidR="00BC3FDF" w:rsidRPr="004E3F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C3FDF" w:rsidRPr="004E3FE9">
        <w:rPr>
          <w:rFonts w:ascii="Times New Roman" w:hAnsi="Times New Roman" w:cs="Times New Roman"/>
          <w:sz w:val="28"/>
          <w:szCs w:val="28"/>
        </w:rPr>
        <w:t>нейтрофілах</w:t>
      </w:r>
      <w:proofErr w:type="spellEnd"/>
      <w:r w:rsidR="00BC3FDF">
        <w:rPr>
          <w:rFonts w:ascii="Times New Roman" w:hAnsi="Times New Roman" w:cs="Times New Roman"/>
          <w:sz w:val="28"/>
          <w:szCs w:val="28"/>
        </w:rPr>
        <w:t>,</w:t>
      </w:r>
      <w:r w:rsidR="00BC3FDF" w:rsidRPr="004E3FE9">
        <w:rPr>
          <w:rFonts w:ascii="Times New Roman" w:hAnsi="Times New Roman" w:cs="Times New Roman"/>
          <w:sz w:val="28"/>
          <w:szCs w:val="28"/>
        </w:rPr>
        <w:t xml:space="preserve"> коефіцієнт вмісту </w:t>
      </w:r>
      <w:proofErr w:type="spellStart"/>
      <w:r w:rsidR="00BC3FDF" w:rsidRPr="004E3FE9">
        <w:rPr>
          <w:rFonts w:ascii="Times New Roman" w:hAnsi="Times New Roman" w:cs="Times New Roman"/>
          <w:sz w:val="28"/>
          <w:szCs w:val="28"/>
        </w:rPr>
        <w:t>лізосомально-катіонних</w:t>
      </w:r>
      <w:proofErr w:type="spellEnd"/>
      <w:r w:rsidR="00BC3FDF" w:rsidRPr="004E3FE9">
        <w:rPr>
          <w:rFonts w:ascii="Times New Roman" w:hAnsi="Times New Roman" w:cs="Times New Roman"/>
          <w:sz w:val="28"/>
          <w:szCs w:val="28"/>
        </w:rPr>
        <w:t xml:space="preserve"> білків</w:t>
      </w:r>
      <w:r w:rsidR="00BC3FD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C3FDF">
        <w:rPr>
          <w:rFonts w:ascii="Times New Roman" w:hAnsi="Times New Roman" w:cs="Times New Roman"/>
          <w:sz w:val="28"/>
          <w:szCs w:val="28"/>
        </w:rPr>
        <w:t xml:space="preserve">  </w:t>
      </w:r>
      <w:r w:rsidR="00BC3FDF" w:rsidRPr="004E3FE9">
        <w:rPr>
          <w:rFonts w:ascii="Times New Roman" w:hAnsi="Times New Roman" w:cs="Times New Roman"/>
          <w:sz w:val="28"/>
          <w:szCs w:val="28"/>
        </w:rPr>
        <w:t>метаболітів оксиду азоту – NO</w:t>
      </w:r>
      <w:r w:rsidR="00BC3FDF" w:rsidRPr="004E3F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C3FDF" w:rsidRPr="004E3FE9">
        <w:rPr>
          <w:rFonts w:ascii="Times New Roman" w:hAnsi="Times New Roman" w:cs="Times New Roman"/>
          <w:sz w:val="28"/>
          <w:szCs w:val="28"/>
        </w:rPr>
        <w:t>, NO</w:t>
      </w:r>
      <w:r w:rsidR="00BC3FDF" w:rsidRPr="004E3FE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C3FDF">
        <w:rPr>
          <w:rFonts w:ascii="Times New Roman" w:hAnsi="Times New Roman" w:cs="Times New Roman"/>
          <w:sz w:val="28"/>
          <w:szCs w:val="28"/>
        </w:rPr>
        <w:t xml:space="preserve"> та S-</w:t>
      </w:r>
      <w:proofErr w:type="spellStart"/>
      <w:r w:rsidR="00BC3FDF">
        <w:rPr>
          <w:rFonts w:ascii="Times New Roman" w:hAnsi="Times New Roman" w:cs="Times New Roman"/>
          <w:sz w:val="28"/>
          <w:szCs w:val="28"/>
        </w:rPr>
        <w:t>нітрозотіолу</w:t>
      </w:r>
      <w:proofErr w:type="spellEnd"/>
      <w:r w:rsidR="00BC3FDF">
        <w:rPr>
          <w:rFonts w:ascii="Times New Roman" w:hAnsi="Times New Roman" w:cs="Times New Roman"/>
          <w:sz w:val="28"/>
          <w:szCs w:val="28"/>
        </w:rPr>
        <w:t xml:space="preserve">, білки теплового шоку 70 (БТШ 70), </w:t>
      </w:r>
      <w:proofErr w:type="spellStart"/>
      <w:r w:rsidR="00BC3FDF" w:rsidRPr="00BE6095">
        <w:rPr>
          <w:rFonts w:ascii="Times New Roman" w:hAnsi="Times New Roman" w:cs="Times New Roman"/>
          <w:sz w:val="28"/>
          <w:szCs w:val="28"/>
        </w:rPr>
        <w:t>доп</w:t>
      </w:r>
      <w:r w:rsidR="00BC3FDF">
        <w:rPr>
          <w:rFonts w:ascii="Times New Roman" w:hAnsi="Times New Roman" w:cs="Times New Roman"/>
          <w:sz w:val="28"/>
          <w:szCs w:val="28"/>
        </w:rPr>
        <w:t>п</w:t>
      </w:r>
      <w:r w:rsidR="00BC3FDF" w:rsidRPr="00BE6095">
        <w:rPr>
          <w:rFonts w:ascii="Times New Roman" w:hAnsi="Times New Roman" w:cs="Times New Roman"/>
          <w:sz w:val="28"/>
          <w:szCs w:val="28"/>
        </w:rPr>
        <w:t>лерографію</w:t>
      </w:r>
      <w:proofErr w:type="spellEnd"/>
      <w:r w:rsidR="00BC3FDF" w:rsidRPr="00BE6095">
        <w:rPr>
          <w:rFonts w:ascii="Times New Roman" w:hAnsi="Times New Roman" w:cs="Times New Roman"/>
          <w:sz w:val="28"/>
          <w:szCs w:val="28"/>
        </w:rPr>
        <w:t xml:space="preserve"> судин (плечової та сонної артерій) для </w:t>
      </w:r>
      <w:r w:rsidR="00BC3FDF" w:rsidRPr="006944A5">
        <w:rPr>
          <w:rFonts w:ascii="Times New Roman" w:hAnsi="Times New Roman" w:cs="Times New Roman"/>
          <w:sz w:val="28"/>
          <w:szCs w:val="28"/>
        </w:rPr>
        <w:t xml:space="preserve">визначення комплексу інтима-медіа </w:t>
      </w:r>
      <w:r w:rsidR="00BC3FDF">
        <w:rPr>
          <w:rFonts w:ascii="Times New Roman" w:hAnsi="Times New Roman" w:cs="Times New Roman"/>
          <w:sz w:val="28"/>
          <w:szCs w:val="28"/>
        </w:rPr>
        <w:t>(</w:t>
      </w:r>
      <w:r w:rsidR="00BC3FDF" w:rsidRPr="006944A5">
        <w:rPr>
          <w:rFonts w:ascii="Times New Roman" w:hAnsi="Times New Roman" w:cs="Times New Roman"/>
          <w:sz w:val="28"/>
          <w:szCs w:val="28"/>
        </w:rPr>
        <w:t>КІМ</w:t>
      </w:r>
      <w:r w:rsidR="00BC3FDF">
        <w:rPr>
          <w:rFonts w:ascii="Times New Roman" w:hAnsi="Times New Roman" w:cs="Times New Roman"/>
          <w:sz w:val="28"/>
          <w:szCs w:val="28"/>
        </w:rPr>
        <w:t xml:space="preserve">), </w:t>
      </w:r>
      <w:r w:rsidR="00BC3FDF" w:rsidRPr="0005149C">
        <w:rPr>
          <w:rFonts w:ascii="Times New Roman" w:hAnsi="Times New Roman" w:cs="Times New Roman"/>
          <w:sz w:val="28"/>
          <w:szCs w:val="28"/>
        </w:rPr>
        <w:t xml:space="preserve">пробу з реактивною гіперемією (ендотелій-залежна </w:t>
      </w:r>
      <w:proofErr w:type="spellStart"/>
      <w:r w:rsidR="00BC3FDF" w:rsidRPr="0005149C">
        <w:rPr>
          <w:rFonts w:ascii="Times New Roman" w:hAnsi="Times New Roman" w:cs="Times New Roman"/>
          <w:sz w:val="28"/>
          <w:szCs w:val="28"/>
        </w:rPr>
        <w:t>вазодилятація</w:t>
      </w:r>
      <w:proofErr w:type="spellEnd"/>
      <w:r w:rsidR="00BC3FDF" w:rsidRPr="0005149C">
        <w:rPr>
          <w:rFonts w:ascii="Times New Roman" w:hAnsi="Times New Roman" w:cs="Times New Roman"/>
          <w:sz w:val="28"/>
          <w:szCs w:val="28"/>
        </w:rPr>
        <w:t xml:space="preserve"> плечової артерії).</w:t>
      </w:r>
    </w:p>
    <w:p w:rsidR="00D450F9" w:rsidRDefault="00D450F9" w:rsidP="00D450F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F9">
        <w:rPr>
          <w:rFonts w:ascii="Times New Roman" w:hAnsi="Times New Roman" w:cs="Times New Roman"/>
          <w:b/>
          <w:sz w:val="28"/>
          <w:szCs w:val="28"/>
        </w:rPr>
        <w:t>Результати та висновки.</w:t>
      </w:r>
      <w:r w:rsidR="00BC3FDF" w:rsidRPr="00D45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FDF">
        <w:rPr>
          <w:rFonts w:ascii="Times New Roman" w:hAnsi="Times New Roman" w:cs="Times New Roman"/>
          <w:sz w:val="28"/>
          <w:szCs w:val="28"/>
        </w:rPr>
        <w:t>Встановлено, що структуру</w:t>
      </w:r>
      <w:r w:rsidR="00BC3FDF" w:rsidRPr="004C7F6F">
        <w:rPr>
          <w:rFonts w:ascii="Times New Roman" w:hAnsi="Times New Roman" w:cs="Times New Roman"/>
          <w:sz w:val="28"/>
          <w:szCs w:val="28"/>
        </w:rPr>
        <w:t xml:space="preserve"> невідкладних станів хвор</w:t>
      </w:r>
      <w:r w:rsidR="00BC3FDF">
        <w:rPr>
          <w:rFonts w:ascii="Times New Roman" w:hAnsi="Times New Roman" w:cs="Times New Roman"/>
          <w:sz w:val="28"/>
          <w:szCs w:val="28"/>
        </w:rPr>
        <w:t>их на ГЛЛ,</w:t>
      </w:r>
      <w:r w:rsidR="00BC3FDF" w:rsidRPr="004C7F6F"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>ім гематологічних проявів</w:t>
      </w:r>
      <w:r w:rsidR="00BC3FDF">
        <w:rPr>
          <w:rFonts w:ascii="Times New Roman" w:hAnsi="Times New Roman" w:cs="Times New Roman"/>
          <w:sz w:val="28"/>
          <w:szCs w:val="28"/>
        </w:rPr>
        <w:t>, складають</w:t>
      </w:r>
      <w:r>
        <w:rPr>
          <w:rFonts w:ascii="Times New Roman" w:hAnsi="Times New Roman" w:cs="Times New Roman"/>
          <w:sz w:val="28"/>
          <w:szCs w:val="28"/>
        </w:rPr>
        <w:t xml:space="preserve"> токсичні</w:t>
      </w:r>
      <w:r w:rsidR="00BC3FDF" w:rsidRPr="004C7F6F">
        <w:rPr>
          <w:rFonts w:ascii="Times New Roman" w:hAnsi="Times New Roman" w:cs="Times New Roman"/>
          <w:sz w:val="28"/>
          <w:szCs w:val="28"/>
        </w:rPr>
        <w:t xml:space="preserve"> та інфекційні ускладнення різних органів і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FDF" w:rsidRPr="00E20FFE" w:rsidRDefault="00BC3FDF" w:rsidP="00E20FF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6F">
        <w:rPr>
          <w:rFonts w:ascii="Times New Roman" w:hAnsi="Times New Roman" w:cs="Times New Roman"/>
          <w:sz w:val="28"/>
          <w:szCs w:val="28"/>
        </w:rPr>
        <w:lastRenderedPageBreak/>
        <w:t xml:space="preserve">Показники МСМ </w:t>
      </w:r>
      <w:r>
        <w:rPr>
          <w:rFonts w:ascii="Times New Roman" w:hAnsi="Times New Roman" w:cs="Times New Roman"/>
          <w:sz w:val="28"/>
          <w:szCs w:val="28"/>
        </w:rPr>
        <w:t>достовірно збільшуються у дітей, хворих на ГГЛ,</w:t>
      </w:r>
      <w:r w:rsidRPr="004C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відображаю</w:t>
      </w:r>
      <w:r w:rsidRPr="004C7F6F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наявність синдрому ендогенної інтоксикації</w:t>
      </w:r>
      <w:r w:rsidRPr="004C7F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демонструю</w:t>
      </w:r>
      <w:r w:rsidRPr="004C7F6F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корелятивні взаємозв’язки </w:t>
      </w:r>
      <w:r w:rsidRPr="008A41EF">
        <w:rPr>
          <w:rFonts w:ascii="Times New Roman" w:hAnsi="Times New Roman" w:cs="Times New Roman"/>
          <w:sz w:val="28"/>
          <w:szCs w:val="28"/>
        </w:rPr>
        <w:t xml:space="preserve">з рівнем </w:t>
      </w:r>
      <w:proofErr w:type="spellStart"/>
      <w:r w:rsidRPr="008A41EF">
        <w:rPr>
          <w:rFonts w:ascii="Times New Roman" w:hAnsi="Times New Roman" w:cs="Times New Roman"/>
          <w:sz w:val="28"/>
          <w:szCs w:val="28"/>
        </w:rPr>
        <w:t>бластних</w:t>
      </w:r>
      <w:proofErr w:type="spellEnd"/>
      <w:r w:rsidRPr="008A41EF">
        <w:rPr>
          <w:rFonts w:ascii="Times New Roman" w:hAnsi="Times New Roman" w:cs="Times New Roman"/>
          <w:sz w:val="28"/>
          <w:szCs w:val="28"/>
        </w:rPr>
        <w:t xml:space="preserve"> клітин, температурою тіла, частотою дихання і ступенем </w:t>
      </w:r>
      <w:proofErr w:type="spellStart"/>
      <w:r w:rsidRPr="008A41EF">
        <w:rPr>
          <w:rFonts w:ascii="Times New Roman" w:hAnsi="Times New Roman" w:cs="Times New Roman"/>
          <w:sz w:val="28"/>
          <w:szCs w:val="28"/>
        </w:rPr>
        <w:t>гепат</w:t>
      </w:r>
      <w:r w:rsidR="00D450F9">
        <w:rPr>
          <w:rFonts w:ascii="Times New Roman" w:hAnsi="Times New Roman" w:cs="Times New Roman"/>
          <w:sz w:val="28"/>
          <w:szCs w:val="28"/>
        </w:rPr>
        <w:t>омегалії</w:t>
      </w:r>
      <w:proofErr w:type="spellEnd"/>
      <w:r w:rsidR="00D450F9">
        <w:rPr>
          <w:rFonts w:ascii="Times New Roman" w:hAnsi="Times New Roman" w:cs="Times New Roman"/>
          <w:sz w:val="28"/>
          <w:szCs w:val="28"/>
        </w:rPr>
        <w:t xml:space="preserve"> під час маніфестації лейкемії</w:t>
      </w:r>
      <w:r w:rsidRPr="008A41EF">
        <w:rPr>
          <w:rFonts w:ascii="Times New Roman" w:hAnsi="Times New Roman" w:cs="Times New Roman"/>
          <w:sz w:val="28"/>
          <w:szCs w:val="28"/>
        </w:rPr>
        <w:t xml:space="preserve"> і виникнення ускладнень ПХТ.</w:t>
      </w:r>
      <w:r w:rsidRPr="00365B3E">
        <w:rPr>
          <w:rFonts w:ascii="Times New Roman" w:hAnsi="Times New Roman"/>
          <w:sz w:val="28"/>
          <w:szCs w:val="28"/>
        </w:rPr>
        <w:t xml:space="preserve"> </w:t>
      </w:r>
    </w:p>
    <w:p w:rsidR="00BC3FDF" w:rsidRPr="00D450F9" w:rsidRDefault="00BC3FDF" w:rsidP="00D450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Виявлено зменшення загального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рівня метаболітів оксиду азоту, вміст</w:t>
      </w:r>
      <w:r w:rsidRPr="00824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color w:val="000000" w:themeColor="text1"/>
          <w:sz w:val="28"/>
          <w:szCs w:val="28"/>
        </w:rPr>
        <w:t>нітратів (</w:t>
      </w:r>
      <w:r w:rsidRPr="002462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24629C">
        <w:rPr>
          <w:color w:val="000000" w:themeColor="text1"/>
          <w:sz w:val="28"/>
          <w:szCs w:val="28"/>
        </w:rPr>
        <w:t>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показників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вазодилятації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плечової артерії при збільшенні вмісту </w:t>
      </w:r>
      <w:r w:rsidRPr="0024629C">
        <w:rPr>
          <w:rFonts w:ascii="Times New Roman" w:hAnsi="Times New Roman" w:cs="Times New Roman"/>
          <w:color w:val="000000" w:themeColor="text1"/>
          <w:sz w:val="28"/>
          <w:szCs w:val="28"/>
        </w:rPr>
        <w:t>нітритів (</w:t>
      </w:r>
      <w:r w:rsidRPr="002462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24629C">
        <w:rPr>
          <w:color w:val="000000" w:themeColor="text1"/>
          <w:sz w:val="28"/>
          <w:szCs w:val="28"/>
        </w:rPr>
        <w:t>₂</w:t>
      </w:r>
      <w:r w:rsidRPr="002462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товщини показника КІМ ЗСА збільшуються на тлі ГЛЛ, як прояви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ендотеліальної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дисфункції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дозволяє використовувати маркери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ендотеліальної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дисфункції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якості ознаки прогресування та несприятливого перебігу ГЛЛ у дітей.</w:t>
      </w:r>
      <w:r w:rsidR="00D45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умарний</w:t>
      </w:r>
      <w:r w:rsidRPr="0098304F">
        <w:rPr>
          <w:rFonts w:ascii="Times New Roman" w:hAnsi="Times New Roman" w:cs="Times New Roman"/>
          <w:sz w:val="28"/>
          <w:szCs w:val="28"/>
        </w:rPr>
        <w:t xml:space="preserve"> рівень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8304F">
        <w:rPr>
          <w:sz w:val="28"/>
          <w:szCs w:val="28"/>
        </w:rPr>
        <w:t>₂</w:t>
      </w:r>
      <w:r>
        <w:rPr>
          <w:sz w:val="28"/>
          <w:szCs w:val="28"/>
        </w:rPr>
        <w:t>+</w:t>
      </w:r>
      <w:r w:rsidRPr="00E812D4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r w:rsidRPr="0098304F">
        <w:rPr>
          <w:sz w:val="28"/>
          <w:szCs w:val="28"/>
          <w:lang w:eastAsia="ru-RU"/>
        </w:rPr>
        <w:t>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рівні</w:t>
      </w:r>
      <w:r w:rsidRPr="0098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нижчому</w:t>
      </w:r>
      <w:r w:rsidRPr="0098304F">
        <w:rPr>
          <w:rFonts w:ascii="Times New Roman" w:hAnsi="Times New Roman" w:cs="Times New Roman"/>
          <w:sz w:val="28"/>
          <w:szCs w:val="28"/>
        </w:rPr>
        <w:t xml:space="preserve">, ніж 32,99 </w:t>
      </w:r>
      <w:proofErr w:type="spellStart"/>
      <w:r w:rsidRPr="0098304F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98304F">
        <w:rPr>
          <w:rFonts w:ascii="Times New Roman" w:hAnsi="Times New Roman" w:cs="Times New Roman"/>
          <w:sz w:val="28"/>
          <w:szCs w:val="28"/>
        </w:rPr>
        <w:t xml:space="preserve">/л, </w:t>
      </w:r>
      <w:r w:rsidRPr="0098304F">
        <w:rPr>
          <w:rFonts w:ascii="Times New Roman" w:hAnsi="Times New Roman" w:cs="Times New Roman"/>
          <w:bCs/>
          <w:sz w:val="28"/>
          <w:szCs w:val="28"/>
        </w:rPr>
        <w:t>передбачає настання летального результату</w:t>
      </w:r>
      <w:r w:rsidRPr="0098304F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r w:rsidRPr="0098304F">
        <w:rPr>
          <w:rFonts w:ascii="Times New Roman" w:hAnsi="Times New Roman" w:cs="Times New Roman"/>
          <w:sz w:val="28"/>
          <w:szCs w:val="28"/>
          <w:lang w:eastAsia="ru-RU"/>
        </w:rPr>
        <w:t>чутливістю</w:t>
      </w:r>
      <w:r w:rsidRPr="001A2548">
        <w:rPr>
          <w:rFonts w:ascii="Times New Roman" w:hAnsi="Times New Roman" w:cs="Times New Roman"/>
          <w:sz w:val="28"/>
          <w:szCs w:val="28"/>
          <w:lang w:eastAsia="ru-RU"/>
        </w:rPr>
        <w:t xml:space="preserve"> 100%, специфічністю </w:t>
      </w:r>
      <w:r>
        <w:rPr>
          <w:rFonts w:ascii="Times New Roman" w:hAnsi="Times New Roman" w:cs="Times New Roman"/>
          <w:sz w:val="28"/>
          <w:szCs w:val="28"/>
          <w:lang w:eastAsia="ru-RU"/>
        </w:rPr>
        <w:t>57,1</w:t>
      </w:r>
      <w:r w:rsidRPr="00735BCD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C33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вміст</w:t>
      </w:r>
      <w:r w:rsidRPr="0064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A2548">
        <w:rPr>
          <w:sz w:val="28"/>
          <w:szCs w:val="28"/>
        </w:rPr>
        <w:t>₂</w:t>
      </w:r>
      <w:r w:rsidRPr="00FC1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нижче, ніж 12,31 </w:t>
      </w:r>
      <w:proofErr w:type="spellStart"/>
      <w:r w:rsidRPr="001A2548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1A2548">
        <w:rPr>
          <w:rFonts w:ascii="Times New Roman" w:hAnsi="Times New Roman" w:cs="Times New Roman"/>
          <w:sz w:val="28"/>
          <w:szCs w:val="28"/>
        </w:rPr>
        <w:t>/л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2548">
        <w:rPr>
          <w:rFonts w:ascii="Times New Roman" w:hAnsi="Times New Roman" w:cs="Times New Roman"/>
          <w:sz w:val="28"/>
          <w:szCs w:val="28"/>
        </w:rPr>
        <w:t xml:space="preserve"> </w:t>
      </w:r>
      <w:r w:rsidRPr="001A2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</w:t>
      </w:r>
      <w:r w:rsidRPr="001A2548">
        <w:rPr>
          <w:rFonts w:ascii="Times New Roman" w:hAnsi="Times New Roman" w:cs="Times New Roman"/>
          <w:sz w:val="28"/>
          <w:szCs w:val="28"/>
          <w:lang w:eastAsia="ru-RU"/>
        </w:rPr>
        <w:t>чутливістю 100%, специфічністю 92,9%</w:t>
      </w:r>
      <w:r w:rsidR="00D450F9">
        <w:rPr>
          <w:rFonts w:ascii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hAnsi="Times New Roman" w:cs="Times New Roman"/>
          <w:sz w:val="28"/>
          <w:szCs w:val="28"/>
        </w:rPr>
        <w:t>більшення концентрації</w:t>
      </w:r>
      <w:r w:rsidRPr="0036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96B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сироватці крові вище ніж 19,68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</w:t>
      </w:r>
      <w:r w:rsidRPr="001A2548">
        <w:rPr>
          <w:rFonts w:ascii="Times New Roman" w:hAnsi="Times New Roman" w:cs="Times New Roman"/>
          <w:sz w:val="28"/>
          <w:szCs w:val="28"/>
        </w:rPr>
        <w:t xml:space="preserve"> </w:t>
      </w:r>
      <w:r w:rsidRPr="001A2548">
        <w:rPr>
          <w:rFonts w:ascii="Times New Roman" w:hAnsi="Times New Roman" w:cs="Times New Roman"/>
          <w:bCs/>
          <w:sz w:val="28"/>
          <w:szCs w:val="28"/>
        </w:rPr>
        <w:t>передбача</w:t>
      </w:r>
      <w:r>
        <w:rPr>
          <w:rFonts w:ascii="Times New Roman" w:hAnsi="Times New Roman" w:cs="Times New Roman"/>
          <w:bCs/>
          <w:sz w:val="28"/>
          <w:szCs w:val="28"/>
        </w:rPr>
        <w:t>є розвиток токсичного гепатиту</w:t>
      </w:r>
      <w:r w:rsidRPr="001A25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eastAsia="ru-RU"/>
        </w:rPr>
        <w:t>чутливістю 63,6</w:t>
      </w:r>
      <w:r w:rsidRPr="001A2548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 специфічністю 100,0</w:t>
      </w:r>
      <w:r w:rsidRPr="001A2548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Pr="00EE0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3FDF" w:rsidRDefault="00BC3FDF" w:rsidP="00BC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гострій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лімфобластній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лейкемії у дітей визначена </w:t>
      </w:r>
      <w:r>
        <w:rPr>
          <w:rFonts w:ascii="Times New Roman" w:hAnsi="Times New Roman" w:cs="Times New Roman"/>
          <w:sz w:val="28"/>
          <w:szCs w:val="28"/>
        </w:rPr>
        <w:t xml:space="preserve">депресія гуморальної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макрофагальної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ланок імунітету з</w:t>
      </w:r>
      <w:r w:rsidRPr="00A9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достовірним відхиленням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CF7A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CF7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4B9">
        <w:rPr>
          <w:rFonts w:ascii="Times New Roman" w:hAnsi="Times New Roman" w:cs="Times New Roman"/>
          <w:sz w:val="28"/>
          <w:szCs w:val="28"/>
          <w:lang w:eastAsia="ru-RU"/>
        </w:rPr>
        <w:t>вм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істу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r w:rsidRPr="00CF7AE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r w:rsidRPr="00CF7AE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r w:rsidRPr="00E044E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8,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CD</w:t>
      </w:r>
      <w:r w:rsidRPr="00AF241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16,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В-лімфоцитів та</w:t>
      </w:r>
      <w:r w:rsidRPr="00B56AA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імуноглобулінів, збільшення кількості ЦІК при маніфестації захворювання та в подальшому.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Розвиток токсичного гепатиту сприяє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клітинної та фагоцитарної ланок імунітет</w:t>
      </w:r>
      <w:r w:rsidR="00412478">
        <w:rPr>
          <w:rFonts w:ascii="Times New Roman" w:hAnsi="Times New Roman" w:cs="Times New Roman"/>
          <w:sz w:val="28"/>
          <w:szCs w:val="28"/>
        </w:rPr>
        <w:t>у у дітей, хворих на ГЛЛ. В</w:t>
      </w:r>
      <w:r>
        <w:rPr>
          <w:rFonts w:ascii="Times New Roman" w:hAnsi="Times New Roman" w:cs="Times New Roman"/>
          <w:sz w:val="28"/>
          <w:szCs w:val="28"/>
        </w:rPr>
        <w:t>иявлено зв</w:t>
      </w:r>
      <w:r w:rsidRPr="0060554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язок між виникненням інфекційних ускладнень ШКТ та рівнем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мієлопероксидази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ЦІК. </w:t>
      </w:r>
    </w:p>
    <w:p w:rsidR="00BC3FDF" w:rsidRPr="00E20FFE" w:rsidRDefault="00BC3FDF" w:rsidP="00E20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Встановлено достовірне підвищення вмісту БТШ 70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сиворотці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крові в ініціальний період у дітей, хворих на ГЛЛ, зі зниженням їх рівня в період індукційної терапії без ознак нормалізації в наступні періоди захворювання. БТШ 70 перевищували показники групи контролю навіть в період ремісії, проявляючи тенденцію до більш високих значень в ініціальний період лейкемії серед хворих, які мали летальний результат, демонструючи вірогідний взаємозв</w:t>
      </w:r>
      <w:r w:rsidRPr="009C015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язок зі ступенем активності онкологічного процесу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супресією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імунної системи. Разом з тим, високі рівні БТШ 70 впродовж всіх періодів лейкемії та її ремісії, наявність корелятивних взаємозв</w:t>
      </w:r>
      <w:r w:rsidRPr="009C015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язків їх та біохімічних показників, метаболітів оксиду азоту свідчить про необхідність подальшого накопичення додаткових фактів та документації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виваженної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оцінки ролі їх в формуванні механізмів адаптаційно-компенсаторних та патофізіологічних процесів при гострій лейкемії у дітей.</w:t>
      </w:r>
    </w:p>
    <w:p w:rsidR="00EC6406" w:rsidRDefault="00EC6406" w:rsidP="00BC3FDF">
      <w:pPr>
        <w:spacing w:line="240" w:lineRule="auto"/>
      </w:pPr>
    </w:p>
    <w:sectPr w:rsidR="00EC6406" w:rsidSect="00EC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DF"/>
    <w:rsid w:val="001F6444"/>
    <w:rsid w:val="00412478"/>
    <w:rsid w:val="00BC3FDF"/>
    <w:rsid w:val="00D450F9"/>
    <w:rsid w:val="00E20FFE"/>
    <w:rsid w:val="00EC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F"/>
    <w:rPr>
      <w:rFonts w:ascii="Calibri" w:eastAsia="Times New Roman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">
    <w:name w:val="result"/>
    <w:basedOn w:val="a0"/>
    <w:rsid w:val="00BC3FDF"/>
    <w:rPr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dcterms:created xsi:type="dcterms:W3CDTF">2021-02-21T19:50:00Z</dcterms:created>
  <dcterms:modified xsi:type="dcterms:W3CDTF">2021-02-21T20:29:00Z</dcterms:modified>
</cp:coreProperties>
</file>