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EED" w:rsidRPr="00FA1EED" w:rsidRDefault="00FA1EED" w:rsidP="00FA1EED">
      <w:pPr>
        <w:jc w:val="center"/>
        <w:rPr>
          <w:rFonts w:ascii="Times New Roman" w:eastAsia="Calibri" w:hAnsi="Times New Roman" w:cs="Times New Roman"/>
          <w:color w:val="000000"/>
          <w:sz w:val="24"/>
          <w:szCs w:val="24"/>
          <w:lang w:val="en-US"/>
        </w:rPr>
      </w:pPr>
      <w:r w:rsidRPr="00FA1EED">
        <w:rPr>
          <w:rFonts w:ascii="Times New Roman" w:eastAsia="Calibri" w:hAnsi="Times New Roman" w:cs="Times New Roman"/>
          <w:color w:val="000000"/>
          <w:sz w:val="24"/>
          <w:szCs w:val="24"/>
          <w:lang w:val="en-US"/>
        </w:rPr>
        <w:t>Functional state of the brain endothelium and energy metabolism in rats with dementia of the Alzheimer’s type induced by different ways</w:t>
      </w:r>
    </w:p>
    <w:p w:rsidR="00FA1EED" w:rsidRPr="00FA1EED" w:rsidRDefault="00FA1EED" w:rsidP="00FA1EED">
      <w:pPr>
        <w:jc w:val="center"/>
        <w:rPr>
          <w:rFonts w:ascii="Times New Roman" w:eastAsia="Calibri" w:hAnsi="Times New Roman" w:cs="Times New Roman"/>
          <w:color w:val="000000"/>
          <w:sz w:val="24"/>
          <w:szCs w:val="24"/>
          <w:lang w:val="en-US"/>
        </w:rPr>
      </w:pPr>
    </w:p>
    <w:p w:rsidR="00FA1EED" w:rsidRPr="00FA1EED" w:rsidRDefault="00FA1EED" w:rsidP="00FA1EED">
      <w:pPr>
        <w:jc w:val="left"/>
        <w:rPr>
          <w:rFonts w:ascii="Times New Roman" w:eastAsia="Calibri" w:hAnsi="Times New Roman" w:cs="Times New Roman"/>
          <w:color w:val="000000"/>
          <w:sz w:val="24"/>
          <w:szCs w:val="24"/>
          <w:lang w:val="en-US"/>
        </w:rPr>
      </w:pPr>
      <w:r w:rsidRPr="00FA1EED">
        <w:rPr>
          <w:rFonts w:ascii="Times New Roman" w:eastAsia="Calibri" w:hAnsi="Times New Roman" w:cs="Times New Roman"/>
          <w:color w:val="000000"/>
          <w:sz w:val="24"/>
          <w:szCs w:val="24"/>
          <w:lang w:val="en-US"/>
        </w:rPr>
        <w:t xml:space="preserve">Author: </w:t>
      </w:r>
      <w:proofErr w:type="spellStart"/>
      <w:r w:rsidRPr="00FA1EED">
        <w:rPr>
          <w:rFonts w:ascii="Times New Roman" w:eastAsia="Calibri" w:hAnsi="Times New Roman" w:cs="Times New Roman"/>
          <w:color w:val="000000"/>
          <w:sz w:val="24"/>
          <w:szCs w:val="24"/>
          <w:lang w:val="en-US"/>
        </w:rPr>
        <w:t>Yevgeniya</w:t>
      </w:r>
      <w:proofErr w:type="spellEnd"/>
      <w:r w:rsidRPr="00FA1EED">
        <w:rPr>
          <w:rFonts w:ascii="Times New Roman" w:eastAsia="Calibri" w:hAnsi="Times New Roman" w:cs="Times New Roman"/>
          <w:color w:val="000000"/>
          <w:sz w:val="24"/>
          <w:szCs w:val="24"/>
          <w:lang w:val="en-US"/>
        </w:rPr>
        <w:t xml:space="preserve"> </w:t>
      </w:r>
      <w:proofErr w:type="spellStart"/>
      <w:r w:rsidRPr="00FA1EED">
        <w:rPr>
          <w:rFonts w:ascii="Times New Roman" w:eastAsia="Calibri" w:hAnsi="Times New Roman" w:cs="Times New Roman"/>
          <w:color w:val="000000"/>
          <w:sz w:val="24"/>
          <w:szCs w:val="24"/>
          <w:lang w:val="en-US"/>
        </w:rPr>
        <w:t>Lukyanova</w:t>
      </w:r>
      <w:proofErr w:type="spellEnd"/>
      <w:r w:rsidRPr="00FA1EED">
        <w:rPr>
          <w:rFonts w:ascii="Times New Roman" w:eastAsia="Calibri" w:hAnsi="Times New Roman" w:cs="Times New Roman"/>
          <w:color w:val="000000"/>
          <w:sz w:val="24"/>
          <w:szCs w:val="24"/>
          <w:lang w:val="en-US"/>
        </w:rPr>
        <w:t xml:space="preserve">, PhD student, Department of Physiological Pathology of </w:t>
      </w:r>
      <w:proofErr w:type="spellStart"/>
      <w:r w:rsidRPr="00FA1EED">
        <w:rPr>
          <w:rFonts w:ascii="Times New Roman" w:eastAsia="Calibri" w:hAnsi="Times New Roman" w:cs="Times New Roman"/>
          <w:color w:val="000000"/>
          <w:sz w:val="24"/>
          <w:szCs w:val="24"/>
          <w:lang w:val="en-US"/>
        </w:rPr>
        <w:t>Kharkiv</w:t>
      </w:r>
      <w:proofErr w:type="spellEnd"/>
      <w:r w:rsidRPr="00FA1EED">
        <w:rPr>
          <w:rFonts w:ascii="Times New Roman" w:eastAsia="Calibri" w:hAnsi="Times New Roman" w:cs="Times New Roman"/>
          <w:color w:val="000000"/>
          <w:sz w:val="24"/>
          <w:szCs w:val="24"/>
          <w:lang w:val="en-US"/>
        </w:rPr>
        <w:t xml:space="preserve"> National Medical University, </w:t>
      </w:r>
      <w:proofErr w:type="spellStart"/>
      <w:r w:rsidRPr="00FA1EED">
        <w:rPr>
          <w:rFonts w:ascii="Times New Roman" w:eastAsia="Calibri" w:hAnsi="Times New Roman" w:cs="Times New Roman"/>
          <w:color w:val="000000"/>
          <w:sz w:val="24"/>
          <w:szCs w:val="24"/>
          <w:lang w:val="en-US"/>
        </w:rPr>
        <w:t>Kharkiv</w:t>
      </w:r>
      <w:proofErr w:type="spellEnd"/>
      <w:r w:rsidRPr="00FA1EED">
        <w:rPr>
          <w:rFonts w:ascii="Times New Roman" w:eastAsia="Calibri" w:hAnsi="Times New Roman" w:cs="Times New Roman"/>
          <w:color w:val="000000"/>
          <w:sz w:val="24"/>
          <w:szCs w:val="24"/>
          <w:lang w:val="en-US"/>
        </w:rPr>
        <w:t>, Ukraine</w:t>
      </w:r>
    </w:p>
    <w:p w:rsidR="00FA1EED" w:rsidRPr="00FA1EED" w:rsidRDefault="00FA1EED" w:rsidP="00FA1EED">
      <w:pPr>
        <w:jc w:val="center"/>
        <w:rPr>
          <w:rFonts w:ascii="Times New Roman" w:eastAsia="Calibri" w:hAnsi="Times New Roman" w:cs="Times New Roman"/>
          <w:color w:val="000000"/>
          <w:sz w:val="24"/>
          <w:szCs w:val="24"/>
          <w:lang w:val="en-US"/>
        </w:rPr>
      </w:pPr>
    </w:p>
    <w:p w:rsidR="00FA1EED" w:rsidRPr="00FA1EED" w:rsidRDefault="00FA1EED" w:rsidP="00FA1EED">
      <w:pPr>
        <w:jc w:val="left"/>
        <w:rPr>
          <w:rFonts w:ascii="Times New Roman" w:eastAsia="Calibri" w:hAnsi="Times New Roman" w:cs="Times New Roman"/>
          <w:color w:val="000000"/>
          <w:sz w:val="24"/>
          <w:szCs w:val="24"/>
          <w:lang w:val="en-US"/>
        </w:rPr>
      </w:pPr>
      <w:proofErr w:type="gramStart"/>
      <w:r w:rsidRPr="00FA1EED">
        <w:rPr>
          <w:rFonts w:ascii="Times New Roman" w:eastAsia="Calibri" w:hAnsi="Times New Roman" w:cs="Times New Roman"/>
          <w:color w:val="000000"/>
          <w:sz w:val="24"/>
          <w:szCs w:val="24"/>
          <w:lang w:val="en-US"/>
        </w:rPr>
        <w:t>Introduction.</w:t>
      </w:r>
      <w:proofErr w:type="gramEnd"/>
      <w:r w:rsidRPr="00FA1EED">
        <w:rPr>
          <w:rFonts w:ascii="Times New Roman" w:eastAsia="Calibri" w:hAnsi="Times New Roman" w:cs="Times New Roman"/>
          <w:color w:val="000000"/>
          <w:sz w:val="24"/>
          <w:szCs w:val="24"/>
          <w:lang w:val="en-US"/>
        </w:rPr>
        <w:t xml:space="preserve"> The role of brain endothelial dysfunction and energy metabolism in development of dementia of the Alzheimer’s type induced by completely different triggers is poorly known. Effect of stem cells on conditions of scopolamine and sodium nitrite - induced dementia models was not investigated.</w:t>
      </w:r>
    </w:p>
    <w:p w:rsidR="00FA1EED" w:rsidRPr="00FA1EED" w:rsidRDefault="00FA1EED" w:rsidP="00FA1EED">
      <w:pPr>
        <w:jc w:val="left"/>
        <w:rPr>
          <w:rFonts w:ascii="Times New Roman" w:eastAsia="Calibri" w:hAnsi="Times New Roman" w:cs="Times New Roman"/>
          <w:color w:val="000000"/>
          <w:sz w:val="24"/>
          <w:szCs w:val="24"/>
          <w:lang w:val="en-US"/>
        </w:rPr>
      </w:pPr>
      <w:r w:rsidRPr="00FA1EED">
        <w:rPr>
          <w:rFonts w:ascii="Times New Roman" w:eastAsia="Calibri" w:hAnsi="Times New Roman" w:cs="Times New Roman"/>
          <w:color w:val="000000"/>
          <w:sz w:val="24"/>
          <w:szCs w:val="24"/>
          <w:lang w:val="en-US"/>
        </w:rPr>
        <w:t>Aim of study. To determine the role of state of brain vascular endothelial and energy metabolism in rats with experimental models of dementia of the Alzheimer’s type induced by scopolamine and sodium nitrite before and after stem cell correction.</w:t>
      </w:r>
    </w:p>
    <w:p w:rsidR="00FA1EED" w:rsidRPr="00FA1EED" w:rsidRDefault="00FA1EED" w:rsidP="00FA1EED">
      <w:pPr>
        <w:jc w:val="left"/>
        <w:rPr>
          <w:rFonts w:ascii="Times New Roman" w:eastAsia="Calibri" w:hAnsi="Times New Roman" w:cs="Times New Roman"/>
          <w:color w:val="000000"/>
          <w:sz w:val="24"/>
          <w:szCs w:val="24"/>
          <w:lang w:val="en-US"/>
        </w:rPr>
      </w:pPr>
      <w:proofErr w:type="gramStart"/>
      <w:r w:rsidRPr="00FA1EED">
        <w:rPr>
          <w:rFonts w:ascii="Times New Roman" w:eastAsia="Calibri" w:hAnsi="Times New Roman" w:cs="Times New Roman"/>
          <w:color w:val="000000"/>
          <w:sz w:val="24"/>
          <w:szCs w:val="24"/>
          <w:lang w:val="en-US"/>
        </w:rPr>
        <w:t>Material and methods.</w:t>
      </w:r>
      <w:proofErr w:type="gramEnd"/>
      <w:r w:rsidRPr="00FA1EED">
        <w:rPr>
          <w:rFonts w:ascii="Times New Roman" w:eastAsia="Calibri" w:hAnsi="Times New Roman" w:cs="Times New Roman"/>
          <w:color w:val="000000"/>
          <w:sz w:val="24"/>
          <w:szCs w:val="24"/>
          <w:lang w:val="en-US"/>
        </w:rPr>
        <w:t xml:space="preserve"> The experiment was performed on 72 male WAG rats weighing 180-250 g, which were divided into 9 groups. 1-4 groups were injected </w:t>
      </w:r>
      <w:proofErr w:type="spellStart"/>
      <w:r w:rsidRPr="00FA1EED">
        <w:rPr>
          <w:rFonts w:ascii="Times New Roman" w:eastAsia="Calibri" w:hAnsi="Times New Roman" w:cs="Times New Roman"/>
          <w:color w:val="000000"/>
          <w:sz w:val="24"/>
          <w:szCs w:val="24"/>
          <w:lang w:val="en-US"/>
        </w:rPr>
        <w:t>intraperitoneally</w:t>
      </w:r>
      <w:proofErr w:type="spellEnd"/>
      <w:r w:rsidRPr="00FA1EED">
        <w:rPr>
          <w:rFonts w:ascii="Times New Roman" w:eastAsia="Calibri" w:hAnsi="Times New Roman" w:cs="Times New Roman"/>
          <w:color w:val="000000"/>
          <w:sz w:val="24"/>
          <w:szCs w:val="24"/>
          <w:lang w:val="en-US"/>
        </w:rPr>
        <w:t xml:space="preserve"> by an aqueous solution of sodium nitrite (50 mg/kg of body mass) during 14 (groups 1-2) and 28 days (3-4). Groups 5-6, 7-8 were injected </w:t>
      </w:r>
      <w:proofErr w:type="spellStart"/>
      <w:r w:rsidRPr="00FA1EED">
        <w:rPr>
          <w:rFonts w:ascii="Times New Roman" w:eastAsia="Calibri" w:hAnsi="Times New Roman" w:cs="Times New Roman"/>
          <w:color w:val="000000"/>
          <w:sz w:val="24"/>
          <w:szCs w:val="24"/>
          <w:lang w:val="en-US"/>
        </w:rPr>
        <w:t>intraperitoneally</w:t>
      </w:r>
      <w:proofErr w:type="spellEnd"/>
      <w:r w:rsidRPr="00FA1EED">
        <w:rPr>
          <w:rFonts w:ascii="Times New Roman" w:eastAsia="Calibri" w:hAnsi="Times New Roman" w:cs="Times New Roman"/>
          <w:color w:val="000000"/>
          <w:sz w:val="24"/>
          <w:szCs w:val="24"/>
          <w:lang w:val="en-US"/>
        </w:rPr>
        <w:t xml:space="preserve"> by scopolamine (1 mg/kg of body mass) during the same periods. Groups 2, 4, 6, 8 were received intravenously </w:t>
      </w:r>
      <w:proofErr w:type="spellStart"/>
      <w:r w:rsidRPr="00FA1EED">
        <w:rPr>
          <w:rFonts w:ascii="Times New Roman" w:eastAsia="Calibri" w:hAnsi="Times New Roman" w:cs="Times New Roman"/>
          <w:color w:val="000000"/>
          <w:sz w:val="24"/>
          <w:szCs w:val="24"/>
          <w:lang w:val="en-US"/>
        </w:rPr>
        <w:t>mesenchymal</w:t>
      </w:r>
      <w:proofErr w:type="spellEnd"/>
      <w:r w:rsidRPr="00FA1EED">
        <w:rPr>
          <w:rFonts w:ascii="Times New Roman" w:eastAsia="Calibri" w:hAnsi="Times New Roman" w:cs="Times New Roman"/>
          <w:color w:val="000000"/>
          <w:sz w:val="24"/>
          <w:szCs w:val="24"/>
          <w:lang w:val="en-US"/>
        </w:rPr>
        <w:t xml:space="preserve"> stem cells transformed by GFP at a dose of 500000 cells per rat. Group 9 was control. Endothelin-1 (ET-1), endothelial Nitric Oxide Synthase (</w:t>
      </w:r>
      <w:proofErr w:type="spellStart"/>
      <w:r w:rsidRPr="00FA1EED">
        <w:rPr>
          <w:rFonts w:ascii="Times New Roman" w:eastAsia="Calibri" w:hAnsi="Times New Roman" w:cs="Times New Roman"/>
          <w:color w:val="000000"/>
          <w:sz w:val="24"/>
          <w:szCs w:val="24"/>
          <w:lang w:val="en-US"/>
        </w:rPr>
        <w:t>eNOS</w:t>
      </w:r>
      <w:proofErr w:type="spellEnd"/>
      <w:r w:rsidRPr="00FA1EED">
        <w:rPr>
          <w:rFonts w:ascii="Times New Roman" w:eastAsia="Calibri" w:hAnsi="Times New Roman" w:cs="Times New Roman"/>
          <w:color w:val="000000"/>
          <w:sz w:val="24"/>
          <w:szCs w:val="24"/>
          <w:lang w:val="en-US"/>
        </w:rPr>
        <w:t xml:space="preserve">) </w:t>
      </w:r>
      <w:proofErr w:type="gramStart"/>
      <w:r w:rsidRPr="00FA1EED">
        <w:rPr>
          <w:rFonts w:ascii="Times New Roman" w:eastAsia="Calibri" w:hAnsi="Times New Roman" w:cs="Times New Roman"/>
          <w:color w:val="000000"/>
          <w:sz w:val="24"/>
          <w:szCs w:val="24"/>
          <w:lang w:val="en-US"/>
        </w:rPr>
        <w:t>were</w:t>
      </w:r>
      <w:proofErr w:type="gramEnd"/>
      <w:r w:rsidRPr="00FA1EED">
        <w:rPr>
          <w:rFonts w:ascii="Times New Roman" w:eastAsia="Calibri" w:hAnsi="Times New Roman" w:cs="Times New Roman"/>
          <w:color w:val="000000"/>
          <w:sz w:val="24"/>
          <w:szCs w:val="24"/>
          <w:lang w:val="en-US"/>
        </w:rPr>
        <w:t xml:space="preserve"> determined in a blood serum by the </w:t>
      </w:r>
      <w:proofErr w:type="spellStart"/>
      <w:r w:rsidRPr="00FA1EED">
        <w:rPr>
          <w:rFonts w:ascii="Times New Roman" w:eastAsia="Calibri" w:hAnsi="Times New Roman" w:cs="Times New Roman"/>
          <w:color w:val="000000"/>
          <w:sz w:val="24"/>
          <w:szCs w:val="24"/>
          <w:lang w:val="en-US"/>
        </w:rPr>
        <w:t>immuno</w:t>
      </w:r>
      <w:proofErr w:type="spellEnd"/>
      <w:r w:rsidRPr="00FA1EED">
        <w:rPr>
          <w:rFonts w:ascii="Times New Roman" w:eastAsia="Calibri" w:hAnsi="Times New Roman" w:cs="Times New Roman"/>
          <w:color w:val="000000"/>
          <w:sz w:val="24"/>
          <w:szCs w:val="24"/>
          <w:lang w:val="en-US"/>
        </w:rPr>
        <w:t xml:space="preserve">-enzymatic method. Spectrophotometric analysis was used for determination of ATP concentration in brain homogenate. </w:t>
      </w:r>
      <w:proofErr w:type="spellStart"/>
      <w:r w:rsidRPr="00FA1EED">
        <w:rPr>
          <w:rFonts w:ascii="Times New Roman" w:eastAsia="Calibri" w:hAnsi="Times New Roman" w:cs="Times New Roman"/>
          <w:color w:val="000000"/>
          <w:sz w:val="24"/>
          <w:szCs w:val="24"/>
          <w:lang w:val="en-US"/>
        </w:rPr>
        <w:t>Cardiolipin</w:t>
      </w:r>
      <w:proofErr w:type="spellEnd"/>
      <w:r w:rsidRPr="00FA1EED">
        <w:rPr>
          <w:rFonts w:ascii="Times New Roman" w:eastAsia="Calibri" w:hAnsi="Times New Roman" w:cs="Times New Roman"/>
          <w:color w:val="000000"/>
          <w:sz w:val="24"/>
          <w:szCs w:val="24"/>
          <w:lang w:val="en-US"/>
        </w:rPr>
        <w:t xml:space="preserve"> was identified in mitochondria of brain cells by thin layer chromatography.</w:t>
      </w:r>
    </w:p>
    <w:p w:rsidR="00FA1EED" w:rsidRPr="00FA1EED" w:rsidRDefault="00FA1EED" w:rsidP="00FA1EED">
      <w:pPr>
        <w:jc w:val="left"/>
        <w:rPr>
          <w:rFonts w:ascii="Times New Roman" w:eastAsia="Calibri" w:hAnsi="Times New Roman" w:cs="Times New Roman"/>
          <w:color w:val="000000"/>
          <w:sz w:val="24"/>
          <w:szCs w:val="24"/>
          <w:lang w:val="en-US"/>
        </w:rPr>
      </w:pPr>
      <w:proofErr w:type="gramStart"/>
      <w:r w:rsidRPr="00FA1EED">
        <w:rPr>
          <w:rFonts w:ascii="Times New Roman" w:eastAsia="Calibri" w:hAnsi="Times New Roman" w:cs="Times New Roman"/>
          <w:color w:val="000000"/>
          <w:sz w:val="24"/>
          <w:szCs w:val="24"/>
          <w:lang w:val="en-US"/>
        </w:rPr>
        <w:t>Results.</w:t>
      </w:r>
      <w:proofErr w:type="gramEnd"/>
      <w:r w:rsidRPr="00FA1EED">
        <w:rPr>
          <w:rFonts w:ascii="Times New Roman" w:eastAsia="Calibri" w:hAnsi="Times New Roman" w:cs="Times New Roman"/>
          <w:color w:val="000000"/>
          <w:sz w:val="24"/>
          <w:szCs w:val="24"/>
          <w:lang w:val="en-US"/>
        </w:rPr>
        <w:t xml:space="preserve"> Animals of 1–8 groups showed increasing of the ET-1/</w:t>
      </w:r>
      <w:proofErr w:type="spellStart"/>
      <w:r w:rsidRPr="00FA1EED">
        <w:rPr>
          <w:rFonts w:ascii="Times New Roman" w:eastAsia="Calibri" w:hAnsi="Times New Roman" w:cs="Times New Roman"/>
          <w:color w:val="000000"/>
          <w:sz w:val="24"/>
          <w:szCs w:val="24"/>
          <w:lang w:val="en-US"/>
        </w:rPr>
        <w:t>eNOS</w:t>
      </w:r>
      <w:proofErr w:type="spellEnd"/>
      <w:r w:rsidRPr="00FA1EED">
        <w:rPr>
          <w:rFonts w:ascii="Times New Roman" w:eastAsia="Calibri" w:hAnsi="Times New Roman" w:cs="Times New Roman"/>
          <w:color w:val="000000"/>
          <w:sz w:val="24"/>
          <w:szCs w:val="24"/>
          <w:lang w:val="en-US"/>
        </w:rPr>
        <w:t xml:space="preserve"> ratio 2 times at group 1 and 4 times at groups 3, 7. The endothelial dysfunction with a predominance of vasoconstriction was observed in groups 3, 7. After stem cells correction all indicators of endothelial function of rats from groups 4, </w:t>
      </w:r>
      <w:proofErr w:type="gramStart"/>
      <w:r w:rsidRPr="00FA1EED">
        <w:rPr>
          <w:rFonts w:ascii="Times New Roman" w:eastAsia="Calibri" w:hAnsi="Times New Roman" w:cs="Times New Roman"/>
          <w:color w:val="000000"/>
          <w:sz w:val="24"/>
          <w:szCs w:val="24"/>
          <w:lang w:val="en-US"/>
        </w:rPr>
        <w:t>8  almost</w:t>
      </w:r>
      <w:proofErr w:type="gramEnd"/>
      <w:r w:rsidRPr="00FA1EED">
        <w:rPr>
          <w:rFonts w:ascii="Times New Roman" w:eastAsia="Calibri" w:hAnsi="Times New Roman" w:cs="Times New Roman"/>
          <w:color w:val="000000"/>
          <w:sz w:val="24"/>
          <w:szCs w:val="24"/>
          <w:lang w:val="en-US"/>
        </w:rPr>
        <w:t xml:space="preserve"> reached the control level. The level of </w:t>
      </w:r>
      <w:proofErr w:type="spellStart"/>
      <w:r w:rsidRPr="00FA1EED">
        <w:rPr>
          <w:rFonts w:ascii="Times New Roman" w:eastAsia="Calibri" w:hAnsi="Times New Roman" w:cs="Times New Roman"/>
          <w:color w:val="000000"/>
          <w:sz w:val="24"/>
          <w:szCs w:val="24"/>
          <w:lang w:val="en-US"/>
        </w:rPr>
        <w:t>cardiolipin</w:t>
      </w:r>
      <w:proofErr w:type="spellEnd"/>
      <w:r w:rsidRPr="00FA1EED">
        <w:rPr>
          <w:rFonts w:ascii="Times New Roman" w:eastAsia="Calibri" w:hAnsi="Times New Roman" w:cs="Times New Roman"/>
          <w:color w:val="000000"/>
          <w:sz w:val="24"/>
          <w:szCs w:val="24"/>
          <w:lang w:val="en-US"/>
        </w:rPr>
        <w:t xml:space="preserve"> of group 3 is 2.4 times lower compared to control group and 1.2 times lower than at the group 7. The brain cell energy metabolism after stem cells correction was more recovered at groups 4, 8.</w:t>
      </w:r>
    </w:p>
    <w:p w:rsidR="00FA1EED" w:rsidRPr="00FA1EED" w:rsidRDefault="00FA1EED" w:rsidP="00FA1EED">
      <w:pPr>
        <w:jc w:val="left"/>
        <w:rPr>
          <w:rFonts w:ascii="Times New Roman" w:eastAsia="Calibri" w:hAnsi="Times New Roman" w:cs="Times New Roman"/>
          <w:color w:val="000000"/>
          <w:sz w:val="24"/>
          <w:szCs w:val="24"/>
          <w:lang w:val="en-US"/>
        </w:rPr>
      </w:pPr>
      <w:proofErr w:type="gramStart"/>
      <w:r w:rsidRPr="00FA1EED">
        <w:rPr>
          <w:rFonts w:ascii="Times New Roman" w:eastAsia="Calibri" w:hAnsi="Times New Roman" w:cs="Times New Roman"/>
          <w:color w:val="000000"/>
          <w:sz w:val="24"/>
          <w:szCs w:val="24"/>
          <w:lang w:val="en-US"/>
        </w:rPr>
        <w:t>Conclusion.</w:t>
      </w:r>
      <w:proofErr w:type="gramEnd"/>
      <w:r w:rsidRPr="00FA1EED">
        <w:rPr>
          <w:rFonts w:ascii="Times New Roman" w:eastAsia="Calibri" w:hAnsi="Times New Roman" w:cs="Times New Roman"/>
          <w:color w:val="000000"/>
          <w:sz w:val="24"/>
          <w:szCs w:val="24"/>
          <w:lang w:val="en-US"/>
        </w:rPr>
        <w:t xml:space="preserve"> The vessel injury plays important role in damage of nervous tissue for various triggers of dementia of the Alzheimer’s type development. More effective regeneration of vascular function and energy metabolism of brain after stem cells correction </w:t>
      </w:r>
      <w:proofErr w:type="gramStart"/>
      <w:r w:rsidRPr="00FA1EED">
        <w:rPr>
          <w:rFonts w:ascii="Times New Roman" w:eastAsia="Calibri" w:hAnsi="Times New Roman" w:cs="Times New Roman"/>
          <w:color w:val="000000"/>
          <w:sz w:val="24"/>
          <w:szCs w:val="24"/>
          <w:lang w:val="en-US"/>
        </w:rPr>
        <w:t>was</w:t>
      </w:r>
      <w:proofErr w:type="gramEnd"/>
      <w:r w:rsidRPr="00FA1EED">
        <w:rPr>
          <w:rFonts w:ascii="Times New Roman" w:eastAsia="Calibri" w:hAnsi="Times New Roman" w:cs="Times New Roman"/>
          <w:color w:val="000000"/>
          <w:sz w:val="24"/>
          <w:szCs w:val="24"/>
          <w:lang w:val="en-US"/>
        </w:rPr>
        <w:t xml:space="preserve"> observed in groups after 28 days injections.</w:t>
      </w:r>
    </w:p>
    <w:p w:rsidR="00FA1EED" w:rsidRPr="00FA1EED" w:rsidRDefault="00FA1EED" w:rsidP="00FA1EED">
      <w:pPr>
        <w:jc w:val="left"/>
        <w:rPr>
          <w:rFonts w:ascii="Times New Roman" w:eastAsia="Calibri" w:hAnsi="Times New Roman" w:cs="Times New Roman"/>
          <w:color w:val="000000"/>
          <w:sz w:val="24"/>
          <w:szCs w:val="24"/>
          <w:lang w:val="en-US"/>
        </w:rPr>
      </w:pPr>
      <w:r w:rsidRPr="00FA1EED">
        <w:rPr>
          <w:rFonts w:ascii="Times New Roman" w:eastAsia="Calibri" w:hAnsi="Times New Roman" w:cs="Times New Roman"/>
          <w:color w:val="000000"/>
          <w:sz w:val="24"/>
          <w:szCs w:val="24"/>
          <w:lang w:val="en-US"/>
        </w:rPr>
        <w:t>Key words: dementia of the Alzheimer’s type, scopolamine, sodium nitrite.</w:t>
      </w:r>
      <w:bookmarkStart w:id="0" w:name="_GoBack"/>
      <w:bookmarkEnd w:id="0"/>
    </w:p>
    <w:sectPr w:rsidR="00FA1EED" w:rsidRPr="00FA1E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65D"/>
    <w:rsid w:val="0056200D"/>
    <w:rsid w:val="0063065D"/>
    <w:rsid w:val="00FA1E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389</Words>
  <Characters>2220</Characters>
  <Application>Microsoft Office Word</Application>
  <DocSecurity>0</DocSecurity>
  <Lines>18</Lines>
  <Paragraphs>5</Paragraphs>
  <ScaleCrop>false</ScaleCrop>
  <Company/>
  <LinksUpToDate>false</LinksUpToDate>
  <CharactersWithSpaces>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2021-11-11T12:13:00Z</dcterms:created>
  <dcterms:modified xsi:type="dcterms:W3CDTF">2021-11-11T12:14:00Z</dcterms:modified>
</cp:coreProperties>
</file>