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EE" w:rsidRPr="00856DEE" w:rsidRDefault="00856DEE" w:rsidP="00856D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b/>
          <w:bCs/>
          <w:sz w:val="28"/>
          <w:szCs w:val="28"/>
        </w:rPr>
        <w:t>МЕХАНІЗМИ РОЗВИТКУ Д</w:t>
      </w:r>
      <w:r w:rsidRPr="00856D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ІАБЕТИЧНОЇ ФЕТОПАТІЇ</w:t>
      </w:r>
    </w:p>
    <w:p w:rsidR="00856DEE" w:rsidRPr="00856DEE" w:rsidRDefault="00856DEE" w:rsidP="00856D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56D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Благодир</w:t>
      </w:r>
      <w:proofErr w:type="spellEnd"/>
      <w:r w:rsidRPr="00856D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56D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Ангеліка</w:t>
      </w:r>
      <w:proofErr w:type="spellEnd"/>
      <w:r w:rsidRPr="00856D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Костянтинівна</w:t>
      </w:r>
    </w:p>
    <w:p w:rsidR="00856DEE" w:rsidRPr="00856DEE" w:rsidRDefault="00856DEE" w:rsidP="00856D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856DEE" w:rsidRPr="00856DEE" w:rsidRDefault="00856DEE" w:rsidP="00856DE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Науковий керівник: М. О. </w:t>
      </w:r>
      <w:proofErr w:type="spellStart"/>
      <w:r w:rsidRPr="00856D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Кузнецова</w:t>
      </w:r>
      <w:proofErr w:type="spellEnd"/>
    </w:p>
    <w:p w:rsidR="00856DEE" w:rsidRPr="00856DEE" w:rsidRDefault="00856DEE" w:rsidP="00856D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асистент кафедри загальної та клінічної патофізіології ім. Д. О.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Альперна</w:t>
      </w:r>
      <w:proofErr w:type="spellEnd"/>
    </w:p>
    <w:p w:rsidR="00856DEE" w:rsidRPr="00856DEE" w:rsidRDefault="00856DEE" w:rsidP="00856D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856DEE" w:rsidRPr="00856DEE" w:rsidRDefault="00856DEE" w:rsidP="00856DEE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Україна</w:t>
      </w:r>
    </w:p>
    <w:p w:rsidR="00856DEE" w:rsidRPr="00856DEE" w:rsidRDefault="00856DEE" w:rsidP="00856DEE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</w:p>
    <w:p w:rsidR="00856DEE" w:rsidRPr="00856DEE" w:rsidRDefault="00856DEE" w:rsidP="00856DEE">
      <w:pPr>
        <w:spacing w:before="100" w:beforeAutospacing="1"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Вступ. 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кожним роком захворюваність на цукровий діабет зростає. Згідно з прогнозом Міжнародної федерації діабету захворюваність серед жінок за період з 2017 по 2045 рік зросте з 204 мільйонів до 308 мільйонів випадків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[1]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Діабетична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фетопатія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(ДФ) – захворювання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неонатального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періоду, що розвивається у новонароджених, матері яких страждають на цукровий діабет (ЦД) або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гестаційний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діабет, та характеризується багатосистемним ураженням, метаболічними та ендокринними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дисфункціями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ДФ є серйозною медичною та соціальною проблемою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[2]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Найближчі наслідки у дітей народжених з ДФ потребують особливої тактики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неонатологів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надання допомоги, а віддаленні наслідки ставлять перед ендокринологами та педіатрами складні задачі по збереженню здоров’я таким дітям. Також, зростає частота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гестаційного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цукрового діабету (ГЦД), який складає 85,1% усіх випадків гіперглікемії під час вагітності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[3]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Цукровий діабет та ГЦД є провідними факторами ризику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перинатальної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неонатальної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захворюваності та смертності. Всесвітня організація охорони здоров’я наголошує, що навіть невелика гіперглікемія у вагітної пов’язана з виникненням ДФ.</w:t>
      </w:r>
    </w:p>
    <w:p w:rsidR="00856DEE" w:rsidRPr="00856DEE" w:rsidRDefault="00856DEE" w:rsidP="00856DE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 xml:space="preserve">Мета. 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Висвітлити питання, що стосуються патогенезу діабетичної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фетопатії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прогнозування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пери-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неонатальних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ризиків для дитини.</w:t>
      </w:r>
    </w:p>
    <w:p w:rsidR="00856DEE" w:rsidRPr="00856DEE" w:rsidRDefault="00856DEE" w:rsidP="00856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 xml:space="preserve">Матеріали та методи. 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аналіз різноманітних літературних джерел. Було використано зарубіжну наукову літературу та наукові статті.</w:t>
      </w:r>
    </w:p>
    <w:p w:rsidR="00856DEE" w:rsidRPr="00856DEE" w:rsidRDefault="00856DEE" w:rsidP="00856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ab/>
        <w:t xml:space="preserve">Результати та їх обговорення. 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 останніх років пов’язують патогенез ДФ з особливостями регуляції глюкози під час вагітності. Створення сприятливих умов для зростання плода є фізіологічним сенсом усіх змін в організмі вагітної. З ранніх термінів вагітності у жінки стрімко зростає продукція гормонів плаценти – естрогенів,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хоріонічного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гонадотропіну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людини,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кортизолу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плацентарного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лактогену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формують у вагітної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інсулінорезистентний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стан, у результаті відбувається зростання екскреції інсуліну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[4]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 жінок, що страждають на ЦД знижується потреба в інсуліні під час вагітності.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Гіперінсулінемія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вагітної призводить до депонування глікогену, зниженню печінкової продукції глюкози, підвищенню рівня кетонових тіл та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триацилгліцеролів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накопиченням жирних кислот. Така реакція організму стимулює накопичення енергетичних запасів, які необхідні для забезпечення потреб плода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[5]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Плід отримує поживні речовини від матері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трансплацентарно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основним джерелом енергії є глюкоза, проте інсулін через плаценту не проникає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[6]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Трансплацентарно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глюкоза переноситься за градієнтом концентрації, шляхом полегшеної дифузії, у той час як амінокислоти транспортуються з витратами енергії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[7]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Тому зі зростанням плода витрачається більша частина глікогену та активізується процес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ліполізу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який супроводжується підвищенням рівня вільних жирних кислот,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триацилгліцеролів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кетонових тіл у крові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[8]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56DEE" w:rsidRPr="00856DEE" w:rsidRDefault="00856DEE" w:rsidP="00856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Реакція плода на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гіпер-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гіпоглікемію залежить від терміну вагітності. Гіперглікемія стимулює у плода синтез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інсуліноподібного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фактора росту 1 (</w:t>
      </w:r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IGF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та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інсуліноподібного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фактора росту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протеїна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 (</w:t>
      </w:r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IGFBP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-3)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[9]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Вважається, що до 20 тижня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гестації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плід не відповідає на гіперглікемію, однак після досягнення цього терміну вагітності у нього відбувається гіперплазія клітин підшлункової залози та компенсаторне підвищення рівня інсуліну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[10]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 плода, внаслідок постійної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гіперінсулінемії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посилюється синтез білка та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ліпогенез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разом з </w:t>
      </w:r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IGF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та </w:t>
      </w:r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IGFBP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-3 сприяють розвитку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макросомії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56DEE" w:rsidRPr="00856DEE" w:rsidRDefault="00856DEE" w:rsidP="00856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Гіпоглікемія вагітної стимулює вироблення у плода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глюкагона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глюкокортикоїдів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тому у дитини розвивається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гіперкортицизм</w:t>
      </w:r>
      <w:proofErr w:type="spellEnd"/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 xml:space="preserve"> [11]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Ризик 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формування ДФ при ЦД та ГЦД неоднаковий, частіше реалізується при ЦД 1 типу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[12]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</w:p>
    <w:p w:rsidR="00856DEE" w:rsidRPr="00856DEE" w:rsidRDefault="00856DEE" w:rsidP="00856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Макросомія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провідний синдром ДФ, критерієм оцінки якого є народження доношеної дитини з масою тіла більше 4000 г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[13]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Цей синдром зустрічається у 15-45% дітей, народжених матерями з ЦД, що втричі частіше, ніж у дітей, народжених жінками з нормальними показниками цукру під час вагітності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[14]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Систематична гіперглікемія матері вважається прогностично найбільш несприятливим фактором розвитку цього ускладнення. Доведено, що у другому та третьому триместрах гіперглікемія матері, що з’являється після прийому їжі, напряму пов’язана з розвитком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макросомії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при значеннях гіперглікемії до 120 мг/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дл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макросомія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розвивається приблизно у 20% плодів, у той час при значеннях 160 мг/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дл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частота цього ускладнення досягає 35%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[15]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56DEE" w:rsidRPr="00856DEE" w:rsidRDefault="00856DEE" w:rsidP="00856DEE">
      <w:pPr>
        <w:autoSpaceDE w:val="0"/>
        <w:autoSpaceDN w:val="0"/>
        <w:adjustRightInd w:val="0"/>
        <w:spacing w:after="0" w:line="360" w:lineRule="auto"/>
        <w:jc w:val="both"/>
        <w:rPr>
          <w:rFonts w:ascii="Arial CYR" w:eastAsia="Calibri" w:hAnsi="Arial CYR" w:cs="Arial CYR"/>
          <w:color w:val="231F20"/>
          <w:sz w:val="18"/>
          <w:szCs w:val="18"/>
          <w:lang w:val="uk-UA"/>
        </w:rPr>
      </w:pP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Для плода з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макросомією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характерне підвищене відкладення жиру в області грудної клітини і живота та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відстуність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зростання кісток скелету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 xml:space="preserve"> [16]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Формується збільшений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міжакроміальний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розмір, що призводить до високого ризику виникнення небезпечних ускладнень під час пологів таких, як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дистоція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плечиків, параліч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Ерба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травма плечового сплетення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[17]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Також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макросомія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пов’язана з ростом захворюваності новонароджених, які в 5 разів частіше страждають на важку гіпоглікемію та в 2 рази частіше на жовтуху новонароджених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[18]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Для ДФ характерні унікальні фенотипічні ознаки, новонароджені мають характерний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кушингоїдний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вигляд: місяцеподібне обличчя, коротку шию, гіпертрихоз, відкладення жиру на тулубі та грудній клітці з кінцівками, які на їх фоні виглядають короткими та тонкими  та маленькою головою, яскраво-червоні шкірні покриви з периферичним набряком кистей та стоп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[19]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При ДФ досить часто зустрічається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тромбогеморагічний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синдром, що зумовлений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поліцитемією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Патогенез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поліцитемії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пов’язаний з хронічною фетальною гіперглікемією та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гіперінсулінемією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 зв’язку з чим посилюється основний обмін та підвищується споживання кисню тканинами, настає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гіпоксичний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стан. У 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організмі плода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компенсаторно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збільшується вироблення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еритропоетину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зростає швидкість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еритропоезу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призводить до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поліцитемії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56DEE">
        <w:rPr>
          <w:rFonts w:ascii="Times New Roman" w:eastAsia="Times New Roman" w:hAnsi="Times New Roman" w:cs="Times New Roman"/>
          <w:color w:val="4D5156"/>
          <w:sz w:val="28"/>
          <w:szCs w:val="28"/>
          <w:lang w:val="uk-UA"/>
        </w:rPr>
        <w:t>[20]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56DEE" w:rsidRPr="00856DEE" w:rsidRDefault="00856DEE" w:rsidP="00856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D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 xml:space="preserve">Висновки. </w:t>
      </w:r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Патогенез діабетичної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фетопатії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продовжує активно вивчатись. Ця проблема торкається декількох медичних спеціальностей. Ретельне вивчення проблеми діабетичної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фетопатії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відкриття нових ланок патогенезу дасть змогу лікарям прогнозувати ризики для життя та здоров’я дітей, народжених матерями, які страждають на цукровий діабет та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>гестаційний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цукровий діабет, та розробляти тактику надання допомоги дітям з ранніми та віддаленими ускладненнями захворювання.</w:t>
      </w:r>
    </w:p>
    <w:p w:rsidR="00856DEE" w:rsidRPr="00856DEE" w:rsidRDefault="00856DEE" w:rsidP="00856DE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56DEE" w:rsidRPr="00856DEE" w:rsidRDefault="00856DEE" w:rsidP="00856DEE">
      <w:pPr>
        <w:autoSpaceDE w:val="0"/>
        <w:autoSpaceDN w:val="0"/>
        <w:adjustRightInd w:val="0"/>
        <w:spacing w:after="0" w:line="360" w:lineRule="auto"/>
        <w:rPr>
          <w:rFonts w:ascii="KudrashovC" w:eastAsia="Calibri" w:hAnsi="KudrashovC" w:cs="KudrashovC"/>
          <w:color w:val="231F20"/>
          <w:sz w:val="18"/>
          <w:szCs w:val="18"/>
          <w:lang w:val="uk-UA"/>
        </w:rPr>
      </w:pPr>
    </w:p>
    <w:p w:rsidR="00856DEE" w:rsidRPr="00856DEE" w:rsidRDefault="00856DEE" w:rsidP="00856D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6DEE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</w:rPr>
        <w:t>використаних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</w:rPr>
        <w:t>джерел</w:t>
      </w:r>
      <w:proofErr w:type="spellEnd"/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Chen Y, Quick WW, Yang W, Zhang Y, Baldwin A et al. (</w:t>
      </w:r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2009</w:t>
      </w:r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). Cost of gestational diabetes mellitus in the United States in 2007.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Popul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Manag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. 12. 165-74.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: 10.1089/pop.2009.12303.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Rozhkova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OV,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Remneva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OV. (2018). Gestational diabetes mellitus: obstetric and perinatal outcomes (literature review). </w:t>
      </w:r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ENI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Trans-Baikal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Medical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Bulletin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.; 3: 127-142.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Eades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CE, Cameron DM, Evans JMM (2017). Prevalence of gestational diabetes mellitus in Europe: A meta-analysis.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Diabetes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Res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Clin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Pract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.; 129: 173-181.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: 10.1016/j.diabres.2017.03.030.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Kautzky-Willer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A,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Harreiter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J,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Winhofer-Stöckl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Y,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Bancher-Todesca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D,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Berger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A,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Repa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. (2019).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Gestationsdiabetes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(GDM) (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Update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2019).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Wiener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klinische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Wochenschrift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.; 131(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Suppl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1): 91-102.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: 10.1007/s00508-018-1419-8.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Kautzky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-Willer A,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Harreiter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J,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Winhofer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-Stöckl Y,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Weitgasser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R,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Lechleitner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M. (2019). </w:t>
      </w:r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Clinical practice recommendations for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dia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betes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pregnancy. Wien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Klin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Wochenschr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.; 131(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Suppl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1): 103-109. </w:t>
      </w:r>
      <w:proofErr w:type="spellStart"/>
      <w:proofErr w:type="gram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: 10.1007/s00508-019-1456-y.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lastRenderedPageBreak/>
        <w:t xml:space="preserve">Li HP, Chen X, Li MQ. </w:t>
      </w:r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(2013). Gestational diabetes induces chronic hypoxia stress and excessive inflammatory response in murine placenta.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Int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J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Clin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Exp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Pathol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.; 6(4): 650-659.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Meiramova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A,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Ainabekova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B,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Sadybekova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G,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Akhmetova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Z.,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Imangazinova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S., Omralina1 Y. (2018). </w:t>
      </w:r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Peculiarities of the course of gestation and pregnancy outcomes in women with gestational diabetes mellitus.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Acta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Endocrinol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Buchar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).; 14(2): 213-218.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: 10.4183/aeb.2018.213.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Saad MI,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Abdelkhalek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TM, Saleh MM,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Haiba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MM,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Tawfik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SH, Kamel MA. </w:t>
      </w:r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(2016). Maternal diabetes impairs oxidative and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inflam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matory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response in murine placenta.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Springer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Plus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.; 5: 532.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: 10.1186/s40064-016-2180-y.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Al-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Matubsi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HY,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Salim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MD, El-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Sharaky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AS,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Kamel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MA,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Oriquat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GA,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Helmy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MH, et al. (2010). Activities of </w:t>
      </w:r>
      <w:proofErr w:type="gramStart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cyclooxygenases,</w:t>
      </w:r>
      <w:proofErr w:type="gramEnd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levels of prostaglandins E2 and F2alpha, in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fetopathy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associated with experimental diabetic gestation.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</w:rPr>
        <w:t>Diabetes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</w:rPr>
        <w:t>Metab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</w:rPr>
        <w:t xml:space="preserve">.; 36(1): 43-50.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</w:rPr>
        <w:t>doi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</w:rPr>
        <w:t>: 10.1016/j.diabet.2009.06.009.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Garcia-Flores J,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Cruceyra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Cañamares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Garicano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A, Nieto O,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Espada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M, et al. (2016). Weight-related and analytical maternal factors in gestational diabetes to predict birth weight and cord markers of diabetic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fetopathy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Gynecol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Endocrinol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.; 32(7): 548-552.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: 10.3109/09513590.2016.1138461.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Tantbirojn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Taweevisit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Sritippayawan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Uerpairojkit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B. (2008). Diabetic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fetopathy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associated with bilateral adrenal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hyperpla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sia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ambiguous genitalia: a case report. </w:t>
      </w:r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J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Med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Reports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; 2: 251.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: 10.1186/1752-1947-2-251.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Mitanchez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 (2010). Fetal and neonatal complications of gestational diabetes: perinatal mortality, congenital malformations,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macrosomia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shoulder dystocia, birth injuries, neonatal outcomes. J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Gynecol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Obstet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Biol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Reprod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(Paris)</w:t>
      </w:r>
      <w:proofErr w:type="gram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.;</w:t>
      </w:r>
      <w:proofErr w:type="gram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39(8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Suppl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2): S189-99. </w:t>
      </w:r>
      <w:proofErr w:type="spellStart"/>
      <w:proofErr w:type="gram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: 10.1016/S0368-2315(10)70046-6.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Petruhin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VA,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Burumkulova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FF. (2014). Gestation diabetes mellitus.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V.F.Snegirev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Archives of Obstetrics and </w:t>
      </w:r>
      <w:proofErr w:type="gram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Gynecology.;</w:t>
      </w:r>
      <w:proofErr w:type="gram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1(1): 48-51.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Wang H-Q, Lai H-L, Li Y, Liu Q-F, Hu S, Li L. (2016). The Relationship between Maternal Gestational Impaired Glucose Tolerance and Risk of Large-</w:t>
      </w:r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for-Gestational-Age Infant: A Meta-Analysis of 14 Studies. </w:t>
      </w:r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J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Clin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Res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Pediatr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Endocrinol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.; 8(3): 264-269.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: 10.4274/jcrpe.2583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de-DE"/>
        </w:rPr>
      </w:pP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Kautzky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-Willer A,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Harreiter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J,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Bancher-Todesca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D, Berger A,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Repa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A,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Lechleitner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M,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Weitgasser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R. (2016).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Gestational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diabetes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mellitus. Wien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Klin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Wochenschr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.; 128 (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Suppl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2): S103-112.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doi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de-DE"/>
        </w:rPr>
        <w:t>: 10.1007/s00508-015-0941-1.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Stoyanov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GS,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Kobakova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Stoev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L, Popov H,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Shishkov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SR,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Bratoeva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K. (2019). Histological Changes in Severe Diabetic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Fetopathy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An Autopsy Case Report.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Cureus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.; 11(3): e4199.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: 10.7759/cureus.4199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Athukorala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Crowther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CA,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>Willson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K. (2007). Women with gestational diabetes mellitus in the ACHOIS trial: risk factors for shoulder dystocia. </w:t>
      </w:r>
      <w:r w:rsidRPr="00856DEE">
        <w:rPr>
          <w:rFonts w:ascii="Times New Roman" w:eastAsia="Calibri" w:hAnsi="Times New Roman" w:cs="Times New Roman"/>
          <w:sz w:val="28"/>
          <w:szCs w:val="28"/>
        </w:rPr>
        <w:t xml:space="preserve">J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</w:rPr>
        <w:t>Obstet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Calibri" w:hAnsi="Times New Roman" w:cs="Times New Roman"/>
          <w:sz w:val="28"/>
          <w:szCs w:val="28"/>
        </w:rPr>
        <w:t>Gynaecol</w:t>
      </w:r>
      <w:proofErr w:type="spellEnd"/>
      <w:r w:rsidRPr="00856DEE">
        <w:rPr>
          <w:rFonts w:ascii="Times New Roman" w:eastAsia="Calibri" w:hAnsi="Times New Roman" w:cs="Times New Roman"/>
          <w:sz w:val="28"/>
          <w:szCs w:val="28"/>
        </w:rPr>
        <w:t>.; 47(1): 37-41.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Wei Y, Yang H. (2015). Variation of prevalence of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macrosomia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cesarean section and its influencing factors.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Zhonghua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Fu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Chan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Zhi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.; 50(3): 170-176.</w:t>
      </w:r>
    </w:p>
    <w:p w:rsidR="00856DEE" w:rsidRPr="00856DEE" w:rsidRDefault="00856DEE" w:rsidP="00856D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Valerio E,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Riello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L, Chirico M,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Semenzato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>Cutrone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 (2015). Neonatal Hairy Ear Pinnae and Gestational Diabetes: Just a Coincidence?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Pediatr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Dermatol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 xml:space="preserve">.; 32(6): e300-302. </w:t>
      </w:r>
      <w:proofErr w:type="spellStart"/>
      <w:r w:rsidRPr="00856DEE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856DEE">
        <w:rPr>
          <w:rFonts w:ascii="Times New Roman" w:eastAsia="Times New Roman" w:hAnsi="Times New Roman" w:cs="Times New Roman"/>
          <w:sz w:val="28"/>
          <w:szCs w:val="28"/>
        </w:rPr>
        <w:t>: 10.1111/pde.12677</w:t>
      </w:r>
    </w:p>
    <w:p w:rsidR="000575E9" w:rsidRPr="000575E9" w:rsidRDefault="000575E9" w:rsidP="000575E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5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Sarkar S, Rosenkrantz TS. (2008). Neonatal polycythemia and hyperviscosity. </w:t>
      </w:r>
      <w:proofErr w:type="spellStart"/>
      <w:r w:rsidRPr="000575E9">
        <w:rPr>
          <w:rFonts w:ascii="Times New Roman" w:eastAsia="Times New Roman" w:hAnsi="Times New Roman" w:cs="Times New Roman"/>
          <w:sz w:val="28"/>
          <w:szCs w:val="28"/>
        </w:rPr>
        <w:t>Semin</w:t>
      </w:r>
      <w:proofErr w:type="spellEnd"/>
      <w:r w:rsidRPr="00057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5E9">
        <w:rPr>
          <w:rFonts w:ascii="Times New Roman" w:eastAsia="Times New Roman" w:hAnsi="Times New Roman" w:cs="Times New Roman"/>
          <w:sz w:val="28"/>
          <w:szCs w:val="28"/>
        </w:rPr>
        <w:t>Fetal</w:t>
      </w:r>
      <w:proofErr w:type="spellEnd"/>
      <w:r w:rsidRPr="00057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5E9">
        <w:rPr>
          <w:rFonts w:ascii="Times New Roman" w:eastAsia="Times New Roman" w:hAnsi="Times New Roman" w:cs="Times New Roman"/>
          <w:sz w:val="28"/>
          <w:szCs w:val="28"/>
        </w:rPr>
        <w:t>Neonatal</w:t>
      </w:r>
      <w:proofErr w:type="spellEnd"/>
      <w:r w:rsidRPr="00057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5E9">
        <w:rPr>
          <w:rFonts w:ascii="Times New Roman" w:eastAsia="Times New Roman" w:hAnsi="Times New Roman" w:cs="Times New Roman"/>
          <w:sz w:val="28"/>
          <w:szCs w:val="28"/>
        </w:rPr>
        <w:t>Med</w:t>
      </w:r>
      <w:proofErr w:type="spellEnd"/>
      <w:r w:rsidRPr="000575E9">
        <w:rPr>
          <w:rFonts w:ascii="Times New Roman" w:eastAsia="Times New Roman" w:hAnsi="Times New Roman" w:cs="Times New Roman"/>
          <w:sz w:val="28"/>
          <w:szCs w:val="28"/>
        </w:rPr>
        <w:t xml:space="preserve">.; 13(4): 248-255. </w:t>
      </w:r>
      <w:proofErr w:type="spellStart"/>
      <w:r w:rsidRPr="000575E9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0575E9">
        <w:rPr>
          <w:rFonts w:ascii="Times New Roman" w:eastAsia="Times New Roman" w:hAnsi="Times New Roman" w:cs="Times New Roman"/>
          <w:sz w:val="28"/>
          <w:szCs w:val="28"/>
        </w:rPr>
        <w:t>: 10.1016/j.siny.2008.02.003</w:t>
      </w:r>
    </w:p>
    <w:p w:rsidR="00C12B96" w:rsidRPr="00856DEE" w:rsidRDefault="00C12B96" w:rsidP="000575E9">
      <w:bookmarkStart w:id="0" w:name="_GoBack"/>
      <w:bookmarkEnd w:id="0"/>
    </w:p>
    <w:sectPr w:rsidR="00C12B96" w:rsidRPr="00856DEE" w:rsidSect="005511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ashov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237"/>
    <w:multiLevelType w:val="hybridMultilevel"/>
    <w:tmpl w:val="6C3E16E4"/>
    <w:lvl w:ilvl="0" w:tplc="91E8E5FE">
      <w:start w:val="1"/>
      <w:numFmt w:val="decimal"/>
      <w:lvlText w:val="%1."/>
      <w:lvlJc w:val="left"/>
      <w:pPr>
        <w:ind w:left="720" w:hanging="360"/>
      </w:pPr>
    </w:lvl>
    <w:lvl w:ilvl="1" w:tplc="D430E9FE">
      <w:start w:val="1"/>
      <w:numFmt w:val="lowerLetter"/>
      <w:lvlText w:val="%2."/>
      <w:lvlJc w:val="left"/>
      <w:pPr>
        <w:ind w:left="1440" w:hanging="360"/>
      </w:pPr>
    </w:lvl>
    <w:lvl w:ilvl="2" w:tplc="76E8FFCC">
      <w:start w:val="1"/>
      <w:numFmt w:val="lowerRoman"/>
      <w:lvlText w:val="%3."/>
      <w:lvlJc w:val="right"/>
      <w:pPr>
        <w:ind w:left="2160" w:hanging="180"/>
      </w:pPr>
    </w:lvl>
    <w:lvl w:ilvl="3" w:tplc="BDB4540E">
      <w:start w:val="1"/>
      <w:numFmt w:val="decimal"/>
      <w:lvlText w:val="%4."/>
      <w:lvlJc w:val="left"/>
      <w:pPr>
        <w:ind w:left="2880" w:hanging="360"/>
      </w:pPr>
    </w:lvl>
    <w:lvl w:ilvl="4" w:tplc="2D461F48">
      <w:start w:val="1"/>
      <w:numFmt w:val="lowerLetter"/>
      <w:lvlText w:val="%5."/>
      <w:lvlJc w:val="left"/>
      <w:pPr>
        <w:ind w:left="3600" w:hanging="360"/>
      </w:pPr>
    </w:lvl>
    <w:lvl w:ilvl="5" w:tplc="5F2E0510">
      <w:start w:val="1"/>
      <w:numFmt w:val="lowerRoman"/>
      <w:lvlText w:val="%6."/>
      <w:lvlJc w:val="right"/>
      <w:pPr>
        <w:ind w:left="4320" w:hanging="180"/>
      </w:pPr>
    </w:lvl>
    <w:lvl w:ilvl="6" w:tplc="B664D348">
      <w:start w:val="1"/>
      <w:numFmt w:val="decimal"/>
      <w:lvlText w:val="%7."/>
      <w:lvlJc w:val="left"/>
      <w:pPr>
        <w:ind w:left="5040" w:hanging="360"/>
      </w:pPr>
    </w:lvl>
    <w:lvl w:ilvl="7" w:tplc="31FAD11C">
      <w:start w:val="1"/>
      <w:numFmt w:val="lowerLetter"/>
      <w:lvlText w:val="%8."/>
      <w:lvlJc w:val="left"/>
      <w:pPr>
        <w:ind w:left="5760" w:hanging="360"/>
      </w:pPr>
    </w:lvl>
    <w:lvl w:ilvl="8" w:tplc="BF082B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F5"/>
    <w:rsid w:val="000575E9"/>
    <w:rsid w:val="00856DEE"/>
    <w:rsid w:val="00C12B96"/>
    <w:rsid w:val="00C206C2"/>
    <w:rsid w:val="00E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1600</Words>
  <Characters>9124</Characters>
  <Application>Microsoft Office Word</Application>
  <DocSecurity>0</DocSecurity>
  <Lines>76</Lines>
  <Paragraphs>21</Paragraphs>
  <ScaleCrop>false</ScaleCrop>
  <Company>Krokoz™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2021-06-24T18:00:00Z</dcterms:created>
  <dcterms:modified xsi:type="dcterms:W3CDTF">2021-06-24T18:07:00Z</dcterms:modified>
</cp:coreProperties>
</file>