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BC" w:rsidRPr="009E46BC" w:rsidRDefault="009E46BC" w:rsidP="009E46BC">
      <w:pPr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 w:line="36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9E46B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Вплив </w:t>
      </w:r>
      <w:proofErr w:type="spellStart"/>
      <w:r w:rsidRPr="009E46B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глюкозамінілмурамілдипептиду</w:t>
      </w:r>
      <w:proofErr w:type="spellEnd"/>
      <w:r w:rsidRPr="009E46B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на реакції системи крові </w:t>
      </w:r>
      <w:r w:rsidRPr="009E46BC"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Pr="009E46B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E46B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вторинно</w:t>
      </w:r>
      <w:proofErr w:type="spellEnd"/>
      <w:r w:rsidRPr="009E46B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хронічно</w:t>
      </w:r>
      <w:proofErr w:type="spellStart"/>
      <w:r w:rsidRPr="009E46BC">
        <w:rPr>
          <w:rFonts w:ascii="Times New Roman" w:eastAsia="Calibri" w:hAnsi="Times New Roman" w:cs="Times New Roman"/>
          <w:b/>
          <w:sz w:val="28"/>
          <w:szCs w:val="28"/>
        </w:rPr>
        <w:t>го</w:t>
      </w:r>
      <w:proofErr w:type="spellEnd"/>
      <w:r w:rsidRPr="009E46B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E46B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запаленн</w:t>
      </w:r>
      <w:proofErr w:type="spellEnd"/>
      <w:r w:rsidRPr="009E46BC">
        <w:rPr>
          <w:rFonts w:ascii="Times New Roman" w:eastAsia="Calibri" w:hAnsi="Times New Roman" w:cs="Times New Roman"/>
          <w:b/>
          <w:sz w:val="28"/>
          <w:szCs w:val="28"/>
        </w:rPr>
        <w:t>я</w:t>
      </w:r>
    </w:p>
    <w:p w:rsidR="009E46BC" w:rsidRPr="009E46BC" w:rsidRDefault="009E46BC" w:rsidP="009E46BC">
      <w:pPr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 w:line="36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E46B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Д. мед. н.,проф. О.М. Шевченко, к. </w:t>
      </w:r>
      <w:proofErr w:type="spellStart"/>
      <w:r w:rsidRPr="009E46B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мед.н</w:t>
      </w:r>
      <w:proofErr w:type="spellEnd"/>
      <w:r w:rsidRPr="009E46B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В.О. </w:t>
      </w:r>
      <w:proofErr w:type="spellStart"/>
      <w:r w:rsidRPr="009E46B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Бібіченко</w:t>
      </w:r>
      <w:proofErr w:type="spellEnd"/>
      <w:r w:rsidRPr="009E46B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9E46BC" w:rsidRPr="009E46BC" w:rsidRDefault="009E46BC" w:rsidP="009E46BC">
      <w:pPr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 w:line="360" w:lineRule="auto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Харківський національний медичний університет МОЗ України</w:t>
      </w:r>
    </w:p>
    <w:p w:rsidR="009E46BC" w:rsidRPr="009E46BC" w:rsidRDefault="009E46BC" w:rsidP="009E46BC">
      <w:pPr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 w:line="36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E46BC" w:rsidRPr="009E46BC" w:rsidRDefault="009E46BC" w:rsidP="009E46BC">
      <w:pPr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E46B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Ключові слова: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вторинно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хронічне запалення, вогнище запалення, кістковий мозок, периферична кров,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цитокіни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глюкозамінілмурамілдипептид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E46BC" w:rsidRPr="009E46BC" w:rsidRDefault="009E46BC" w:rsidP="009E46BC">
      <w:pPr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 w:line="36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Хронічне запалення - патогенетична основа низки захворювань людини: атеросклероз, ожиріння, рак, хронічне обструктивне захворювання легень, бронхіальна астма,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нейродегенеративні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захворювання, розсіяний склероз,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ревматоїдний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артрит та інших. </w:t>
      </w:r>
    </w:p>
    <w:p w:rsidR="009E46BC" w:rsidRPr="009E46BC" w:rsidRDefault="009E46BC" w:rsidP="009E46BC">
      <w:pPr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Водночас механізми</w:t>
      </w:r>
      <w:r w:rsidRPr="009E46BC">
        <w:rPr>
          <w:rFonts w:ascii="Times New Roman" w:eastAsia="Calibri" w:hAnsi="Times New Roman" w:cs="Times New Roman"/>
          <w:sz w:val="28"/>
          <w:szCs w:val="28"/>
        </w:rPr>
        <w:t xml:space="preserve"> й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</w:rPr>
        <w:t>профілактика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хронічного запалення вивчені недостатньо. Незважаючи на велику кількість досліджень, присвячених хронічним запальним захворюванням.</w:t>
      </w:r>
    </w:p>
    <w:p w:rsidR="009E46BC" w:rsidRPr="009E46BC" w:rsidRDefault="009E46BC" w:rsidP="009E46BC">
      <w:pPr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Головною ланкою патогенезу запалення є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медіаторна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регуляція. Серед медіаторів запалення особливе місце посідають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цитокіни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оскільки вони визначають події у вогнищі запалення. </w:t>
      </w:r>
    </w:p>
    <w:p w:rsidR="009E46BC" w:rsidRPr="009E46BC" w:rsidRDefault="009E46BC" w:rsidP="009E46BC">
      <w:pPr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Дослідження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цитокінового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профілю у вогнищі запалення є предметом багатьох досліджень останніх років, так як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цитокіни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впливають на перебіг хронічного запалення, стимулюючи специфічну й неспецифічну реактивність.</w:t>
      </w:r>
    </w:p>
    <w:p w:rsidR="009E46BC" w:rsidRPr="009E46BC" w:rsidRDefault="009E46BC" w:rsidP="009E46BC">
      <w:pPr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Сьогодні велика увага приділяється вивченню  впливу стимулюючих препаратів на імунні реакції організму, зокрема при запаленні. Саме тому, ми вивчили вплив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глюкозамінілмурамілдипептиду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перебіг хронічного запалення.</w:t>
      </w:r>
    </w:p>
    <w:p w:rsidR="009E46BC" w:rsidRPr="009E46BC" w:rsidRDefault="009E46BC" w:rsidP="009E46BC">
      <w:pPr>
        <w:widowControl w:val="0"/>
        <w:tabs>
          <w:tab w:val="left" w:pos="426"/>
          <w:tab w:val="left" w:pos="1276"/>
          <w:tab w:val="left" w:pos="1560"/>
          <w:tab w:val="left" w:pos="3686"/>
          <w:tab w:val="left" w:pos="6096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46B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Мета дослідження. </w:t>
      </w:r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З’ясувати</w:t>
      </w:r>
      <w:r w:rsidRPr="009E46B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вплив</w:t>
      </w:r>
      <w:r w:rsidRPr="009E46B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глюкозамінілмурамілдипептиду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реакції системи крові за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вторинно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хронічного запалення.</w:t>
      </w:r>
    </w:p>
    <w:p w:rsidR="009E46BC" w:rsidRPr="009E46BC" w:rsidRDefault="009E46BC" w:rsidP="009E46BC">
      <w:pPr>
        <w:widowControl w:val="0"/>
        <w:tabs>
          <w:tab w:val="left" w:pos="426"/>
          <w:tab w:val="left" w:pos="1276"/>
          <w:tab w:val="left" w:pos="1560"/>
          <w:tab w:val="left" w:pos="3686"/>
          <w:tab w:val="left" w:pos="6096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46B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Методи: </w:t>
      </w:r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патофізіологічні, гістологічні, гематологічні, гістохімічні,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імуноферментні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, статистичні.</w:t>
      </w:r>
    </w:p>
    <w:p w:rsidR="009E46BC" w:rsidRPr="009E46BC" w:rsidRDefault="009E46BC" w:rsidP="009E46BC">
      <w:pPr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46BC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Результати та їх обговорення.</w:t>
      </w:r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Початок формування гранульом як за звичайного перебігу запалення, так і при запаленні на тлі введення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глюкозамінілмурамілдипептиду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відбувається в одні і ті ж терміни – на 5-у добу. Поетапні зміни в гранульомах також відбуваються в одні і ті ж терміни, однак при запаленні на тлі введення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глюкозамінілмурамілдипептиду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цілому відзначено більшу кількість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лімфо-макрофагальних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елементів, клітин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фібробластичного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ряду й більш виражене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колагеноутворення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E46BC" w:rsidRPr="009E46BC" w:rsidRDefault="009E46BC" w:rsidP="009E46BC">
      <w:pPr>
        <w:shd w:val="clear" w:color="auto" w:fill="FFFFFF"/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9E46B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Використання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глюкозамінілмурамілдипептиду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впливає на вміст різних клітинних елементів, характерних для запальної реакції, а зміни клітинного складу вогнища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карагіненового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запалення на його периферії ідентичні з такими в центрі, однак менше виражені.</w:t>
      </w:r>
    </w:p>
    <w:p w:rsidR="009E46BC" w:rsidRPr="009E46BC" w:rsidRDefault="009E46BC" w:rsidP="009E46BC">
      <w:pPr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4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запаленні на тлі застосування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глюкозамінілмурамілдипептиду</w:t>
      </w:r>
      <w:proofErr w:type="spellEnd"/>
      <w:r w:rsidRPr="009E4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порівняно з природнім перебігом процесу в ранні терміни запалення у вогнище емігрує більша кількість лейкоцитів, порівняно з більш віддаленими термінами, оскільки  їх виходить менша кількість. Показано також, що відбувається в ранні терміни більше вимивання клітин з кісткового мозку у кров, що більш істотно стимулює </w:t>
      </w:r>
      <w:proofErr w:type="spellStart"/>
      <w:r w:rsidRPr="009E4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гемопоез</w:t>
      </w:r>
      <w:proofErr w:type="spellEnd"/>
      <w:r w:rsidRPr="009E4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в більш пізні терміни, які відповідають періоду </w:t>
      </w:r>
      <w:proofErr w:type="spellStart"/>
      <w:r w:rsidRPr="009E4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хронізації</w:t>
      </w:r>
      <w:proofErr w:type="spellEnd"/>
      <w:r w:rsidRPr="009E4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запалення – менша активація </w:t>
      </w:r>
      <w:proofErr w:type="spellStart"/>
      <w:r w:rsidRPr="009E4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гемопоезу</w:t>
      </w:r>
      <w:proofErr w:type="spellEnd"/>
      <w:r w:rsidRPr="009E4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E46BC" w:rsidRPr="009E46BC" w:rsidRDefault="009E46BC" w:rsidP="009E46BC">
      <w:pPr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Застосування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глюкозамінілмурамілдипептиду</w:t>
      </w:r>
      <w:proofErr w:type="spellEnd"/>
      <w:r w:rsidRPr="009E4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спричиняє зниження </w:t>
      </w:r>
      <w:proofErr w:type="spellStart"/>
      <w:r w:rsidRPr="009E4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хронізації</w:t>
      </w:r>
      <w:proofErr w:type="spellEnd"/>
      <w:r w:rsidRPr="009E4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запалення за рахунок більшої активації </w:t>
      </w:r>
      <w:proofErr w:type="spellStart"/>
      <w:r w:rsidRPr="009E4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гемопоезу</w:t>
      </w:r>
      <w:proofErr w:type="spellEnd"/>
      <w:r w:rsidRPr="009E4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і, отже, надходження лейкоцитів у кров і вогнище в початкові терміни запалення.</w:t>
      </w:r>
    </w:p>
    <w:p w:rsidR="009E46BC" w:rsidRPr="009E46BC" w:rsidRDefault="009E46BC" w:rsidP="009E46BC">
      <w:pPr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 w:line="38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запаленні на тлі застосування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глюкозамінілмурамілдипептиду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відміну від природнього перебігу запалення зменшення загальної кількості лейкоцитів спостерігається на 5-у і 14-у добу, що пов'язано з посиленим виходом лейкоцитів у вогнище запалення.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</w:rPr>
        <w:t>Спочатку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</w:rPr>
        <w:t>запальна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</w:rPr>
        <w:t>реакція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</w:rPr>
        <w:t>більш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</w:rPr>
        <w:t>виражена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E46BC">
        <w:rPr>
          <w:rFonts w:ascii="Times New Roman" w:eastAsia="Calibri" w:hAnsi="Times New Roman" w:cs="Times New Roman"/>
          <w:sz w:val="28"/>
          <w:szCs w:val="28"/>
        </w:rPr>
        <w:t>ніж</w:t>
      </w:r>
      <w:proofErr w:type="spellEnd"/>
      <w:proofErr w:type="gramEnd"/>
      <w:r w:rsidRPr="009E46BC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</w:rPr>
        <w:t>природнього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</w:rPr>
        <w:t>перебігу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</w:rPr>
        <w:t>запалення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</w:rPr>
        <w:t xml:space="preserve">, на 28-у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</w:rPr>
        <w:t>добу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</w:rPr>
        <w:t>менш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9E46B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</w:rPr>
        <w:t>Посилене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</w:rPr>
        <w:t>залучення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</w:rPr>
        <w:t>лейкоцитів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</w:rPr>
        <w:t xml:space="preserve"> до 14-ї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</w:rPr>
        <w:t>доби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очевидно</w:t>
      </w:r>
      <w:r w:rsidRPr="009E46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</w:rPr>
        <w:t>спричиняє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</w:rPr>
        <w:t>більшу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</w:rPr>
        <w:t>елімінацію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</w:rPr>
        <w:t>флогогену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</w:rPr>
        <w:t>цей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</w:rPr>
        <w:t>період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</w:rPr>
        <w:t>зниження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</w:rPr>
        <w:t xml:space="preserve"> потреби в лейкоцитах </w:t>
      </w:r>
      <w:proofErr w:type="spellStart"/>
      <w:proofErr w:type="gramStart"/>
      <w:r w:rsidRPr="009E46B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9E46BC">
        <w:rPr>
          <w:rFonts w:ascii="Times New Roman" w:eastAsia="Calibri" w:hAnsi="Times New Roman" w:cs="Times New Roman"/>
          <w:sz w:val="28"/>
          <w:szCs w:val="28"/>
        </w:rPr>
        <w:t>ізніше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46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</w:rPr>
        <w:t>період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</w:rPr>
        <w:t>хронізації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</w:rPr>
        <w:t>запалення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</w:rPr>
        <w:t>свідчить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</w:rPr>
        <w:t>зменшення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</w:rPr>
        <w:t>хронізації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</w:rPr>
        <w:t>тобто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</w:rPr>
        <w:t>зниження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глюкозамінілмурамілдипептидом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</w:rPr>
        <w:t>хронізації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</w:rPr>
        <w:t>запалення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E46BC" w:rsidRPr="009E46BC" w:rsidRDefault="009E46BC" w:rsidP="009E46BC">
      <w:pPr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Виходячи з показників лейкоцитарної реакції периферичної крові в динаміці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карагіненового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вторинно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хронічного запалення, застосування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глюкозамінілмурамілдипептиду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призводить до зниження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хронізації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процесу, що свідчить про можливості використання препарату для профілактики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хронізації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запалення</w:t>
      </w:r>
      <w:r w:rsidRPr="009E4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E46BC" w:rsidRPr="009E46BC" w:rsidRDefault="009E46BC" w:rsidP="009E46BC">
      <w:pPr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Відмічається фазний характер змін концентрацій ФНП-α при звичайному перебігу запалення. </w:t>
      </w:r>
    </w:p>
    <w:p w:rsidR="009E46BC" w:rsidRPr="009E46BC" w:rsidRDefault="009E46BC" w:rsidP="009E46BC">
      <w:pPr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вторинно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хронічному запаленні на тлі введення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глюкозамінілмурамілдипептиду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концентрація ФНП-α в крові до 6-ї години істотно не відрізняється від контролю. У подальші терміни спостерігається хвилеподібна зміна концентрації ФНП-α в крові.</w:t>
      </w:r>
    </w:p>
    <w:p w:rsidR="009E46BC" w:rsidRPr="009E46BC" w:rsidRDefault="009E46BC" w:rsidP="009E46BC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вторинно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хронічного запалення на тлі введення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глюкозамінілмурамілдипептиду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концентрація ІЛ-2 також змінюється хвилеподібно. </w:t>
      </w:r>
    </w:p>
    <w:p w:rsidR="009E46BC" w:rsidRPr="009E46BC" w:rsidRDefault="009E46BC" w:rsidP="009E46BC">
      <w:pPr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вторинно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хронічному запаленні на тлі введення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глюкозамінілмурамілдипептиду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концентрація ІЛ-10 до 6-ї години істотно не відрізняється від контролю. На 1-у – 2-у добу спостерігаємо достовірне зниження концентрації ІЛ-10 в периферичній крові на тлі введення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глюкозамінілмурамілдипептиду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відповідно в 1,27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раза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і 1,43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раза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порівняно з контролем, а також відзначаємо зниження їх концентрації порівняно з попереднім терміном відповідно в 1,21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раза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і 1,13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раза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E46BC" w:rsidRPr="009E46BC" w:rsidRDefault="009E46BC" w:rsidP="009E46BC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28-у добу при запаленні на тлі введення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глюкозамініл-мурамілдипептиду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концентрація ІЛ-10 знижується порівняно з природнім перебігом запалення в 1,04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раза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що свідчить про зниження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хронізації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запалення.</w:t>
      </w:r>
    </w:p>
    <w:p w:rsidR="009E46BC" w:rsidRPr="009E46BC" w:rsidRDefault="009E46BC" w:rsidP="009E46BC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 w:line="38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Аналізуючи отримані результати, слід зазначити, що на тлі введення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глюкозамінілмурамілдипептиду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28-ї доби знижується концентрація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прозапальних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цитокінів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ФНП-α і ІЛ-2 і істотно збільшується концентрація </w:t>
      </w:r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протизапального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цитокіну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ІЛ-10. Як видно із вмісту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цитокінів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ФНП-α, ІЛ-2,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ІЛ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-10 у периферичній крові в динаміці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карагіненового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вторинно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хронічного запалення, застосування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глюкозамінілмурамілдипептиду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спричиняє зниження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хронізації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процесу, що сприятливо впливає на перебіг цього процесу і свідчить про можливість використання цього препарату для профілактики хронічного запалення.</w:t>
      </w:r>
    </w:p>
    <w:p w:rsidR="009E46BC" w:rsidRPr="009E46BC" w:rsidRDefault="009E46BC" w:rsidP="009E46BC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 w:line="38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Таким чином, на моделі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вторинно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хронічного запалення виявлено закономірності змін реакції системи крові, зокрема, вмісту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прозапальних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протизапальних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цитокінів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периферичній крові. За даними головного параметру запалення – реакцій систем крові, з’ясовано вплив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глюкозамінілмурамілдипептиду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зниження </w:t>
      </w:r>
      <w:proofErr w:type="spellStart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>хронізації</w:t>
      </w:r>
      <w:proofErr w:type="spellEnd"/>
      <w:r w:rsidRPr="009E46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запалення.</w:t>
      </w:r>
    </w:p>
    <w:p w:rsidR="009E46BC" w:rsidRPr="009E46BC" w:rsidRDefault="009E46BC" w:rsidP="009E46BC">
      <w:pPr>
        <w:rPr>
          <w:rFonts w:ascii="TimesNewRoman,BoldItalic" w:eastAsia="TimesNewRoman" w:hAnsi="TimesNewRoman,BoldItalic" w:cs="TimesNewRoman,BoldItalic"/>
          <w:b/>
          <w:bCs/>
          <w:i/>
          <w:iCs/>
          <w:sz w:val="28"/>
          <w:szCs w:val="28"/>
          <w:lang w:val="uk-UA"/>
        </w:rPr>
      </w:pPr>
    </w:p>
    <w:p w:rsidR="009E46BC" w:rsidRPr="009E46BC" w:rsidRDefault="009E46BC" w:rsidP="009E46BC"/>
    <w:sectPr w:rsidR="009E46BC" w:rsidRPr="009E4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BC"/>
    <w:rsid w:val="00924854"/>
    <w:rsid w:val="009E46BC"/>
    <w:rsid w:val="00CC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Виктор</cp:lastModifiedBy>
  <cp:revision>2</cp:revision>
  <dcterms:created xsi:type="dcterms:W3CDTF">2021-05-30T16:16:00Z</dcterms:created>
  <dcterms:modified xsi:type="dcterms:W3CDTF">2021-06-01T09:06:00Z</dcterms:modified>
</cp:coreProperties>
</file>